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7"/>
        <w:ind w:right="366"/>
        <w:jc w:val="right"/>
        <w:rPr>
          <w:rFonts w:ascii="仿宋" w:eastAsia="仿宋"/>
        </w:rPr>
      </w:pPr>
      <w:r>
        <w:rPr/>
        <w:drawing>
          <wp:anchor distT="0" distB="0" distL="0" distR="0" allowOverlap="1" layoutInCell="1" locked="0" behindDoc="0" simplePos="0" relativeHeight="15729152">
            <wp:simplePos x="0" y="0"/>
            <wp:positionH relativeFrom="page">
              <wp:posOffset>5620511</wp:posOffset>
            </wp:positionH>
            <wp:positionV relativeFrom="paragraph">
              <wp:posOffset>254928</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rFonts w:ascii="仿宋" w:eastAsia="仿宋"/>
          <w:spacing w:val="-2"/>
        </w:rPr>
        <w:t>长城人寿[2022</w:t>
      </w:r>
      <w:r>
        <w:rPr>
          <w:rFonts w:ascii="仿宋" w:eastAsia="仿宋"/>
          <w:spacing w:val="-10"/>
        </w:rPr>
        <w:t>]医疗保险 </w:t>
      </w:r>
      <w:r>
        <w:rPr>
          <w:rFonts w:ascii="仿宋" w:eastAsia="仿宋"/>
          <w:spacing w:val="-2"/>
        </w:rPr>
        <w:t>002</w:t>
      </w:r>
      <w:r>
        <w:rPr>
          <w:rFonts w:ascii="仿宋" w:eastAsia="仿宋"/>
          <w:spacing w:val="-27"/>
        </w:rPr>
        <w:t> 号</w:t>
      </w:r>
    </w:p>
    <w:p>
      <w:pPr>
        <w:pStyle w:val="BodyText"/>
        <w:spacing w:before="2"/>
        <w:rPr>
          <w:rFonts w:ascii="仿宋"/>
          <w:sz w:val="27"/>
        </w:rPr>
      </w:pPr>
    </w:p>
    <w:p>
      <w:pPr>
        <w:spacing w:line="507" w:lineRule="exact" w:before="0"/>
        <w:ind w:left="589" w:right="1960" w:firstLine="0"/>
        <w:jc w:val="center"/>
        <w:rPr>
          <w:rFonts w:ascii="华文中宋" w:eastAsia="华文中宋" w:hint="eastAsia"/>
          <w:b/>
          <w:sz w:val="32"/>
        </w:rPr>
      </w:pPr>
      <w:r>
        <w:rPr>
          <w:rFonts w:ascii="华文中宋" w:eastAsia="华文中宋" w:hint="eastAsia"/>
          <w:b/>
          <w:w w:val="95"/>
          <w:sz w:val="32"/>
        </w:rPr>
        <w:t>长城烽火台</w:t>
      </w:r>
      <w:r>
        <w:rPr>
          <w:rFonts w:ascii="华文中宋" w:eastAsia="华文中宋" w:hint="eastAsia"/>
          <w:b/>
          <w:w w:val="95"/>
          <w:sz w:val="32"/>
        </w:rPr>
        <w:t>定</w:t>
      </w:r>
      <w:r>
        <w:rPr>
          <w:rFonts w:ascii="华文中宋" w:eastAsia="华文中宋" w:hint="eastAsia"/>
          <w:b/>
          <w:w w:val="95"/>
          <w:sz w:val="32"/>
        </w:rPr>
        <w:t>额</w:t>
      </w:r>
      <w:r>
        <w:rPr>
          <w:rFonts w:ascii="华文中宋" w:eastAsia="华文中宋" w:hint="eastAsia"/>
          <w:b/>
          <w:w w:val="95"/>
          <w:sz w:val="32"/>
        </w:rPr>
        <w:t>给付医疗保</w:t>
      </w:r>
      <w:r>
        <w:rPr>
          <w:rFonts w:ascii="华文中宋" w:eastAsia="华文中宋" w:hint="eastAsia"/>
          <w:b/>
          <w:w w:val="95"/>
          <w:sz w:val="32"/>
        </w:rPr>
        <w:t>险</w:t>
      </w:r>
      <w:r>
        <w:rPr>
          <w:rFonts w:ascii="华文中宋" w:eastAsia="华文中宋" w:hint="eastAsia"/>
          <w:b/>
          <w:w w:val="95"/>
          <w:sz w:val="32"/>
        </w:rPr>
        <w:t>（互联网）</w:t>
      </w:r>
      <w:r>
        <w:rPr>
          <w:rFonts w:ascii="华文中宋" w:eastAsia="华文中宋" w:hint="eastAsia"/>
          <w:b/>
          <w:spacing w:val="-5"/>
          <w:w w:val="95"/>
          <w:sz w:val="32"/>
        </w:rPr>
        <w:t>条款</w:t>
      </w:r>
    </w:p>
    <w:p>
      <w:pPr>
        <w:spacing w:line="465" w:lineRule="exact" w:before="0"/>
        <w:ind w:left="1351" w:right="1524" w:firstLine="0"/>
        <w:jc w:val="center"/>
        <w:rPr>
          <w:rFonts w:ascii="华文中宋" w:eastAsia="华文中宋" w:hint="eastAsia"/>
          <w:b/>
          <w:sz w:val="32"/>
        </w:rPr>
      </w:pPr>
      <w:r>
        <w:rPr>
          <w:rFonts w:ascii="华文中宋" w:eastAsia="华文中宋" w:hint="eastAsia"/>
          <w:b/>
          <w:spacing w:val="20"/>
          <w:sz w:val="32"/>
        </w:rPr>
        <w:t>阅 读 指 引</w:t>
      </w:r>
    </w:p>
    <w:p>
      <w:pPr>
        <w:pStyle w:val="BodyText"/>
        <w:spacing w:line="241" w:lineRule="exact"/>
        <w:ind w:right="786"/>
        <w:jc w:val="right"/>
        <w:rPr>
          <w:rFonts w:ascii="仿宋" w:eastAsia="仿宋"/>
        </w:rPr>
      </w:pPr>
      <w:r>
        <w:rPr>
          <w:rFonts w:ascii="仿宋" w:eastAsia="仿宋"/>
          <w:spacing w:val="-3"/>
        </w:rPr>
        <w:t>请扫描以查询验证条款</w:t>
      </w:r>
    </w:p>
    <w:p>
      <w:pPr>
        <w:pStyle w:val="BodyText"/>
        <w:spacing w:before="4"/>
        <w:ind w:left="1351" w:right="1522"/>
        <w:jc w:val="center"/>
      </w:pPr>
      <w:r>
        <w:rPr/>
        <w:drawing>
          <wp:anchor distT="0" distB="0" distL="0" distR="0" allowOverlap="1" layoutInCell="1" locked="0" behindDoc="0" simplePos="0" relativeHeight="15729664">
            <wp:simplePos x="0" y="0"/>
            <wp:positionH relativeFrom="page">
              <wp:posOffset>739140</wp:posOffset>
            </wp:positionH>
            <wp:positionV relativeFrom="paragraph">
              <wp:posOffset>227345</wp:posOffset>
            </wp:positionV>
            <wp:extent cx="6275832" cy="800252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75832" cy="8002524"/>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49"/>
        </w:rPr>
        <w:t>解</w:t>
      </w:r>
      <w:r>
        <w:rPr>
          <w:spacing w:val="-63"/>
          <w:position w:val="-7"/>
        </w:rPr>
        <w:t>．</w:t>
      </w:r>
      <w:r>
        <w:rPr>
          <w:spacing w:val="-152"/>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546" w:val="left" w:leader="none"/>
        </w:tabs>
        <w:spacing w:line="240" w:lineRule="auto" w:before="63" w:after="0"/>
        <w:ind w:left="545" w:right="0" w:hanging="303"/>
        <w:jc w:val="left"/>
        <w:rPr>
          <w:b/>
          <w:sz w:val="21"/>
        </w:rPr>
      </w:pPr>
      <w:r>
        <w:rPr>
          <w:b/>
          <w:spacing w:val="-4"/>
          <w:sz w:val="21"/>
        </w:rPr>
        <w:t>您拥有的重要权益</w:t>
      </w:r>
    </w:p>
    <w:p>
      <w:pPr>
        <w:pStyle w:val="ListParagraph"/>
        <w:numPr>
          <w:ilvl w:val="1"/>
          <w:numId w:val="1"/>
        </w:numPr>
        <w:tabs>
          <w:tab w:pos="1085" w:val="left" w:leader="none"/>
          <w:tab w:pos="1086" w:val="left" w:leader="none"/>
          <w:tab w:pos="9488" w:val="right" w:leader="dot"/>
        </w:tabs>
        <w:spacing w:line="240" w:lineRule="auto" w:before="3" w:after="0"/>
        <w:ind w:left="1085"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1085" w:val="left" w:leader="none"/>
          <w:tab w:pos="1086" w:val="left" w:leader="none"/>
          <w:tab w:pos="9488" w:val="right" w:leader="dot"/>
        </w:tabs>
        <w:spacing w:line="240" w:lineRule="auto" w:before="2" w:after="0"/>
        <w:ind w:left="1085"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w w:val="95"/>
          <w:sz w:val="21"/>
        </w:rPr>
        <w:t>2.2</w:t>
      </w:r>
    </w:p>
    <w:p>
      <w:pPr>
        <w:pStyle w:val="ListParagraph"/>
        <w:numPr>
          <w:ilvl w:val="1"/>
          <w:numId w:val="1"/>
        </w:numPr>
        <w:tabs>
          <w:tab w:pos="1085" w:val="left" w:leader="none"/>
          <w:tab w:pos="1086" w:val="left" w:leader="none"/>
          <w:tab w:pos="9485" w:val="right" w:leader="dot"/>
        </w:tabs>
        <w:spacing w:line="269" w:lineRule="exact" w:before="5" w:after="0"/>
        <w:ind w:left="1085"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ListParagraph"/>
        <w:numPr>
          <w:ilvl w:val="0"/>
          <w:numId w:val="1"/>
        </w:numPr>
        <w:tabs>
          <w:tab w:pos="546" w:val="left" w:leader="none"/>
        </w:tabs>
        <w:spacing w:line="355" w:lineRule="exact" w:before="0" w:after="0"/>
        <w:ind w:left="545" w:right="0" w:hanging="303"/>
        <w:jc w:val="left"/>
        <w:rPr>
          <w:b/>
          <w:sz w:val="21"/>
        </w:rPr>
      </w:pPr>
      <w:r>
        <w:rPr>
          <w:b/>
          <w:spacing w:val="-3"/>
          <w:sz w:val="21"/>
        </w:rPr>
        <w:t>您应当特别注意的事项</w:t>
      </w:r>
    </w:p>
    <w:p>
      <w:pPr>
        <w:pStyle w:val="ListParagraph"/>
        <w:numPr>
          <w:ilvl w:val="1"/>
          <w:numId w:val="1"/>
        </w:numPr>
        <w:tabs>
          <w:tab w:pos="1085" w:val="left" w:leader="none"/>
          <w:tab w:pos="1086" w:val="left" w:leader="none"/>
          <w:tab w:pos="9488" w:val="right" w:leader="dot"/>
        </w:tabs>
        <w:spacing w:line="240" w:lineRule="auto" w:before="3" w:after="0"/>
        <w:ind w:left="1085"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w w:val="95"/>
          <w:sz w:val="21"/>
        </w:rPr>
        <w:t>2.3</w:t>
      </w:r>
    </w:p>
    <w:p>
      <w:pPr>
        <w:pStyle w:val="ListParagraph"/>
        <w:numPr>
          <w:ilvl w:val="1"/>
          <w:numId w:val="1"/>
        </w:numPr>
        <w:tabs>
          <w:tab w:pos="1085" w:val="left" w:leader="none"/>
          <w:tab w:pos="1086" w:val="left" w:leader="none"/>
          <w:tab w:pos="9488" w:val="right" w:leader="dot"/>
        </w:tabs>
        <w:spacing w:line="240" w:lineRule="auto" w:before="5" w:after="0"/>
        <w:ind w:left="1085" w:right="0" w:hanging="421"/>
        <w:jc w:val="left"/>
        <w:rPr>
          <w:sz w:val="21"/>
        </w:rPr>
      </w:pPr>
      <w:r>
        <w:rPr>
          <w:spacing w:val="-2"/>
          <w:sz w:val="21"/>
        </w:rPr>
        <w:t>您</w:t>
      </w:r>
      <w:r>
        <w:rPr>
          <w:spacing w:val="-2"/>
          <w:sz w:val="21"/>
        </w:rPr>
        <w:t>有</w:t>
      </w:r>
      <w:r>
        <w:rPr>
          <w:spacing w:val="-2"/>
          <w:sz w:val="21"/>
        </w:rPr>
        <w:t>及时向我们通知保险</w:t>
      </w:r>
      <w:r>
        <w:rPr>
          <w:spacing w:val="-2"/>
          <w:sz w:val="21"/>
        </w:rPr>
        <w:t>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085" w:val="left" w:leader="none"/>
          <w:tab w:pos="1086" w:val="left" w:leader="none"/>
          <w:tab w:pos="9485" w:val="right" w:leader="dot"/>
        </w:tabs>
        <w:spacing w:line="240" w:lineRule="auto" w:before="2" w:after="0"/>
        <w:ind w:left="1085"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1085" w:val="left" w:leader="none"/>
          <w:tab w:pos="1086" w:val="left" w:leader="none"/>
          <w:tab w:pos="9488" w:val="right" w:leader="dot"/>
        </w:tabs>
        <w:spacing w:line="240" w:lineRule="auto" w:before="4" w:after="0"/>
        <w:ind w:left="1085"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1085" w:val="left" w:leader="none"/>
          <w:tab w:pos="1086" w:val="left" w:leader="none"/>
          <w:tab w:pos="9485" w:val="right" w:leader="dot"/>
        </w:tabs>
        <w:spacing w:line="240" w:lineRule="auto" w:before="2" w:after="0"/>
        <w:ind w:left="1085"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1085" w:val="left" w:leader="none"/>
          <w:tab w:pos="1086" w:val="left" w:leader="none"/>
          <w:tab w:pos="9279" w:val="right" w:leader="dot"/>
        </w:tabs>
        <w:spacing w:line="268" w:lineRule="exact" w:before="5" w:after="0"/>
        <w:ind w:left="1085"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546" w:val="left" w:leader="none"/>
        </w:tabs>
        <w:spacing w:line="355" w:lineRule="exact" w:before="0" w:after="0"/>
        <w:ind w:left="545" w:right="0" w:hanging="303"/>
        <w:jc w:val="left"/>
        <w:rPr>
          <w:b/>
          <w:sz w:val="21"/>
        </w:rPr>
      </w:pPr>
      <w:r>
        <w:rPr>
          <w:b/>
          <w:spacing w:val="-3"/>
          <w:sz w:val="21"/>
        </w:rPr>
        <w:t>条款是保险合同的重要内容，为充分保障您的权益，请您仔细阅读本条款。</w:t>
      </w:r>
    </w:p>
    <w:p>
      <w:pPr>
        <w:pStyle w:val="ListParagraph"/>
        <w:numPr>
          <w:ilvl w:val="0"/>
          <w:numId w:val="1"/>
        </w:numPr>
        <w:tabs>
          <w:tab w:pos="546" w:val="left" w:leader="none"/>
        </w:tabs>
        <w:spacing w:line="240" w:lineRule="auto" w:before="0" w:after="7"/>
        <w:ind w:left="545" w:right="0" w:hanging="303"/>
        <w:jc w:val="left"/>
        <w:rPr>
          <w:b/>
          <w:sz w:val="21"/>
        </w:rPr>
      </w:pPr>
      <w:r>
        <w:rPr/>
        <w:drawing>
          <wp:anchor distT="0" distB="0" distL="0" distR="0" allowOverlap="1" layoutInCell="1" locked="0" behindDoc="1" simplePos="0" relativeHeight="486861312">
            <wp:simplePos x="0" y="0"/>
            <wp:positionH relativeFrom="page">
              <wp:posOffset>827532</wp:posOffset>
            </wp:positionH>
            <wp:positionV relativeFrom="paragraph">
              <wp:posOffset>226820</wp:posOffset>
            </wp:positionV>
            <wp:extent cx="5979835" cy="5255323"/>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5979835" cy="5255323"/>
                    </a:xfrm>
                    <a:prstGeom prst="rect">
                      <a:avLst/>
                    </a:prstGeom>
                  </pic:spPr>
                </pic:pic>
              </a:graphicData>
            </a:graphic>
          </wp:anchor>
        </w:drawing>
      </w:r>
      <w:r>
        <w:rPr>
          <w:b/>
          <w:spacing w:val="-3"/>
          <w:sz w:val="21"/>
        </w:rPr>
        <w:t>条款目录</w:t>
      </w:r>
    </w:p>
    <w:tbl>
      <w:tblPr>
        <w:tblW w:w="0" w:type="auto"/>
        <w:jc w:val="left"/>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3"/>
        <w:gridCol w:w="3303"/>
        <w:gridCol w:w="2928"/>
      </w:tblGrid>
      <w:tr>
        <w:trPr>
          <w:trHeight w:val="312" w:hRule="atLeast"/>
        </w:trPr>
        <w:tc>
          <w:tcPr>
            <w:tcW w:w="3363" w:type="dxa"/>
            <w:tcBorders>
              <w:top w:val="dashed" w:sz="4" w:space="0" w:color="000000"/>
            </w:tcBorders>
          </w:tcPr>
          <w:p>
            <w:pPr>
              <w:pStyle w:val="TableParagraph"/>
              <w:ind w:left="112"/>
              <w:rPr>
                <w:b/>
                <w:sz w:val="21"/>
              </w:rPr>
            </w:pP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w w:val="95"/>
                <w:sz w:val="21"/>
              </w:rPr>
              <w:t>合</w:t>
            </w:r>
            <w:r>
              <w:rPr>
                <w:b/>
                <w:spacing w:val="-10"/>
                <w:w w:val="95"/>
                <w:sz w:val="21"/>
              </w:rPr>
              <w:t>同</w:t>
            </w:r>
          </w:p>
        </w:tc>
        <w:tc>
          <w:tcPr>
            <w:tcW w:w="3303" w:type="dxa"/>
            <w:tcBorders>
              <w:top w:val="dashed" w:sz="4" w:space="0" w:color="000000"/>
            </w:tcBorders>
          </w:tcPr>
          <w:p>
            <w:pPr>
              <w:pStyle w:val="TableParagraph"/>
              <w:ind w:left="568"/>
              <w:rPr>
                <w:sz w:val="21"/>
              </w:rPr>
            </w:pPr>
            <w:r>
              <w:rPr>
                <w:spacing w:val="-2"/>
                <w:sz w:val="21"/>
              </w:rPr>
              <w:t>8.1</w:t>
            </w:r>
            <w:r>
              <w:rPr>
                <w:spacing w:val="-10"/>
                <w:sz w:val="21"/>
              </w:rPr>
              <w:t> 明确说明与如实告知</w:t>
            </w:r>
          </w:p>
        </w:tc>
        <w:tc>
          <w:tcPr>
            <w:tcW w:w="2928" w:type="dxa"/>
            <w:tcBorders>
              <w:top w:val="dashed" w:sz="4" w:space="0" w:color="000000"/>
            </w:tcBorders>
          </w:tcPr>
          <w:p>
            <w:pPr>
              <w:pStyle w:val="TableParagraph"/>
              <w:ind w:left="262"/>
              <w:rPr>
                <w:sz w:val="21"/>
              </w:rPr>
            </w:pPr>
            <w:r>
              <w:rPr>
                <w:spacing w:val="-2"/>
                <w:sz w:val="21"/>
              </w:rPr>
              <w:t>9.20</w:t>
            </w:r>
            <w:r>
              <w:rPr>
                <w:spacing w:val="-16"/>
                <w:sz w:val="21"/>
              </w:rPr>
              <w:t> 肾透析</w:t>
            </w:r>
          </w:p>
        </w:tc>
      </w:tr>
      <w:tr>
        <w:trPr>
          <w:trHeight w:val="312" w:hRule="atLeast"/>
        </w:trPr>
        <w:tc>
          <w:tcPr>
            <w:tcW w:w="3363" w:type="dxa"/>
          </w:tcPr>
          <w:p>
            <w:pPr>
              <w:pStyle w:val="TableParagraph"/>
              <w:ind w:left="324"/>
              <w:rPr>
                <w:sz w:val="21"/>
              </w:rPr>
            </w:pPr>
            <w:r>
              <w:rPr>
                <w:spacing w:val="-2"/>
                <w:sz w:val="21"/>
              </w:rPr>
              <w:t>1.1</w:t>
            </w:r>
            <w:r>
              <w:rPr>
                <w:spacing w:val="-14"/>
                <w:sz w:val="21"/>
              </w:rPr>
              <w:t> 合同构成</w:t>
            </w:r>
          </w:p>
        </w:tc>
        <w:tc>
          <w:tcPr>
            <w:tcW w:w="3303" w:type="dxa"/>
          </w:tcPr>
          <w:p>
            <w:pPr>
              <w:pStyle w:val="TableParagraph"/>
              <w:ind w:left="568"/>
              <w:rPr>
                <w:sz w:val="21"/>
              </w:rPr>
            </w:pPr>
            <w:r>
              <w:rPr>
                <w:spacing w:val="-2"/>
                <w:sz w:val="21"/>
              </w:rPr>
              <w:t>8.2</w:t>
            </w:r>
            <w:r>
              <w:rPr>
                <w:spacing w:val="-10"/>
                <w:sz w:val="21"/>
              </w:rPr>
              <w:t> 我们合同解除权的限制</w:t>
            </w:r>
          </w:p>
        </w:tc>
        <w:tc>
          <w:tcPr>
            <w:tcW w:w="2928" w:type="dxa"/>
          </w:tcPr>
          <w:p>
            <w:pPr>
              <w:pStyle w:val="TableParagraph"/>
              <w:ind w:left="262"/>
              <w:rPr>
                <w:sz w:val="21"/>
              </w:rPr>
            </w:pPr>
            <w:r>
              <w:rPr>
                <w:sz w:val="21"/>
              </w:rPr>
              <w:t>9.21</w:t>
            </w:r>
            <w:r>
              <w:rPr>
                <w:spacing w:val="-22"/>
                <w:sz w:val="21"/>
              </w:rPr>
              <w:t> 毒品</w:t>
            </w:r>
          </w:p>
        </w:tc>
      </w:tr>
      <w:tr>
        <w:trPr>
          <w:trHeight w:val="311" w:hRule="atLeast"/>
        </w:trPr>
        <w:tc>
          <w:tcPr>
            <w:tcW w:w="3363" w:type="dxa"/>
          </w:tcPr>
          <w:p>
            <w:pPr>
              <w:pStyle w:val="TableParagraph"/>
              <w:ind w:left="324"/>
              <w:rPr>
                <w:sz w:val="21"/>
              </w:rPr>
            </w:pPr>
            <w:r>
              <w:rPr>
                <w:spacing w:val="-2"/>
                <w:sz w:val="21"/>
              </w:rPr>
              <w:t>1.2</w:t>
            </w:r>
            <w:r>
              <w:rPr>
                <w:spacing w:val="-10"/>
                <w:sz w:val="21"/>
              </w:rPr>
              <w:t> 合同成立与生效</w:t>
            </w:r>
          </w:p>
        </w:tc>
        <w:tc>
          <w:tcPr>
            <w:tcW w:w="3303" w:type="dxa"/>
          </w:tcPr>
          <w:p>
            <w:pPr>
              <w:pStyle w:val="TableParagraph"/>
              <w:ind w:left="568"/>
              <w:rPr>
                <w:sz w:val="21"/>
              </w:rPr>
            </w:pPr>
            <w:r>
              <w:rPr>
                <w:spacing w:val="-2"/>
                <w:sz w:val="21"/>
              </w:rPr>
              <w:t>8.3</w:t>
            </w:r>
            <w:r>
              <w:rPr>
                <w:spacing w:val="-14"/>
                <w:sz w:val="21"/>
              </w:rPr>
              <w:t> 年龄错误</w:t>
            </w:r>
          </w:p>
        </w:tc>
        <w:tc>
          <w:tcPr>
            <w:tcW w:w="2928" w:type="dxa"/>
          </w:tcPr>
          <w:p>
            <w:pPr>
              <w:pStyle w:val="TableParagraph"/>
              <w:ind w:left="262"/>
              <w:rPr>
                <w:sz w:val="21"/>
              </w:rPr>
            </w:pPr>
            <w:r>
              <w:rPr>
                <w:spacing w:val="-2"/>
                <w:sz w:val="21"/>
              </w:rPr>
              <w:t>9.22</w:t>
            </w:r>
            <w:r>
              <w:rPr>
                <w:spacing w:val="-14"/>
                <w:sz w:val="21"/>
              </w:rPr>
              <w:t> 酒后驾驶</w:t>
            </w:r>
          </w:p>
        </w:tc>
      </w:tr>
      <w:tr>
        <w:trPr>
          <w:trHeight w:val="311" w:hRule="atLeast"/>
        </w:trPr>
        <w:tc>
          <w:tcPr>
            <w:tcW w:w="3363" w:type="dxa"/>
          </w:tcPr>
          <w:p>
            <w:pPr>
              <w:pStyle w:val="TableParagraph"/>
              <w:ind w:left="324"/>
              <w:rPr>
                <w:sz w:val="21"/>
              </w:rPr>
            </w:pPr>
            <w:r>
              <w:rPr>
                <w:spacing w:val="-2"/>
                <w:sz w:val="21"/>
              </w:rPr>
              <w:t>1.3</w:t>
            </w:r>
            <w:r>
              <w:rPr>
                <w:spacing w:val="-14"/>
                <w:sz w:val="21"/>
              </w:rPr>
              <w:t> 投保范围</w:t>
            </w:r>
          </w:p>
        </w:tc>
        <w:tc>
          <w:tcPr>
            <w:tcW w:w="3303" w:type="dxa"/>
          </w:tcPr>
          <w:p>
            <w:pPr>
              <w:pStyle w:val="TableParagraph"/>
              <w:ind w:left="568"/>
              <w:rPr>
                <w:sz w:val="21"/>
              </w:rPr>
            </w:pPr>
            <w:r>
              <w:rPr>
                <w:spacing w:val="-2"/>
                <w:sz w:val="21"/>
              </w:rPr>
              <w:t>8.4</w:t>
            </w:r>
            <w:r>
              <w:rPr>
                <w:spacing w:val="-11"/>
                <w:sz w:val="21"/>
              </w:rPr>
              <w:t> 合同内容变更</w:t>
            </w:r>
          </w:p>
        </w:tc>
        <w:tc>
          <w:tcPr>
            <w:tcW w:w="2928" w:type="dxa"/>
          </w:tcPr>
          <w:p>
            <w:pPr>
              <w:pStyle w:val="TableParagraph"/>
              <w:ind w:left="262"/>
              <w:rPr>
                <w:sz w:val="21"/>
              </w:rPr>
            </w:pPr>
            <w:r>
              <w:rPr>
                <w:spacing w:val="-2"/>
                <w:sz w:val="21"/>
              </w:rPr>
              <w:t>9.23</w:t>
            </w:r>
            <w:r>
              <w:rPr>
                <w:spacing w:val="-10"/>
                <w:sz w:val="21"/>
              </w:rPr>
              <w:t> 无合法有效驾驶证驾</w:t>
            </w:r>
          </w:p>
        </w:tc>
      </w:tr>
      <w:tr>
        <w:trPr>
          <w:trHeight w:val="312" w:hRule="atLeast"/>
        </w:trPr>
        <w:tc>
          <w:tcPr>
            <w:tcW w:w="3363" w:type="dxa"/>
          </w:tcPr>
          <w:p>
            <w:pPr>
              <w:pStyle w:val="TableParagraph"/>
              <w:ind w:left="324"/>
              <w:rPr>
                <w:sz w:val="21"/>
              </w:rPr>
            </w:pPr>
            <w:r>
              <w:rPr>
                <w:spacing w:val="-2"/>
                <w:sz w:val="21"/>
              </w:rPr>
              <w:t>1.4</w:t>
            </w:r>
            <w:r>
              <w:rPr>
                <w:spacing w:val="-16"/>
                <w:sz w:val="21"/>
              </w:rPr>
              <w:t> 犹豫期</w:t>
            </w:r>
          </w:p>
        </w:tc>
        <w:tc>
          <w:tcPr>
            <w:tcW w:w="3303" w:type="dxa"/>
          </w:tcPr>
          <w:p>
            <w:pPr>
              <w:pStyle w:val="TableParagraph"/>
              <w:ind w:left="568"/>
              <w:rPr>
                <w:sz w:val="21"/>
              </w:rPr>
            </w:pPr>
            <w:r>
              <w:rPr>
                <w:spacing w:val="-2"/>
                <w:sz w:val="21"/>
              </w:rPr>
              <w:t>8.5</w:t>
            </w:r>
            <w:r>
              <w:rPr>
                <w:spacing w:val="-11"/>
                <w:sz w:val="21"/>
              </w:rPr>
              <w:t> 联系方式变更</w:t>
            </w:r>
          </w:p>
        </w:tc>
        <w:tc>
          <w:tcPr>
            <w:tcW w:w="2928" w:type="dxa"/>
          </w:tcPr>
          <w:p>
            <w:pPr>
              <w:pStyle w:val="TableParagraph"/>
              <w:ind w:left="786"/>
              <w:rPr>
                <w:sz w:val="21"/>
              </w:rPr>
            </w:pPr>
            <w:r>
              <w:rPr>
                <w:w w:val="100"/>
                <w:sz w:val="21"/>
              </w:rPr>
              <w:t>驶</w:t>
            </w:r>
          </w:p>
        </w:tc>
      </w:tr>
      <w:tr>
        <w:trPr>
          <w:trHeight w:val="312" w:hRule="atLeast"/>
        </w:trPr>
        <w:tc>
          <w:tcPr>
            <w:tcW w:w="3363" w:type="dxa"/>
          </w:tcPr>
          <w:p>
            <w:pPr>
              <w:pStyle w:val="TableParagraph"/>
              <w:ind w:left="324"/>
              <w:rPr>
                <w:sz w:val="21"/>
              </w:rPr>
            </w:pPr>
            <w:r>
              <w:rPr>
                <w:spacing w:val="-2"/>
                <w:sz w:val="21"/>
              </w:rPr>
              <w:t>1.5</w:t>
            </w:r>
            <w:r>
              <w:rPr>
                <w:spacing w:val="-14"/>
                <w:sz w:val="21"/>
              </w:rPr>
              <w:t> 保险期间</w:t>
            </w:r>
          </w:p>
        </w:tc>
        <w:tc>
          <w:tcPr>
            <w:tcW w:w="3303" w:type="dxa"/>
          </w:tcPr>
          <w:p>
            <w:pPr>
              <w:pStyle w:val="TableParagraph"/>
              <w:ind w:left="568"/>
              <w:rPr>
                <w:sz w:val="21"/>
              </w:rPr>
            </w:pPr>
            <w:r>
              <w:rPr>
                <w:spacing w:val="-2"/>
                <w:sz w:val="21"/>
              </w:rPr>
              <w:t>8.6</w:t>
            </w:r>
            <w:r>
              <w:rPr>
                <w:spacing w:val="-14"/>
                <w:sz w:val="21"/>
              </w:rPr>
              <w:t> 效力终止</w:t>
            </w:r>
          </w:p>
        </w:tc>
        <w:tc>
          <w:tcPr>
            <w:tcW w:w="2928" w:type="dxa"/>
          </w:tcPr>
          <w:p>
            <w:pPr>
              <w:pStyle w:val="TableParagraph"/>
              <w:ind w:left="262"/>
              <w:rPr>
                <w:sz w:val="21"/>
              </w:rPr>
            </w:pPr>
            <w:r>
              <w:rPr>
                <w:spacing w:val="-2"/>
                <w:sz w:val="21"/>
              </w:rPr>
              <w:t>9.24</w:t>
            </w:r>
            <w:r>
              <w:rPr>
                <w:spacing w:val="-10"/>
                <w:sz w:val="21"/>
              </w:rPr>
              <w:t> 无合法有效行驶证</w:t>
            </w:r>
          </w:p>
        </w:tc>
      </w:tr>
      <w:tr>
        <w:trPr>
          <w:trHeight w:val="311" w:hRule="atLeast"/>
        </w:trPr>
        <w:tc>
          <w:tcPr>
            <w:tcW w:w="3363" w:type="dxa"/>
          </w:tcPr>
          <w:p>
            <w:pPr>
              <w:pStyle w:val="TableParagraph"/>
              <w:ind w:left="112"/>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3303" w:type="dxa"/>
          </w:tcPr>
          <w:p>
            <w:pPr>
              <w:pStyle w:val="TableParagraph"/>
              <w:ind w:left="568"/>
              <w:rPr>
                <w:sz w:val="21"/>
              </w:rPr>
            </w:pPr>
            <w:r>
              <w:rPr>
                <w:spacing w:val="-2"/>
                <w:sz w:val="21"/>
              </w:rPr>
              <w:t>8.7</w:t>
            </w:r>
            <w:r>
              <w:rPr>
                <w:spacing w:val="-14"/>
                <w:sz w:val="21"/>
              </w:rPr>
              <w:t> 争议处理</w:t>
            </w:r>
          </w:p>
        </w:tc>
        <w:tc>
          <w:tcPr>
            <w:tcW w:w="2928" w:type="dxa"/>
          </w:tcPr>
          <w:p>
            <w:pPr>
              <w:pStyle w:val="TableParagraph"/>
              <w:ind w:left="262"/>
              <w:rPr>
                <w:sz w:val="21"/>
              </w:rPr>
            </w:pPr>
            <w:r>
              <w:rPr>
                <w:spacing w:val="-2"/>
                <w:sz w:val="21"/>
              </w:rPr>
              <w:t>9.25</w:t>
            </w:r>
            <w:r>
              <w:rPr>
                <w:spacing w:val="-16"/>
                <w:sz w:val="21"/>
              </w:rPr>
              <w:t> 机动车</w:t>
            </w:r>
          </w:p>
        </w:tc>
      </w:tr>
      <w:tr>
        <w:trPr>
          <w:trHeight w:val="311" w:hRule="atLeast"/>
        </w:trPr>
        <w:tc>
          <w:tcPr>
            <w:tcW w:w="3363" w:type="dxa"/>
          </w:tcPr>
          <w:p>
            <w:pPr>
              <w:pStyle w:val="TableParagraph"/>
              <w:ind w:left="324"/>
              <w:rPr>
                <w:sz w:val="21"/>
              </w:rPr>
            </w:pPr>
            <w:r>
              <w:rPr>
                <w:spacing w:val="-2"/>
                <w:sz w:val="21"/>
              </w:rPr>
              <w:t>2.1</w:t>
            </w:r>
            <w:r>
              <w:rPr>
                <w:spacing w:val="-11"/>
                <w:sz w:val="21"/>
              </w:rPr>
              <w:t> 基本保险金额</w:t>
            </w:r>
          </w:p>
        </w:tc>
        <w:tc>
          <w:tcPr>
            <w:tcW w:w="3303" w:type="dxa"/>
          </w:tcPr>
          <w:p>
            <w:pPr>
              <w:pStyle w:val="TableParagraph"/>
              <w:ind w:left="357"/>
              <w:rPr>
                <w:b/>
                <w:sz w:val="21"/>
              </w:rPr>
            </w:pPr>
            <w:r>
              <w:rPr>
                <w:b/>
                <w:w w:val="95"/>
                <w:sz w:val="21"/>
              </w:rPr>
              <w:t>9．</w:t>
            </w:r>
            <w:r>
              <w:rPr>
                <w:b/>
                <w:w w:val="95"/>
                <w:sz w:val="21"/>
              </w:rPr>
              <w:t>释</w:t>
            </w:r>
            <w:r>
              <w:rPr>
                <w:b/>
                <w:spacing w:val="-10"/>
                <w:w w:val="95"/>
                <w:sz w:val="21"/>
              </w:rPr>
              <w:t>义</w:t>
            </w:r>
          </w:p>
        </w:tc>
        <w:tc>
          <w:tcPr>
            <w:tcW w:w="2928" w:type="dxa"/>
          </w:tcPr>
          <w:p>
            <w:pPr>
              <w:pStyle w:val="TableParagraph"/>
              <w:ind w:left="262"/>
              <w:rPr>
                <w:sz w:val="21"/>
              </w:rPr>
            </w:pPr>
            <w:r>
              <w:rPr>
                <w:spacing w:val="-2"/>
                <w:sz w:val="21"/>
              </w:rPr>
              <w:t>9.26</w:t>
            </w:r>
            <w:r>
              <w:rPr>
                <w:spacing w:val="-10"/>
                <w:sz w:val="21"/>
              </w:rPr>
              <w:t> 感染艾滋病病毒或患</w:t>
            </w:r>
          </w:p>
        </w:tc>
      </w:tr>
      <w:tr>
        <w:trPr>
          <w:trHeight w:val="312" w:hRule="atLeast"/>
        </w:trPr>
        <w:tc>
          <w:tcPr>
            <w:tcW w:w="3363" w:type="dxa"/>
          </w:tcPr>
          <w:p>
            <w:pPr>
              <w:pStyle w:val="TableParagraph"/>
              <w:ind w:left="324"/>
              <w:rPr>
                <w:sz w:val="21"/>
              </w:rPr>
            </w:pPr>
            <w:r>
              <w:rPr>
                <w:spacing w:val="-2"/>
                <w:sz w:val="21"/>
              </w:rPr>
              <w:t>2.2</w:t>
            </w:r>
            <w:r>
              <w:rPr>
                <w:spacing w:val="-14"/>
                <w:sz w:val="21"/>
              </w:rPr>
              <w:t> 保险责任</w:t>
            </w:r>
          </w:p>
        </w:tc>
        <w:tc>
          <w:tcPr>
            <w:tcW w:w="3303" w:type="dxa"/>
          </w:tcPr>
          <w:p>
            <w:pPr>
              <w:pStyle w:val="TableParagraph"/>
              <w:ind w:left="568"/>
              <w:rPr>
                <w:sz w:val="21"/>
              </w:rPr>
            </w:pPr>
            <w:r>
              <w:rPr>
                <w:spacing w:val="-2"/>
                <w:sz w:val="21"/>
              </w:rPr>
              <w:t>9.1</w:t>
            </w:r>
            <w:r>
              <w:rPr>
                <w:spacing w:val="-20"/>
                <w:sz w:val="21"/>
              </w:rPr>
              <w:t> 周岁</w:t>
            </w:r>
          </w:p>
        </w:tc>
        <w:tc>
          <w:tcPr>
            <w:tcW w:w="2928" w:type="dxa"/>
          </w:tcPr>
          <w:p>
            <w:pPr>
              <w:pStyle w:val="TableParagraph"/>
              <w:ind w:left="786"/>
              <w:rPr>
                <w:sz w:val="21"/>
              </w:rPr>
            </w:pPr>
            <w:r>
              <w:rPr>
                <w:spacing w:val="-4"/>
                <w:sz w:val="21"/>
              </w:rPr>
              <w:t>艾滋病</w:t>
            </w:r>
          </w:p>
        </w:tc>
      </w:tr>
      <w:tr>
        <w:trPr>
          <w:trHeight w:val="312" w:hRule="atLeast"/>
        </w:trPr>
        <w:tc>
          <w:tcPr>
            <w:tcW w:w="3363" w:type="dxa"/>
          </w:tcPr>
          <w:p>
            <w:pPr>
              <w:pStyle w:val="TableParagraph"/>
              <w:ind w:left="324"/>
              <w:rPr>
                <w:sz w:val="21"/>
              </w:rPr>
            </w:pPr>
            <w:r>
              <w:rPr>
                <w:spacing w:val="-2"/>
                <w:sz w:val="21"/>
              </w:rPr>
              <w:t>2.3</w:t>
            </w:r>
            <w:r>
              <w:rPr>
                <w:spacing w:val="-14"/>
                <w:sz w:val="21"/>
              </w:rPr>
              <w:t> 责任免除</w:t>
            </w:r>
          </w:p>
        </w:tc>
        <w:tc>
          <w:tcPr>
            <w:tcW w:w="3303" w:type="dxa"/>
          </w:tcPr>
          <w:p>
            <w:pPr>
              <w:pStyle w:val="TableParagraph"/>
              <w:ind w:left="568"/>
              <w:rPr>
                <w:sz w:val="21"/>
              </w:rPr>
            </w:pPr>
            <w:r>
              <w:rPr>
                <w:spacing w:val="-2"/>
                <w:sz w:val="21"/>
              </w:rPr>
              <w:t>9.2</w:t>
            </w:r>
            <w:r>
              <w:rPr>
                <w:spacing w:val="-11"/>
                <w:sz w:val="21"/>
              </w:rPr>
              <w:t> 基本医疗保险</w:t>
            </w:r>
          </w:p>
        </w:tc>
        <w:tc>
          <w:tcPr>
            <w:tcW w:w="2928" w:type="dxa"/>
          </w:tcPr>
          <w:p>
            <w:pPr>
              <w:pStyle w:val="TableParagraph"/>
              <w:ind w:left="262"/>
              <w:rPr>
                <w:sz w:val="21"/>
              </w:rPr>
            </w:pPr>
            <w:r>
              <w:rPr>
                <w:sz w:val="21"/>
              </w:rPr>
              <w:t>9.27</w:t>
            </w:r>
            <w:r>
              <w:rPr>
                <w:spacing w:val="-22"/>
                <w:sz w:val="21"/>
              </w:rPr>
              <w:t> 潜水</w:t>
            </w:r>
          </w:p>
        </w:tc>
      </w:tr>
      <w:tr>
        <w:trPr>
          <w:trHeight w:val="311" w:hRule="atLeast"/>
        </w:trPr>
        <w:tc>
          <w:tcPr>
            <w:tcW w:w="3363" w:type="dxa"/>
          </w:tcPr>
          <w:p>
            <w:pPr>
              <w:pStyle w:val="TableParagraph"/>
              <w:ind w:left="112"/>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c>
        <w:tc>
          <w:tcPr>
            <w:tcW w:w="3303" w:type="dxa"/>
          </w:tcPr>
          <w:p>
            <w:pPr>
              <w:pStyle w:val="TableParagraph"/>
              <w:ind w:left="568"/>
              <w:rPr>
                <w:sz w:val="21"/>
              </w:rPr>
            </w:pPr>
            <w:r>
              <w:rPr>
                <w:spacing w:val="-2"/>
                <w:sz w:val="21"/>
              </w:rPr>
              <w:t>9.3</w:t>
            </w:r>
            <w:r>
              <w:rPr>
                <w:spacing w:val="-14"/>
                <w:sz w:val="21"/>
              </w:rPr>
              <w:t> 公费医疗</w:t>
            </w:r>
          </w:p>
        </w:tc>
        <w:tc>
          <w:tcPr>
            <w:tcW w:w="2928" w:type="dxa"/>
          </w:tcPr>
          <w:p>
            <w:pPr>
              <w:pStyle w:val="TableParagraph"/>
              <w:ind w:left="262"/>
              <w:rPr>
                <w:sz w:val="21"/>
              </w:rPr>
            </w:pPr>
            <w:r>
              <w:rPr>
                <w:sz w:val="21"/>
              </w:rPr>
              <w:t>9.28</w:t>
            </w:r>
            <w:r>
              <w:rPr>
                <w:spacing w:val="-22"/>
                <w:sz w:val="21"/>
              </w:rPr>
              <w:t> 攀岩</w:t>
            </w:r>
          </w:p>
        </w:tc>
      </w:tr>
      <w:tr>
        <w:trPr>
          <w:trHeight w:val="312" w:hRule="atLeast"/>
        </w:trPr>
        <w:tc>
          <w:tcPr>
            <w:tcW w:w="3363" w:type="dxa"/>
          </w:tcPr>
          <w:p>
            <w:pPr>
              <w:pStyle w:val="TableParagraph"/>
              <w:ind w:left="324"/>
              <w:rPr>
                <w:sz w:val="21"/>
              </w:rPr>
            </w:pPr>
            <w:r>
              <w:rPr>
                <w:spacing w:val="-2"/>
                <w:sz w:val="21"/>
              </w:rPr>
              <w:t>3.1</w:t>
            </w:r>
            <w:r>
              <w:rPr>
                <w:spacing w:val="-16"/>
                <w:sz w:val="21"/>
              </w:rPr>
              <w:t> 受益人</w:t>
            </w:r>
          </w:p>
        </w:tc>
        <w:tc>
          <w:tcPr>
            <w:tcW w:w="3303" w:type="dxa"/>
          </w:tcPr>
          <w:p>
            <w:pPr>
              <w:pStyle w:val="TableParagraph"/>
              <w:ind w:left="568"/>
              <w:rPr>
                <w:sz w:val="21"/>
              </w:rPr>
            </w:pPr>
            <w:r>
              <w:rPr>
                <w:spacing w:val="-2"/>
                <w:sz w:val="21"/>
              </w:rPr>
              <w:t>9.4</w:t>
            </w:r>
            <w:r>
              <w:rPr>
                <w:spacing w:val="-11"/>
                <w:sz w:val="21"/>
              </w:rPr>
              <w:t> 有效身份证件</w:t>
            </w:r>
          </w:p>
        </w:tc>
        <w:tc>
          <w:tcPr>
            <w:tcW w:w="2928" w:type="dxa"/>
          </w:tcPr>
          <w:p>
            <w:pPr>
              <w:pStyle w:val="TableParagraph"/>
              <w:ind w:left="262"/>
              <w:rPr>
                <w:sz w:val="21"/>
              </w:rPr>
            </w:pPr>
            <w:r>
              <w:rPr>
                <w:sz w:val="21"/>
              </w:rPr>
              <w:t>9.29</w:t>
            </w:r>
            <w:r>
              <w:rPr>
                <w:spacing w:val="-22"/>
                <w:sz w:val="21"/>
              </w:rPr>
              <w:t> 探险</w:t>
            </w:r>
          </w:p>
        </w:tc>
      </w:tr>
      <w:tr>
        <w:trPr>
          <w:trHeight w:val="312" w:hRule="atLeast"/>
        </w:trPr>
        <w:tc>
          <w:tcPr>
            <w:tcW w:w="3363" w:type="dxa"/>
          </w:tcPr>
          <w:p>
            <w:pPr>
              <w:pStyle w:val="TableParagraph"/>
              <w:ind w:left="324"/>
              <w:rPr>
                <w:sz w:val="21"/>
              </w:rPr>
            </w:pPr>
            <w:r>
              <w:rPr>
                <w:spacing w:val="-2"/>
                <w:sz w:val="21"/>
              </w:rPr>
              <w:t>3.2</w:t>
            </w:r>
            <w:r>
              <w:rPr>
                <w:spacing w:val="-11"/>
                <w:sz w:val="21"/>
              </w:rPr>
              <w:t> 保险事故通知</w:t>
            </w:r>
          </w:p>
        </w:tc>
        <w:tc>
          <w:tcPr>
            <w:tcW w:w="3303" w:type="dxa"/>
          </w:tcPr>
          <w:p>
            <w:pPr>
              <w:pStyle w:val="TableParagraph"/>
              <w:ind w:left="568"/>
              <w:rPr>
                <w:sz w:val="21"/>
              </w:rPr>
            </w:pPr>
            <w:r>
              <w:rPr>
                <w:spacing w:val="-2"/>
                <w:sz w:val="21"/>
              </w:rPr>
              <w:t>9.5</w:t>
            </w:r>
            <w:r>
              <w:rPr>
                <w:spacing w:val="-14"/>
                <w:sz w:val="21"/>
              </w:rPr>
              <w:t> 意外伤害</w:t>
            </w:r>
          </w:p>
        </w:tc>
        <w:tc>
          <w:tcPr>
            <w:tcW w:w="2928" w:type="dxa"/>
          </w:tcPr>
          <w:p>
            <w:pPr>
              <w:pStyle w:val="TableParagraph"/>
              <w:ind w:left="262"/>
              <w:rPr>
                <w:sz w:val="21"/>
              </w:rPr>
            </w:pPr>
            <w:r>
              <w:rPr>
                <w:spacing w:val="-2"/>
                <w:sz w:val="21"/>
              </w:rPr>
              <w:t>9.30</w:t>
            </w:r>
            <w:r>
              <w:rPr>
                <w:spacing w:val="-14"/>
                <w:sz w:val="21"/>
              </w:rPr>
              <w:t> 武术比赛</w:t>
            </w:r>
          </w:p>
        </w:tc>
      </w:tr>
      <w:tr>
        <w:trPr>
          <w:trHeight w:val="311" w:hRule="atLeast"/>
        </w:trPr>
        <w:tc>
          <w:tcPr>
            <w:tcW w:w="3363" w:type="dxa"/>
          </w:tcPr>
          <w:p>
            <w:pPr>
              <w:pStyle w:val="TableParagraph"/>
              <w:ind w:left="324"/>
              <w:rPr>
                <w:sz w:val="21"/>
              </w:rPr>
            </w:pPr>
            <w:r>
              <w:rPr>
                <w:spacing w:val="-2"/>
                <w:sz w:val="21"/>
              </w:rPr>
              <w:t>3.3</w:t>
            </w:r>
            <w:r>
              <w:rPr>
                <w:spacing w:val="-12"/>
                <w:sz w:val="21"/>
              </w:rPr>
              <w:t> 保险金申请</w:t>
            </w:r>
          </w:p>
        </w:tc>
        <w:tc>
          <w:tcPr>
            <w:tcW w:w="3303" w:type="dxa"/>
          </w:tcPr>
          <w:p>
            <w:pPr>
              <w:pStyle w:val="TableParagraph"/>
              <w:ind w:left="568"/>
              <w:rPr>
                <w:sz w:val="21"/>
              </w:rPr>
            </w:pPr>
            <w:r>
              <w:rPr>
                <w:spacing w:val="-2"/>
                <w:sz w:val="21"/>
              </w:rPr>
              <w:t>9.6</w:t>
            </w:r>
            <w:r>
              <w:rPr>
                <w:spacing w:val="-10"/>
                <w:sz w:val="21"/>
              </w:rPr>
              <w:t> 城乡居民大病保险</w:t>
            </w:r>
          </w:p>
        </w:tc>
        <w:tc>
          <w:tcPr>
            <w:tcW w:w="2928" w:type="dxa"/>
          </w:tcPr>
          <w:p>
            <w:pPr>
              <w:pStyle w:val="TableParagraph"/>
              <w:ind w:left="262"/>
              <w:rPr>
                <w:sz w:val="21"/>
              </w:rPr>
            </w:pPr>
            <w:r>
              <w:rPr>
                <w:spacing w:val="-2"/>
                <w:sz w:val="21"/>
              </w:rPr>
              <w:t>9.31</w:t>
            </w:r>
            <w:r>
              <w:rPr>
                <w:spacing w:val="-14"/>
                <w:sz w:val="21"/>
              </w:rPr>
              <w:t> 特技表演</w:t>
            </w:r>
          </w:p>
        </w:tc>
      </w:tr>
      <w:tr>
        <w:trPr>
          <w:trHeight w:val="311" w:hRule="atLeast"/>
        </w:trPr>
        <w:tc>
          <w:tcPr>
            <w:tcW w:w="3363" w:type="dxa"/>
          </w:tcPr>
          <w:p>
            <w:pPr>
              <w:pStyle w:val="TableParagraph"/>
              <w:ind w:left="324"/>
              <w:rPr>
                <w:sz w:val="21"/>
              </w:rPr>
            </w:pPr>
            <w:r>
              <w:rPr>
                <w:spacing w:val="-2"/>
                <w:sz w:val="21"/>
              </w:rPr>
              <w:t>3.4</w:t>
            </w:r>
            <w:r>
              <w:rPr>
                <w:spacing w:val="-11"/>
                <w:sz w:val="21"/>
              </w:rPr>
              <w:t> 保险金的给付</w:t>
            </w:r>
          </w:p>
        </w:tc>
        <w:tc>
          <w:tcPr>
            <w:tcW w:w="3303" w:type="dxa"/>
          </w:tcPr>
          <w:p>
            <w:pPr>
              <w:pStyle w:val="TableParagraph"/>
              <w:ind w:left="568"/>
              <w:rPr>
                <w:sz w:val="21"/>
              </w:rPr>
            </w:pPr>
            <w:r>
              <w:rPr>
                <w:spacing w:val="-2"/>
                <w:sz w:val="21"/>
              </w:rPr>
              <w:t>9.7</w:t>
            </w:r>
            <w:r>
              <w:rPr>
                <w:spacing w:val="-20"/>
                <w:sz w:val="21"/>
              </w:rPr>
              <w:t> 医院</w:t>
            </w:r>
          </w:p>
        </w:tc>
        <w:tc>
          <w:tcPr>
            <w:tcW w:w="2928" w:type="dxa"/>
          </w:tcPr>
          <w:p>
            <w:pPr>
              <w:pStyle w:val="TableParagraph"/>
              <w:ind w:left="262"/>
              <w:rPr>
                <w:sz w:val="21"/>
              </w:rPr>
            </w:pPr>
            <w:r>
              <w:rPr>
                <w:spacing w:val="-2"/>
                <w:sz w:val="21"/>
              </w:rPr>
              <w:t>9.32</w:t>
            </w:r>
            <w:r>
              <w:rPr>
                <w:spacing w:val="-16"/>
                <w:sz w:val="21"/>
              </w:rPr>
              <w:t> 既往症</w:t>
            </w:r>
          </w:p>
        </w:tc>
      </w:tr>
      <w:tr>
        <w:trPr>
          <w:trHeight w:val="312" w:hRule="atLeast"/>
        </w:trPr>
        <w:tc>
          <w:tcPr>
            <w:tcW w:w="3363" w:type="dxa"/>
          </w:tcPr>
          <w:p>
            <w:pPr>
              <w:pStyle w:val="TableParagraph"/>
              <w:ind w:left="324"/>
              <w:rPr>
                <w:sz w:val="21"/>
              </w:rPr>
            </w:pPr>
            <w:r>
              <w:rPr>
                <w:spacing w:val="-2"/>
                <w:sz w:val="21"/>
              </w:rPr>
              <w:t>3.5</w:t>
            </w:r>
            <w:r>
              <w:rPr>
                <w:spacing w:val="-14"/>
                <w:sz w:val="21"/>
              </w:rPr>
              <w:t> 诉讼时效</w:t>
            </w:r>
          </w:p>
        </w:tc>
        <w:tc>
          <w:tcPr>
            <w:tcW w:w="3303" w:type="dxa"/>
          </w:tcPr>
          <w:p>
            <w:pPr>
              <w:pStyle w:val="TableParagraph"/>
              <w:ind w:left="568"/>
              <w:rPr>
                <w:sz w:val="21"/>
              </w:rPr>
            </w:pPr>
            <w:r>
              <w:rPr>
                <w:spacing w:val="-2"/>
                <w:sz w:val="21"/>
              </w:rPr>
              <w:t>9.8</w:t>
            </w:r>
            <w:r>
              <w:rPr>
                <w:spacing w:val="-14"/>
                <w:sz w:val="21"/>
              </w:rPr>
              <w:t> 专科医生</w:t>
            </w:r>
          </w:p>
        </w:tc>
        <w:tc>
          <w:tcPr>
            <w:tcW w:w="2928" w:type="dxa"/>
          </w:tcPr>
          <w:p>
            <w:pPr>
              <w:pStyle w:val="TableParagraph"/>
              <w:ind w:left="262"/>
              <w:rPr>
                <w:sz w:val="21"/>
              </w:rPr>
            </w:pPr>
            <w:r>
              <w:rPr>
                <w:spacing w:val="-2"/>
                <w:sz w:val="21"/>
              </w:rPr>
              <w:t>9.33</w:t>
            </w:r>
            <w:r>
              <w:rPr>
                <w:spacing w:val="-14"/>
                <w:sz w:val="21"/>
              </w:rPr>
              <w:t> 精神疾患</w:t>
            </w:r>
          </w:p>
        </w:tc>
      </w:tr>
      <w:tr>
        <w:trPr>
          <w:trHeight w:val="312" w:hRule="atLeast"/>
        </w:trPr>
        <w:tc>
          <w:tcPr>
            <w:tcW w:w="3363" w:type="dxa"/>
          </w:tcPr>
          <w:p>
            <w:pPr>
              <w:pStyle w:val="TableParagraph"/>
              <w:ind w:left="112"/>
              <w:rPr>
                <w:b/>
                <w:sz w:val="21"/>
              </w:rPr>
            </w:pPr>
            <w:r>
              <w:rPr>
                <w:b/>
                <w:w w:val="95"/>
                <w:sz w:val="21"/>
              </w:rPr>
              <w:t>4．</w:t>
            </w:r>
            <w:r>
              <w:rPr>
                <w:b/>
                <w:w w:val="95"/>
                <w:sz w:val="21"/>
              </w:rPr>
              <w:t>如</w:t>
            </w:r>
            <w:r>
              <w:rPr>
                <w:b/>
                <w:w w:val="95"/>
                <w:sz w:val="21"/>
              </w:rPr>
              <w:t>何</w:t>
            </w:r>
            <w:r>
              <w:rPr>
                <w:b/>
                <w:w w:val="95"/>
                <w:sz w:val="21"/>
              </w:rPr>
              <w:t>交</w:t>
            </w:r>
            <w:r>
              <w:rPr>
                <w:b/>
                <w:w w:val="95"/>
                <w:sz w:val="21"/>
              </w:rPr>
              <w:t>纳</w:t>
            </w:r>
            <w:r>
              <w:rPr>
                <w:b/>
                <w:w w:val="95"/>
                <w:sz w:val="21"/>
              </w:rPr>
              <w:t>保</w:t>
            </w:r>
            <w:r>
              <w:rPr>
                <w:b/>
                <w:w w:val="95"/>
                <w:sz w:val="21"/>
              </w:rPr>
              <w:t>险</w:t>
            </w:r>
            <w:r>
              <w:rPr>
                <w:b/>
                <w:spacing w:val="-10"/>
                <w:w w:val="95"/>
                <w:sz w:val="21"/>
              </w:rPr>
              <w:t>费</w:t>
            </w:r>
          </w:p>
        </w:tc>
        <w:tc>
          <w:tcPr>
            <w:tcW w:w="3303" w:type="dxa"/>
          </w:tcPr>
          <w:p>
            <w:pPr>
              <w:pStyle w:val="TableParagraph"/>
              <w:ind w:left="568"/>
              <w:rPr>
                <w:sz w:val="21"/>
              </w:rPr>
            </w:pPr>
            <w:r>
              <w:rPr>
                <w:spacing w:val="-2"/>
                <w:sz w:val="21"/>
              </w:rPr>
              <w:t>9.9</w:t>
            </w:r>
            <w:r>
              <w:rPr>
                <w:spacing w:val="-12"/>
                <w:sz w:val="21"/>
              </w:rPr>
              <w:t> 合理且必要</w:t>
            </w:r>
          </w:p>
        </w:tc>
        <w:tc>
          <w:tcPr>
            <w:tcW w:w="2928" w:type="dxa"/>
          </w:tcPr>
          <w:p>
            <w:pPr>
              <w:pStyle w:val="TableParagraph"/>
              <w:ind w:left="262"/>
              <w:rPr>
                <w:sz w:val="21"/>
              </w:rPr>
            </w:pPr>
            <w:r>
              <w:rPr>
                <w:spacing w:val="-2"/>
                <w:sz w:val="21"/>
              </w:rPr>
              <w:t>9.34</w:t>
            </w:r>
            <w:r>
              <w:rPr>
                <w:spacing w:val="-12"/>
                <w:sz w:val="21"/>
              </w:rPr>
              <w:t> 遗传性疾病</w:t>
            </w:r>
          </w:p>
        </w:tc>
      </w:tr>
      <w:tr>
        <w:trPr>
          <w:trHeight w:val="311" w:hRule="atLeast"/>
        </w:trPr>
        <w:tc>
          <w:tcPr>
            <w:tcW w:w="3363" w:type="dxa"/>
          </w:tcPr>
          <w:p>
            <w:pPr>
              <w:pStyle w:val="TableParagraph"/>
              <w:ind w:left="324"/>
              <w:rPr>
                <w:sz w:val="21"/>
              </w:rPr>
            </w:pPr>
            <w:r>
              <w:rPr>
                <w:spacing w:val="-2"/>
                <w:sz w:val="21"/>
              </w:rPr>
              <w:t>4.1</w:t>
            </w:r>
            <w:r>
              <w:rPr>
                <w:spacing w:val="-11"/>
                <w:sz w:val="21"/>
              </w:rPr>
              <w:t> 保险费的交纳</w:t>
            </w:r>
          </w:p>
        </w:tc>
        <w:tc>
          <w:tcPr>
            <w:tcW w:w="3303" w:type="dxa"/>
          </w:tcPr>
          <w:p>
            <w:pPr>
              <w:pStyle w:val="TableParagraph"/>
              <w:ind w:left="568"/>
              <w:rPr>
                <w:sz w:val="21"/>
              </w:rPr>
            </w:pPr>
            <w:r>
              <w:rPr>
                <w:spacing w:val="-2"/>
                <w:sz w:val="21"/>
              </w:rPr>
              <w:t>9.10</w:t>
            </w:r>
            <w:r>
              <w:rPr>
                <w:spacing w:val="-14"/>
                <w:sz w:val="21"/>
              </w:rPr>
              <w:t> 现金价值</w:t>
            </w:r>
          </w:p>
        </w:tc>
        <w:tc>
          <w:tcPr>
            <w:tcW w:w="2928" w:type="dxa"/>
          </w:tcPr>
          <w:p>
            <w:pPr>
              <w:pStyle w:val="TableParagraph"/>
              <w:ind w:left="262"/>
              <w:rPr>
                <w:sz w:val="21"/>
              </w:rPr>
            </w:pPr>
            <w:r>
              <w:rPr>
                <w:spacing w:val="-2"/>
                <w:sz w:val="21"/>
              </w:rPr>
              <w:t>9.35</w:t>
            </w:r>
            <w:r>
              <w:rPr>
                <w:spacing w:val="-10"/>
                <w:sz w:val="21"/>
              </w:rPr>
              <w:t> 先天性畸形、变形或染</w:t>
            </w:r>
          </w:p>
        </w:tc>
      </w:tr>
      <w:tr>
        <w:trPr>
          <w:trHeight w:val="311" w:hRule="atLeast"/>
        </w:trPr>
        <w:tc>
          <w:tcPr>
            <w:tcW w:w="3363" w:type="dxa"/>
          </w:tcPr>
          <w:p>
            <w:pPr>
              <w:pStyle w:val="TableParagraph"/>
              <w:ind w:left="324"/>
              <w:rPr>
                <w:sz w:val="21"/>
              </w:rPr>
            </w:pPr>
            <w:r>
              <w:rPr>
                <w:spacing w:val="-2"/>
                <w:sz w:val="21"/>
              </w:rPr>
              <w:t>4.2</w:t>
            </w:r>
            <w:r>
              <w:rPr>
                <w:spacing w:val="-16"/>
                <w:sz w:val="21"/>
              </w:rPr>
              <w:t> 宽限期</w:t>
            </w:r>
          </w:p>
        </w:tc>
        <w:tc>
          <w:tcPr>
            <w:tcW w:w="3303" w:type="dxa"/>
          </w:tcPr>
          <w:p>
            <w:pPr>
              <w:pStyle w:val="TableParagraph"/>
              <w:ind w:left="568"/>
              <w:rPr>
                <w:sz w:val="21"/>
              </w:rPr>
            </w:pPr>
            <w:r>
              <w:rPr>
                <w:sz w:val="21"/>
              </w:rPr>
              <w:t>9.11</w:t>
            </w:r>
            <w:r>
              <w:rPr>
                <w:spacing w:val="-22"/>
                <w:sz w:val="21"/>
              </w:rPr>
              <w:t> 住院</w:t>
            </w:r>
          </w:p>
        </w:tc>
        <w:tc>
          <w:tcPr>
            <w:tcW w:w="2928" w:type="dxa"/>
          </w:tcPr>
          <w:p>
            <w:pPr>
              <w:pStyle w:val="TableParagraph"/>
              <w:ind w:left="786"/>
              <w:rPr>
                <w:sz w:val="21"/>
              </w:rPr>
            </w:pPr>
            <w:r>
              <w:rPr>
                <w:spacing w:val="-4"/>
                <w:sz w:val="21"/>
              </w:rPr>
              <w:t>色体异常</w:t>
            </w:r>
          </w:p>
        </w:tc>
      </w:tr>
      <w:tr>
        <w:trPr>
          <w:trHeight w:val="312" w:hRule="atLeast"/>
        </w:trPr>
        <w:tc>
          <w:tcPr>
            <w:tcW w:w="3363" w:type="dxa"/>
          </w:tcPr>
          <w:p>
            <w:pPr>
              <w:pStyle w:val="TableParagraph"/>
              <w:ind w:left="112"/>
              <w:rPr>
                <w:b/>
                <w:sz w:val="21"/>
              </w:rPr>
            </w:pPr>
            <w:r>
              <w:rPr>
                <w:b/>
                <w:w w:val="95"/>
                <w:sz w:val="21"/>
              </w:rPr>
              <w:t>5．</w:t>
            </w: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c>
          <w:tcPr>
            <w:tcW w:w="3303" w:type="dxa"/>
          </w:tcPr>
          <w:p>
            <w:pPr>
              <w:pStyle w:val="TableParagraph"/>
              <w:ind w:left="568"/>
              <w:rPr>
                <w:sz w:val="21"/>
              </w:rPr>
            </w:pPr>
            <w:r>
              <w:rPr>
                <w:spacing w:val="-2"/>
                <w:sz w:val="21"/>
              </w:rPr>
              <w:t>9.12</w:t>
            </w:r>
            <w:r>
              <w:rPr>
                <w:spacing w:val="-10"/>
                <w:sz w:val="21"/>
              </w:rPr>
              <w:t> 住院医疗费用</w:t>
            </w:r>
          </w:p>
        </w:tc>
        <w:tc>
          <w:tcPr>
            <w:tcW w:w="2928" w:type="dxa"/>
          </w:tcPr>
          <w:p>
            <w:pPr>
              <w:pStyle w:val="TableParagraph"/>
              <w:ind w:left="262"/>
              <w:rPr>
                <w:sz w:val="21"/>
              </w:rPr>
            </w:pPr>
            <w:r>
              <w:rPr>
                <w:spacing w:val="-2"/>
                <w:sz w:val="21"/>
              </w:rPr>
              <w:t>9.36</w:t>
            </w:r>
            <w:r>
              <w:rPr>
                <w:spacing w:val="-10"/>
                <w:sz w:val="21"/>
              </w:rPr>
              <w:t> 保险费约定交纳日</w:t>
            </w:r>
          </w:p>
        </w:tc>
      </w:tr>
      <w:tr>
        <w:trPr>
          <w:trHeight w:val="312" w:hRule="atLeast"/>
        </w:trPr>
        <w:tc>
          <w:tcPr>
            <w:tcW w:w="3363" w:type="dxa"/>
          </w:tcPr>
          <w:p>
            <w:pPr>
              <w:pStyle w:val="TableParagraph"/>
              <w:ind w:left="324"/>
              <w:rPr>
                <w:sz w:val="21"/>
              </w:rPr>
            </w:pPr>
            <w:r>
              <w:rPr>
                <w:spacing w:val="-2"/>
                <w:sz w:val="21"/>
              </w:rPr>
              <w:t>5.1</w:t>
            </w:r>
            <w:r>
              <w:rPr>
                <w:spacing w:val="-14"/>
                <w:sz w:val="21"/>
              </w:rPr>
              <w:t> 现金价值</w:t>
            </w:r>
          </w:p>
        </w:tc>
        <w:tc>
          <w:tcPr>
            <w:tcW w:w="3303" w:type="dxa"/>
          </w:tcPr>
          <w:p>
            <w:pPr>
              <w:pStyle w:val="TableParagraph"/>
              <w:ind w:left="568"/>
              <w:rPr>
                <w:sz w:val="21"/>
              </w:rPr>
            </w:pPr>
            <w:r>
              <w:rPr>
                <w:spacing w:val="-2"/>
                <w:sz w:val="21"/>
              </w:rPr>
              <w:t>9.13</w:t>
            </w:r>
            <w:r>
              <w:rPr>
                <w:spacing w:val="-11"/>
                <w:sz w:val="21"/>
              </w:rPr>
              <w:t> 恶性肿瘤</w:t>
            </w:r>
            <w:r>
              <w:rPr>
                <w:b/>
                <w:spacing w:val="-2"/>
                <w:sz w:val="21"/>
              </w:rPr>
              <w:t>——</w:t>
            </w:r>
            <w:r>
              <w:rPr>
                <w:spacing w:val="-6"/>
                <w:sz w:val="21"/>
              </w:rPr>
              <w:t>重度</w:t>
            </w:r>
          </w:p>
        </w:tc>
        <w:tc>
          <w:tcPr>
            <w:tcW w:w="2928" w:type="dxa"/>
          </w:tcPr>
          <w:p>
            <w:pPr>
              <w:pStyle w:val="TableParagraph"/>
              <w:ind w:left="262"/>
              <w:rPr>
                <w:sz w:val="21"/>
              </w:rPr>
            </w:pPr>
            <w:r>
              <w:rPr>
                <w:spacing w:val="-2"/>
                <w:sz w:val="21"/>
              </w:rPr>
              <w:t>9.37</w:t>
            </w:r>
            <w:r>
              <w:rPr>
                <w:spacing w:val="-10"/>
                <w:sz w:val="21"/>
              </w:rPr>
              <w:t> 手术植入材料</w:t>
            </w:r>
          </w:p>
        </w:tc>
      </w:tr>
      <w:tr>
        <w:trPr>
          <w:trHeight w:val="311" w:hRule="atLeast"/>
        </w:trPr>
        <w:tc>
          <w:tcPr>
            <w:tcW w:w="3363" w:type="dxa"/>
          </w:tcPr>
          <w:p>
            <w:pPr>
              <w:pStyle w:val="TableParagraph"/>
              <w:ind w:left="112"/>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spacing w:val="-5"/>
                <w:w w:val="95"/>
                <w:sz w:val="21"/>
              </w:rPr>
              <w:t>恢复</w:t>
            </w:r>
          </w:p>
        </w:tc>
        <w:tc>
          <w:tcPr>
            <w:tcW w:w="3303" w:type="dxa"/>
          </w:tcPr>
          <w:p>
            <w:pPr>
              <w:pStyle w:val="TableParagraph"/>
              <w:ind w:left="568"/>
              <w:rPr>
                <w:sz w:val="21"/>
              </w:rPr>
            </w:pPr>
            <w:r>
              <w:rPr>
                <w:spacing w:val="-2"/>
                <w:sz w:val="21"/>
              </w:rPr>
              <w:t>9.14</w:t>
            </w:r>
            <w:r>
              <w:rPr>
                <w:spacing w:val="-11"/>
                <w:sz w:val="21"/>
              </w:rPr>
              <w:t> 恶性肿瘤</w:t>
            </w:r>
            <w:r>
              <w:rPr>
                <w:b/>
                <w:spacing w:val="-2"/>
                <w:sz w:val="21"/>
              </w:rPr>
              <w:t>——</w:t>
            </w:r>
            <w:r>
              <w:rPr>
                <w:spacing w:val="-6"/>
                <w:sz w:val="21"/>
              </w:rPr>
              <w:t>轻度</w:t>
            </w:r>
          </w:p>
        </w:tc>
        <w:tc>
          <w:tcPr>
            <w:tcW w:w="2928" w:type="dxa"/>
          </w:tcPr>
          <w:p>
            <w:pPr>
              <w:pStyle w:val="TableParagraph"/>
              <w:ind w:left="262"/>
              <w:rPr>
                <w:sz w:val="21"/>
              </w:rPr>
            </w:pPr>
            <w:r>
              <w:rPr>
                <w:spacing w:val="-2"/>
                <w:sz w:val="21"/>
              </w:rPr>
              <w:t>9.38</w:t>
            </w:r>
            <w:r>
              <w:rPr>
                <w:spacing w:val="-10"/>
                <w:sz w:val="21"/>
              </w:rPr>
              <w:t> 组织病理学检查</w:t>
            </w:r>
          </w:p>
        </w:tc>
      </w:tr>
      <w:tr>
        <w:trPr>
          <w:trHeight w:val="312" w:hRule="atLeast"/>
        </w:trPr>
        <w:tc>
          <w:tcPr>
            <w:tcW w:w="3363" w:type="dxa"/>
          </w:tcPr>
          <w:p>
            <w:pPr>
              <w:pStyle w:val="TableParagraph"/>
              <w:ind w:left="324"/>
              <w:rPr>
                <w:sz w:val="21"/>
              </w:rPr>
            </w:pPr>
            <w:r>
              <w:rPr>
                <w:spacing w:val="-2"/>
                <w:sz w:val="21"/>
              </w:rPr>
              <w:t>6.1</w:t>
            </w:r>
            <w:r>
              <w:rPr>
                <w:spacing w:val="-14"/>
                <w:sz w:val="21"/>
              </w:rPr>
              <w:t> 效力中止</w:t>
            </w:r>
          </w:p>
        </w:tc>
        <w:tc>
          <w:tcPr>
            <w:tcW w:w="3303" w:type="dxa"/>
          </w:tcPr>
          <w:p>
            <w:pPr>
              <w:pStyle w:val="TableParagraph"/>
              <w:ind w:left="568"/>
              <w:rPr>
                <w:sz w:val="21"/>
              </w:rPr>
            </w:pPr>
            <w:r>
              <w:rPr>
                <w:spacing w:val="-2"/>
                <w:sz w:val="21"/>
              </w:rPr>
              <w:t>9.15</w:t>
            </w:r>
            <w:r>
              <w:rPr>
                <w:spacing w:val="-14"/>
                <w:sz w:val="21"/>
              </w:rPr>
              <w:t> 化学疗法</w:t>
            </w:r>
          </w:p>
        </w:tc>
        <w:tc>
          <w:tcPr>
            <w:tcW w:w="2928" w:type="dxa"/>
          </w:tcPr>
          <w:p>
            <w:pPr>
              <w:pStyle w:val="TableParagraph"/>
              <w:ind w:left="262"/>
              <w:rPr>
                <w:sz w:val="21"/>
              </w:rPr>
            </w:pPr>
            <w:r>
              <w:rPr>
                <w:sz w:val="21"/>
              </w:rPr>
              <w:t>9.39</w:t>
            </w:r>
            <w:r>
              <w:rPr>
                <w:spacing w:val="-9"/>
                <w:sz w:val="21"/>
              </w:rPr>
              <w:t> </w:t>
            </w:r>
            <w:r>
              <w:rPr>
                <w:sz w:val="21"/>
              </w:rPr>
              <w:t>ICD-10</w:t>
            </w:r>
            <w:r>
              <w:rPr>
                <w:spacing w:val="-2"/>
                <w:sz w:val="21"/>
              </w:rPr>
              <w:t> 与</w:t>
            </w:r>
            <w:r>
              <w:rPr>
                <w:sz w:val="21"/>
              </w:rPr>
              <w:t>ICD-O-</w:t>
            </w:r>
            <w:r>
              <w:rPr>
                <w:spacing w:val="-10"/>
                <w:sz w:val="21"/>
              </w:rPr>
              <w:t>3</w:t>
            </w:r>
          </w:p>
        </w:tc>
      </w:tr>
      <w:tr>
        <w:trPr>
          <w:trHeight w:val="312" w:hRule="atLeast"/>
        </w:trPr>
        <w:tc>
          <w:tcPr>
            <w:tcW w:w="3363" w:type="dxa"/>
          </w:tcPr>
          <w:p>
            <w:pPr>
              <w:pStyle w:val="TableParagraph"/>
              <w:ind w:left="324"/>
              <w:rPr>
                <w:sz w:val="21"/>
              </w:rPr>
            </w:pPr>
            <w:r>
              <w:rPr>
                <w:spacing w:val="-2"/>
                <w:sz w:val="21"/>
              </w:rPr>
              <w:t>6.2</w:t>
            </w:r>
            <w:r>
              <w:rPr>
                <w:spacing w:val="-14"/>
                <w:sz w:val="21"/>
              </w:rPr>
              <w:t> 效力恢复</w:t>
            </w:r>
          </w:p>
        </w:tc>
        <w:tc>
          <w:tcPr>
            <w:tcW w:w="3303" w:type="dxa"/>
          </w:tcPr>
          <w:p>
            <w:pPr>
              <w:pStyle w:val="TableParagraph"/>
              <w:ind w:left="568"/>
              <w:rPr>
                <w:sz w:val="21"/>
              </w:rPr>
            </w:pPr>
            <w:r>
              <w:rPr>
                <w:spacing w:val="-2"/>
                <w:sz w:val="21"/>
              </w:rPr>
              <w:t>9.16</w:t>
            </w:r>
            <w:r>
              <w:rPr>
                <w:spacing w:val="-14"/>
                <w:sz w:val="21"/>
              </w:rPr>
              <w:t> 放射疗法</w:t>
            </w:r>
          </w:p>
        </w:tc>
        <w:tc>
          <w:tcPr>
            <w:tcW w:w="2928" w:type="dxa"/>
          </w:tcPr>
          <w:p>
            <w:pPr>
              <w:pStyle w:val="TableParagraph"/>
              <w:ind w:left="262"/>
              <w:rPr>
                <w:sz w:val="21"/>
              </w:rPr>
            </w:pPr>
            <w:r>
              <w:rPr>
                <w:sz w:val="21"/>
              </w:rPr>
              <w:t>9.40</w:t>
            </w:r>
            <w:r>
              <w:rPr>
                <w:spacing w:val="-3"/>
                <w:sz w:val="21"/>
              </w:rPr>
              <w:t> </w:t>
            </w:r>
            <w:r>
              <w:rPr>
                <w:sz w:val="21"/>
              </w:rPr>
              <w:t>TNM</w:t>
            </w:r>
            <w:r>
              <w:rPr>
                <w:spacing w:val="-22"/>
                <w:sz w:val="21"/>
              </w:rPr>
              <w:t> 分期</w:t>
            </w:r>
          </w:p>
        </w:tc>
      </w:tr>
      <w:tr>
        <w:trPr>
          <w:trHeight w:val="311" w:hRule="atLeast"/>
        </w:trPr>
        <w:tc>
          <w:tcPr>
            <w:tcW w:w="3363" w:type="dxa"/>
          </w:tcPr>
          <w:p>
            <w:pPr>
              <w:pStyle w:val="TableParagraph"/>
              <w:ind w:left="112"/>
              <w:rPr>
                <w:b/>
                <w:sz w:val="21"/>
              </w:rPr>
            </w:pPr>
            <w:r>
              <w:rPr>
                <w:b/>
                <w:w w:val="95"/>
                <w:sz w:val="21"/>
              </w:rPr>
              <w:t>7．</w:t>
            </w:r>
            <w:r>
              <w:rPr>
                <w:b/>
                <w:w w:val="95"/>
                <w:sz w:val="21"/>
              </w:rPr>
              <w:t>如</w:t>
            </w:r>
            <w:r>
              <w:rPr>
                <w:b/>
                <w:w w:val="95"/>
                <w:sz w:val="21"/>
              </w:rPr>
              <w:t>何</w:t>
            </w:r>
            <w:r>
              <w:rPr>
                <w:b/>
                <w:w w:val="95"/>
                <w:sz w:val="21"/>
              </w:rPr>
              <w:t>解</w:t>
            </w:r>
            <w:r>
              <w:rPr>
                <w:b/>
                <w:w w:val="95"/>
                <w:sz w:val="21"/>
              </w:rPr>
              <w:t>除</w:t>
            </w:r>
            <w:r>
              <w:rPr>
                <w:b/>
                <w:w w:val="95"/>
                <w:sz w:val="21"/>
              </w:rPr>
              <w:t>保</w:t>
            </w:r>
            <w:r>
              <w:rPr>
                <w:b/>
                <w:w w:val="95"/>
                <w:sz w:val="21"/>
              </w:rPr>
              <w:t>险</w:t>
            </w:r>
            <w:r>
              <w:rPr>
                <w:b/>
                <w:w w:val="95"/>
                <w:sz w:val="21"/>
              </w:rPr>
              <w:t>合</w:t>
            </w:r>
            <w:r>
              <w:rPr>
                <w:b/>
                <w:spacing w:val="-10"/>
                <w:w w:val="95"/>
                <w:sz w:val="21"/>
              </w:rPr>
              <w:t>同</w:t>
            </w:r>
          </w:p>
        </w:tc>
        <w:tc>
          <w:tcPr>
            <w:tcW w:w="3303" w:type="dxa"/>
          </w:tcPr>
          <w:p>
            <w:pPr>
              <w:pStyle w:val="TableParagraph"/>
              <w:ind w:left="568"/>
              <w:rPr>
                <w:sz w:val="21"/>
              </w:rPr>
            </w:pPr>
            <w:r>
              <w:rPr>
                <w:spacing w:val="-2"/>
                <w:sz w:val="21"/>
              </w:rPr>
              <w:t>9.17</w:t>
            </w:r>
            <w:r>
              <w:rPr>
                <w:spacing w:val="-10"/>
                <w:sz w:val="21"/>
              </w:rPr>
              <w:t> 肿瘤免疫疗法</w:t>
            </w:r>
          </w:p>
        </w:tc>
        <w:tc>
          <w:tcPr>
            <w:tcW w:w="2928" w:type="dxa"/>
          </w:tcPr>
          <w:p>
            <w:pPr>
              <w:pStyle w:val="TableParagraph"/>
              <w:spacing w:before="0"/>
              <w:rPr>
                <w:rFonts w:ascii="Times New Roman"/>
                <w:sz w:val="20"/>
              </w:rPr>
            </w:pPr>
          </w:p>
        </w:tc>
      </w:tr>
      <w:tr>
        <w:trPr>
          <w:trHeight w:val="311" w:hRule="atLeast"/>
        </w:trPr>
        <w:tc>
          <w:tcPr>
            <w:tcW w:w="3363" w:type="dxa"/>
          </w:tcPr>
          <w:p>
            <w:pPr>
              <w:pStyle w:val="TableParagraph"/>
              <w:ind w:left="324"/>
              <w:rPr>
                <w:sz w:val="21"/>
              </w:rPr>
            </w:pPr>
            <w:r>
              <w:rPr>
                <w:spacing w:val="-2"/>
                <w:sz w:val="21"/>
              </w:rPr>
              <w:t>7.1</w:t>
            </w:r>
            <w:r>
              <w:rPr>
                <w:spacing w:val="-10"/>
                <w:sz w:val="21"/>
              </w:rPr>
              <w:t> 您解除合同的手续及风险</w:t>
            </w:r>
          </w:p>
        </w:tc>
        <w:tc>
          <w:tcPr>
            <w:tcW w:w="3303" w:type="dxa"/>
          </w:tcPr>
          <w:p>
            <w:pPr>
              <w:pStyle w:val="TableParagraph"/>
              <w:ind w:left="568"/>
              <w:rPr>
                <w:sz w:val="21"/>
              </w:rPr>
            </w:pPr>
            <w:r>
              <w:rPr>
                <w:spacing w:val="-2"/>
                <w:sz w:val="21"/>
              </w:rPr>
              <w:t>9.18</w:t>
            </w:r>
            <w:r>
              <w:rPr>
                <w:spacing w:val="-10"/>
                <w:sz w:val="21"/>
              </w:rPr>
              <w:t> 肿瘤内分泌疗法</w:t>
            </w:r>
          </w:p>
        </w:tc>
        <w:tc>
          <w:tcPr>
            <w:tcW w:w="2928" w:type="dxa"/>
          </w:tcPr>
          <w:p>
            <w:pPr>
              <w:pStyle w:val="TableParagraph"/>
              <w:spacing w:before="0"/>
              <w:rPr>
                <w:rFonts w:ascii="Times New Roman"/>
                <w:sz w:val="20"/>
              </w:rPr>
            </w:pPr>
          </w:p>
        </w:tc>
      </w:tr>
      <w:tr>
        <w:trPr>
          <w:trHeight w:val="320" w:hRule="atLeast"/>
        </w:trPr>
        <w:tc>
          <w:tcPr>
            <w:tcW w:w="3363" w:type="dxa"/>
          </w:tcPr>
          <w:p>
            <w:pPr>
              <w:pStyle w:val="TableParagraph"/>
              <w:ind w:left="112"/>
              <w:rPr>
                <w:b/>
                <w:sz w:val="21"/>
              </w:rPr>
            </w:pPr>
            <w:r>
              <w:rPr>
                <w:b/>
                <w:w w:val="95"/>
                <w:sz w:val="21"/>
              </w:rPr>
              <w:t>8．</w:t>
            </w:r>
            <w:r>
              <w:rPr>
                <w:b/>
                <w:w w:val="95"/>
                <w:sz w:val="21"/>
              </w:rPr>
              <w:t>其</w:t>
            </w:r>
            <w:r>
              <w:rPr>
                <w:b/>
                <w:w w:val="95"/>
                <w:sz w:val="21"/>
              </w:rPr>
              <w:t>他</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事</w:t>
            </w:r>
            <w:r>
              <w:rPr>
                <w:b/>
                <w:spacing w:val="-10"/>
                <w:w w:val="95"/>
                <w:sz w:val="21"/>
              </w:rPr>
              <w:t>项</w:t>
            </w:r>
          </w:p>
        </w:tc>
        <w:tc>
          <w:tcPr>
            <w:tcW w:w="3303" w:type="dxa"/>
          </w:tcPr>
          <w:p>
            <w:pPr>
              <w:pStyle w:val="TableParagraph"/>
              <w:ind w:left="568"/>
              <w:rPr>
                <w:sz w:val="21"/>
              </w:rPr>
            </w:pPr>
            <w:r>
              <w:rPr>
                <w:spacing w:val="-2"/>
                <w:sz w:val="21"/>
              </w:rPr>
              <w:t>9.19</w:t>
            </w:r>
            <w:r>
              <w:rPr>
                <w:spacing w:val="-10"/>
                <w:sz w:val="21"/>
              </w:rPr>
              <w:t> 肿瘤靶向疗法</w:t>
            </w:r>
          </w:p>
        </w:tc>
        <w:tc>
          <w:tcPr>
            <w:tcW w:w="2928" w:type="dxa"/>
          </w:tcPr>
          <w:p>
            <w:pPr>
              <w:pStyle w:val="TableParagraph"/>
              <w:spacing w:before="0"/>
              <w:rPr>
                <w:rFonts w:ascii="Times New Roman"/>
                <w:sz w:val="20"/>
              </w:rPr>
            </w:pPr>
          </w:p>
        </w:tc>
      </w:tr>
    </w:tbl>
    <w:p>
      <w:pPr>
        <w:spacing w:after="0"/>
        <w:rPr>
          <w:rFonts w:ascii="Times New Roman"/>
          <w:sz w:val="20"/>
        </w:rPr>
        <w:sectPr>
          <w:type w:val="continuous"/>
          <w:pgSz w:w="11910" w:h="16840"/>
          <w:pgMar w:top="300" w:bottom="280" w:left="1060" w:right="660"/>
        </w:sectPr>
      </w:pPr>
    </w:p>
    <w:p>
      <w:pPr>
        <w:spacing w:line="638" w:lineRule="exact" w:before="0"/>
        <w:ind w:left="1351" w:right="1521" w:firstLine="0"/>
        <w:jc w:val="center"/>
        <w:rPr>
          <w:rFonts w:ascii="华文新魏" w:eastAsia="华文新魏" w:hint="eastAsia"/>
          <w:b/>
          <w:sz w:val="44"/>
        </w:rPr>
      </w:pPr>
      <w:r>
        <w:rPr>
          <w:rFonts w:ascii="华文新魏" w:eastAsia="华文新魏" w:hint="eastAsia"/>
          <w:b/>
          <w:w w:val="95"/>
          <w:sz w:val="44"/>
        </w:rPr>
        <w:t>长</w:t>
      </w:r>
      <w:r>
        <w:rPr>
          <w:rFonts w:ascii="华文新魏" w:eastAsia="华文新魏" w:hint="eastAsia"/>
          <w:b/>
          <w:w w:val="95"/>
          <w:sz w:val="44"/>
        </w:rPr>
        <w:t>城</w:t>
      </w:r>
      <w:r>
        <w:rPr>
          <w:rFonts w:ascii="华文新魏" w:eastAsia="华文新魏" w:hint="eastAsia"/>
          <w:b/>
          <w:w w:val="95"/>
          <w:sz w:val="44"/>
        </w:rPr>
        <w:t>人寿保</w:t>
      </w:r>
      <w:r>
        <w:rPr>
          <w:rFonts w:ascii="华文新魏" w:eastAsia="华文新魏" w:hint="eastAsia"/>
          <w:b/>
          <w:w w:val="95"/>
          <w:sz w:val="44"/>
        </w:rPr>
        <w:t>险</w:t>
      </w:r>
      <w:r>
        <w:rPr>
          <w:rFonts w:ascii="华文新魏" w:eastAsia="华文新魏" w:hint="eastAsia"/>
          <w:b/>
          <w:w w:val="95"/>
          <w:sz w:val="44"/>
        </w:rPr>
        <w:t>股</w:t>
      </w:r>
      <w:r>
        <w:rPr>
          <w:rFonts w:ascii="华文新魏" w:eastAsia="华文新魏" w:hint="eastAsia"/>
          <w:b/>
          <w:spacing w:val="-2"/>
          <w:w w:val="95"/>
          <w:sz w:val="44"/>
        </w:rPr>
        <w:t>份有限公司</w:t>
      </w:r>
    </w:p>
    <w:p>
      <w:pPr>
        <w:spacing w:before="370"/>
        <w:ind w:left="1351" w:right="1522" w:firstLine="0"/>
        <w:jc w:val="center"/>
        <w:rPr>
          <w:rFonts w:ascii="华文中宋" w:eastAsia="华文中宋" w:hint="eastAsia"/>
          <w:b/>
          <w:sz w:val="30"/>
        </w:rPr>
      </w:pPr>
      <w:r>
        <w:rPr>
          <w:rFonts w:ascii="华文中宋" w:eastAsia="华文中宋" w:hint="eastAsia"/>
          <w:b/>
          <w:w w:val="95"/>
          <w:sz w:val="30"/>
        </w:rPr>
        <w:t>长</w:t>
      </w:r>
      <w:r>
        <w:rPr>
          <w:rFonts w:ascii="华文中宋" w:eastAsia="华文中宋" w:hint="eastAsia"/>
          <w:b/>
          <w:w w:val="95"/>
          <w:sz w:val="30"/>
        </w:rPr>
        <w:t>城</w:t>
      </w:r>
      <w:r>
        <w:rPr>
          <w:rFonts w:ascii="华文中宋" w:eastAsia="华文中宋" w:hint="eastAsia"/>
          <w:b/>
          <w:w w:val="95"/>
          <w:sz w:val="30"/>
        </w:rPr>
        <w:t>烽</w:t>
      </w:r>
      <w:r>
        <w:rPr>
          <w:rFonts w:ascii="华文中宋" w:eastAsia="华文中宋" w:hint="eastAsia"/>
          <w:b/>
          <w:w w:val="95"/>
          <w:sz w:val="30"/>
        </w:rPr>
        <w:t>火</w:t>
      </w:r>
      <w:r>
        <w:rPr>
          <w:rFonts w:ascii="华文中宋" w:eastAsia="华文中宋" w:hint="eastAsia"/>
          <w:b/>
          <w:w w:val="95"/>
          <w:sz w:val="30"/>
        </w:rPr>
        <w:t>台</w:t>
      </w:r>
      <w:r>
        <w:rPr>
          <w:rFonts w:ascii="华文中宋" w:eastAsia="华文中宋" w:hint="eastAsia"/>
          <w:b/>
          <w:w w:val="95"/>
          <w:sz w:val="30"/>
        </w:rPr>
        <w:t>定</w:t>
      </w:r>
      <w:r>
        <w:rPr>
          <w:rFonts w:ascii="华文中宋" w:eastAsia="华文中宋" w:hint="eastAsia"/>
          <w:b/>
          <w:w w:val="95"/>
          <w:sz w:val="30"/>
        </w:rPr>
        <w:t>额</w:t>
      </w:r>
      <w:r>
        <w:rPr>
          <w:rFonts w:ascii="华文中宋" w:eastAsia="华文中宋" w:hint="eastAsia"/>
          <w:b/>
          <w:w w:val="95"/>
          <w:sz w:val="30"/>
        </w:rPr>
        <w:t>给</w:t>
      </w:r>
      <w:r>
        <w:rPr>
          <w:rFonts w:ascii="华文中宋" w:eastAsia="华文中宋" w:hint="eastAsia"/>
          <w:b/>
          <w:w w:val="95"/>
          <w:sz w:val="30"/>
        </w:rPr>
        <w:t>付</w:t>
      </w:r>
      <w:r>
        <w:rPr>
          <w:rFonts w:ascii="华文中宋" w:eastAsia="华文中宋" w:hint="eastAsia"/>
          <w:b/>
          <w:w w:val="95"/>
          <w:sz w:val="30"/>
        </w:rPr>
        <w:t>医</w:t>
      </w:r>
      <w:r>
        <w:rPr>
          <w:rFonts w:ascii="华文中宋" w:eastAsia="华文中宋" w:hint="eastAsia"/>
          <w:b/>
          <w:w w:val="95"/>
          <w:sz w:val="30"/>
        </w:rPr>
        <w:t>疗保险（</w:t>
      </w:r>
      <w:r>
        <w:rPr>
          <w:rFonts w:ascii="华文中宋" w:eastAsia="华文中宋" w:hint="eastAsia"/>
          <w:b/>
          <w:w w:val="95"/>
          <w:sz w:val="30"/>
        </w:rPr>
        <w:t>互</w:t>
      </w:r>
      <w:r>
        <w:rPr>
          <w:rFonts w:ascii="华文中宋" w:eastAsia="华文中宋" w:hint="eastAsia"/>
          <w:b/>
          <w:w w:val="95"/>
          <w:sz w:val="30"/>
        </w:rPr>
        <w:t>联</w:t>
      </w:r>
      <w:r>
        <w:rPr>
          <w:rFonts w:ascii="华文中宋" w:eastAsia="华文中宋" w:hint="eastAsia"/>
          <w:b/>
          <w:w w:val="95"/>
          <w:sz w:val="30"/>
        </w:rPr>
        <w:t>网</w:t>
      </w:r>
      <w:r>
        <w:rPr>
          <w:rFonts w:ascii="华文中宋" w:eastAsia="华文中宋" w:hint="eastAsia"/>
          <w:b/>
          <w:w w:val="95"/>
          <w:sz w:val="30"/>
        </w:rPr>
        <w:t>）</w:t>
      </w:r>
      <w:r>
        <w:rPr>
          <w:rFonts w:ascii="华文中宋" w:eastAsia="华文中宋" w:hint="eastAsia"/>
          <w:b/>
          <w:spacing w:val="-5"/>
          <w:w w:val="95"/>
          <w:sz w:val="30"/>
        </w:rPr>
        <w:t>条款</w:t>
      </w:r>
    </w:p>
    <w:p>
      <w:pPr>
        <w:pStyle w:val="BodyText"/>
        <w:spacing w:before="12"/>
        <w:rPr>
          <w:rFonts w:ascii="华文中宋"/>
          <w:b/>
          <w:sz w:val="25"/>
        </w:rPr>
      </w:pPr>
    </w:p>
    <w:p>
      <w:pPr>
        <w:pStyle w:val="BodyText"/>
        <w:ind w:left="243"/>
      </w:pPr>
      <w:r>
        <w:rPr>
          <w:spacing w:val="-24"/>
        </w:rPr>
        <w:t>在本条款中，“您”指投保人，“我们”、“本公司”均指长城人寿保险股份有限公司。</w:t>
      </w:r>
    </w:p>
    <w:p>
      <w:pPr>
        <w:pStyle w:val="BodyText"/>
        <w:spacing w:before="8"/>
        <w:rPr>
          <w:sz w:val="28"/>
        </w:rPr>
      </w:pPr>
    </w:p>
    <w:p>
      <w:pPr>
        <w:tabs>
          <w:tab w:pos="1344" w:val="left" w:leader="none"/>
        </w:tabs>
        <w:spacing w:before="0"/>
        <w:ind w:left="209" w:right="0" w:firstLine="0"/>
        <w:jc w:val="left"/>
        <w:rPr>
          <w:b/>
          <w:sz w:val="28"/>
        </w:rPr>
      </w:pPr>
      <w:r>
        <w:rPr/>
        <w:drawing>
          <wp:anchor distT="0" distB="0" distL="0" distR="0" allowOverlap="1" layoutInCell="1" locked="0" behindDoc="0" simplePos="0" relativeHeight="3">
            <wp:simplePos x="0" y="0"/>
            <wp:positionH relativeFrom="page">
              <wp:posOffset>737616</wp:posOffset>
            </wp:positionH>
            <wp:positionV relativeFrom="paragraph">
              <wp:posOffset>374391</wp:posOffset>
            </wp:positionV>
            <wp:extent cx="6300215" cy="6096"/>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300215"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您</w:t>
      </w:r>
      <w:r>
        <w:rPr>
          <w:b/>
          <w:w w:val="95"/>
          <w:sz w:val="28"/>
        </w:rPr>
        <w:t>与</w:t>
      </w:r>
      <w:r>
        <w:rPr>
          <w:b/>
          <w:w w:val="95"/>
          <w:sz w:val="28"/>
        </w:rPr>
        <w:t>我</w:t>
      </w:r>
      <w:r>
        <w:rPr>
          <w:b/>
          <w:w w:val="95"/>
          <w:sz w:val="28"/>
        </w:rPr>
        <w:t>们</w:t>
      </w:r>
      <w:r>
        <w:rPr>
          <w:b/>
          <w:w w:val="95"/>
          <w:sz w:val="28"/>
        </w:rPr>
        <w:t>的</w:t>
      </w:r>
      <w:r>
        <w:rPr>
          <w:b/>
          <w:w w:val="95"/>
          <w:sz w:val="28"/>
        </w:rPr>
        <w:t>合</w:t>
      </w:r>
      <w:r>
        <w:rPr>
          <w:b/>
          <w:spacing w:val="-10"/>
          <w:w w:val="95"/>
          <w:sz w:val="28"/>
        </w:rPr>
        <w:t>同</w:t>
      </w:r>
    </w:p>
    <w:p>
      <w:pPr>
        <w:pStyle w:val="ListParagraph"/>
        <w:numPr>
          <w:ilvl w:val="1"/>
          <w:numId w:val="2"/>
        </w:numPr>
        <w:tabs>
          <w:tab w:pos="1344" w:val="left" w:leader="none"/>
          <w:tab w:pos="1345" w:val="left" w:leader="none"/>
          <w:tab w:pos="2904" w:val="left" w:leader="none"/>
        </w:tabs>
        <w:spacing w:line="235" w:lineRule="auto" w:before="317" w:after="0"/>
        <w:ind w:left="2904" w:right="157" w:hanging="2696"/>
        <w:jc w:val="left"/>
        <w:rPr>
          <w:sz w:val="21"/>
        </w:rPr>
      </w:pPr>
      <w:r>
        <w:rPr>
          <w:b/>
          <w:w w:val="100"/>
          <w:position w:val="-1"/>
          <w:sz w:val="21"/>
        </w:rPr>
        <w:t>合同构成</w:t>
      </w:r>
      <w:r>
        <w:rPr>
          <w:b/>
          <w:position w:val="-1"/>
          <w:sz w:val="21"/>
        </w:rPr>
        <w:tab/>
      </w:r>
      <w:r>
        <w:rPr>
          <w:w w:val="100"/>
          <w:sz w:val="21"/>
        </w:rPr>
        <w:t>本保</w:t>
      </w:r>
      <w:r>
        <w:rPr>
          <w:spacing w:val="-3"/>
          <w:w w:val="100"/>
          <w:sz w:val="21"/>
        </w:rPr>
        <w:t>险</w:t>
      </w:r>
      <w:r>
        <w:rPr>
          <w:w w:val="100"/>
          <w:sz w:val="21"/>
        </w:rPr>
        <w:t>条</w:t>
      </w:r>
      <w:r>
        <w:rPr>
          <w:spacing w:val="-3"/>
          <w:w w:val="100"/>
          <w:sz w:val="21"/>
        </w:rPr>
        <w:t>款</w:t>
      </w:r>
      <w:r>
        <w:rPr>
          <w:spacing w:val="-10"/>
          <w:w w:val="100"/>
          <w:sz w:val="21"/>
        </w:rPr>
        <w:t>、</w:t>
      </w:r>
      <w:r>
        <w:rPr>
          <w:w w:val="100"/>
          <w:sz w:val="21"/>
        </w:rPr>
        <w:t>保险</w:t>
      </w:r>
      <w:r>
        <w:rPr>
          <w:spacing w:val="-3"/>
          <w:w w:val="100"/>
          <w:sz w:val="21"/>
        </w:rPr>
        <w:t>单</w:t>
      </w:r>
      <w:r>
        <w:rPr>
          <w:w w:val="100"/>
          <w:sz w:val="21"/>
        </w:rPr>
        <w:t>或</w:t>
      </w:r>
      <w:r>
        <w:rPr>
          <w:spacing w:val="-3"/>
          <w:w w:val="100"/>
          <w:sz w:val="21"/>
        </w:rPr>
        <w:t>其</w:t>
      </w:r>
      <w:r>
        <w:rPr>
          <w:w w:val="100"/>
          <w:sz w:val="21"/>
        </w:rPr>
        <w:t>他保</w:t>
      </w:r>
      <w:r>
        <w:rPr>
          <w:spacing w:val="-3"/>
          <w:w w:val="100"/>
          <w:sz w:val="21"/>
        </w:rPr>
        <w:t>险</w:t>
      </w:r>
      <w:r>
        <w:rPr>
          <w:w w:val="100"/>
          <w:sz w:val="21"/>
        </w:rPr>
        <w:t>凭</w:t>
      </w:r>
      <w:r>
        <w:rPr>
          <w:spacing w:val="-3"/>
          <w:w w:val="100"/>
          <w:sz w:val="21"/>
        </w:rPr>
        <w:t>证</w:t>
      </w:r>
      <w:r>
        <w:rPr>
          <w:spacing w:val="-10"/>
          <w:w w:val="100"/>
          <w:sz w:val="21"/>
        </w:rPr>
        <w:t>、</w:t>
      </w:r>
      <w:r>
        <w:rPr>
          <w:w w:val="100"/>
          <w:sz w:val="21"/>
        </w:rPr>
        <w:t>投保</w:t>
      </w:r>
      <w:r>
        <w:rPr>
          <w:spacing w:val="-3"/>
          <w:w w:val="100"/>
          <w:sz w:val="21"/>
        </w:rPr>
        <w:t>书</w:t>
      </w:r>
      <w:r>
        <w:rPr>
          <w:spacing w:val="-10"/>
          <w:w w:val="100"/>
          <w:sz w:val="21"/>
        </w:rPr>
        <w:t>、</w:t>
      </w:r>
      <w:r>
        <w:rPr>
          <w:spacing w:val="-3"/>
          <w:w w:val="100"/>
          <w:sz w:val="21"/>
        </w:rPr>
        <w:t>与</w:t>
      </w:r>
      <w:r>
        <w:rPr>
          <w:w w:val="100"/>
          <w:sz w:val="21"/>
        </w:rPr>
        <w:t>保险</w:t>
      </w:r>
      <w:r>
        <w:rPr>
          <w:spacing w:val="-3"/>
          <w:w w:val="100"/>
          <w:sz w:val="21"/>
        </w:rPr>
        <w:t>合</w:t>
      </w:r>
      <w:r>
        <w:rPr>
          <w:w w:val="100"/>
          <w:sz w:val="21"/>
        </w:rPr>
        <w:t>同</w:t>
      </w:r>
      <w:r>
        <w:rPr>
          <w:spacing w:val="-3"/>
          <w:w w:val="100"/>
          <w:sz w:val="21"/>
        </w:rPr>
        <w:t>有</w:t>
      </w:r>
      <w:r>
        <w:rPr>
          <w:w w:val="100"/>
          <w:sz w:val="21"/>
        </w:rPr>
        <w:t>关</w:t>
      </w:r>
      <w:r>
        <w:rPr>
          <w:spacing w:val="-3"/>
          <w:w w:val="100"/>
          <w:sz w:val="21"/>
        </w:rPr>
        <w:t>的</w:t>
      </w:r>
      <w:r>
        <w:rPr>
          <w:w w:val="100"/>
          <w:sz w:val="21"/>
        </w:rPr>
        <w:t>投</w:t>
      </w:r>
      <w:r>
        <w:rPr>
          <w:spacing w:val="-3"/>
          <w:w w:val="100"/>
          <w:sz w:val="21"/>
        </w:rPr>
        <w:t>保</w:t>
      </w:r>
      <w:r>
        <w:rPr>
          <w:w w:val="100"/>
          <w:sz w:val="21"/>
        </w:rPr>
        <w:t>文</w:t>
      </w:r>
      <w:r>
        <w:rPr>
          <w:spacing w:val="-3"/>
          <w:w w:val="100"/>
          <w:sz w:val="21"/>
        </w:rPr>
        <w:t>件</w:t>
      </w:r>
      <w:r>
        <w:rPr>
          <w:w w:val="100"/>
          <w:sz w:val="21"/>
        </w:rPr>
        <w:t>、</w:t>
      </w:r>
      <w:r>
        <w:rPr>
          <w:spacing w:val="2"/>
          <w:w w:val="100"/>
          <w:sz w:val="21"/>
        </w:rPr>
        <w:t>合法</w:t>
      </w:r>
      <w:r>
        <w:rPr>
          <w:w w:val="100"/>
          <w:sz w:val="21"/>
        </w:rPr>
        <w:t>有</w:t>
      </w:r>
      <w:r>
        <w:rPr>
          <w:spacing w:val="2"/>
          <w:w w:val="100"/>
          <w:sz w:val="21"/>
        </w:rPr>
        <w:t>效的</w:t>
      </w:r>
      <w:r>
        <w:rPr>
          <w:w w:val="100"/>
          <w:sz w:val="21"/>
        </w:rPr>
        <w:t>声</w:t>
      </w:r>
      <w:r>
        <w:rPr>
          <w:spacing w:val="2"/>
          <w:w w:val="100"/>
          <w:sz w:val="21"/>
        </w:rPr>
        <w:t>明</w:t>
      </w:r>
      <w:r>
        <w:rPr>
          <w:w w:val="100"/>
          <w:sz w:val="21"/>
        </w:rPr>
        <w:t>、</w:t>
      </w:r>
      <w:r>
        <w:rPr>
          <w:spacing w:val="2"/>
          <w:w w:val="100"/>
          <w:sz w:val="21"/>
        </w:rPr>
        <w:t>批</w:t>
      </w:r>
      <w:r>
        <w:rPr>
          <w:spacing w:val="-1"/>
          <w:w w:val="100"/>
          <w:sz w:val="21"/>
        </w:rPr>
        <w:t>注</w:t>
      </w:r>
      <w:r>
        <w:rPr>
          <w:w w:val="100"/>
          <w:sz w:val="21"/>
        </w:rPr>
        <w:t>、</w:t>
      </w:r>
      <w:r>
        <w:rPr>
          <w:spacing w:val="2"/>
          <w:w w:val="100"/>
          <w:sz w:val="21"/>
        </w:rPr>
        <w:t>附贴</w:t>
      </w:r>
      <w:r>
        <w:rPr>
          <w:w w:val="100"/>
          <w:sz w:val="21"/>
        </w:rPr>
        <w:t>批</w:t>
      </w:r>
      <w:r>
        <w:rPr>
          <w:spacing w:val="2"/>
          <w:w w:val="100"/>
          <w:sz w:val="21"/>
        </w:rPr>
        <w:t>单、</w:t>
      </w:r>
      <w:r>
        <w:rPr>
          <w:w w:val="100"/>
          <w:sz w:val="21"/>
        </w:rPr>
        <w:t>附</w:t>
      </w:r>
      <w:r>
        <w:rPr>
          <w:spacing w:val="2"/>
          <w:w w:val="100"/>
          <w:sz w:val="21"/>
        </w:rPr>
        <w:t>加</w:t>
      </w:r>
      <w:r>
        <w:rPr>
          <w:w w:val="100"/>
          <w:sz w:val="21"/>
        </w:rPr>
        <w:t>险</w:t>
      </w:r>
      <w:r>
        <w:rPr>
          <w:spacing w:val="2"/>
          <w:w w:val="100"/>
          <w:sz w:val="21"/>
        </w:rPr>
        <w:t>合</w:t>
      </w:r>
      <w:r>
        <w:rPr>
          <w:w w:val="100"/>
          <w:sz w:val="21"/>
        </w:rPr>
        <w:t>同、</w:t>
      </w:r>
      <w:r>
        <w:rPr>
          <w:spacing w:val="2"/>
          <w:w w:val="100"/>
          <w:sz w:val="21"/>
        </w:rPr>
        <w:t>其他</w:t>
      </w:r>
      <w:r>
        <w:rPr>
          <w:w w:val="100"/>
          <w:sz w:val="21"/>
        </w:rPr>
        <w:t>您</w:t>
      </w:r>
      <w:r>
        <w:rPr>
          <w:spacing w:val="2"/>
          <w:w w:val="100"/>
          <w:sz w:val="21"/>
        </w:rPr>
        <w:t>与我</w:t>
      </w:r>
      <w:r>
        <w:rPr>
          <w:w w:val="100"/>
          <w:sz w:val="21"/>
        </w:rPr>
        <w:t>们</w:t>
      </w:r>
      <w:r>
        <w:rPr>
          <w:spacing w:val="2"/>
          <w:w w:val="100"/>
          <w:sz w:val="21"/>
        </w:rPr>
        <w:t>共</w:t>
      </w:r>
      <w:r>
        <w:rPr>
          <w:w w:val="100"/>
          <w:sz w:val="21"/>
        </w:rPr>
        <w:t>同</w:t>
      </w:r>
      <w:r>
        <w:rPr>
          <w:spacing w:val="2"/>
          <w:w w:val="100"/>
          <w:sz w:val="21"/>
        </w:rPr>
        <w:t>认</w:t>
      </w:r>
      <w:r>
        <w:rPr>
          <w:w w:val="100"/>
          <w:sz w:val="21"/>
        </w:rPr>
        <w:t>可的电子</w:t>
      </w:r>
      <w:r>
        <w:rPr>
          <w:spacing w:val="-3"/>
          <w:w w:val="100"/>
          <w:sz w:val="21"/>
        </w:rPr>
        <w:t>或</w:t>
      </w:r>
      <w:r>
        <w:rPr>
          <w:w w:val="100"/>
          <w:sz w:val="21"/>
        </w:rPr>
        <w:t>书</w:t>
      </w:r>
      <w:r>
        <w:rPr>
          <w:spacing w:val="-3"/>
          <w:w w:val="100"/>
          <w:sz w:val="21"/>
        </w:rPr>
        <w:t>面</w:t>
      </w:r>
      <w:r>
        <w:rPr>
          <w:w w:val="100"/>
          <w:sz w:val="21"/>
        </w:rPr>
        <w:t>协</w:t>
      </w:r>
      <w:r>
        <w:rPr>
          <w:spacing w:val="-3"/>
          <w:w w:val="100"/>
          <w:sz w:val="21"/>
        </w:rPr>
        <w:t>议</w:t>
      </w:r>
      <w:r>
        <w:rPr>
          <w:w w:val="100"/>
          <w:sz w:val="21"/>
        </w:rPr>
        <w:t>都</w:t>
      </w:r>
      <w:r>
        <w:rPr>
          <w:spacing w:val="-3"/>
          <w:w w:val="100"/>
          <w:sz w:val="21"/>
        </w:rPr>
        <w:t>是</w:t>
      </w:r>
      <w:r>
        <w:rPr>
          <w:w w:val="100"/>
          <w:sz w:val="21"/>
        </w:rPr>
        <w:t>您</w:t>
      </w:r>
      <w:r>
        <w:rPr>
          <w:spacing w:val="-3"/>
          <w:w w:val="100"/>
          <w:sz w:val="21"/>
        </w:rPr>
        <w:t>与</w:t>
      </w:r>
      <w:r>
        <w:rPr>
          <w:w w:val="100"/>
          <w:sz w:val="21"/>
        </w:rPr>
        <w:t>我们</w:t>
      </w:r>
      <w:r>
        <w:rPr>
          <w:spacing w:val="-3"/>
          <w:w w:val="100"/>
          <w:sz w:val="21"/>
        </w:rPr>
        <w:t>之</w:t>
      </w:r>
      <w:r>
        <w:rPr>
          <w:w w:val="100"/>
          <w:sz w:val="21"/>
        </w:rPr>
        <w:t>间</w:t>
      </w:r>
      <w:r>
        <w:rPr>
          <w:spacing w:val="-3"/>
          <w:w w:val="100"/>
          <w:sz w:val="21"/>
        </w:rPr>
        <w:t>订</w:t>
      </w:r>
      <w:r>
        <w:rPr>
          <w:w w:val="100"/>
          <w:sz w:val="21"/>
        </w:rPr>
        <w:t>立</w:t>
      </w:r>
      <w:r>
        <w:rPr>
          <w:spacing w:val="-3"/>
          <w:w w:val="100"/>
          <w:sz w:val="21"/>
        </w:rPr>
        <w:t>的</w:t>
      </w:r>
      <w:r>
        <w:rPr>
          <w:w w:val="100"/>
          <w:sz w:val="21"/>
        </w:rPr>
        <w:t>保</w:t>
      </w:r>
      <w:r>
        <w:rPr>
          <w:spacing w:val="-3"/>
          <w:w w:val="100"/>
          <w:sz w:val="21"/>
        </w:rPr>
        <w:t>险</w:t>
      </w:r>
      <w:r>
        <w:rPr>
          <w:w w:val="100"/>
          <w:sz w:val="21"/>
        </w:rPr>
        <w:t>合</w:t>
      </w:r>
      <w:r>
        <w:rPr>
          <w:spacing w:val="-3"/>
          <w:w w:val="100"/>
          <w:sz w:val="21"/>
        </w:rPr>
        <w:t>同</w:t>
      </w:r>
      <w:r>
        <w:rPr>
          <w:w w:val="100"/>
          <w:sz w:val="21"/>
        </w:rPr>
        <w:t>的构</w:t>
      </w:r>
      <w:r>
        <w:rPr>
          <w:spacing w:val="-3"/>
          <w:w w:val="100"/>
          <w:sz w:val="21"/>
        </w:rPr>
        <w:t>成</w:t>
      </w:r>
      <w:r>
        <w:rPr>
          <w:w w:val="100"/>
          <w:sz w:val="21"/>
        </w:rPr>
        <w:t>部</w:t>
      </w:r>
      <w:r>
        <w:rPr>
          <w:spacing w:val="-3"/>
          <w:w w:val="100"/>
          <w:sz w:val="21"/>
        </w:rPr>
        <w:t>分</w:t>
      </w:r>
      <w:r>
        <w:rPr>
          <w:w w:val="100"/>
          <w:sz w:val="21"/>
        </w:rPr>
        <w:t>。</w:t>
      </w:r>
    </w:p>
    <w:p>
      <w:pPr>
        <w:pStyle w:val="BodyText"/>
        <w:spacing w:line="244" w:lineRule="auto" w:before="1"/>
        <w:ind w:left="2904" w:right="265"/>
      </w:pPr>
      <w:r>
        <w:rPr>
          <w:spacing w:val="-2"/>
        </w:rPr>
        <w:t>“长城烽火台定额给付医疗保险（互联网）保险合同”以下简称为“本主险</w:t>
      </w:r>
      <w:r>
        <w:rPr>
          <w:spacing w:val="-4"/>
        </w:rPr>
        <w:t>合同”。</w:t>
      </w:r>
    </w:p>
    <w:p>
      <w:pPr>
        <w:pStyle w:val="BodyText"/>
        <w:spacing w:before="2"/>
        <w:rPr>
          <w:sz w:val="20"/>
        </w:rPr>
      </w:pPr>
    </w:p>
    <w:p>
      <w:pPr>
        <w:spacing w:after="0"/>
        <w:rPr>
          <w:sz w:val="20"/>
        </w:rPr>
        <w:sectPr>
          <w:pgSz w:w="11910" w:h="16840"/>
          <w:pgMar w:top="920" w:bottom="280" w:left="1060" w:right="660"/>
        </w:sectPr>
      </w:pPr>
    </w:p>
    <w:p>
      <w:pPr>
        <w:pStyle w:val="ListParagraph"/>
        <w:numPr>
          <w:ilvl w:val="1"/>
          <w:numId w:val="2"/>
        </w:numPr>
        <w:tabs>
          <w:tab w:pos="1344" w:val="left" w:leader="none"/>
          <w:tab w:pos="1345" w:val="left" w:leader="none"/>
        </w:tabs>
        <w:spacing w:line="278" w:lineRule="auto" w:before="71" w:after="0"/>
        <w:ind w:left="1344" w:right="38" w:hanging="1136"/>
        <w:jc w:val="left"/>
        <w:rPr>
          <w:b/>
          <w:sz w:val="21"/>
        </w:rPr>
      </w:pPr>
      <w:r>
        <w:rPr>
          <w:b/>
          <w:spacing w:val="-2"/>
          <w:sz w:val="21"/>
        </w:rPr>
        <w:t>合同成立与生</w:t>
      </w:r>
      <w:r>
        <w:rPr>
          <w:b/>
          <w:spacing w:val="-10"/>
          <w:sz w:val="21"/>
        </w:rPr>
        <w:t>效</w:t>
      </w:r>
    </w:p>
    <w:p>
      <w:pPr>
        <w:pStyle w:val="BodyText"/>
        <w:spacing w:line="278" w:lineRule="auto" w:before="71"/>
        <w:ind w:left="210" w:right="342"/>
      </w:pPr>
      <w:r>
        <w:rPr/>
        <w:br w:type="column"/>
      </w:r>
      <w:r>
        <w:rPr>
          <w:spacing w:val="-2"/>
        </w:rPr>
        <w:t>您提出保险申请且本公司同意承保，本主险合同成立，合同成立日期在保险</w:t>
      </w:r>
      <w:r>
        <w:rPr>
          <w:spacing w:val="-2"/>
        </w:rPr>
        <w:t>单上载明。</w:t>
      </w:r>
    </w:p>
    <w:p>
      <w:pPr>
        <w:spacing w:line="266" w:lineRule="auto" w:before="0"/>
        <w:ind w:left="209" w:right="321" w:hanging="1"/>
        <w:jc w:val="both"/>
        <w:rPr>
          <w:b/>
          <w:i/>
          <w:sz w:val="22"/>
        </w:rPr>
      </w:pPr>
      <w:r>
        <w:rPr>
          <w:b/>
          <w:i/>
          <w:spacing w:val="-2"/>
          <w:w w:val="95"/>
          <w:sz w:val="22"/>
        </w:rPr>
        <w:t>自本主险合同成立、本公司收取首期保险费并签发保险单的次日零时起本主</w:t>
      </w:r>
      <w:r>
        <w:rPr>
          <w:b/>
          <w:i/>
          <w:spacing w:val="-2"/>
          <w:w w:val="95"/>
          <w:sz w:val="22"/>
        </w:rPr>
        <w:t>险合同生效，具体生效日以保险单所载的日期为准。我们自生效日零时起开</w:t>
      </w:r>
      <w:r>
        <w:rPr>
          <w:b/>
          <w:i/>
          <w:spacing w:val="-2"/>
          <w:sz w:val="22"/>
        </w:rPr>
        <w:t>始</w:t>
      </w:r>
      <w:r>
        <w:rPr>
          <w:b/>
          <w:i/>
          <w:spacing w:val="-2"/>
          <w:sz w:val="22"/>
        </w:rPr>
        <w:t>承</w:t>
      </w:r>
      <w:r>
        <w:rPr>
          <w:b/>
          <w:i/>
          <w:spacing w:val="-2"/>
          <w:sz w:val="22"/>
        </w:rPr>
        <w:t>担</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约定的</w:t>
      </w:r>
      <w:r>
        <w:rPr>
          <w:b/>
          <w:i/>
          <w:spacing w:val="-2"/>
          <w:sz w:val="22"/>
        </w:rPr>
        <w:t>保</w:t>
      </w:r>
      <w:r>
        <w:rPr>
          <w:b/>
          <w:i/>
          <w:spacing w:val="-2"/>
          <w:sz w:val="22"/>
        </w:rPr>
        <w:t>险</w:t>
      </w:r>
      <w:r>
        <w:rPr>
          <w:b/>
          <w:i/>
          <w:spacing w:val="-2"/>
          <w:sz w:val="22"/>
        </w:rPr>
        <w:t>责</w:t>
      </w:r>
      <w:r>
        <w:rPr>
          <w:b/>
          <w:i/>
          <w:spacing w:val="-2"/>
          <w:sz w:val="22"/>
        </w:rPr>
        <w:t>任。</w:t>
      </w:r>
    </w:p>
    <w:p>
      <w:pPr>
        <w:pStyle w:val="BodyText"/>
        <w:spacing w:line="278" w:lineRule="auto"/>
        <w:ind w:left="210" w:right="342"/>
        <w:jc w:val="both"/>
      </w:pPr>
      <w:r>
        <w:rPr>
          <w:spacing w:val="-2"/>
        </w:rPr>
        <w:t>本主险合同生效日以后每年的对应日为保险单周年日，每月的对应日为保险</w:t>
      </w:r>
      <w:r>
        <w:rPr>
          <w:spacing w:val="-2"/>
        </w:rPr>
        <w:t>单月度日。保险单年度、保险单月度、保险费到期日和保险单满期日均以该</w:t>
      </w:r>
      <w:r>
        <w:rPr>
          <w:spacing w:val="-2"/>
        </w:rPr>
        <w:t>日期为基础计算。</w:t>
      </w:r>
    </w:p>
    <w:p>
      <w:pPr>
        <w:pStyle w:val="BodyText"/>
        <w:spacing w:line="269" w:lineRule="exact"/>
        <w:ind w:left="210"/>
      </w:pPr>
      <w:r>
        <w:rPr>
          <w:spacing w:val="-3"/>
        </w:rPr>
        <w:t>如果当月无对应的同一日，则以该月最后一日作为对应日。</w:t>
      </w:r>
    </w:p>
    <w:p>
      <w:pPr>
        <w:spacing w:after="0" w:line="269" w:lineRule="exact"/>
        <w:sectPr>
          <w:type w:val="continuous"/>
          <w:pgSz w:w="11910" w:h="16840"/>
          <w:pgMar w:top="300" w:bottom="280" w:left="1060" w:right="660"/>
          <w:cols w:num="2" w:equalWidth="0">
            <w:col w:w="2653" w:space="42"/>
            <w:col w:w="7495"/>
          </w:cols>
        </w:sectPr>
      </w:pPr>
    </w:p>
    <w:p>
      <w:pPr>
        <w:pStyle w:val="BodyText"/>
        <w:spacing w:before="11"/>
      </w:pPr>
    </w:p>
    <w:p>
      <w:pPr>
        <w:pStyle w:val="ListParagraph"/>
        <w:numPr>
          <w:ilvl w:val="1"/>
          <w:numId w:val="2"/>
        </w:numPr>
        <w:tabs>
          <w:tab w:pos="1345" w:val="left" w:leader="none"/>
        </w:tabs>
        <w:spacing w:line="273" w:lineRule="auto" w:before="72" w:after="0"/>
        <w:ind w:left="2904" w:right="157" w:hanging="2696"/>
        <w:jc w:val="both"/>
        <w:rPr>
          <w:sz w:val="21"/>
        </w:rPr>
      </w:pPr>
      <w:r>
        <w:rPr>
          <w:b/>
          <w:sz w:val="21"/>
        </w:rPr>
        <w:t>投保范围</w:t>
      </w:r>
      <w:r>
        <w:rPr>
          <w:b/>
          <w:spacing w:val="532"/>
          <w:sz w:val="21"/>
        </w:rPr>
        <w:t> </w:t>
      </w:r>
      <w:r>
        <w:rPr>
          <w:sz w:val="21"/>
        </w:rPr>
        <w:t>投保年龄以周岁（</w:t>
      </w:r>
      <w:r>
        <w:rPr>
          <w:spacing w:val="-14"/>
          <w:sz w:val="21"/>
        </w:rPr>
        <w:t>见 </w:t>
      </w:r>
      <w:r>
        <w:rPr>
          <w:sz w:val="21"/>
        </w:rPr>
        <w:t>9.1）</w:t>
      </w:r>
      <w:r>
        <w:rPr>
          <w:spacing w:val="-2"/>
          <w:sz w:val="21"/>
        </w:rPr>
        <w:t>计算。本主险合同接受的投保年龄为 </w:t>
      </w:r>
      <w:r>
        <w:rPr>
          <w:sz w:val="21"/>
        </w:rPr>
        <w:t>0</w:t>
      </w:r>
      <w:r>
        <w:rPr>
          <w:spacing w:val="-9"/>
          <w:sz w:val="21"/>
        </w:rPr>
        <w:t> 周岁</w:t>
      </w:r>
      <w:r>
        <w:rPr>
          <w:sz w:val="21"/>
        </w:rPr>
        <w:t>（指出</w:t>
      </w:r>
      <w:r>
        <w:rPr>
          <w:spacing w:val="-9"/>
          <w:sz w:val="21"/>
        </w:rPr>
        <w:t>生满 </w:t>
      </w:r>
      <w:r>
        <w:rPr>
          <w:spacing w:val="-2"/>
          <w:sz w:val="21"/>
        </w:rPr>
        <w:t>30</w:t>
      </w:r>
      <w:r>
        <w:rPr>
          <w:spacing w:val="-7"/>
          <w:sz w:val="21"/>
        </w:rPr>
        <w:t> 日且已健康出院的婴儿</w:t>
      </w:r>
      <w:r>
        <w:rPr>
          <w:spacing w:val="-2"/>
          <w:sz w:val="21"/>
        </w:rPr>
        <w:t>）</w:t>
      </w:r>
      <w:r>
        <w:rPr>
          <w:spacing w:val="-12"/>
          <w:sz w:val="21"/>
        </w:rPr>
        <w:t>至 </w:t>
      </w:r>
      <w:r>
        <w:rPr>
          <w:spacing w:val="-2"/>
          <w:sz w:val="21"/>
        </w:rPr>
        <w:t>65</w:t>
      </w:r>
      <w:r>
        <w:rPr>
          <w:spacing w:val="-9"/>
          <w:sz w:val="21"/>
        </w:rPr>
        <w:t> 周岁</w:t>
      </w:r>
      <w:r>
        <w:rPr>
          <w:spacing w:val="-2"/>
          <w:sz w:val="21"/>
        </w:rPr>
        <w:t>（含</w:t>
      </w:r>
      <w:r>
        <w:rPr>
          <w:spacing w:val="-108"/>
          <w:sz w:val="21"/>
        </w:rPr>
        <w:t>）</w:t>
      </w:r>
      <w:r>
        <w:rPr>
          <w:spacing w:val="-2"/>
          <w:sz w:val="21"/>
        </w:rPr>
        <w:t>。被保险人投保时须已参加</w:t>
      </w:r>
      <w:r>
        <w:rPr>
          <w:b/>
          <w:i/>
          <w:w w:val="95"/>
          <w:sz w:val="22"/>
        </w:rPr>
        <w:t>基本医疗保险</w:t>
      </w:r>
      <w:r>
        <w:rPr>
          <w:w w:val="95"/>
          <w:sz w:val="21"/>
        </w:rPr>
        <w:t>（</w:t>
      </w:r>
      <w:r>
        <w:rPr>
          <w:spacing w:val="-9"/>
          <w:w w:val="95"/>
          <w:sz w:val="21"/>
        </w:rPr>
        <w:t>见 </w:t>
      </w:r>
      <w:r>
        <w:rPr>
          <w:w w:val="95"/>
          <w:sz w:val="21"/>
        </w:rPr>
        <w:t>9.2）或</w:t>
      </w:r>
      <w:r>
        <w:rPr>
          <w:b/>
          <w:i/>
          <w:w w:val="95"/>
          <w:sz w:val="22"/>
        </w:rPr>
        <w:t>公费医疗</w:t>
      </w:r>
      <w:r>
        <w:rPr>
          <w:w w:val="95"/>
          <w:sz w:val="21"/>
        </w:rPr>
        <w:t>（</w:t>
      </w:r>
      <w:r>
        <w:rPr>
          <w:w w:val="95"/>
          <w:sz w:val="21"/>
        </w:rPr>
        <w:t>见</w:t>
      </w:r>
      <w:r>
        <w:rPr>
          <w:spacing w:val="-20"/>
          <w:w w:val="95"/>
          <w:sz w:val="21"/>
        </w:rPr>
        <w:t> </w:t>
      </w:r>
      <w:r>
        <w:rPr>
          <w:spacing w:val="23"/>
          <w:w w:val="95"/>
          <w:sz w:val="21"/>
        </w:rPr>
        <w:t>9.3</w:t>
      </w:r>
      <w:r>
        <w:rPr>
          <w:spacing w:val="-85"/>
          <w:w w:val="95"/>
          <w:sz w:val="21"/>
        </w:rPr>
        <w:t>）</w:t>
      </w:r>
      <w:r>
        <w:rPr>
          <w:spacing w:val="7"/>
          <w:w w:val="95"/>
          <w:sz w:val="21"/>
        </w:rPr>
        <w:t>，并</w:t>
      </w:r>
      <w:r>
        <w:rPr>
          <w:w w:val="95"/>
          <w:sz w:val="21"/>
        </w:rPr>
        <w:t>符</w:t>
      </w:r>
      <w:r>
        <w:rPr>
          <w:w w:val="95"/>
          <w:sz w:val="21"/>
        </w:rPr>
        <w:t>合</w:t>
      </w:r>
      <w:r>
        <w:rPr>
          <w:w w:val="95"/>
          <w:sz w:val="21"/>
        </w:rPr>
        <w:t>投保当时我们的规定。</w:t>
      </w:r>
    </w:p>
    <w:p>
      <w:pPr>
        <w:pStyle w:val="BodyText"/>
        <w:spacing w:before="6"/>
        <w:rPr>
          <w:sz w:val="24"/>
        </w:rPr>
      </w:pPr>
    </w:p>
    <w:p>
      <w:pPr>
        <w:pStyle w:val="ListParagraph"/>
        <w:numPr>
          <w:ilvl w:val="1"/>
          <w:numId w:val="2"/>
        </w:numPr>
        <w:tabs>
          <w:tab w:pos="1345" w:val="left" w:leader="none"/>
        </w:tabs>
        <w:spacing w:line="240" w:lineRule="auto" w:before="0" w:after="0"/>
        <w:ind w:left="1344" w:right="0" w:hanging="1136"/>
        <w:jc w:val="both"/>
        <w:rPr>
          <w:sz w:val="21"/>
        </w:rPr>
      </w:pPr>
      <w:r>
        <w:rPr>
          <w:b/>
          <w:sz w:val="21"/>
        </w:rPr>
        <w:t>犹豫期</w:t>
      </w:r>
      <w:r>
        <w:rPr>
          <w:b/>
          <w:spacing w:val="794"/>
          <w:sz w:val="21"/>
        </w:rPr>
        <w:t> </w:t>
      </w:r>
      <w:r>
        <w:rPr>
          <w:spacing w:val="-4"/>
          <w:sz w:val="21"/>
        </w:rPr>
        <w:t>自您签收本主险合同之日起，有 </w:t>
      </w:r>
      <w:r>
        <w:rPr>
          <w:sz w:val="21"/>
        </w:rPr>
        <w:t>15</w:t>
      </w:r>
      <w:r>
        <w:rPr>
          <w:spacing w:val="-10"/>
          <w:sz w:val="21"/>
        </w:rPr>
        <w:t> 日的犹豫期。</w:t>
      </w:r>
    </w:p>
    <w:p>
      <w:pPr>
        <w:pStyle w:val="BodyText"/>
        <w:spacing w:line="278" w:lineRule="auto" w:before="43"/>
        <w:ind w:left="2904" w:right="265"/>
        <w:jc w:val="both"/>
      </w:pPr>
      <w:r>
        <w:rPr>
          <w:spacing w:val="-2"/>
        </w:rPr>
        <w:t>在此期间请您认真审视本主险合同，如果您认为本主险合同与您的需求不相</w:t>
      </w:r>
      <w:r>
        <w:rPr>
          <w:spacing w:val="-2"/>
        </w:rPr>
        <w:t>符，您可以在此期间提出解除本主险合同，我们将退还您所交纳的本主险合</w:t>
      </w:r>
      <w:r>
        <w:rPr>
          <w:spacing w:val="-2"/>
        </w:rPr>
        <w:t>同对应的全部保险费。</w:t>
      </w:r>
    </w:p>
    <w:p>
      <w:pPr>
        <w:spacing w:line="266" w:lineRule="auto" w:before="0"/>
        <w:ind w:left="2904" w:right="275" w:firstLine="0"/>
        <w:jc w:val="both"/>
        <w:rPr>
          <w:b/>
          <w:i/>
          <w:sz w:val="22"/>
        </w:rPr>
      </w:pPr>
      <w:r>
        <w:rPr>
          <w:spacing w:val="-2"/>
          <w:sz w:val="21"/>
        </w:rPr>
        <w:t>犹豫期内解除本主险合同时，您需要填写申请书，并提供您的保险合同及有</w:t>
      </w:r>
      <w:r>
        <w:rPr>
          <w:w w:val="95"/>
          <w:sz w:val="21"/>
        </w:rPr>
        <w:t>效</w:t>
      </w:r>
      <w:r>
        <w:rPr>
          <w:w w:val="95"/>
          <w:sz w:val="21"/>
        </w:rPr>
        <w:t>身</w:t>
      </w:r>
      <w:r>
        <w:rPr>
          <w:w w:val="95"/>
          <w:sz w:val="21"/>
        </w:rPr>
        <w:t>份证</w:t>
      </w:r>
      <w:r>
        <w:rPr>
          <w:w w:val="95"/>
          <w:sz w:val="21"/>
        </w:rPr>
        <w:t>件</w:t>
      </w:r>
      <w:r>
        <w:rPr>
          <w:w w:val="95"/>
          <w:sz w:val="21"/>
        </w:rPr>
        <w:t>（</w:t>
      </w:r>
      <w:r>
        <w:rPr>
          <w:spacing w:val="-11"/>
          <w:w w:val="95"/>
          <w:sz w:val="21"/>
        </w:rPr>
        <w:t>见 </w:t>
      </w:r>
      <w:r>
        <w:rPr>
          <w:spacing w:val="27"/>
          <w:w w:val="95"/>
          <w:sz w:val="21"/>
        </w:rPr>
        <w:t>9.</w:t>
      </w:r>
      <w:r>
        <w:rPr>
          <w:spacing w:val="24"/>
          <w:w w:val="95"/>
          <w:sz w:val="21"/>
        </w:rPr>
        <w:t>4</w:t>
      </w:r>
      <w:r>
        <w:rPr>
          <w:spacing w:val="-79"/>
          <w:w w:val="95"/>
          <w:sz w:val="21"/>
        </w:rPr>
        <w:t>）</w:t>
      </w:r>
      <w:r>
        <w:rPr>
          <w:w w:val="95"/>
          <w:sz w:val="21"/>
        </w:rPr>
        <w:t>。</w:t>
      </w:r>
      <w:r>
        <w:rPr>
          <w:b/>
          <w:i/>
          <w:w w:val="95"/>
          <w:sz w:val="22"/>
        </w:rPr>
        <w:t>自我们收到您解除合同的书面申请时起，本主险合同</w:t>
      </w:r>
      <w:r>
        <w:rPr>
          <w:b/>
          <w:i/>
          <w:spacing w:val="-2"/>
          <w:w w:val="95"/>
          <w:sz w:val="22"/>
        </w:rPr>
        <w:t>即被解除，对于合同解除前发生的保险事故，我们不承担保险责任。</w:t>
      </w:r>
    </w:p>
    <w:p>
      <w:pPr>
        <w:pStyle w:val="BodyText"/>
        <w:spacing w:before="3"/>
        <w:rPr>
          <w:b/>
          <w:i/>
          <w:sz w:val="25"/>
        </w:rPr>
      </w:pPr>
    </w:p>
    <w:p>
      <w:pPr>
        <w:pStyle w:val="ListParagraph"/>
        <w:numPr>
          <w:ilvl w:val="1"/>
          <w:numId w:val="2"/>
        </w:numPr>
        <w:tabs>
          <w:tab w:pos="1345" w:val="left" w:leader="none"/>
        </w:tabs>
        <w:spacing w:line="240" w:lineRule="auto" w:before="0" w:after="0"/>
        <w:ind w:left="1344" w:right="0" w:hanging="1136"/>
        <w:jc w:val="both"/>
        <w:rPr>
          <w:sz w:val="21"/>
        </w:rPr>
      </w:pPr>
      <w:r>
        <w:rPr>
          <w:b/>
          <w:sz w:val="21"/>
        </w:rPr>
        <w:t>保险期间</w:t>
      </w:r>
      <w:r>
        <w:rPr>
          <w:b/>
          <w:spacing w:val="591"/>
          <w:sz w:val="21"/>
        </w:rPr>
        <w:t> </w:t>
      </w:r>
      <w:r>
        <w:rPr>
          <w:spacing w:val="-5"/>
          <w:sz w:val="21"/>
        </w:rPr>
        <w:t>本主险合同的保险期间为 </w:t>
      </w:r>
      <w:r>
        <w:rPr>
          <w:sz w:val="21"/>
        </w:rPr>
        <w:t>5</w:t>
      </w:r>
      <w:r>
        <w:rPr>
          <w:spacing w:val="-22"/>
          <w:sz w:val="21"/>
        </w:rPr>
        <w:t> 年。</w:t>
      </w:r>
    </w:p>
    <w:p>
      <w:pPr>
        <w:pStyle w:val="BodyText"/>
        <w:rPr>
          <w:sz w:val="20"/>
        </w:rPr>
      </w:pPr>
    </w:p>
    <w:p>
      <w:pPr>
        <w:tabs>
          <w:tab w:pos="1344" w:val="left" w:leader="none"/>
        </w:tabs>
        <w:spacing w:before="136"/>
        <w:ind w:left="209" w:right="0" w:firstLine="0"/>
        <w:jc w:val="left"/>
        <w:rPr>
          <w:b/>
          <w:sz w:val="28"/>
        </w:rPr>
      </w:pPr>
      <w:r>
        <w:rPr/>
        <w:drawing>
          <wp:anchor distT="0" distB="0" distL="0" distR="0" allowOverlap="1" layoutInCell="1" locked="0" behindDoc="0" simplePos="0" relativeHeight="4">
            <wp:simplePos x="0" y="0"/>
            <wp:positionH relativeFrom="page">
              <wp:posOffset>737616</wp:posOffset>
            </wp:positionH>
            <wp:positionV relativeFrom="paragraph">
              <wp:posOffset>460835</wp:posOffset>
            </wp:positionV>
            <wp:extent cx="6300216" cy="6095"/>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300216" cy="6095"/>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我</w:t>
      </w:r>
      <w:r>
        <w:rPr>
          <w:b/>
          <w:w w:val="95"/>
          <w:sz w:val="28"/>
        </w:rPr>
        <w:t>们</w:t>
      </w:r>
      <w:r>
        <w:rPr>
          <w:b/>
          <w:w w:val="95"/>
          <w:sz w:val="28"/>
        </w:rPr>
        <w:t>提</w:t>
      </w:r>
      <w:r>
        <w:rPr>
          <w:b/>
          <w:w w:val="95"/>
          <w:sz w:val="28"/>
        </w:rPr>
        <w:t>供</w:t>
      </w:r>
      <w:r>
        <w:rPr>
          <w:b/>
          <w:w w:val="95"/>
          <w:sz w:val="28"/>
        </w:rPr>
        <w:t>的</w:t>
      </w:r>
      <w:r>
        <w:rPr>
          <w:b/>
          <w:w w:val="95"/>
          <w:sz w:val="28"/>
        </w:rPr>
        <w:t>保</w:t>
      </w:r>
      <w:r>
        <w:rPr>
          <w:b/>
          <w:spacing w:val="-10"/>
          <w:w w:val="95"/>
          <w:sz w:val="28"/>
        </w:rPr>
        <w:t>障</w:t>
      </w:r>
    </w:p>
    <w:p>
      <w:pPr>
        <w:pStyle w:val="ListParagraph"/>
        <w:numPr>
          <w:ilvl w:val="1"/>
          <w:numId w:val="3"/>
        </w:numPr>
        <w:tabs>
          <w:tab w:pos="1344" w:val="left" w:leader="none"/>
          <w:tab w:pos="1345" w:val="left" w:leader="none"/>
          <w:tab w:pos="2904" w:val="left" w:leader="none"/>
        </w:tabs>
        <w:spacing w:line="240" w:lineRule="auto" w:before="334" w:after="0"/>
        <w:ind w:left="1344" w:right="0" w:hanging="1136"/>
        <w:jc w:val="left"/>
        <w:rPr>
          <w:sz w:val="21"/>
        </w:rPr>
      </w:pPr>
      <w:r>
        <w:rPr>
          <w:b/>
          <w:sz w:val="21"/>
        </w:rPr>
        <w:t>基本保险金</w:t>
      </w:r>
      <w:r>
        <w:rPr>
          <w:b/>
          <w:spacing w:val="-10"/>
          <w:sz w:val="21"/>
        </w:rPr>
        <w:t>额</w:t>
      </w:r>
      <w:r>
        <w:rPr>
          <w:b/>
          <w:sz w:val="21"/>
        </w:rPr>
        <w:tab/>
      </w:r>
      <w:r>
        <w:rPr>
          <w:spacing w:val="-2"/>
          <w:sz w:val="21"/>
        </w:rPr>
        <w:t>本</w:t>
      </w:r>
      <w:r>
        <w:rPr>
          <w:spacing w:val="-2"/>
          <w:sz w:val="21"/>
        </w:rPr>
        <w:t>主</w:t>
      </w:r>
      <w:r>
        <w:rPr>
          <w:spacing w:val="-2"/>
          <w:sz w:val="21"/>
        </w:rPr>
        <w:t>险合同的基本保险金</w:t>
      </w:r>
      <w:r>
        <w:rPr>
          <w:spacing w:val="-2"/>
          <w:sz w:val="21"/>
        </w:rPr>
        <w:t>额</w:t>
      </w:r>
      <w:r>
        <w:rPr>
          <w:spacing w:val="-2"/>
          <w:sz w:val="21"/>
        </w:rPr>
        <w:t>由</w:t>
      </w:r>
      <w:r>
        <w:rPr>
          <w:spacing w:val="-2"/>
          <w:sz w:val="21"/>
        </w:rPr>
        <w:t>您在投保时与我们约</w:t>
      </w:r>
      <w:r>
        <w:rPr>
          <w:spacing w:val="-2"/>
          <w:sz w:val="21"/>
        </w:rPr>
        <w:t>定</w:t>
      </w:r>
      <w:r>
        <w:rPr>
          <w:spacing w:val="-2"/>
          <w:sz w:val="21"/>
        </w:rPr>
        <w:t>并</w:t>
      </w:r>
      <w:r>
        <w:rPr>
          <w:spacing w:val="-2"/>
          <w:sz w:val="21"/>
        </w:rPr>
        <w:t>在保险单上载明</w:t>
      </w:r>
      <w:r>
        <w:rPr>
          <w:spacing w:val="-10"/>
          <w:sz w:val="21"/>
        </w:rPr>
        <w:t>。</w:t>
      </w:r>
    </w:p>
    <w:p>
      <w:pPr>
        <w:spacing w:after="0" w:line="240" w:lineRule="auto"/>
        <w:jc w:val="left"/>
        <w:rPr>
          <w:sz w:val="21"/>
        </w:rPr>
        <w:sectPr>
          <w:type w:val="continuous"/>
          <w:pgSz w:w="11910" w:h="16840"/>
          <w:pgMar w:top="300" w:bottom="280" w:left="1060" w:right="660"/>
        </w:sectPr>
      </w:pPr>
    </w:p>
    <w:p>
      <w:pPr>
        <w:pStyle w:val="ListParagraph"/>
        <w:numPr>
          <w:ilvl w:val="1"/>
          <w:numId w:val="3"/>
        </w:numPr>
        <w:tabs>
          <w:tab w:pos="1344" w:val="left" w:leader="none"/>
          <w:tab w:pos="1345" w:val="left" w:leader="none"/>
          <w:tab w:pos="2904" w:val="left" w:leader="none"/>
        </w:tabs>
        <w:spacing w:line="240" w:lineRule="auto" w:before="61" w:after="0"/>
        <w:ind w:left="1344" w:right="0" w:hanging="1136"/>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主险合同有效期内，</w:t>
      </w:r>
      <w:r>
        <w:rPr>
          <w:spacing w:val="-2"/>
          <w:sz w:val="21"/>
        </w:rPr>
        <w:t>我</w:t>
      </w:r>
      <w:r>
        <w:rPr>
          <w:spacing w:val="-2"/>
          <w:sz w:val="21"/>
        </w:rPr>
        <w:t>们</w:t>
      </w:r>
      <w:r>
        <w:rPr>
          <w:spacing w:val="-2"/>
          <w:sz w:val="21"/>
        </w:rPr>
        <w:t>承担如下保险责任</w:t>
      </w:r>
      <w:r>
        <w:rPr>
          <w:spacing w:val="-10"/>
          <w:sz w:val="21"/>
        </w:rPr>
        <w:t>：</w:t>
      </w:r>
    </w:p>
    <w:p>
      <w:pPr>
        <w:pStyle w:val="BodyText"/>
        <w:spacing w:before="8"/>
        <w:rPr>
          <w:sz w:val="27"/>
        </w:rPr>
      </w:pPr>
    </w:p>
    <w:p>
      <w:pPr>
        <w:pStyle w:val="BodyText"/>
        <w:spacing w:line="276" w:lineRule="auto" w:before="1"/>
        <w:ind w:left="2904" w:right="260" w:hanging="1560"/>
        <w:jc w:val="both"/>
        <w:rPr>
          <w:b/>
          <w:i/>
          <w:sz w:val="22"/>
        </w:rPr>
      </w:pPr>
      <w:r>
        <w:rPr>
          <w:rFonts w:ascii="楷体" w:eastAsia="楷体" w:hint="eastAsia"/>
          <w:b/>
        </w:rPr>
        <w:t>等待期</w:t>
      </w:r>
      <w:r>
        <w:rPr>
          <w:rFonts w:ascii="楷体" w:eastAsia="楷体" w:hint="eastAsia"/>
          <w:b/>
          <w:spacing w:val="772"/>
        </w:rPr>
        <w:t> </w:t>
      </w:r>
      <w:r>
        <w:rPr>
          <w:spacing w:val="-2"/>
        </w:rPr>
        <w:t>自本主险合同生效或最后一次复效之日起 </w:t>
      </w:r>
      <w:r>
        <w:rPr/>
        <w:t>90</w:t>
      </w:r>
      <w:r>
        <w:rPr>
          <w:spacing w:val="-9"/>
        </w:rPr>
        <w:t> 日内</w:t>
      </w:r>
      <w:r>
        <w:rPr/>
        <w:t>（</w:t>
      </w:r>
      <w:r>
        <w:rPr>
          <w:spacing w:val="-9"/>
        </w:rPr>
        <w:t>含第 </w:t>
      </w:r>
      <w:r>
        <w:rPr/>
        <w:t>90</w:t>
      </w:r>
      <w:r>
        <w:rPr>
          <w:spacing w:val="-13"/>
        </w:rPr>
        <w:t> 日</w:t>
      </w:r>
      <w:r>
        <w:rPr/>
        <w:t>）为等待期。</w:t>
      </w:r>
      <w:r>
        <w:rPr>
          <w:spacing w:val="-4"/>
        </w:rPr>
        <w:t>被保险人在等待期内因意外伤害（</w:t>
      </w:r>
      <w:r>
        <w:rPr>
          <w:spacing w:val="-10"/>
        </w:rPr>
        <w:t>见 </w:t>
      </w:r>
      <w:r>
        <w:rPr>
          <w:spacing w:val="-4"/>
        </w:rPr>
        <w:t>9.5）以外的原因确诊疾病，无论该疾病</w:t>
      </w:r>
      <w:r>
        <w:rPr>
          <w:spacing w:val="-2"/>
        </w:rPr>
        <w:t>导致的医疗费用发生在等待期内还是在等待期外，我们均不对医保补偿金额</w:t>
      </w:r>
      <w:r>
        <w:rPr>
          <w:spacing w:val="-2"/>
        </w:rPr>
        <w:t>进行累计，</w:t>
      </w:r>
      <w:r>
        <w:rPr>
          <w:b/>
          <w:i/>
          <w:spacing w:val="-2"/>
          <w:sz w:val="22"/>
        </w:rPr>
        <w:t>且</w:t>
      </w:r>
      <w:r>
        <w:rPr>
          <w:b/>
          <w:i/>
          <w:spacing w:val="-2"/>
          <w:sz w:val="22"/>
        </w:rPr>
        <w:t>不</w:t>
      </w:r>
      <w:r>
        <w:rPr>
          <w:b/>
          <w:i/>
          <w:spacing w:val="-2"/>
          <w:sz w:val="22"/>
        </w:rPr>
        <w:t>承</w:t>
      </w:r>
      <w:r>
        <w:rPr>
          <w:b/>
          <w:i/>
          <w:spacing w:val="-2"/>
          <w:sz w:val="22"/>
        </w:rPr>
        <w:t>担</w:t>
      </w:r>
      <w:r>
        <w:rPr>
          <w:b/>
          <w:i/>
          <w:spacing w:val="-2"/>
          <w:sz w:val="22"/>
        </w:rPr>
        <w:t>给</w:t>
      </w:r>
      <w:r>
        <w:rPr>
          <w:b/>
          <w:i/>
          <w:spacing w:val="-2"/>
          <w:sz w:val="22"/>
        </w:rPr>
        <w:t>付保</w:t>
      </w:r>
      <w:r>
        <w:rPr>
          <w:b/>
          <w:i/>
          <w:spacing w:val="-2"/>
          <w:sz w:val="22"/>
        </w:rPr>
        <w:t>险</w:t>
      </w:r>
      <w:r>
        <w:rPr>
          <w:b/>
          <w:i/>
          <w:spacing w:val="-2"/>
          <w:sz w:val="22"/>
        </w:rPr>
        <w:t>金</w:t>
      </w:r>
      <w:r>
        <w:rPr>
          <w:b/>
          <w:i/>
          <w:spacing w:val="-2"/>
          <w:sz w:val="22"/>
        </w:rPr>
        <w:t>的</w:t>
      </w:r>
      <w:r>
        <w:rPr>
          <w:b/>
          <w:i/>
          <w:spacing w:val="-2"/>
          <w:sz w:val="22"/>
        </w:rPr>
        <w:t>责</w:t>
      </w:r>
      <w:r>
        <w:rPr>
          <w:b/>
          <w:i/>
          <w:spacing w:val="-2"/>
          <w:sz w:val="22"/>
        </w:rPr>
        <w:t>任</w:t>
      </w:r>
      <w:r>
        <w:rPr>
          <w:b/>
          <w:i/>
          <w:spacing w:val="-2"/>
          <w:sz w:val="22"/>
        </w:rPr>
        <w:t>。</w:t>
      </w:r>
    </w:p>
    <w:p>
      <w:pPr>
        <w:pStyle w:val="BodyText"/>
        <w:rPr>
          <w:b/>
          <w:i/>
          <w:sz w:val="24"/>
        </w:rPr>
      </w:pPr>
    </w:p>
    <w:p>
      <w:pPr>
        <w:pStyle w:val="BodyText"/>
        <w:spacing w:line="278" w:lineRule="auto"/>
        <w:ind w:left="2904" w:right="260" w:hanging="1522"/>
      </w:pPr>
      <w:r>
        <w:rPr>
          <w:rFonts w:ascii="楷体" w:eastAsia="楷体" w:hint="eastAsia"/>
          <w:b/>
          <w:spacing w:val="20"/>
        </w:rPr>
        <w:t>医保补偿金额 </w:t>
      </w:r>
      <w:r>
        <w:rPr/>
        <w:t>本主险合同的医保补偿金额是指被保险人在接受治疗期间发生的医疗费用，</w:t>
      </w:r>
      <w:r>
        <w:rPr>
          <w:spacing w:val="-4"/>
        </w:rPr>
        <w:t>经过基本医疗保险、公费医疗和城乡居民大病保险（</w:t>
      </w:r>
      <w:r>
        <w:rPr>
          <w:spacing w:val="-24"/>
        </w:rPr>
        <w:t>见 </w:t>
      </w:r>
      <w:r>
        <w:rPr>
          <w:spacing w:val="-4"/>
        </w:rPr>
        <w:t>9.6）结算后，被保险</w:t>
      </w:r>
      <w:r>
        <w:rPr>
          <w:spacing w:val="-2"/>
        </w:rPr>
        <w:t>人从基本医疗保险、公费医疗和城乡居民大病保险获得的医疗费用补偿的金</w:t>
      </w:r>
      <w:r>
        <w:rPr>
          <w:spacing w:val="-6"/>
        </w:rPr>
        <w:t>额。</w:t>
      </w:r>
    </w:p>
    <w:p>
      <w:pPr>
        <w:pStyle w:val="BodyText"/>
        <w:spacing w:before="6"/>
        <w:rPr>
          <w:sz w:val="23"/>
        </w:rPr>
      </w:pPr>
    </w:p>
    <w:p>
      <w:pPr>
        <w:spacing w:line="266" w:lineRule="auto" w:before="1"/>
        <w:ind w:left="2904" w:right="321" w:firstLine="0"/>
        <w:jc w:val="left"/>
        <w:rPr>
          <w:b/>
          <w:i/>
          <w:sz w:val="22"/>
        </w:rPr>
      </w:pPr>
      <w:r>
        <w:rPr>
          <w:b/>
          <w:i/>
          <w:spacing w:val="-2"/>
          <w:w w:val="95"/>
          <w:sz w:val="22"/>
        </w:rPr>
        <w:t>未经基本医疗保险、公费医疗和城乡居民大病保险结算的医疗费用均不属于</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的</w:t>
      </w:r>
      <w:r>
        <w:rPr>
          <w:b/>
          <w:i/>
          <w:spacing w:val="-2"/>
          <w:sz w:val="22"/>
        </w:rPr>
        <w:t>医</w:t>
      </w:r>
      <w:r>
        <w:rPr>
          <w:b/>
          <w:i/>
          <w:spacing w:val="-2"/>
          <w:sz w:val="22"/>
        </w:rPr>
        <w:t>保</w:t>
      </w:r>
      <w:r>
        <w:rPr>
          <w:b/>
          <w:i/>
          <w:spacing w:val="-2"/>
          <w:sz w:val="22"/>
        </w:rPr>
        <w:t>补偿金额</w:t>
      </w:r>
      <w:r>
        <w:rPr>
          <w:b/>
          <w:i/>
          <w:spacing w:val="-2"/>
          <w:sz w:val="22"/>
        </w:rPr>
        <w:t>范</w:t>
      </w:r>
      <w:r>
        <w:rPr>
          <w:b/>
          <w:i/>
          <w:spacing w:val="-2"/>
          <w:sz w:val="22"/>
        </w:rPr>
        <w:t>围</w:t>
      </w:r>
      <w:r>
        <w:rPr>
          <w:b/>
          <w:i/>
          <w:spacing w:val="-2"/>
          <w:sz w:val="22"/>
        </w:rPr>
        <w:t>。</w:t>
      </w:r>
    </w:p>
    <w:p>
      <w:pPr>
        <w:pStyle w:val="BodyText"/>
        <w:spacing w:before="5"/>
        <w:rPr>
          <w:b/>
          <w:i/>
          <w:sz w:val="19"/>
        </w:rPr>
      </w:pPr>
    </w:p>
    <w:p>
      <w:pPr>
        <w:spacing w:after="0"/>
        <w:rPr>
          <w:sz w:val="19"/>
        </w:rPr>
        <w:sectPr>
          <w:pgSz w:w="11910" w:h="16840"/>
          <w:pgMar w:top="880" w:bottom="280" w:left="1060" w:right="660"/>
        </w:sectPr>
      </w:pPr>
    </w:p>
    <w:p>
      <w:pPr>
        <w:spacing w:line="278" w:lineRule="auto" w:before="71"/>
        <w:ind w:left="1344" w:right="0" w:firstLine="0"/>
        <w:jc w:val="left"/>
        <w:rPr>
          <w:rFonts w:ascii="楷体" w:eastAsia="楷体" w:hint="eastAsia"/>
          <w:b/>
          <w:sz w:val="21"/>
        </w:rPr>
      </w:pPr>
      <w:r>
        <w:rPr>
          <w:rFonts w:ascii="楷体" w:eastAsia="楷体" w:hint="eastAsia"/>
          <w:b/>
          <w:spacing w:val="-2"/>
          <w:sz w:val="21"/>
        </w:rPr>
        <w:t>疾病治疗津贴</w:t>
      </w:r>
      <w:r>
        <w:rPr>
          <w:rFonts w:ascii="楷体" w:eastAsia="楷体" w:hint="eastAsia"/>
          <w:b/>
          <w:spacing w:val="-4"/>
          <w:sz w:val="21"/>
        </w:rPr>
        <w:t>保险金</w:t>
      </w:r>
    </w:p>
    <w:p>
      <w:pPr>
        <w:pStyle w:val="BodyText"/>
        <w:spacing w:line="271" w:lineRule="auto" w:before="71"/>
        <w:ind w:left="252" w:right="260"/>
      </w:pPr>
      <w:r>
        <w:rPr/>
        <w:br w:type="column"/>
      </w:r>
      <w:r>
        <w:rPr>
          <w:spacing w:val="-2"/>
        </w:rPr>
        <w:t>若被保险人因意外伤害或于等待期后经医院（</w:t>
      </w:r>
      <w:r>
        <w:rPr>
          <w:spacing w:val="-22"/>
        </w:rPr>
        <w:t>见 </w:t>
      </w:r>
      <w:r>
        <w:rPr>
          <w:spacing w:val="-2"/>
        </w:rPr>
        <w:t>9.7）专科医生（</w:t>
      </w:r>
      <w:r>
        <w:rPr>
          <w:spacing w:val="-22"/>
        </w:rPr>
        <w:t>见 </w:t>
      </w:r>
      <w:r>
        <w:rPr>
          <w:spacing w:val="-2"/>
        </w:rPr>
        <w:t>9.8）明</w:t>
      </w:r>
      <w:r>
        <w:rPr>
          <w:spacing w:val="-2"/>
        </w:rPr>
        <w:t>确诊断所患疾病必须接受治疗的，且被保险人在</w:t>
      </w:r>
      <w:r>
        <w:rPr>
          <w:b/>
          <w:i/>
          <w:spacing w:val="-2"/>
          <w:sz w:val="22"/>
        </w:rPr>
        <w:t>医</w:t>
      </w:r>
      <w:r>
        <w:rPr>
          <w:b/>
          <w:i/>
          <w:spacing w:val="-2"/>
          <w:sz w:val="22"/>
        </w:rPr>
        <w:t>院</w:t>
      </w:r>
      <w:r>
        <w:rPr>
          <w:spacing w:val="-2"/>
        </w:rPr>
        <w:t>接受治疗的，我们将对</w:t>
      </w:r>
      <w:r>
        <w:rPr>
          <w:w w:val="95"/>
        </w:rPr>
        <w:t>被</w:t>
      </w:r>
      <w:r>
        <w:rPr>
          <w:w w:val="95"/>
        </w:rPr>
        <w:t>保</w:t>
      </w:r>
      <w:r>
        <w:rPr>
          <w:w w:val="95"/>
        </w:rPr>
        <w:t>险人治疗</w:t>
      </w:r>
      <w:r>
        <w:rPr>
          <w:w w:val="95"/>
        </w:rPr>
        <w:t>期</w:t>
      </w:r>
      <w:r>
        <w:rPr>
          <w:w w:val="95"/>
        </w:rPr>
        <w:t>间</w:t>
      </w:r>
      <w:r>
        <w:rPr>
          <w:b/>
          <w:i/>
          <w:w w:val="95"/>
          <w:sz w:val="22"/>
        </w:rPr>
        <w:t>实际支出的、合理且必要</w:t>
      </w:r>
      <w:r>
        <w:rPr>
          <w:w w:val="95"/>
        </w:rPr>
        <w:t>（</w:t>
      </w:r>
      <w:r>
        <w:rPr>
          <w:spacing w:val="-18"/>
          <w:w w:val="95"/>
        </w:rPr>
        <w:t>见 </w:t>
      </w:r>
      <w:r>
        <w:rPr>
          <w:w w:val="95"/>
        </w:rPr>
        <w:t>9.9）的医疗费</w:t>
      </w:r>
      <w:r>
        <w:rPr>
          <w:w w:val="95"/>
        </w:rPr>
        <w:t>用</w:t>
      </w:r>
      <w:r>
        <w:rPr>
          <w:w w:val="95"/>
        </w:rPr>
        <w:t>所</w:t>
      </w:r>
      <w:r>
        <w:rPr>
          <w:w w:val="95"/>
        </w:rPr>
        <w:t>对应获</w:t>
      </w:r>
      <w:r>
        <w:rPr>
          <w:w w:val="95"/>
        </w:rPr>
        <w:t>得</w:t>
      </w:r>
      <w:r>
        <w:rPr>
          <w:spacing w:val="-2"/>
        </w:rPr>
        <w:t>的医保补偿金额进行累计。当累计医保补偿金额达到下列标准时，我们将依</w:t>
      </w:r>
      <w:r>
        <w:rPr>
          <w:spacing w:val="-2"/>
        </w:rPr>
        <w:t>次对应给付疾病治疗津贴保险金：</w:t>
      </w:r>
    </w:p>
    <w:p>
      <w:pPr>
        <w:pStyle w:val="ListParagraph"/>
        <w:numPr>
          <w:ilvl w:val="0"/>
          <w:numId w:val="4"/>
        </w:numPr>
        <w:tabs>
          <w:tab w:pos="465" w:val="left" w:leader="none"/>
        </w:tabs>
        <w:spacing w:line="273" w:lineRule="auto" w:before="11" w:after="0"/>
        <w:ind w:left="252" w:right="275" w:firstLine="0"/>
        <w:jc w:val="both"/>
        <w:rPr>
          <w:sz w:val="21"/>
        </w:rPr>
      </w:pPr>
      <w:r>
        <w:rPr>
          <w:spacing w:val="-2"/>
          <w:sz w:val="21"/>
        </w:rPr>
        <w:t>当累计医保补偿金额达到人民币 </w:t>
      </w:r>
      <w:r>
        <w:rPr>
          <w:sz w:val="21"/>
        </w:rPr>
        <w:t>5</w:t>
      </w:r>
      <w:r>
        <w:rPr>
          <w:spacing w:val="-5"/>
          <w:sz w:val="21"/>
        </w:rPr>
        <w:t> 万元，我们将按本主险合同的基本保险</w:t>
      </w:r>
      <w:r>
        <w:rPr>
          <w:spacing w:val="-2"/>
          <w:sz w:val="21"/>
        </w:rPr>
        <w:t>金额给付第一次疾病治疗津贴保险金，并豁免本主险合同自上述标准达到之</w:t>
      </w:r>
      <w:r>
        <w:rPr>
          <w:w w:val="95"/>
          <w:sz w:val="21"/>
        </w:rPr>
        <w:t>日</w:t>
      </w:r>
      <w:r>
        <w:rPr>
          <w:w w:val="95"/>
          <w:sz w:val="21"/>
        </w:rPr>
        <w:t>起</w:t>
      </w:r>
      <w:r>
        <w:rPr>
          <w:w w:val="95"/>
          <w:sz w:val="21"/>
        </w:rPr>
        <w:t>的续期保险费，</w:t>
      </w:r>
      <w:r>
        <w:rPr>
          <w:b/>
          <w:i/>
          <w:w w:val="95"/>
          <w:sz w:val="22"/>
        </w:rPr>
        <w:t>同时本主险合同的现金价值（见 9.10）降为零，</w:t>
      </w:r>
      <w:r>
        <w:rPr>
          <w:w w:val="95"/>
          <w:sz w:val="21"/>
        </w:rPr>
        <w:t>本主</w:t>
      </w:r>
      <w:r>
        <w:rPr>
          <w:w w:val="95"/>
          <w:sz w:val="21"/>
        </w:rPr>
        <w:t>险</w:t>
      </w:r>
      <w:r>
        <w:rPr>
          <w:spacing w:val="-2"/>
          <w:sz w:val="21"/>
        </w:rPr>
        <w:t>合同继续有效；</w:t>
      </w:r>
    </w:p>
    <w:p>
      <w:pPr>
        <w:pStyle w:val="ListParagraph"/>
        <w:numPr>
          <w:ilvl w:val="0"/>
          <w:numId w:val="4"/>
        </w:numPr>
        <w:tabs>
          <w:tab w:pos="465" w:val="left" w:leader="none"/>
        </w:tabs>
        <w:spacing w:line="278" w:lineRule="auto" w:before="7" w:after="0"/>
        <w:ind w:left="252" w:right="260" w:firstLine="0"/>
        <w:jc w:val="both"/>
        <w:rPr>
          <w:sz w:val="21"/>
        </w:rPr>
      </w:pPr>
      <w:r>
        <w:rPr>
          <w:spacing w:val="-5"/>
          <w:sz w:val="21"/>
        </w:rPr>
        <w:t>当累计医保补偿金额达到人民币 </w:t>
      </w:r>
      <w:r>
        <w:rPr>
          <w:spacing w:val="-4"/>
          <w:sz w:val="21"/>
        </w:rPr>
        <w:t>10</w:t>
      </w:r>
      <w:r>
        <w:rPr>
          <w:spacing w:val="-7"/>
          <w:sz w:val="21"/>
        </w:rPr>
        <w:t> 万元，我们将按本主险合同的基本保险</w:t>
      </w:r>
      <w:r>
        <w:rPr>
          <w:spacing w:val="-2"/>
          <w:sz w:val="21"/>
        </w:rPr>
        <w:t>金额给付第二次疾病治疗津贴保险金，本主险合同继续有效；</w:t>
      </w:r>
    </w:p>
    <w:p>
      <w:pPr>
        <w:pStyle w:val="ListParagraph"/>
        <w:numPr>
          <w:ilvl w:val="0"/>
          <w:numId w:val="4"/>
        </w:numPr>
        <w:tabs>
          <w:tab w:pos="465" w:val="left" w:leader="none"/>
        </w:tabs>
        <w:spacing w:line="278" w:lineRule="auto" w:before="0" w:after="0"/>
        <w:ind w:left="252" w:right="260" w:firstLine="0"/>
        <w:jc w:val="both"/>
        <w:rPr>
          <w:sz w:val="21"/>
        </w:rPr>
      </w:pPr>
      <w:r>
        <w:rPr>
          <w:spacing w:val="-5"/>
          <w:sz w:val="21"/>
        </w:rPr>
        <w:t>当累计医保补偿金额达到人民币 </w:t>
      </w:r>
      <w:r>
        <w:rPr>
          <w:spacing w:val="-4"/>
          <w:sz w:val="21"/>
        </w:rPr>
        <w:t>15</w:t>
      </w:r>
      <w:r>
        <w:rPr>
          <w:spacing w:val="-7"/>
          <w:sz w:val="21"/>
        </w:rPr>
        <w:t> 万元，我们将按本主险合同的基本保险</w:t>
      </w:r>
      <w:r>
        <w:rPr>
          <w:spacing w:val="-2"/>
          <w:sz w:val="21"/>
        </w:rPr>
        <w:t>金额给付第三次疾病治疗津贴保险金，本主险合同继续有效；</w:t>
      </w:r>
    </w:p>
    <w:p>
      <w:pPr>
        <w:pStyle w:val="ListParagraph"/>
        <w:numPr>
          <w:ilvl w:val="0"/>
          <w:numId w:val="4"/>
        </w:numPr>
        <w:tabs>
          <w:tab w:pos="465" w:val="left" w:leader="none"/>
        </w:tabs>
        <w:spacing w:line="278" w:lineRule="auto" w:before="0" w:after="0"/>
        <w:ind w:left="252" w:right="260" w:firstLine="0"/>
        <w:jc w:val="both"/>
        <w:rPr>
          <w:sz w:val="21"/>
        </w:rPr>
      </w:pPr>
      <w:r>
        <w:rPr>
          <w:spacing w:val="-5"/>
          <w:sz w:val="21"/>
        </w:rPr>
        <w:t>当累计医保补偿金额达到人民币 </w:t>
      </w:r>
      <w:r>
        <w:rPr>
          <w:spacing w:val="-4"/>
          <w:sz w:val="21"/>
        </w:rPr>
        <w:t>20</w:t>
      </w:r>
      <w:r>
        <w:rPr>
          <w:spacing w:val="-7"/>
          <w:sz w:val="21"/>
        </w:rPr>
        <w:t> 万元，我们将按本主险合同基本保险金</w:t>
      </w:r>
      <w:r>
        <w:rPr>
          <w:spacing w:val="-8"/>
          <w:sz w:val="21"/>
        </w:rPr>
        <w:t>额的 </w:t>
      </w:r>
      <w:r>
        <w:rPr>
          <w:sz w:val="21"/>
        </w:rPr>
        <w:t>2</w:t>
      </w:r>
      <w:r>
        <w:rPr>
          <w:spacing w:val="-5"/>
          <w:sz w:val="21"/>
        </w:rPr>
        <w:t> 倍给付第四次疾病治疗津贴保险金，本主险合同继续有效；</w:t>
      </w:r>
    </w:p>
    <w:p>
      <w:pPr>
        <w:pStyle w:val="ListParagraph"/>
        <w:numPr>
          <w:ilvl w:val="0"/>
          <w:numId w:val="4"/>
        </w:numPr>
        <w:tabs>
          <w:tab w:pos="465" w:val="left" w:leader="none"/>
        </w:tabs>
        <w:spacing w:line="278" w:lineRule="auto" w:before="0" w:after="0"/>
        <w:ind w:left="252" w:right="260" w:firstLine="0"/>
        <w:jc w:val="both"/>
        <w:rPr>
          <w:sz w:val="21"/>
        </w:rPr>
      </w:pPr>
      <w:r>
        <w:rPr>
          <w:spacing w:val="-5"/>
          <w:sz w:val="21"/>
        </w:rPr>
        <w:t>当累计医保补偿金额达到人民币 </w:t>
      </w:r>
      <w:r>
        <w:rPr>
          <w:spacing w:val="-4"/>
          <w:sz w:val="21"/>
        </w:rPr>
        <w:t>30</w:t>
      </w:r>
      <w:r>
        <w:rPr>
          <w:spacing w:val="-7"/>
          <w:sz w:val="21"/>
        </w:rPr>
        <w:t> 万元，我们将按本主险合同基本保险金</w:t>
      </w:r>
      <w:r>
        <w:rPr>
          <w:spacing w:val="-8"/>
          <w:sz w:val="21"/>
        </w:rPr>
        <w:t>额的 </w:t>
      </w:r>
      <w:r>
        <w:rPr>
          <w:sz w:val="21"/>
        </w:rPr>
        <w:t>5</w:t>
      </w:r>
      <w:r>
        <w:rPr>
          <w:spacing w:val="-5"/>
          <w:sz w:val="21"/>
        </w:rPr>
        <w:t> 倍给付第五次疾病治疗津贴保险金，本主险合同效力终止。</w:t>
      </w:r>
    </w:p>
    <w:p>
      <w:pPr>
        <w:pStyle w:val="BodyText"/>
        <w:spacing w:before="3"/>
        <w:rPr>
          <w:sz w:val="24"/>
        </w:rPr>
      </w:pPr>
    </w:p>
    <w:p>
      <w:pPr>
        <w:pStyle w:val="BodyText"/>
        <w:spacing w:line="278" w:lineRule="auto"/>
        <w:ind w:left="252" w:right="3493"/>
        <w:jc w:val="both"/>
      </w:pPr>
      <w:r>
        <w:rPr>
          <w:w w:val="95"/>
        </w:rPr>
        <w:t>合</w:t>
      </w:r>
      <w:r>
        <w:rPr>
          <w:w w:val="95"/>
        </w:rPr>
        <w:t>理</w:t>
      </w:r>
      <w:r>
        <w:rPr>
          <w:w w:val="95"/>
        </w:rPr>
        <w:t>且必要的医疗费用包括下述 1-4 类： </w:t>
      </w:r>
      <w:r>
        <w:rPr>
          <w:spacing w:val="-2"/>
        </w:rPr>
        <w:t>1.住院医疗费用</w:t>
      </w:r>
    </w:p>
    <w:p>
      <w:pPr>
        <w:pStyle w:val="BodyText"/>
        <w:spacing w:line="278" w:lineRule="auto"/>
        <w:ind w:left="252" w:right="342"/>
        <w:jc w:val="both"/>
      </w:pPr>
      <w:r>
        <w:rPr>
          <w:spacing w:val="-6"/>
        </w:rPr>
        <w:t>指被保险人在住院（</w:t>
      </w:r>
      <w:r>
        <w:rPr>
          <w:spacing w:val="-7"/>
        </w:rPr>
        <w:t>见 </w:t>
      </w:r>
      <w:r>
        <w:rPr>
          <w:spacing w:val="-6"/>
        </w:rPr>
        <w:t>9.11）期间发生的住院医疗费用（</w:t>
      </w:r>
      <w:r>
        <w:rPr>
          <w:spacing w:val="-7"/>
        </w:rPr>
        <w:t>见 </w:t>
      </w:r>
      <w:r>
        <w:rPr>
          <w:spacing w:val="13"/>
        </w:rPr>
        <w:t>9</w:t>
      </w:r>
      <w:r>
        <w:rPr>
          <w:spacing w:val="16"/>
        </w:rPr>
        <w:t>.12</w:t>
      </w:r>
      <w:r>
        <w:rPr>
          <w:spacing w:val="-92"/>
        </w:rPr>
        <w:t>）</w:t>
      </w:r>
      <w:r>
        <w:rPr>
          <w:spacing w:val="-6"/>
        </w:rPr>
        <w:t>。对于本</w:t>
      </w:r>
      <w:r>
        <w:rPr>
          <w:spacing w:val="-3"/>
        </w:rPr>
        <w:t>主险合同保险期间届满前发生的且延续至本主险合同保险期间届满后 </w:t>
      </w:r>
      <w:r>
        <w:rPr>
          <w:spacing w:val="-2"/>
        </w:rPr>
        <w:t>180</w:t>
      </w:r>
      <w:r>
        <w:rPr>
          <w:spacing w:val="-13"/>
        </w:rPr>
        <w:t> 日</w:t>
      </w:r>
      <w:r>
        <w:rPr>
          <w:spacing w:val="-2"/>
        </w:rPr>
        <w:t>内的住院医疗费用，我们仍将按照本主险合同的约定对医保补偿金额进行累</w:t>
      </w:r>
      <w:r>
        <w:rPr>
          <w:spacing w:val="-6"/>
        </w:rPr>
        <w:t>计。</w:t>
      </w:r>
    </w:p>
    <w:p>
      <w:pPr>
        <w:pStyle w:val="ListParagraph"/>
        <w:numPr>
          <w:ilvl w:val="0"/>
          <w:numId w:val="5"/>
        </w:numPr>
        <w:tabs>
          <w:tab w:pos="465" w:val="left" w:leader="none"/>
        </w:tabs>
        <w:spacing w:line="269" w:lineRule="exact" w:before="0" w:after="0"/>
        <w:ind w:left="464" w:right="0" w:hanging="213"/>
        <w:jc w:val="left"/>
        <w:rPr>
          <w:sz w:val="21"/>
        </w:rPr>
      </w:pPr>
      <w:r>
        <w:rPr>
          <w:spacing w:val="-4"/>
          <w:sz w:val="21"/>
        </w:rPr>
        <w:t>特殊门诊医疗费用</w:t>
      </w:r>
    </w:p>
    <w:p>
      <w:pPr>
        <w:pStyle w:val="BodyText"/>
        <w:spacing w:before="43"/>
        <w:ind w:left="252"/>
      </w:pPr>
      <w:r>
        <w:rPr>
          <w:spacing w:val="-3"/>
        </w:rPr>
        <w:t>指被保险人在特殊门诊治疗期间发生的特殊门诊医疗费用，包括：</w:t>
      </w:r>
    </w:p>
    <w:p>
      <w:pPr>
        <w:pStyle w:val="BodyText"/>
        <w:spacing w:line="278" w:lineRule="auto" w:before="43"/>
        <w:ind w:left="252" w:right="157"/>
      </w:pPr>
      <w:r>
        <w:rPr>
          <w:spacing w:val="-4"/>
        </w:rPr>
        <w:t>（1）门诊“恶性肿瘤</w:t>
      </w:r>
      <w:r>
        <w:rPr>
          <w:b/>
          <w:spacing w:val="-4"/>
        </w:rPr>
        <w:t>——</w:t>
      </w:r>
      <w:r>
        <w:rPr>
          <w:spacing w:val="-41"/>
        </w:rPr>
        <w:t>重度”</w:t>
      </w:r>
      <w:r>
        <w:rPr/>
        <w:t>（</w:t>
      </w:r>
      <w:r>
        <w:rPr>
          <w:spacing w:val="-27"/>
        </w:rPr>
        <w:t>见 </w:t>
      </w:r>
      <w:r>
        <w:rPr>
          <w:spacing w:val="17"/>
        </w:rPr>
        <w:t>9.1</w:t>
      </w:r>
      <w:r>
        <w:rPr>
          <w:spacing w:val="14"/>
        </w:rPr>
        <w:t>3</w:t>
      </w:r>
      <w:r>
        <w:rPr>
          <w:spacing w:val="-89"/>
        </w:rPr>
        <w:t>）</w:t>
      </w:r>
      <w:r>
        <w:rPr>
          <w:spacing w:val="-26"/>
        </w:rPr>
        <w:t>、“恶性肿瘤——轻度”</w:t>
      </w:r>
      <w:r>
        <w:rPr/>
        <w:t>（</w:t>
      </w:r>
      <w:r>
        <w:rPr>
          <w:spacing w:val="-27"/>
        </w:rPr>
        <w:t>见 </w:t>
      </w:r>
      <w:r>
        <w:rPr>
          <w:spacing w:val="-4"/>
        </w:rPr>
        <w:t>9.14）</w:t>
      </w:r>
      <w:r>
        <w:rPr>
          <w:spacing w:val="-10"/>
        </w:rPr>
        <w:t>治疗费用，包括化学疗法（</w:t>
      </w:r>
      <w:r>
        <w:rPr>
          <w:spacing w:val="-24"/>
        </w:rPr>
        <w:t>见 </w:t>
      </w:r>
      <w:r>
        <w:rPr>
          <w:spacing w:val="11"/>
        </w:rPr>
        <w:t>9.</w:t>
      </w:r>
      <w:r>
        <w:rPr>
          <w:spacing w:val="8"/>
        </w:rPr>
        <w:t>1</w:t>
      </w:r>
      <w:r>
        <w:rPr>
          <w:spacing w:val="11"/>
        </w:rPr>
        <w:t>5</w:t>
      </w:r>
      <w:r>
        <w:rPr>
          <w:spacing w:val="-95"/>
        </w:rPr>
        <w:t>）</w:t>
      </w:r>
      <w:r>
        <w:rPr>
          <w:spacing w:val="-10"/>
        </w:rPr>
        <w:t>、放射疗法（</w:t>
      </w:r>
      <w:r>
        <w:rPr>
          <w:spacing w:val="-24"/>
        </w:rPr>
        <w:t>见 </w:t>
      </w:r>
      <w:r>
        <w:rPr>
          <w:spacing w:val="11"/>
        </w:rPr>
        <w:t>9</w:t>
      </w:r>
      <w:r>
        <w:rPr>
          <w:spacing w:val="8"/>
        </w:rPr>
        <w:t>.</w:t>
      </w:r>
      <w:r>
        <w:rPr>
          <w:spacing w:val="11"/>
        </w:rPr>
        <w:t>16</w:t>
      </w:r>
      <w:r>
        <w:rPr>
          <w:spacing w:val="-95"/>
        </w:rPr>
        <w:t>）</w:t>
      </w:r>
      <w:r>
        <w:rPr>
          <w:spacing w:val="-10"/>
        </w:rPr>
        <w:t>、肿瘤免疫疗法（见</w:t>
      </w:r>
      <w:r>
        <w:rPr>
          <w:spacing w:val="-10"/>
        </w:rPr>
        <w:t> </w:t>
      </w:r>
      <w:r>
        <w:rPr>
          <w:spacing w:val="17"/>
        </w:rPr>
        <w:t>9.17</w:t>
      </w:r>
      <w:r>
        <w:rPr>
          <w:spacing w:val="-91"/>
        </w:rPr>
        <w:t>）</w:t>
      </w:r>
      <w:r>
        <w:rPr>
          <w:spacing w:val="-4"/>
        </w:rPr>
        <w:t>、肿瘤内分泌疗法（</w:t>
      </w:r>
      <w:r>
        <w:rPr>
          <w:spacing w:val="-26"/>
        </w:rPr>
        <w:t>见 </w:t>
      </w:r>
      <w:r>
        <w:rPr>
          <w:spacing w:val="17"/>
        </w:rPr>
        <w:t>9.</w:t>
      </w:r>
      <w:r>
        <w:rPr>
          <w:spacing w:val="14"/>
        </w:rPr>
        <w:t>1</w:t>
      </w:r>
      <w:r>
        <w:rPr>
          <w:spacing w:val="17"/>
        </w:rPr>
        <w:t>8</w:t>
      </w:r>
      <w:r>
        <w:rPr>
          <w:spacing w:val="-89"/>
        </w:rPr>
        <w:t>）</w:t>
      </w:r>
      <w:r>
        <w:rPr>
          <w:spacing w:val="-4"/>
        </w:rPr>
        <w:t>、肿瘤靶向疗法（</w:t>
      </w:r>
      <w:r>
        <w:rPr>
          <w:spacing w:val="-26"/>
        </w:rPr>
        <w:t>见 </w:t>
      </w:r>
      <w:r>
        <w:rPr>
          <w:spacing w:val="-4"/>
        </w:rPr>
        <w:t>9.19）的治疗费用；</w:t>
      </w:r>
    </w:p>
    <w:p>
      <w:pPr>
        <w:pStyle w:val="ListParagraph"/>
        <w:numPr>
          <w:ilvl w:val="0"/>
          <w:numId w:val="6"/>
        </w:numPr>
        <w:tabs>
          <w:tab w:pos="782" w:val="left" w:leader="none"/>
        </w:tabs>
        <w:spacing w:line="269" w:lineRule="exact" w:before="0" w:after="0"/>
        <w:ind w:left="781" w:right="0" w:hanging="530"/>
        <w:jc w:val="left"/>
        <w:rPr>
          <w:sz w:val="21"/>
        </w:rPr>
      </w:pPr>
      <w:r>
        <w:rPr>
          <w:spacing w:val="-2"/>
          <w:sz w:val="21"/>
        </w:rPr>
        <w:t>门诊肾透析（</w:t>
      </w:r>
      <w:r>
        <w:rPr>
          <w:spacing w:val="-26"/>
          <w:sz w:val="21"/>
        </w:rPr>
        <w:t>见 </w:t>
      </w:r>
      <w:r>
        <w:rPr>
          <w:spacing w:val="-2"/>
          <w:sz w:val="21"/>
        </w:rPr>
        <w:t>9.20）</w:t>
      </w:r>
      <w:r>
        <w:rPr>
          <w:spacing w:val="-7"/>
          <w:sz w:val="21"/>
        </w:rPr>
        <w:t>费；</w:t>
      </w:r>
    </w:p>
    <w:p>
      <w:pPr>
        <w:pStyle w:val="ListParagraph"/>
        <w:numPr>
          <w:ilvl w:val="0"/>
          <w:numId w:val="6"/>
        </w:numPr>
        <w:tabs>
          <w:tab w:pos="782" w:val="left" w:leader="none"/>
        </w:tabs>
        <w:spacing w:line="240" w:lineRule="auto" w:before="43" w:after="0"/>
        <w:ind w:left="781" w:right="0" w:hanging="530"/>
        <w:jc w:val="left"/>
        <w:rPr>
          <w:sz w:val="21"/>
        </w:rPr>
      </w:pPr>
      <w:r>
        <w:rPr>
          <w:spacing w:val="-3"/>
          <w:sz w:val="21"/>
        </w:rPr>
        <w:t>器官移植后的门诊抗排异治疗费用。</w:t>
      </w:r>
    </w:p>
    <w:p>
      <w:pPr>
        <w:spacing w:after="0" w:line="240" w:lineRule="auto"/>
        <w:jc w:val="left"/>
        <w:rPr>
          <w:sz w:val="21"/>
        </w:rPr>
        <w:sectPr>
          <w:type w:val="continuous"/>
          <w:pgSz w:w="11910" w:h="16840"/>
          <w:pgMar w:top="300" w:bottom="280" w:left="1060" w:right="660"/>
          <w:cols w:num="2" w:equalWidth="0">
            <w:col w:w="2613" w:space="40"/>
            <w:col w:w="7537"/>
          </w:cols>
        </w:sectPr>
      </w:pPr>
    </w:p>
    <w:p>
      <w:pPr>
        <w:pStyle w:val="ListParagraph"/>
        <w:numPr>
          <w:ilvl w:val="0"/>
          <w:numId w:val="5"/>
        </w:numPr>
        <w:tabs>
          <w:tab w:pos="3118" w:val="left" w:leader="none"/>
        </w:tabs>
        <w:spacing w:line="240" w:lineRule="auto" w:before="61" w:after="0"/>
        <w:ind w:left="3117" w:right="0" w:hanging="214"/>
        <w:jc w:val="left"/>
        <w:rPr>
          <w:sz w:val="21"/>
        </w:rPr>
      </w:pPr>
      <w:r>
        <w:rPr>
          <w:spacing w:val="-4"/>
          <w:sz w:val="21"/>
        </w:rPr>
        <w:t>门诊手术医疗费用</w:t>
      </w:r>
    </w:p>
    <w:p>
      <w:pPr>
        <w:pStyle w:val="BodyText"/>
        <w:spacing w:line="278" w:lineRule="auto" w:before="43"/>
        <w:ind w:left="2904" w:right="1813"/>
      </w:pPr>
      <w:r>
        <w:rPr>
          <w:spacing w:val="-2"/>
        </w:rPr>
        <w:t>指被保险人在门诊手术治疗期间发生的门诊手术医疗费用。 4.住院前后门急诊医疗费用</w:t>
      </w:r>
    </w:p>
    <w:p>
      <w:pPr>
        <w:pStyle w:val="BodyText"/>
        <w:spacing w:line="278" w:lineRule="auto"/>
        <w:ind w:left="2904" w:right="155"/>
      </w:pPr>
      <w:r>
        <w:rPr>
          <w:spacing w:val="-3"/>
          <w:w w:val="100"/>
        </w:rPr>
        <w:t>指被保险人在住院前</w:t>
      </w:r>
      <w:r>
        <w:rPr>
          <w:spacing w:val="-53"/>
        </w:rPr>
        <w:t> </w:t>
      </w:r>
      <w:r>
        <w:rPr>
          <w:w w:val="100"/>
        </w:rPr>
        <w:t>30</w:t>
      </w:r>
      <w:r>
        <w:rPr>
          <w:spacing w:val="-55"/>
        </w:rPr>
        <w:t> </w:t>
      </w:r>
      <w:r>
        <w:rPr>
          <w:spacing w:val="-3"/>
          <w:w w:val="100"/>
        </w:rPr>
        <w:t>日</w:t>
      </w:r>
      <w:r>
        <w:rPr>
          <w:w w:val="100"/>
        </w:rPr>
        <w:t>（</w:t>
      </w:r>
      <w:r>
        <w:rPr>
          <w:spacing w:val="-3"/>
          <w:w w:val="100"/>
        </w:rPr>
        <w:t>含住院当日）内或出院后</w:t>
      </w:r>
      <w:r>
        <w:rPr>
          <w:spacing w:val="-53"/>
        </w:rPr>
        <w:t> </w:t>
      </w:r>
      <w:r>
        <w:rPr>
          <w:w w:val="100"/>
        </w:rPr>
        <w:t>30</w:t>
      </w:r>
      <w:r>
        <w:rPr>
          <w:spacing w:val="-55"/>
        </w:rPr>
        <w:t> </w:t>
      </w:r>
      <w:r>
        <w:rPr>
          <w:w w:val="100"/>
        </w:rPr>
        <w:t>日</w:t>
      </w:r>
      <w:r>
        <w:rPr>
          <w:spacing w:val="-3"/>
          <w:w w:val="100"/>
        </w:rPr>
        <w:t>（含出院当日</w:t>
      </w:r>
      <w:r>
        <w:rPr>
          <w:w w:val="100"/>
        </w:rPr>
        <w:t>）</w:t>
      </w:r>
      <w:r>
        <w:rPr>
          <w:w w:val="100"/>
        </w:rPr>
        <w:t> </w:t>
      </w:r>
      <w:r>
        <w:rPr>
          <w:spacing w:val="-5"/>
          <w:w w:val="100"/>
        </w:rPr>
        <w:t>内发生的与该次住院相同原因的门急诊医疗费用，包括诊疗费、检查检验费、</w:t>
      </w:r>
      <w:r>
        <w:rPr>
          <w:spacing w:val="-4"/>
          <w:w w:val="100"/>
        </w:rPr>
        <w:t>治疗费、药品费、救护车使用费</w:t>
      </w:r>
      <w:r>
        <w:rPr>
          <w:w w:val="100"/>
        </w:rPr>
        <w:t>（</w:t>
      </w:r>
      <w:r>
        <w:rPr>
          <w:spacing w:val="-3"/>
          <w:w w:val="100"/>
        </w:rPr>
        <w:t>但不包括特殊门诊医疗费用和门诊手术医疗费用</w:t>
      </w:r>
      <w:r>
        <w:rPr>
          <w:spacing w:val="-106"/>
          <w:w w:val="100"/>
        </w:rPr>
        <w:t>）</w:t>
      </w:r>
      <w:r>
        <w:rPr>
          <w:w w:val="100"/>
        </w:rPr>
        <w:t>。</w:t>
      </w:r>
    </w:p>
    <w:p>
      <w:pPr>
        <w:pStyle w:val="BodyText"/>
        <w:spacing w:before="3"/>
        <w:rPr>
          <w:sz w:val="24"/>
        </w:rPr>
      </w:pPr>
    </w:p>
    <w:p>
      <w:pPr>
        <w:pStyle w:val="ListParagraph"/>
        <w:numPr>
          <w:ilvl w:val="1"/>
          <w:numId w:val="3"/>
        </w:numPr>
        <w:tabs>
          <w:tab w:pos="1344" w:val="left" w:leader="none"/>
          <w:tab w:pos="1345" w:val="left" w:leader="none"/>
          <w:tab w:pos="2904" w:val="left" w:leader="none"/>
        </w:tabs>
        <w:spacing w:line="278" w:lineRule="auto" w:before="0" w:after="0"/>
        <w:ind w:left="2904" w:right="263" w:hanging="2696"/>
        <w:jc w:val="left"/>
        <w:rPr>
          <w:rFonts w:ascii="黑体" w:eastAsia="黑体" w:hint="eastAsia"/>
          <w:b/>
          <w:sz w:val="21"/>
        </w:rPr>
      </w:pPr>
      <w:r>
        <w:rPr>
          <w:rFonts w:ascii="黑体" w:eastAsia="黑体" w:hint="eastAsia"/>
          <w:b/>
          <w:spacing w:val="-4"/>
          <w:sz w:val="21"/>
        </w:rPr>
        <w:t>责</w:t>
      </w:r>
      <w:r>
        <w:rPr>
          <w:rFonts w:ascii="黑体" w:eastAsia="黑体" w:hint="eastAsia"/>
          <w:b/>
          <w:spacing w:val="-4"/>
          <w:sz w:val="21"/>
        </w:rPr>
        <w:t>任</w:t>
      </w:r>
      <w:r>
        <w:rPr>
          <w:rFonts w:ascii="黑体" w:eastAsia="黑体" w:hint="eastAsia"/>
          <w:b/>
          <w:spacing w:val="-4"/>
          <w:sz w:val="21"/>
        </w:rPr>
        <w:t>免</w:t>
      </w:r>
      <w:r>
        <w:rPr>
          <w:rFonts w:ascii="黑体" w:eastAsia="黑体" w:hint="eastAsia"/>
          <w:b/>
          <w:spacing w:val="-4"/>
          <w:sz w:val="21"/>
        </w:rPr>
        <w:t>除</w:t>
      </w:r>
      <w:r>
        <w:rPr>
          <w:rFonts w:ascii="黑体" w:eastAsia="黑体" w:hint="eastAsia"/>
          <w:b/>
          <w:sz w:val="21"/>
        </w:rPr>
        <w:tab/>
      </w:r>
      <w:r>
        <w:rPr>
          <w:rFonts w:ascii="黑体" w:eastAsia="黑体" w:hint="eastAsia"/>
          <w:b/>
          <w:spacing w:val="-2"/>
          <w:sz w:val="21"/>
        </w:rPr>
        <w:t>发生下列情形之一导</w:t>
      </w:r>
      <w:r>
        <w:rPr>
          <w:rFonts w:ascii="黑体" w:eastAsia="黑体" w:hint="eastAsia"/>
          <w:b/>
          <w:spacing w:val="-2"/>
          <w:sz w:val="21"/>
        </w:rPr>
        <w:t>致</w:t>
      </w:r>
      <w:r>
        <w:rPr>
          <w:rFonts w:ascii="黑体" w:eastAsia="黑体" w:hint="eastAsia"/>
          <w:b/>
          <w:spacing w:val="-2"/>
          <w:sz w:val="21"/>
        </w:rPr>
        <w:t>被</w:t>
      </w:r>
      <w:r>
        <w:rPr>
          <w:rFonts w:ascii="黑体" w:eastAsia="黑体" w:hint="eastAsia"/>
          <w:b/>
          <w:spacing w:val="-2"/>
          <w:sz w:val="21"/>
        </w:rPr>
        <w:t>保险人发生医疗费用</w:t>
      </w:r>
      <w:r>
        <w:rPr>
          <w:rFonts w:ascii="黑体" w:eastAsia="黑体" w:hint="eastAsia"/>
          <w:b/>
          <w:spacing w:val="-2"/>
          <w:sz w:val="21"/>
        </w:rPr>
        <w:t>的</w:t>
      </w:r>
      <w:r>
        <w:rPr>
          <w:rFonts w:ascii="黑体" w:eastAsia="黑体" w:hint="eastAsia"/>
          <w:b/>
          <w:spacing w:val="-2"/>
          <w:sz w:val="21"/>
        </w:rPr>
        <w:t>，我们不对医保补偿金额进</w:t>
      </w:r>
      <w:r>
        <w:rPr>
          <w:rFonts w:ascii="黑体" w:eastAsia="黑体" w:hint="eastAsia"/>
          <w:b/>
          <w:spacing w:val="-4"/>
          <w:sz w:val="21"/>
        </w:rPr>
        <w:t>行</w:t>
      </w:r>
      <w:r>
        <w:rPr>
          <w:rFonts w:ascii="黑体" w:eastAsia="黑体" w:hint="eastAsia"/>
          <w:b/>
          <w:spacing w:val="-4"/>
          <w:sz w:val="21"/>
        </w:rPr>
        <w:t>累</w:t>
      </w:r>
      <w:r>
        <w:rPr>
          <w:rFonts w:ascii="黑体" w:eastAsia="黑体" w:hint="eastAsia"/>
          <w:b/>
          <w:spacing w:val="-4"/>
          <w:sz w:val="21"/>
        </w:rPr>
        <w:t>计</w:t>
      </w:r>
      <w:r>
        <w:rPr>
          <w:rFonts w:ascii="黑体" w:eastAsia="黑体" w:hint="eastAsia"/>
          <w:b/>
          <w:spacing w:val="-4"/>
          <w:sz w:val="21"/>
        </w:rPr>
        <w:t>。</w:t>
      </w:r>
    </w:p>
    <w:p>
      <w:pPr>
        <w:spacing w:line="269" w:lineRule="exact" w:before="0"/>
        <w:ind w:left="2904" w:right="0" w:firstLine="0"/>
        <w:jc w:val="left"/>
        <w:rPr>
          <w:rFonts w:ascii="黑体" w:eastAsia="黑体" w:hint="eastAsia"/>
          <w:b/>
          <w:sz w:val="21"/>
        </w:rPr>
      </w:pPr>
      <w:r>
        <w:rPr>
          <w:rFonts w:ascii="黑体" w:eastAsia="黑体" w:hint="eastAsia"/>
          <w:b/>
          <w:w w:val="95"/>
          <w:sz w:val="21"/>
        </w:rPr>
        <w:t>(一)</w:t>
      </w:r>
      <w:r>
        <w:rPr>
          <w:rFonts w:ascii="黑体" w:eastAsia="黑体" w:hint="eastAsia"/>
          <w:b/>
          <w:spacing w:val="23"/>
          <w:sz w:val="21"/>
        </w:rPr>
        <w:t>  </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对</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的故意杀害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line="278" w:lineRule="auto" w:before="44"/>
        <w:ind w:left="3377" w:right="263" w:hanging="473"/>
        <w:jc w:val="left"/>
        <w:rPr>
          <w:rFonts w:ascii="黑体" w:eastAsia="黑体" w:hint="eastAsia"/>
          <w:b/>
          <w:sz w:val="21"/>
        </w:rPr>
      </w:pPr>
      <w:r>
        <w:rPr>
          <w:rFonts w:ascii="黑体" w:eastAsia="黑体" w:hint="eastAsia"/>
          <w:b/>
          <w:spacing w:val="-8"/>
          <w:sz w:val="21"/>
        </w:rPr>
        <w:t>(二) 被保险人故意自伤、故意犯罪、抗拒依法采取的刑事强制措施或自杀，</w:t>
      </w:r>
      <w:r>
        <w:rPr>
          <w:rFonts w:ascii="黑体" w:eastAsia="黑体" w:hint="eastAsia"/>
          <w:b/>
          <w:spacing w:val="-2"/>
          <w:sz w:val="21"/>
        </w:rPr>
        <w:t>但被保险人自杀时为无民事行为能力人的除外；</w:t>
      </w:r>
    </w:p>
    <w:p>
      <w:pPr>
        <w:spacing w:line="269" w:lineRule="exact" w:before="0"/>
        <w:ind w:left="2904" w:right="0" w:firstLine="0"/>
        <w:jc w:val="left"/>
        <w:rPr>
          <w:rFonts w:ascii="黑体" w:eastAsia="黑体" w:hint="eastAsia"/>
          <w:b/>
          <w:sz w:val="21"/>
        </w:rPr>
      </w:pPr>
      <w:r>
        <w:rPr>
          <w:rFonts w:ascii="黑体" w:eastAsia="黑体" w:hint="eastAsia"/>
          <w:b/>
          <w:w w:val="95"/>
          <w:sz w:val="21"/>
        </w:rPr>
        <w:t>(三)</w:t>
      </w:r>
      <w:r>
        <w:rPr>
          <w:rFonts w:ascii="黑体" w:eastAsia="黑体" w:hint="eastAsia"/>
          <w:b/>
          <w:spacing w:val="79"/>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斗</w:t>
      </w:r>
      <w:r>
        <w:rPr>
          <w:rFonts w:ascii="黑体" w:eastAsia="黑体" w:hint="eastAsia"/>
          <w:b/>
          <w:w w:val="95"/>
          <w:sz w:val="21"/>
        </w:rPr>
        <w:t>殴</w:t>
      </w:r>
      <w:r>
        <w:rPr>
          <w:rFonts w:ascii="黑体" w:eastAsia="黑体" w:hint="eastAsia"/>
          <w:b/>
          <w:w w:val="95"/>
          <w:sz w:val="21"/>
        </w:rPr>
        <w:t>，</w:t>
      </w:r>
      <w:r>
        <w:rPr>
          <w:rFonts w:ascii="黑体" w:eastAsia="黑体" w:hint="eastAsia"/>
          <w:b/>
          <w:w w:val="95"/>
          <w:sz w:val="21"/>
        </w:rPr>
        <w:t>酗</w:t>
      </w:r>
      <w:r>
        <w:rPr>
          <w:rFonts w:ascii="黑体" w:eastAsia="黑体" w:hint="eastAsia"/>
          <w:b/>
          <w:w w:val="95"/>
          <w:sz w:val="21"/>
        </w:rPr>
        <w:t>酒，服用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见</w:t>
      </w:r>
      <w:r>
        <w:rPr>
          <w:rFonts w:ascii="黑体" w:eastAsia="黑体" w:hint="eastAsia"/>
          <w:b/>
          <w:spacing w:val="56"/>
          <w:sz w:val="21"/>
        </w:rPr>
        <w:t> </w:t>
      </w:r>
      <w:r>
        <w:rPr>
          <w:rFonts w:ascii="黑体" w:eastAsia="黑体" w:hint="eastAsia"/>
          <w:b/>
          <w:spacing w:val="15"/>
          <w:w w:val="94"/>
          <w:sz w:val="21"/>
        </w:rPr>
        <w:t>9.21</w:t>
      </w:r>
      <w:r>
        <w:rPr>
          <w:rFonts w:ascii="黑体" w:eastAsia="黑体" w:hint="eastAsia"/>
          <w:b/>
          <w:spacing w:val="-91"/>
          <w:w w:val="95"/>
          <w:sz w:val="21"/>
        </w:rPr>
        <w:t>）</w:t>
      </w:r>
      <w:r>
        <w:rPr>
          <w:rFonts w:ascii="黑体" w:eastAsia="黑体" w:hint="eastAsia"/>
          <w:b/>
          <w:spacing w:val="15"/>
          <w:w w:val="95"/>
          <w:sz w:val="21"/>
        </w:rPr>
        <w:t>；</w:t>
      </w:r>
    </w:p>
    <w:p>
      <w:pPr>
        <w:spacing w:line="278" w:lineRule="auto" w:before="42"/>
        <w:ind w:left="3377" w:right="263" w:hanging="473"/>
        <w:jc w:val="left"/>
        <w:rPr>
          <w:rFonts w:ascii="黑体" w:eastAsia="黑体" w:hint="eastAsia"/>
          <w:b/>
          <w:sz w:val="21"/>
        </w:rPr>
      </w:pPr>
      <w:r>
        <w:rPr>
          <w:rFonts w:ascii="黑体" w:eastAsia="黑体" w:hint="eastAsia"/>
          <w:b/>
          <w:spacing w:val="-13"/>
          <w:sz w:val="21"/>
        </w:rPr>
        <w:t>(四) 被保险人酒后驾驶</w:t>
      </w:r>
      <w:r>
        <w:rPr>
          <w:rFonts w:ascii="黑体" w:eastAsia="黑体" w:hint="eastAsia"/>
          <w:b/>
          <w:spacing w:val="-6"/>
          <w:sz w:val="21"/>
        </w:rPr>
        <w:t>（见 </w:t>
      </w:r>
      <w:r>
        <w:rPr>
          <w:rFonts w:ascii="黑体" w:eastAsia="黑体" w:hint="eastAsia"/>
          <w:b/>
          <w:spacing w:val="12"/>
          <w:w w:val="99"/>
          <w:sz w:val="21"/>
        </w:rPr>
        <w:t>9</w:t>
      </w:r>
      <w:r>
        <w:rPr>
          <w:rFonts w:ascii="黑体" w:eastAsia="黑体" w:hint="eastAsia"/>
          <w:b/>
          <w:spacing w:val="9"/>
          <w:w w:val="99"/>
          <w:sz w:val="21"/>
        </w:rPr>
        <w:t>.</w:t>
      </w:r>
      <w:r>
        <w:rPr>
          <w:rFonts w:ascii="黑体" w:eastAsia="黑体" w:hint="eastAsia"/>
          <w:b/>
          <w:spacing w:val="12"/>
          <w:w w:val="99"/>
          <w:sz w:val="21"/>
        </w:rPr>
        <w:t>22</w:t>
      </w:r>
      <w:r>
        <w:rPr>
          <w:rFonts w:ascii="黑体" w:eastAsia="黑体" w:hint="eastAsia"/>
          <w:b/>
          <w:spacing w:val="-94"/>
          <w:sz w:val="21"/>
        </w:rPr>
        <w:t>）</w:t>
      </w:r>
      <w:r>
        <w:rPr>
          <w:rFonts w:ascii="黑体" w:eastAsia="黑体" w:hint="eastAsia"/>
          <w:b/>
          <w:spacing w:val="-6"/>
          <w:sz w:val="21"/>
        </w:rPr>
        <w:t>，无合法有效驾驶证驾驶（见 </w:t>
      </w:r>
      <w:r>
        <w:rPr>
          <w:rFonts w:ascii="黑体" w:eastAsia="黑体" w:hint="eastAsia"/>
          <w:b/>
          <w:spacing w:val="11"/>
          <w:w w:val="99"/>
          <w:sz w:val="21"/>
        </w:rPr>
        <w:t>9.23</w:t>
      </w:r>
      <w:r>
        <w:rPr>
          <w:rFonts w:ascii="黑体" w:eastAsia="黑体" w:hint="eastAsia"/>
          <w:b/>
          <w:spacing w:val="-95"/>
          <w:sz w:val="21"/>
        </w:rPr>
        <w:t>）</w:t>
      </w:r>
      <w:r>
        <w:rPr>
          <w:rFonts w:ascii="黑体" w:eastAsia="黑体" w:hint="eastAsia"/>
          <w:b/>
          <w:spacing w:val="2"/>
          <w:sz w:val="21"/>
        </w:rPr>
        <w:t>，或</w:t>
      </w:r>
      <w:r>
        <w:rPr>
          <w:rFonts w:ascii="黑体" w:eastAsia="黑体" w:hint="eastAsia"/>
          <w:b/>
          <w:sz w:val="21"/>
        </w:rPr>
        <w:t>驾驶无合法有效行驶证（</w:t>
      </w:r>
      <w:r>
        <w:rPr>
          <w:rFonts w:ascii="黑体" w:eastAsia="黑体" w:hint="eastAsia"/>
          <w:b/>
          <w:spacing w:val="-14"/>
          <w:sz w:val="21"/>
        </w:rPr>
        <w:t>见 </w:t>
      </w:r>
      <w:r>
        <w:rPr>
          <w:rFonts w:ascii="黑体" w:eastAsia="黑体" w:hint="eastAsia"/>
          <w:b/>
          <w:sz w:val="21"/>
        </w:rPr>
        <w:t>9.24）的机动车（</w:t>
      </w:r>
      <w:r>
        <w:rPr>
          <w:rFonts w:ascii="黑体" w:eastAsia="黑体" w:hint="eastAsia"/>
          <w:b/>
          <w:spacing w:val="-13"/>
          <w:sz w:val="21"/>
        </w:rPr>
        <w:t>见 </w:t>
      </w:r>
      <w:r>
        <w:rPr>
          <w:rFonts w:ascii="黑体" w:eastAsia="黑体" w:hint="eastAsia"/>
          <w:b/>
          <w:spacing w:val="18"/>
          <w:w w:val="99"/>
          <w:sz w:val="21"/>
        </w:rPr>
        <w:t>9</w:t>
      </w:r>
      <w:r>
        <w:rPr>
          <w:rFonts w:ascii="黑体" w:eastAsia="黑体" w:hint="eastAsia"/>
          <w:b/>
          <w:spacing w:val="15"/>
          <w:w w:val="99"/>
          <w:sz w:val="21"/>
        </w:rPr>
        <w:t>.</w:t>
      </w:r>
      <w:r>
        <w:rPr>
          <w:rFonts w:ascii="黑体" w:eastAsia="黑体" w:hint="eastAsia"/>
          <w:b/>
          <w:spacing w:val="17"/>
          <w:w w:val="99"/>
          <w:sz w:val="21"/>
        </w:rPr>
        <w:t>2</w:t>
      </w:r>
      <w:r>
        <w:rPr>
          <w:rFonts w:ascii="黑体" w:eastAsia="黑体" w:hint="eastAsia"/>
          <w:b/>
          <w:spacing w:val="18"/>
          <w:w w:val="99"/>
          <w:sz w:val="21"/>
        </w:rPr>
        <w:t>5</w:t>
      </w:r>
      <w:r>
        <w:rPr>
          <w:rFonts w:ascii="黑体" w:eastAsia="黑体" w:hint="eastAsia"/>
          <w:b/>
          <w:spacing w:val="-88"/>
          <w:sz w:val="21"/>
        </w:rPr>
        <w:t>）</w:t>
      </w:r>
      <w:r>
        <w:rPr>
          <w:rFonts w:ascii="黑体" w:eastAsia="黑体" w:hint="eastAsia"/>
          <w:b/>
          <w:spacing w:val="18"/>
          <w:sz w:val="21"/>
        </w:rPr>
        <w:t>；</w:t>
      </w:r>
    </w:p>
    <w:p>
      <w:pPr>
        <w:spacing w:line="278" w:lineRule="auto" w:before="0"/>
        <w:ind w:left="2904" w:right="2164" w:firstLine="0"/>
        <w:jc w:val="left"/>
        <w:rPr>
          <w:rFonts w:ascii="黑体" w:eastAsia="黑体" w:hint="eastAsia"/>
          <w:b/>
          <w:sz w:val="21"/>
        </w:rPr>
      </w:pPr>
      <w:r>
        <w:rPr>
          <w:rFonts w:ascii="黑体" w:eastAsia="黑体" w:hint="eastAsia"/>
          <w:b/>
          <w:spacing w:val="-9"/>
          <w:sz w:val="21"/>
        </w:rPr>
        <w:t>(五) 被保险人感染艾滋病病毒或患艾滋病</w:t>
      </w:r>
      <w:r>
        <w:rPr>
          <w:rFonts w:ascii="黑体" w:eastAsia="黑体" w:hint="eastAsia"/>
          <w:b/>
          <w:spacing w:val="-2"/>
          <w:sz w:val="21"/>
        </w:rPr>
        <w:t>（</w:t>
      </w:r>
      <w:r>
        <w:rPr>
          <w:rFonts w:ascii="黑体" w:eastAsia="黑体" w:hint="eastAsia"/>
          <w:b/>
          <w:spacing w:val="-28"/>
          <w:sz w:val="21"/>
        </w:rPr>
        <w:t>见 </w:t>
      </w:r>
      <w:r>
        <w:rPr>
          <w:rFonts w:ascii="黑体" w:eastAsia="黑体" w:hint="eastAsia"/>
          <w:b/>
          <w:spacing w:val="15"/>
          <w:w w:val="99"/>
          <w:sz w:val="21"/>
        </w:rPr>
        <w:t>9.26</w:t>
      </w:r>
      <w:r>
        <w:rPr>
          <w:rFonts w:ascii="黑体" w:eastAsia="黑体" w:hint="eastAsia"/>
          <w:b/>
          <w:spacing w:val="-91"/>
          <w:sz w:val="21"/>
        </w:rPr>
        <w:t>）</w:t>
      </w:r>
      <w:r>
        <w:rPr>
          <w:rFonts w:ascii="黑体" w:eastAsia="黑体" w:hint="eastAsia"/>
          <w:b/>
          <w:spacing w:val="15"/>
          <w:sz w:val="21"/>
        </w:rPr>
        <w:t>；</w:t>
      </w:r>
      <w:r>
        <w:rPr>
          <w:rFonts w:ascii="黑体" w:eastAsia="黑体" w:hint="eastAsia"/>
          <w:b/>
          <w:spacing w:val="-3"/>
          <w:w w:val="99"/>
          <w:sz w:val="21"/>
        </w:rPr>
        <w:t> </w:t>
      </w:r>
      <w:r>
        <w:rPr>
          <w:rFonts w:ascii="黑体" w:eastAsia="黑体" w:hint="eastAsia"/>
          <w:b/>
          <w:w w:val="95"/>
          <w:sz w:val="21"/>
        </w:rPr>
        <w:t>(六)</w:t>
      </w:r>
      <w:r>
        <w:rPr>
          <w:rFonts w:ascii="黑体" w:eastAsia="黑体" w:hint="eastAsia"/>
          <w:b/>
          <w:spacing w:val="37"/>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未</w:t>
      </w:r>
      <w:r>
        <w:rPr>
          <w:rFonts w:ascii="黑体" w:eastAsia="黑体" w:hint="eastAsia"/>
          <w:b/>
          <w:w w:val="95"/>
          <w:sz w:val="21"/>
        </w:rPr>
        <w:t>遵</w:t>
      </w:r>
      <w:r>
        <w:rPr>
          <w:rFonts w:ascii="黑体" w:eastAsia="黑体" w:hint="eastAsia"/>
          <w:b/>
          <w:w w:val="95"/>
          <w:sz w:val="21"/>
        </w:rPr>
        <w:t>医</w:t>
      </w:r>
      <w:r>
        <w:rPr>
          <w:rFonts w:ascii="黑体" w:eastAsia="黑体" w:hint="eastAsia"/>
          <w:b/>
          <w:w w:val="95"/>
          <w:sz w:val="21"/>
        </w:rPr>
        <w:t>嘱</w:t>
      </w:r>
      <w:r>
        <w:rPr>
          <w:rFonts w:ascii="黑体" w:eastAsia="黑体" w:hint="eastAsia"/>
          <w:b/>
          <w:w w:val="95"/>
          <w:sz w:val="21"/>
        </w:rPr>
        <w:t>，私自服用</w:t>
      </w:r>
      <w:r>
        <w:rPr>
          <w:rFonts w:ascii="黑体" w:eastAsia="黑体" w:hint="eastAsia"/>
          <w:b/>
          <w:w w:val="95"/>
          <w:sz w:val="21"/>
        </w:rPr>
        <w:t>、</w:t>
      </w:r>
      <w:r>
        <w:rPr>
          <w:rFonts w:ascii="黑体" w:eastAsia="黑体" w:hint="eastAsia"/>
          <w:b/>
          <w:w w:val="95"/>
          <w:sz w:val="21"/>
        </w:rPr>
        <w:t>涂</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注</w:t>
      </w:r>
      <w:r>
        <w:rPr>
          <w:rFonts w:ascii="黑体" w:eastAsia="黑体" w:hint="eastAsia"/>
          <w:b/>
          <w:w w:val="95"/>
          <w:sz w:val="21"/>
        </w:rPr>
        <w:t>射</w:t>
      </w:r>
      <w:r>
        <w:rPr>
          <w:rFonts w:ascii="黑体" w:eastAsia="黑体" w:hint="eastAsia"/>
          <w:b/>
          <w:spacing w:val="-4"/>
          <w:w w:val="95"/>
          <w:sz w:val="21"/>
        </w:rPr>
        <w:t>药物；</w:t>
      </w:r>
    </w:p>
    <w:p>
      <w:pPr>
        <w:spacing w:line="278" w:lineRule="auto" w:before="0"/>
        <w:ind w:left="3377" w:right="263" w:hanging="473"/>
        <w:jc w:val="left"/>
        <w:rPr>
          <w:rFonts w:ascii="黑体" w:eastAsia="黑体" w:hint="eastAsia"/>
          <w:b/>
          <w:sz w:val="21"/>
        </w:rPr>
      </w:pPr>
      <w:r>
        <w:rPr>
          <w:rFonts w:ascii="黑体" w:eastAsia="黑体" w:hint="eastAsia"/>
          <w:b/>
          <w:spacing w:val="-13"/>
          <w:sz w:val="21"/>
        </w:rPr>
        <w:t>(七) 被保险人从事潜水</w:t>
      </w:r>
      <w:r>
        <w:rPr>
          <w:rFonts w:ascii="黑体" w:eastAsia="黑体" w:hint="eastAsia"/>
          <w:b/>
          <w:spacing w:val="-6"/>
          <w:sz w:val="21"/>
        </w:rPr>
        <w:t>（见 </w:t>
      </w:r>
      <w:r>
        <w:rPr>
          <w:rFonts w:ascii="黑体" w:eastAsia="黑体" w:hint="eastAsia"/>
          <w:b/>
          <w:spacing w:val="15"/>
          <w:w w:val="99"/>
          <w:sz w:val="21"/>
        </w:rPr>
        <w:t>9</w:t>
      </w:r>
      <w:r>
        <w:rPr>
          <w:rFonts w:ascii="黑体" w:eastAsia="黑体" w:hint="eastAsia"/>
          <w:b/>
          <w:spacing w:val="12"/>
          <w:w w:val="99"/>
          <w:sz w:val="21"/>
        </w:rPr>
        <w:t>.</w:t>
      </w:r>
      <w:r>
        <w:rPr>
          <w:rFonts w:ascii="黑体" w:eastAsia="黑体" w:hint="eastAsia"/>
          <w:b/>
          <w:spacing w:val="15"/>
          <w:w w:val="99"/>
          <w:sz w:val="21"/>
        </w:rPr>
        <w:t>27</w:t>
      </w:r>
      <w:r>
        <w:rPr>
          <w:rFonts w:ascii="黑体" w:eastAsia="黑体" w:hint="eastAsia"/>
          <w:b/>
          <w:spacing w:val="-91"/>
          <w:sz w:val="21"/>
        </w:rPr>
        <w:t>）</w:t>
      </w:r>
      <w:r>
        <w:rPr>
          <w:rFonts w:ascii="黑体" w:eastAsia="黑体" w:hint="eastAsia"/>
          <w:b/>
          <w:spacing w:val="-6"/>
          <w:sz w:val="21"/>
        </w:rPr>
        <w:t>、跳伞、攀岩（见 </w:t>
      </w:r>
      <w:r>
        <w:rPr>
          <w:rFonts w:ascii="黑体" w:eastAsia="黑体" w:hint="eastAsia"/>
          <w:b/>
          <w:spacing w:val="15"/>
          <w:w w:val="99"/>
          <w:sz w:val="21"/>
        </w:rPr>
        <w:t>9.28</w:t>
      </w:r>
      <w:r>
        <w:rPr>
          <w:rFonts w:ascii="黑体" w:eastAsia="黑体" w:hint="eastAsia"/>
          <w:b/>
          <w:spacing w:val="-91"/>
          <w:sz w:val="21"/>
        </w:rPr>
        <w:t>）</w:t>
      </w:r>
      <w:r>
        <w:rPr>
          <w:rFonts w:ascii="黑体" w:eastAsia="黑体" w:hint="eastAsia"/>
          <w:b/>
          <w:spacing w:val="-6"/>
          <w:sz w:val="21"/>
        </w:rPr>
        <w:t>、蹦极、驾驶滑</w:t>
      </w:r>
      <w:r>
        <w:rPr>
          <w:rFonts w:ascii="黑体" w:eastAsia="黑体" w:hint="eastAsia"/>
          <w:b/>
          <w:spacing w:val="-10"/>
          <w:sz w:val="21"/>
        </w:rPr>
        <w:t>翔机或滑翔伞、探险（</w:t>
      </w:r>
      <w:r>
        <w:rPr>
          <w:rFonts w:ascii="黑体" w:eastAsia="黑体" w:hint="eastAsia"/>
          <w:b/>
          <w:spacing w:val="-26"/>
          <w:sz w:val="21"/>
        </w:rPr>
        <w:t>见 </w:t>
      </w:r>
      <w:r>
        <w:rPr>
          <w:rFonts w:ascii="黑体" w:eastAsia="黑体" w:hint="eastAsia"/>
          <w:b/>
          <w:spacing w:val="9"/>
          <w:w w:val="99"/>
          <w:sz w:val="21"/>
        </w:rPr>
        <w:t>9</w:t>
      </w:r>
      <w:r>
        <w:rPr>
          <w:rFonts w:ascii="黑体" w:eastAsia="黑体" w:hint="eastAsia"/>
          <w:b/>
          <w:spacing w:val="11"/>
          <w:w w:val="99"/>
          <w:sz w:val="21"/>
        </w:rPr>
        <w:t>.</w:t>
      </w:r>
      <w:r>
        <w:rPr>
          <w:rFonts w:ascii="黑体" w:eastAsia="黑体" w:hint="eastAsia"/>
          <w:b/>
          <w:spacing w:val="12"/>
          <w:w w:val="99"/>
          <w:sz w:val="21"/>
        </w:rPr>
        <w:t>29</w:t>
      </w:r>
      <w:r>
        <w:rPr>
          <w:rFonts w:ascii="黑体" w:eastAsia="黑体" w:hint="eastAsia"/>
          <w:b/>
          <w:spacing w:val="-94"/>
          <w:sz w:val="21"/>
        </w:rPr>
        <w:t>）</w:t>
      </w:r>
      <w:r>
        <w:rPr>
          <w:rFonts w:ascii="黑体" w:eastAsia="黑体" w:hint="eastAsia"/>
          <w:b/>
          <w:spacing w:val="-10"/>
          <w:sz w:val="21"/>
        </w:rPr>
        <w:t>、摔跤、武术比赛（</w:t>
      </w:r>
      <w:r>
        <w:rPr>
          <w:rFonts w:ascii="黑体" w:eastAsia="黑体" w:hint="eastAsia"/>
          <w:b/>
          <w:spacing w:val="-26"/>
          <w:sz w:val="21"/>
        </w:rPr>
        <w:t>见 </w:t>
      </w:r>
      <w:r>
        <w:rPr>
          <w:rFonts w:ascii="黑体" w:eastAsia="黑体" w:hint="eastAsia"/>
          <w:b/>
          <w:spacing w:val="11"/>
          <w:w w:val="99"/>
          <w:sz w:val="21"/>
        </w:rPr>
        <w:t>9.30</w:t>
      </w:r>
      <w:r>
        <w:rPr>
          <w:rFonts w:ascii="黑体" w:eastAsia="黑体" w:hint="eastAsia"/>
          <w:b/>
          <w:spacing w:val="-95"/>
          <w:sz w:val="21"/>
        </w:rPr>
        <w:t>）</w:t>
      </w:r>
      <w:r>
        <w:rPr>
          <w:rFonts w:ascii="黑体" w:eastAsia="黑体" w:hint="eastAsia"/>
          <w:b/>
          <w:spacing w:val="-10"/>
          <w:sz w:val="21"/>
        </w:rPr>
        <w:t>、特技表演</w:t>
      </w:r>
    </w:p>
    <w:p>
      <w:pPr>
        <w:spacing w:line="278" w:lineRule="auto" w:before="0"/>
        <w:ind w:left="2904" w:right="3011" w:firstLine="472"/>
        <w:jc w:val="left"/>
        <w:rPr>
          <w:rFonts w:ascii="黑体" w:eastAsia="黑体" w:hint="eastAsia"/>
          <w:b/>
          <w:sz w:val="21"/>
        </w:rPr>
      </w:pPr>
      <w:r>
        <w:rPr>
          <w:rFonts w:ascii="黑体" w:eastAsia="黑体" w:hint="eastAsia"/>
          <w:b/>
          <w:spacing w:val="-6"/>
          <w:sz w:val="21"/>
        </w:rPr>
        <w:t>（</w:t>
      </w:r>
      <w:r>
        <w:rPr>
          <w:rFonts w:ascii="黑体" w:eastAsia="黑体" w:hint="eastAsia"/>
          <w:b/>
          <w:spacing w:val="-30"/>
          <w:sz w:val="21"/>
        </w:rPr>
        <w:t>见 </w:t>
      </w:r>
      <w:r>
        <w:rPr>
          <w:rFonts w:ascii="黑体" w:eastAsia="黑体" w:hint="eastAsia"/>
          <w:b/>
          <w:spacing w:val="15"/>
          <w:w w:val="99"/>
          <w:sz w:val="21"/>
        </w:rPr>
        <w:t>9.31</w:t>
      </w:r>
      <w:r>
        <w:rPr>
          <w:rFonts w:ascii="黑体" w:eastAsia="黑体" w:hint="eastAsia"/>
          <w:b/>
          <w:spacing w:val="-91"/>
          <w:sz w:val="21"/>
        </w:rPr>
        <w:t>）</w:t>
      </w:r>
      <w:r>
        <w:rPr>
          <w:rFonts w:ascii="黑体" w:eastAsia="黑体" w:hint="eastAsia"/>
          <w:b/>
          <w:spacing w:val="-6"/>
          <w:sz w:val="21"/>
        </w:rPr>
        <w:t>、赛马、赛车等高风险运动； (八) 战争、军事冲突、暴乱或武装叛乱；</w:t>
      </w:r>
    </w:p>
    <w:p>
      <w:pPr>
        <w:spacing w:before="0"/>
        <w:ind w:left="2904" w:right="0" w:firstLine="0"/>
        <w:jc w:val="left"/>
        <w:rPr>
          <w:rFonts w:ascii="黑体" w:eastAsia="黑体" w:hint="eastAsia"/>
          <w:b/>
          <w:sz w:val="21"/>
        </w:rPr>
      </w:pPr>
      <w:r>
        <w:rPr>
          <w:rFonts w:ascii="黑体" w:eastAsia="黑体" w:hint="eastAsia"/>
          <w:b/>
          <w:w w:val="95"/>
          <w:sz w:val="21"/>
        </w:rPr>
        <w:t>(九)</w:t>
      </w:r>
      <w:r>
        <w:rPr>
          <w:rFonts w:ascii="黑体" w:eastAsia="黑体" w:hint="eastAsia"/>
          <w:b/>
          <w:spacing w:val="79"/>
          <w:sz w:val="21"/>
        </w:rPr>
        <w:t> </w:t>
      </w:r>
      <w:r>
        <w:rPr>
          <w:rFonts w:ascii="黑体" w:eastAsia="黑体" w:hint="eastAsia"/>
          <w:b/>
          <w:w w:val="95"/>
          <w:sz w:val="21"/>
        </w:rPr>
        <w:t>核</w:t>
      </w:r>
      <w:r>
        <w:rPr>
          <w:rFonts w:ascii="黑体" w:eastAsia="黑体" w:hint="eastAsia"/>
          <w:b/>
          <w:w w:val="95"/>
          <w:sz w:val="21"/>
        </w:rPr>
        <w:t>爆</w:t>
      </w:r>
      <w:r>
        <w:rPr>
          <w:rFonts w:ascii="黑体" w:eastAsia="黑体" w:hint="eastAsia"/>
          <w:b/>
          <w:w w:val="95"/>
          <w:sz w:val="21"/>
        </w:rPr>
        <w:t>炸</w:t>
      </w:r>
      <w:r>
        <w:rPr>
          <w:rFonts w:ascii="黑体" w:eastAsia="黑体" w:hint="eastAsia"/>
          <w:b/>
          <w:w w:val="95"/>
          <w:sz w:val="21"/>
        </w:rPr>
        <w:t>、</w:t>
      </w:r>
      <w:r>
        <w:rPr>
          <w:rFonts w:ascii="黑体" w:eastAsia="黑体" w:hint="eastAsia"/>
          <w:b/>
          <w:w w:val="95"/>
          <w:sz w:val="21"/>
        </w:rPr>
        <w:t>核</w:t>
      </w:r>
      <w:r>
        <w:rPr>
          <w:rFonts w:ascii="黑体" w:eastAsia="黑体" w:hint="eastAsia"/>
          <w:b/>
          <w:w w:val="95"/>
          <w:sz w:val="21"/>
        </w:rPr>
        <w:t>辐</w:t>
      </w:r>
      <w:r>
        <w:rPr>
          <w:rFonts w:ascii="黑体" w:eastAsia="黑体" w:hint="eastAsia"/>
          <w:b/>
          <w:w w:val="95"/>
          <w:sz w:val="21"/>
        </w:rPr>
        <w:t>射</w:t>
      </w:r>
      <w:r>
        <w:rPr>
          <w:rFonts w:ascii="黑体" w:eastAsia="黑体" w:hint="eastAsia"/>
          <w:b/>
          <w:w w:val="95"/>
          <w:sz w:val="21"/>
        </w:rPr>
        <w:t>或</w:t>
      </w:r>
      <w:r>
        <w:rPr>
          <w:rFonts w:ascii="黑体" w:eastAsia="黑体" w:hint="eastAsia"/>
          <w:b/>
          <w:spacing w:val="-3"/>
          <w:w w:val="95"/>
          <w:sz w:val="21"/>
        </w:rPr>
        <w:t>核污染；</w:t>
      </w:r>
    </w:p>
    <w:p>
      <w:pPr>
        <w:spacing w:line="278" w:lineRule="auto" w:before="43"/>
        <w:ind w:left="3377" w:right="265" w:hanging="473"/>
        <w:jc w:val="left"/>
        <w:rPr>
          <w:rFonts w:ascii="黑体" w:eastAsia="黑体" w:hint="eastAsia"/>
          <w:b/>
          <w:sz w:val="21"/>
        </w:rPr>
      </w:pPr>
      <w:r>
        <w:rPr>
          <w:rFonts w:ascii="黑体" w:eastAsia="黑体" w:hint="eastAsia"/>
          <w:b/>
          <w:spacing w:val="-10"/>
          <w:sz w:val="21"/>
        </w:rPr>
        <w:t>(十) 本主险合同生效时未如实告知的现患疾病或既往症</w:t>
      </w:r>
      <w:r>
        <w:rPr>
          <w:rFonts w:ascii="黑体" w:eastAsia="黑体" w:hint="eastAsia"/>
          <w:b/>
          <w:spacing w:val="-4"/>
          <w:sz w:val="21"/>
        </w:rPr>
        <w:t>（见 </w:t>
      </w:r>
      <w:r>
        <w:rPr>
          <w:rFonts w:ascii="黑体" w:eastAsia="黑体" w:hint="eastAsia"/>
          <w:b/>
          <w:spacing w:val="13"/>
          <w:w w:val="99"/>
          <w:sz w:val="21"/>
        </w:rPr>
        <w:t>9.32</w:t>
      </w:r>
      <w:r>
        <w:rPr>
          <w:rFonts w:ascii="黑体" w:eastAsia="黑体" w:hint="eastAsia"/>
          <w:b/>
          <w:spacing w:val="-93"/>
          <w:sz w:val="21"/>
        </w:rPr>
        <w:t>）</w:t>
      </w:r>
      <w:r>
        <w:rPr>
          <w:rFonts w:ascii="黑体" w:eastAsia="黑体" w:hint="eastAsia"/>
          <w:b/>
          <w:spacing w:val="-1"/>
          <w:sz w:val="21"/>
        </w:rPr>
        <w:t>，及本主</w:t>
      </w:r>
      <w:r>
        <w:rPr>
          <w:rFonts w:ascii="黑体" w:eastAsia="黑体" w:hint="eastAsia"/>
          <w:b/>
          <w:spacing w:val="-2"/>
          <w:sz w:val="21"/>
        </w:rPr>
        <w:t>险合同特别约定除外的疾病和治疗；</w:t>
      </w:r>
    </w:p>
    <w:p>
      <w:pPr>
        <w:spacing w:line="278" w:lineRule="auto" w:before="0"/>
        <w:ind w:left="3588" w:right="263" w:hanging="685"/>
        <w:jc w:val="left"/>
        <w:rPr>
          <w:rFonts w:ascii="黑体" w:eastAsia="黑体" w:hint="eastAsia"/>
          <w:b/>
          <w:sz w:val="21"/>
        </w:rPr>
      </w:pPr>
      <w:r>
        <w:rPr>
          <w:rFonts w:ascii="黑体" w:eastAsia="黑体" w:hint="eastAsia"/>
          <w:b/>
          <w:spacing w:val="-2"/>
          <w:sz w:val="21"/>
        </w:rPr>
        <w:t>(</w:t>
      </w:r>
      <w:r>
        <w:rPr>
          <w:rFonts w:ascii="黑体" w:eastAsia="黑体" w:hint="eastAsia"/>
          <w:b/>
          <w:spacing w:val="-8"/>
          <w:sz w:val="21"/>
        </w:rPr>
        <w:t>十一) 不孕不育治疗、人工受精、怀孕、分娩</w:t>
      </w:r>
      <w:r>
        <w:rPr>
          <w:rFonts w:ascii="黑体" w:eastAsia="黑体" w:hint="eastAsia"/>
          <w:b/>
          <w:spacing w:val="-2"/>
          <w:sz w:val="21"/>
        </w:rPr>
        <w:t>（含难产）、流产、堕胎、节</w:t>
      </w:r>
      <w:r>
        <w:rPr>
          <w:rFonts w:ascii="黑体" w:eastAsia="黑体" w:hint="eastAsia"/>
          <w:b/>
          <w:spacing w:val="-2"/>
          <w:sz w:val="21"/>
        </w:rPr>
        <w:t>育（含绝育）、产前产后检查以及由以上原因引起的并发症；</w:t>
      </w:r>
    </w:p>
    <w:p>
      <w:pPr>
        <w:spacing w:line="278" w:lineRule="auto" w:before="0"/>
        <w:ind w:left="3588" w:right="260" w:hanging="685"/>
        <w:jc w:val="left"/>
        <w:rPr>
          <w:rFonts w:ascii="黑体" w:eastAsia="黑体" w:hint="eastAsia"/>
          <w:b/>
          <w:sz w:val="21"/>
        </w:rPr>
      </w:pPr>
      <w:r>
        <w:rPr>
          <w:rFonts w:ascii="黑体" w:eastAsia="黑体" w:hint="eastAsia"/>
          <w:b/>
          <w:sz w:val="21"/>
        </w:rPr>
        <w:t>(</w:t>
      </w:r>
      <w:r>
        <w:rPr>
          <w:rFonts w:ascii="黑体" w:eastAsia="黑体" w:hint="eastAsia"/>
          <w:b/>
          <w:spacing w:val="-8"/>
          <w:sz w:val="21"/>
        </w:rPr>
        <w:t>十二) 精神疾患</w:t>
      </w:r>
      <w:r>
        <w:rPr>
          <w:rFonts w:ascii="黑体" w:eastAsia="黑体" w:hint="eastAsia"/>
          <w:b/>
          <w:sz w:val="21"/>
        </w:rPr>
        <w:t>（</w:t>
      </w:r>
      <w:r>
        <w:rPr>
          <w:rFonts w:ascii="黑体" w:eastAsia="黑体" w:hint="eastAsia"/>
          <w:b/>
          <w:spacing w:val="-10"/>
          <w:sz w:val="21"/>
        </w:rPr>
        <w:t>见 </w:t>
      </w:r>
      <w:r>
        <w:rPr>
          <w:rFonts w:ascii="黑体" w:eastAsia="黑体" w:hint="eastAsia"/>
          <w:b/>
          <w:sz w:val="21"/>
        </w:rPr>
        <w:t>9.33）、遗传性疾病（</w:t>
      </w:r>
      <w:r>
        <w:rPr>
          <w:rFonts w:ascii="黑体" w:eastAsia="黑体" w:hint="eastAsia"/>
          <w:b/>
          <w:spacing w:val="-7"/>
          <w:sz w:val="21"/>
        </w:rPr>
        <w:t>见 </w:t>
      </w:r>
      <w:r>
        <w:rPr>
          <w:rFonts w:ascii="黑体" w:eastAsia="黑体" w:hint="eastAsia"/>
          <w:b/>
          <w:sz w:val="21"/>
        </w:rPr>
        <w:t>9.34）、先天性畸形</w:t>
      </w:r>
      <w:r>
        <w:rPr>
          <w:b/>
          <w:sz w:val="21"/>
        </w:rPr>
        <w:t>、</w:t>
      </w:r>
      <w:r>
        <w:rPr>
          <w:rFonts w:ascii="黑体" w:eastAsia="黑体" w:hint="eastAsia"/>
          <w:b/>
          <w:sz w:val="21"/>
        </w:rPr>
        <w:t>变形</w:t>
      </w:r>
      <w:r>
        <w:rPr>
          <w:rFonts w:ascii="黑体" w:eastAsia="黑体" w:hint="eastAsia"/>
          <w:b/>
          <w:sz w:val="21"/>
        </w:rPr>
        <w:t>或染色体异常（</w:t>
      </w:r>
      <w:r>
        <w:rPr>
          <w:rFonts w:ascii="黑体" w:eastAsia="黑体" w:hint="eastAsia"/>
          <w:b/>
          <w:spacing w:val="-22"/>
          <w:sz w:val="21"/>
        </w:rPr>
        <w:t>见 </w:t>
      </w:r>
      <w:r>
        <w:rPr>
          <w:rFonts w:ascii="黑体" w:eastAsia="黑体" w:hint="eastAsia"/>
          <w:b/>
          <w:sz w:val="21"/>
        </w:rPr>
        <w:t>9.35）；</w:t>
      </w:r>
    </w:p>
    <w:p>
      <w:pPr>
        <w:spacing w:line="278" w:lineRule="auto" w:before="0"/>
        <w:ind w:left="3588" w:right="263" w:hanging="685"/>
        <w:jc w:val="left"/>
        <w:rPr>
          <w:rFonts w:ascii="黑体" w:eastAsia="黑体" w:hint="eastAsia"/>
          <w:b/>
          <w:sz w:val="21"/>
        </w:rPr>
      </w:pPr>
      <w:r>
        <w:rPr>
          <w:rFonts w:ascii="黑体" w:eastAsia="黑体" w:hint="eastAsia"/>
          <w:b/>
          <w:spacing w:val="-2"/>
          <w:sz w:val="21"/>
        </w:rPr>
        <w:t>(</w:t>
      </w:r>
      <w:r>
        <w:rPr>
          <w:rFonts w:ascii="黑体" w:eastAsia="黑体" w:hint="eastAsia"/>
          <w:b/>
          <w:spacing w:val="-8"/>
          <w:sz w:val="21"/>
        </w:rPr>
        <w:t>十三) 被保险人被冒名住院、被保险人未到达医院就诊</w:t>
      </w:r>
      <w:r>
        <w:rPr>
          <w:rFonts w:ascii="黑体" w:eastAsia="黑体" w:hint="eastAsia"/>
          <w:b/>
          <w:spacing w:val="-2"/>
          <w:sz w:val="21"/>
        </w:rPr>
        <w:t>（即代诊）引起的医</w:t>
      </w:r>
      <w:r>
        <w:rPr>
          <w:rFonts w:ascii="黑体" w:eastAsia="黑体" w:hint="eastAsia"/>
          <w:b/>
          <w:spacing w:val="-4"/>
          <w:sz w:val="21"/>
        </w:rPr>
        <w:t>疗费用。</w:t>
      </w:r>
    </w:p>
    <w:p>
      <w:pPr>
        <w:pStyle w:val="BodyText"/>
        <w:spacing w:before="3"/>
        <w:rPr>
          <w:rFonts w:ascii="黑体"/>
          <w:b/>
          <w:sz w:val="24"/>
        </w:rPr>
      </w:pPr>
    </w:p>
    <w:p>
      <w:pPr>
        <w:spacing w:line="278" w:lineRule="auto" w:before="0"/>
        <w:ind w:left="2904" w:right="263" w:firstLine="0"/>
        <w:jc w:val="both"/>
        <w:rPr>
          <w:rFonts w:ascii="黑体" w:hAnsi="黑体" w:eastAsia="黑体" w:hint="eastAsia"/>
          <w:b/>
          <w:sz w:val="21"/>
        </w:rPr>
      </w:pPr>
      <w:r>
        <w:rPr>
          <w:rFonts w:ascii="黑体" w:hAnsi="黑体" w:eastAsia="黑体" w:hint="eastAsia"/>
          <w:b/>
          <w:spacing w:val="-17"/>
          <w:sz w:val="21"/>
        </w:rPr>
        <w:t>除上述责任免除外，本主险合同中还有一些免除本公司责任的条款，详见“</w:t>
      </w:r>
      <w:r>
        <w:rPr>
          <w:rFonts w:ascii="黑体" w:hAnsi="黑体" w:eastAsia="黑体" w:hint="eastAsia"/>
          <w:b/>
          <w:spacing w:val="-2"/>
          <w:sz w:val="21"/>
        </w:rPr>
        <w:t>2.</w:t>
      </w:r>
      <w:r>
        <w:rPr>
          <w:rFonts w:ascii="黑体" w:hAnsi="黑体" w:eastAsia="黑体" w:hint="eastAsia"/>
          <w:b/>
          <w:spacing w:val="-2"/>
          <w:sz w:val="21"/>
        </w:rPr>
        <w:t>2</w:t>
      </w:r>
      <w:r>
        <w:rPr>
          <w:rFonts w:ascii="黑体" w:hAnsi="黑体" w:eastAsia="黑体" w:hint="eastAsia"/>
          <w:b/>
          <w:spacing w:val="-2"/>
          <w:sz w:val="21"/>
        </w:rPr>
        <w:t>保险责任”、“3.2</w:t>
      </w:r>
      <w:r>
        <w:rPr>
          <w:rFonts w:ascii="黑体" w:hAnsi="黑体" w:eastAsia="黑体" w:hint="eastAsia"/>
          <w:b/>
          <w:spacing w:val="-4"/>
          <w:sz w:val="21"/>
        </w:rPr>
        <w:t> 保险事故通知”、“</w:t>
      </w:r>
      <w:r>
        <w:rPr>
          <w:rFonts w:ascii="黑体" w:hAnsi="黑体" w:eastAsia="黑体" w:hint="eastAsia"/>
          <w:b/>
          <w:spacing w:val="-2"/>
          <w:sz w:val="21"/>
        </w:rPr>
        <w:t>8.1</w:t>
      </w:r>
      <w:r>
        <w:rPr>
          <w:rFonts w:ascii="黑体" w:hAnsi="黑体" w:eastAsia="黑体" w:hint="eastAsia"/>
          <w:b/>
          <w:spacing w:val="-4"/>
          <w:sz w:val="21"/>
        </w:rPr>
        <w:t> 明确说明与如实告知”、“</w:t>
      </w:r>
      <w:r>
        <w:rPr>
          <w:rFonts w:ascii="黑体" w:hAnsi="黑体" w:eastAsia="黑体" w:hint="eastAsia"/>
          <w:b/>
          <w:spacing w:val="-2"/>
          <w:sz w:val="21"/>
        </w:rPr>
        <w:t>9.7</w:t>
      </w:r>
      <w:r>
        <w:rPr>
          <w:rFonts w:ascii="黑体" w:hAnsi="黑体" w:eastAsia="黑体" w:hint="eastAsia"/>
          <w:b/>
          <w:sz w:val="21"/>
        </w:rPr>
        <w:t>医院”、“9.11</w:t>
      </w:r>
      <w:r>
        <w:rPr>
          <w:rFonts w:ascii="黑体" w:hAnsi="黑体" w:eastAsia="黑体" w:hint="eastAsia"/>
          <w:b/>
          <w:spacing w:val="-6"/>
          <w:sz w:val="21"/>
        </w:rPr>
        <w:t> 住院”、“</w:t>
      </w:r>
      <w:r>
        <w:rPr>
          <w:rFonts w:ascii="黑体" w:hAnsi="黑体" w:eastAsia="黑体" w:hint="eastAsia"/>
          <w:b/>
          <w:sz w:val="21"/>
        </w:rPr>
        <w:t>9.12</w:t>
      </w:r>
      <w:r>
        <w:rPr>
          <w:rFonts w:ascii="黑体" w:hAnsi="黑体" w:eastAsia="黑体" w:hint="eastAsia"/>
          <w:b/>
          <w:spacing w:val="-5"/>
          <w:sz w:val="21"/>
        </w:rPr>
        <w:t> 住院医疗费用”、“</w:t>
      </w:r>
      <w:r>
        <w:rPr>
          <w:rFonts w:ascii="黑体" w:hAnsi="黑体" w:eastAsia="黑体" w:hint="eastAsia"/>
          <w:b/>
          <w:sz w:val="21"/>
        </w:rPr>
        <w:t>9.13</w:t>
      </w:r>
      <w:r>
        <w:rPr>
          <w:rFonts w:ascii="黑体" w:hAnsi="黑体" w:eastAsia="黑体" w:hint="eastAsia"/>
          <w:b/>
          <w:spacing w:val="-6"/>
          <w:sz w:val="21"/>
        </w:rPr>
        <w:t> 恶性肿瘤——重</w:t>
      </w:r>
      <w:r>
        <w:rPr>
          <w:rFonts w:ascii="黑体" w:hAnsi="黑体" w:eastAsia="黑体" w:hint="eastAsia"/>
          <w:b/>
          <w:sz w:val="21"/>
        </w:rPr>
        <w:t>度”、“9.14</w:t>
      </w:r>
      <w:r>
        <w:rPr>
          <w:rFonts w:ascii="黑体" w:hAnsi="黑体" w:eastAsia="黑体" w:hint="eastAsia"/>
          <w:b/>
          <w:spacing w:val="-7"/>
          <w:sz w:val="21"/>
        </w:rPr>
        <w:t> 恶性肿瘤——轻度”中以粗斜形式显示的内容。</w:t>
      </w:r>
    </w:p>
    <w:p>
      <w:pPr>
        <w:pStyle w:val="BodyText"/>
        <w:spacing w:before="3"/>
        <w:rPr>
          <w:rFonts w:ascii="黑体"/>
          <w:b/>
          <w:sz w:val="25"/>
        </w:rPr>
      </w:pPr>
    </w:p>
    <w:p>
      <w:pPr>
        <w:pStyle w:val="Heading1"/>
        <w:tabs>
          <w:tab w:pos="1344" w:val="left" w:leader="none"/>
        </w:tabs>
      </w:pPr>
      <w:r>
        <w:rPr/>
        <w:drawing>
          <wp:anchor distT="0" distB="0" distL="0" distR="0" allowOverlap="1" layoutInCell="1" locked="0" behindDoc="0" simplePos="0" relativeHeight="5">
            <wp:simplePos x="0" y="0"/>
            <wp:positionH relativeFrom="page">
              <wp:posOffset>737616</wp:posOffset>
            </wp:positionH>
            <wp:positionV relativeFrom="paragraph">
              <wp:posOffset>374431</wp:posOffset>
            </wp:positionV>
            <wp:extent cx="6300216" cy="6095"/>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6300216"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ListParagraph"/>
        <w:numPr>
          <w:ilvl w:val="1"/>
          <w:numId w:val="7"/>
        </w:numPr>
        <w:tabs>
          <w:tab w:pos="1344" w:val="left" w:leader="none"/>
          <w:tab w:pos="1345" w:val="left" w:leader="none"/>
          <w:tab w:pos="2904" w:val="left" w:leader="none"/>
        </w:tabs>
        <w:spacing w:line="240" w:lineRule="auto" w:before="334" w:after="0"/>
        <w:ind w:left="1344" w:right="0" w:hanging="1136"/>
        <w:jc w:val="left"/>
        <w:rPr>
          <w:sz w:val="21"/>
        </w:rPr>
      </w:pPr>
      <w:r>
        <w:rPr>
          <w:b/>
          <w:sz w:val="21"/>
        </w:rPr>
        <w:t>受益</w:t>
      </w:r>
      <w:r>
        <w:rPr>
          <w:b/>
          <w:spacing w:val="-10"/>
          <w:sz w:val="21"/>
        </w:rPr>
        <w:t>人</w:t>
      </w:r>
      <w:r>
        <w:rPr>
          <w:b/>
          <w:sz w:val="21"/>
        </w:rPr>
        <w:tab/>
      </w:r>
      <w:r>
        <w:rPr>
          <w:spacing w:val="-2"/>
          <w:sz w:val="21"/>
        </w:rPr>
        <w:t>除</w:t>
      </w:r>
      <w:r>
        <w:rPr>
          <w:spacing w:val="-2"/>
          <w:sz w:val="21"/>
        </w:rPr>
        <w:t>另</w:t>
      </w:r>
      <w:r>
        <w:rPr>
          <w:spacing w:val="-2"/>
          <w:sz w:val="21"/>
        </w:rPr>
        <w:t>有约定外，疾病治疗</w:t>
      </w:r>
      <w:r>
        <w:rPr>
          <w:spacing w:val="-2"/>
          <w:sz w:val="21"/>
        </w:rPr>
        <w:t>津</w:t>
      </w:r>
      <w:r>
        <w:rPr>
          <w:spacing w:val="-2"/>
          <w:sz w:val="21"/>
        </w:rPr>
        <w:t>贴</w:t>
      </w:r>
      <w:r>
        <w:rPr>
          <w:spacing w:val="-2"/>
          <w:sz w:val="21"/>
        </w:rPr>
        <w:t>保险金的受益人为被</w:t>
      </w:r>
      <w:r>
        <w:rPr>
          <w:spacing w:val="-2"/>
          <w:sz w:val="21"/>
        </w:rPr>
        <w:t>保</w:t>
      </w:r>
      <w:r>
        <w:rPr>
          <w:spacing w:val="-2"/>
          <w:sz w:val="21"/>
        </w:rPr>
        <w:t>险</w:t>
      </w:r>
      <w:r>
        <w:rPr>
          <w:spacing w:val="-2"/>
          <w:sz w:val="21"/>
        </w:rPr>
        <w:t>人本人</w:t>
      </w:r>
      <w:r>
        <w:rPr>
          <w:spacing w:val="-10"/>
          <w:sz w:val="21"/>
        </w:rPr>
        <w:t>。</w:t>
      </w:r>
    </w:p>
    <w:p>
      <w:pPr>
        <w:pStyle w:val="BodyText"/>
        <w:spacing w:before="9"/>
        <w:rPr>
          <w:sz w:val="27"/>
        </w:rPr>
      </w:pPr>
    </w:p>
    <w:p>
      <w:pPr>
        <w:pStyle w:val="ListParagraph"/>
        <w:numPr>
          <w:ilvl w:val="1"/>
          <w:numId w:val="7"/>
        </w:numPr>
        <w:tabs>
          <w:tab w:pos="1344" w:val="left" w:leader="none"/>
          <w:tab w:pos="1345" w:val="left" w:leader="none"/>
          <w:tab w:pos="2904" w:val="left" w:leader="none"/>
        </w:tabs>
        <w:spacing w:line="278" w:lineRule="auto" w:before="1" w:after="0"/>
        <w:ind w:left="2904" w:right="263" w:hanging="2696"/>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通</w:t>
      </w:r>
      <w:r>
        <w:rPr>
          <w:b/>
          <w:spacing w:val="-2"/>
          <w:sz w:val="21"/>
        </w:rPr>
        <w:t>知</w:t>
      </w:r>
      <w:r>
        <w:rPr>
          <w:b/>
          <w:sz w:val="21"/>
        </w:rPr>
        <w:tab/>
      </w:r>
      <w:r>
        <w:rPr>
          <w:spacing w:val="-2"/>
          <w:sz w:val="21"/>
        </w:rPr>
        <w:t>您、被保险人或其监护人、保险金申请人应在知道</w:t>
      </w:r>
      <w:r>
        <w:rPr>
          <w:spacing w:val="-2"/>
          <w:sz w:val="21"/>
        </w:rPr>
        <w:t>保</w:t>
      </w:r>
      <w:r>
        <w:rPr>
          <w:spacing w:val="-2"/>
          <w:sz w:val="21"/>
        </w:rPr>
        <w:t>险</w:t>
      </w:r>
      <w:r>
        <w:rPr>
          <w:spacing w:val="-2"/>
          <w:sz w:val="21"/>
        </w:rPr>
        <w:t>事故发生之日起</w:t>
      </w:r>
      <w:r>
        <w:rPr>
          <w:spacing w:val="-44"/>
          <w:sz w:val="21"/>
        </w:rPr>
        <w:t> </w:t>
      </w:r>
      <w:r>
        <w:rPr>
          <w:spacing w:val="-2"/>
          <w:sz w:val="21"/>
        </w:rPr>
        <w:t>10</w:t>
      </w:r>
      <w:r>
        <w:rPr>
          <w:spacing w:val="-46"/>
          <w:sz w:val="21"/>
        </w:rPr>
        <w:t> </w:t>
      </w:r>
      <w:r>
        <w:rPr>
          <w:spacing w:val="-2"/>
          <w:sz w:val="21"/>
        </w:rPr>
        <w:t>日</w:t>
      </w:r>
      <w:r>
        <w:rPr>
          <w:spacing w:val="-2"/>
          <w:sz w:val="21"/>
        </w:rPr>
        <w:t>内</w:t>
      </w:r>
      <w:r>
        <w:rPr>
          <w:spacing w:val="-2"/>
          <w:sz w:val="21"/>
        </w:rPr>
        <w:t>通</w:t>
      </w:r>
      <w:r>
        <w:rPr>
          <w:spacing w:val="-2"/>
          <w:sz w:val="21"/>
        </w:rPr>
        <w:t>知我们。</w:t>
      </w:r>
    </w:p>
    <w:p>
      <w:pPr>
        <w:spacing w:line="266" w:lineRule="auto" w:before="0"/>
        <w:ind w:left="2904" w:right="320" w:firstLine="0"/>
        <w:jc w:val="left"/>
        <w:rPr>
          <w:b/>
          <w:i/>
          <w:sz w:val="22"/>
        </w:rPr>
      </w:pPr>
      <w:r>
        <w:rPr>
          <w:b/>
          <w:i/>
          <w:spacing w:val="-2"/>
          <w:w w:val="95"/>
          <w:sz w:val="22"/>
        </w:rPr>
        <w:t>如果您、被保险人或其监护人、保险金申请人故意或者因重大过失未及时通</w:t>
      </w:r>
      <w:r>
        <w:rPr>
          <w:b/>
          <w:i/>
          <w:spacing w:val="-3"/>
          <w:w w:val="95"/>
          <w:sz w:val="22"/>
        </w:rPr>
        <w:t>知，致使保险事故的性质、原因、损失程度等难以确定的，我们对无法确定</w:t>
      </w:r>
    </w:p>
    <w:p>
      <w:pPr>
        <w:spacing w:after="0" w:line="266" w:lineRule="auto"/>
        <w:jc w:val="left"/>
        <w:rPr>
          <w:sz w:val="22"/>
        </w:rPr>
        <w:sectPr>
          <w:pgSz w:w="11910" w:h="16840"/>
          <w:pgMar w:top="880" w:bottom="280" w:left="1060" w:right="660"/>
        </w:sectPr>
      </w:pPr>
    </w:p>
    <w:p>
      <w:pPr>
        <w:pStyle w:val="BodyText"/>
        <w:spacing w:line="276" w:lineRule="auto" w:before="51"/>
        <w:ind w:left="2904" w:right="332" w:hanging="1"/>
        <w:jc w:val="both"/>
      </w:pPr>
      <w:r>
        <w:rPr>
          <w:b/>
          <w:i/>
          <w:spacing w:val="-2"/>
          <w:w w:val="95"/>
          <w:sz w:val="22"/>
        </w:rPr>
        <w:t>的部分，不承担给付保险金的责任，</w:t>
      </w:r>
      <w:r>
        <w:rPr>
          <w:spacing w:val="-3"/>
          <w:w w:val="100"/>
        </w:rPr>
        <w:t>但我们通过其他途径已经及时知道或者应当及时知道保险事故发生或者虽未及时通知但不影响本公司确定保险事故的性质、原因、损失程度的除外。</w:t>
      </w:r>
    </w:p>
    <w:p>
      <w:pPr>
        <w:pStyle w:val="BodyText"/>
        <w:spacing w:line="278" w:lineRule="auto" w:before="3"/>
        <w:ind w:left="2904" w:right="342"/>
      </w:pPr>
      <w:r>
        <w:rPr>
          <w:spacing w:val="-2"/>
        </w:rPr>
        <w:t>本主险合同项下的保险金申请人包括保险金受益人或其监护人，若保险金作</w:t>
      </w:r>
      <w:r>
        <w:rPr>
          <w:spacing w:val="-2"/>
        </w:rPr>
        <w:t>为被保险人遗产时保险金申请人为被保险人的继承人或继承人的监护人。</w:t>
      </w:r>
    </w:p>
    <w:p>
      <w:pPr>
        <w:pStyle w:val="BodyText"/>
        <w:spacing w:before="4"/>
        <w:rPr>
          <w:sz w:val="24"/>
        </w:rPr>
      </w:pPr>
    </w:p>
    <w:p>
      <w:pPr>
        <w:pStyle w:val="ListParagraph"/>
        <w:numPr>
          <w:ilvl w:val="1"/>
          <w:numId w:val="7"/>
        </w:numPr>
        <w:tabs>
          <w:tab w:pos="1344" w:val="left" w:leader="none"/>
          <w:tab w:pos="1345" w:val="left" w:leader="none"/>
          <w:tab w:pos="2904" w:val="left" w:leader="none"/>
        </w:tabs>
        <w:spacing w:line="240" w:lineRule="auto" w:before="0" w:after="0"/>
        <w:ind w:left="1344" w:right="0" w:hanging="1136"/>
        <w:jc w:val="left"/>
        <w:rPr>
          <w:sz w:val="21"/>
        </w:rPr>
      </w:pPr>
      <w:r>
        <w:rPr>
          <w:b/>
          <w:sz w:val="21"/>
        </w:rPr>
        <w:t>保险金申</w:t>
      </w:r>
      <w:r>
        <w:rPr>
          <w:b/>
          <w:spacing w:val="-10"/>
          <w:sz w:val="21"/>
        </w:rPr>
        <w:t>请</w:t>
      </w:r>
      <w:r>
        <w:rPr>
          <w:b/>
          <w:sz w:val="21"/>
        </w:rPr>
        <w:tab/>
      </w:r>
      <w:r>
        <w:rPr>
          <w:spacing w:val="-2"/>
          <w:sz w:val="21"/>
        </w:rPr>
        <w:t>一、</w:t>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
        <w:rPr>
          <w:sz w:val="22"/>
        </w:rPr>
      </w:pPr>
    </w:p>
    <w:p>
      <w:pPr>
        <w:spacing w:after="0"/>
        <w:rPr>
          <w:sz w:val="22"/>
        </w:rPr>
        <w:sectPr>
          <w:pgSz w:w="11910" w:h="16840"/>
          <w:pgMar w:top="880" w:bottom="280" w:left="1060" w:right="660"/>
        </w:sectPr>
      </w:pPr>
    </w:p>
    <w:p>
      <w:pPr>
        <w:spacing w:line="278" w:lineRule="auto" w:before="72"/>
        <w:ind w:left="1344" w:right="0" w:firstLine="0"/>
        <w:jc w:val="left"/>
        <w:rPr>
          <w:rFonts w:ascii="楷体" w:eastAsia="楷体" w:hint="eastAsia"/>
          <w:b/>
          <w:sz w:val="21"/>
        </w:rPr>
      </w:pPr>
      <w:r>
        <w:rPr>
          <w:rFonts w:ascii="楷体" w:eastAsia="楷体" w:hint="eastAsia"/>
          <w:b/>
          <w:spacing w:val="-2"/>
          <w:sz w:val="21"/>
        </w:rPr>
        <w:t>疾病治疗津贴</w:t>
      </w:r>
      <w:r>
        <w:rPr>
          <w:rFonts w:ascii="楷体" w:eastAsia="楷体" w:hint="eastAsia"/>
          <w:b/>
          <w:spacing w:val="-2"/>
          <w:sz w:val="21"/>
        </w:rPr>
        <w:t>保险金申请</w:t>
      </w:r>
    </w:p>
    <w:p>
      <w:pPr>
        <w:pStyle w:val="BodyText"/>
        <w:spacing w:line="278" w:lineRule="auto" w:before="72"/>
        <w:ind w:left="252" w:right="1586"/>
      </w:pPr>
      <w:r>
        <w:rPr/>
        <w:br w:type="column"/>
      </w:r>
      <w:r>
        <w:rPr>
          <w:spacing w:val="-2"/>
        </w:rPr>
        <w:t>由保险金申请人填写理赔申请书，并须提供下列证明和资料： (一)保险合同；</w:t>
      </w:r>
    </w:p>
    <w:p>
      <w:pPr>
        <w:pStyle w:val="BodyText"/>
        <w:spacing w:line="278" w:lineRule="auto"/>
        <w:ind w:left="672" w:right="342" w:hanging="421"/>
      </w:pPr>
      <w:r>
        <w:rPr>
          <w:spacing w:val="-2"/>
        </w:rPr>
        <w:t>(二)保险金申请人的有效身份证件，当保险金申请人为监护人时，还须提供</w:t>
      </w:r>
      <w:r>
        <w:rPr>
          <w:spacing w:val="-2"/>
        </w:rPr>
        <w:t>能够证明监护关系的证明文件；</w:t>
      </w:r>
    </w:p>
    <w:p>
      <w:pPr>
        <w:pStyle w:val="BodyText"/>
        <w:spacing w:line="278" w:lineRule="auto"/>
        <w:ind w:left="672" w:right="155" w:hanging="421"/>
      </w:pPr>
      <w:r>
        <w:rPr>
          <w:spacing w:val="-6"/>
          <w:w w:val="100"/>
        </w:rPr>
        <w:t>(三)被保险人的门急诊医疗病历、门诊处方、诊断书、住院病历、病理检查、</w:t>
      </w:r>
      <w:r>
        <w:rPr>
          <w:spacing w:val="-4"/>
          <w:w w:val="100"/>
        </w:rPr>
        <w:t>化验检查等，医院出具被保险人的医疗费用发票和医疗保险分割单、医</w:t>
      </w:r>
      <w:r>
        <w:rPr>
          <w:spacing w:val="-3"/>
          <w:w w:val="100"/>
        </w:rPr>
        <w:t>疗费用明细清单原件或复印件；</w:t>
      </w:r>
    </w:p>
    <w:p>
      <w:pPr>
        <w:pStyle w:val="BodyText"/>
        <w:spacing w:line="269" w:lineRule="exact"/>
        <w:ind w:left="252"/>
      </w:pPr>
      <w:r>
        <w:rPr>
          <w:spacing w:val="-3"/>
        </w:rPr>
        <w:t>(四)所能提供的与确认保险事故性质、原因等有关的其他证明和资料。</w:t>
      </w:r>
    </w:p>
    <w:p>
      <w:pPr>
        <w:pStyle w:val="BodyText"/>
        <w:spacing w:before="8"/>
        <w:rPr>
          <w:sz w:val="27"/>
        </w:rPr>
      </w:pPr>
    </w:p>
    <w:p>
      <w:pPr>
        <w:pStyle w:val="BodyText"/>
        <w:spacing w:line="278" w:lineRule="auto"/>
        <w:ind w:left="252" w:right="215"/>
      </w:pPr>
      <w:r>
        <w:rPr>
          <w:spacing w:val="-3"/>
          <w:w w:val="100"/>
        </w:rPr>
        <w:t>二、保险金作为被保险人遗产时，必须提供可证明合法继承权的相关文件。</w:t>
      </w:r>
      <w:r>
        <w:rPr>
          <w:spacing w:val="-7"/>
          <w:w w:val="100"/>
        </w:rPr>
        <w:t>三、如果保险金申请人委托他人代为申请，则除上述证明和资料外，受托人还</w:t>
      </w:r>
    </w:p>
    <w:p>
      <w:pPr>
        <w:pStyle w:val="BodyText"/>
        <w:spacing w:line="278" w:lineRule="auto"/>
        <w:ind w:left="252" w:right="212" w:firstLine="420"/>
      </w:pPr>
      <w:r>
        <w:rPr>
          <w:spacing w:val="-2"/>
        </w:rPr>
        <w:t>应提供授权委托书、委托人和受托人的有效身份证件等相关证明文件。</w:t>
      </w:r>
      <w:r>
        <w:rPr>
          <w:spacing w:val="-6"/>
        </w:rPr>
        <w:t>四、以上各项保险金申请所需证明和资料不完整的，我们将于 </w:t>
      </w:r>
      <w:r>
        <w:rPr/>
        <w:t>2</w:t>
      </w:r>
      <w:r>
        <w:rPr>
          <w:spacing w:val="-9"/>
        </w:rPr>
        <w:t> 个工作日内一</w:t>
      </w:r>
    </w:p>
    <w:p>
      <w:pPr>
        <w:pStyle w:val="BodyText"/>
        <w:spacing w:line="269" w:lineRule="exact"/>
        <w:ind w:left="672"/>
      </w:pPr>
      <w:r>
        <w:rPr>
          <w:spacing w:val="-3"/>
        </w:rPr>
        <w:t>次性通知保险金申请人补充提供有关证明和资料。</w:t>
      </w:r>
    </w:p>
    <w:p>
      <w:pPr>
        <w:spacing w:after="0" w:line="269" w:lineRule="exact"/>
        <w:sectPr>
          <w:type w:val="continuous"/>
          <w:pgSz w:w="11910" w:h="16840"/>
          <w:pgMar w:top="300" w:bottom="280" w:left="1060" w:right="660"/>
          <w:cols w:num="2" w:equalWidth="0">
            <w:col w:w="2613" w:space="40"/>
            <w:col w:w="7537"/>
          </w:cols>
        </w:sectPr>
      </w:pPr>
    </w:p>
    <w:p>
      <w:pPr>
        <w:pStyle w:val="BodyText"/>
        <w:spacing w:before="2"/>
        <w:rPr>
          <w:sz w:val="22"/>
        </w:rPr>
      </w:pPr>
    </w:p>
    <w:p>
      <w:pPr>
        <w:pStyle w:val="ListParagraph"/>
        <w:numPr>
          <w:ilvl w:val="1"/>
          <w:numId w:val="7"/>
        </w:numPr>
        <w:tabs>
          <w:tab w:pos="1345" w:val="left" w:leader="none"/>
        </w:tabs>
        <w:spacing w:line="240" w:lineRule="auto" w:before="72" w:after="0"/>
        <w:ind w:left="1344" w:right="0" w:hanging="1136"/>
        <w:jc w:val="both"/>
        <w:rPr>
          <w:sz w:val="21"/>
        </w:rPr>
      </w:pPr>
      <w:r>
        <w:rPr>
          <w:b/>
          <w:spacing w:val="4"/>
          <w:sz w:val="21"/>
        </w:rPr>
        <w:t>保险金的给付  </w:t>
      </w:r>
      <w:r>
        <w:rPr>
          <w:spacing w:val="-2"/>
          <w:sz w:val="21"/>
        </w:rPr>
        <w:t>一、我们在收到保险金申请人的理赔申请书及有关证明和资料后，将在 </w:t>
      </w:r>
      <w:r>
        <w:rPr>
          <w:sz w:val="21"/>
        </w:rPr>
        <w:t>5</w:t>
      </w:r>
      <w:r>
        <w:rPr>
          <w:spacing w:val="-32"/>
          <w:sz w:val="21"/>
        </w:rPr>
        <w:t> 日</w:t>
      </w:r>
    </w:p>
    <w:p>
      <w:pPr>
        <w:pStyle w:val="BodyText"/>
        <w:spacing w:line="278" w:lineRule="auto" w:before="42"/>
        <w:ind w:left="3324" w:right="263"/>
        <w:jc w:val="both"/>
      </w:pPr>
      <w:r>
        <w:rPr>
          <w:w w:val="95"/>
        </w:rPr>
        <w:t>内</w:t>
      </w:r>
      <w:r>
        <w:rPr>
          <w:w w:val="95"/>
        </w:rPr>
        <w:t>作</w:t>
      </w:r>
      <w:r>
        <w:rPr>
          <w:w w:val="95"/>
        </w:rPr>
        <w:t>出核定；情形复</w:t>
      </w:r>
      <w:r>
        <w:rPr>
          <w:w w:val="95"/>
        </w:rPr>
        <w:t>杂</w:t>
      </w:r>
      <w:r>
        <w:rPr>
          <w:w w:val="95"/>
        </w:rPr>
        <w:t>的</w:t>
      </w:r>
      <w:r>
        <w:rPr>
          <w:w w:val="95"/>
        </w:rPr>
        <w:t>，在</w:t>
      </w:r>
      <w:r>
        <w:rPr>
          <w:spacing w:val="32"/>
        </w:rPr>
        <w:t> </w:t>
      </w:r>
      <w:r>
        <w:rPr>
          <w:w w:val="95"/>
        </w:rPr>
        <w:t>30</w:t>
      </w:r>
      <w:r>
        <w:rPr>
          <w:spacing w:val="32"/>
        </w:rPr>
        <w:t> </w:t>
      </w:r>
      <w:r>
        <w:rPr>
          <w:w w:val="95"/>
        </w:rPr>
        <w:t>日</w:t>
      </w:r>
      <w:r>
        <w:rPr>
          <w:w w:val="95"/>
        </w:rPr>
        <w:t>内</w:t>
      </w:r>
      <w:r>
        <w:rPr>
          <w:w w:val="95"/>
        </w:rPr>
        <w:t>作出</w:t>
      </w:r>
      <w:r>
        <w:rPr>
          <w:w w:val="95"/>
        </w:rPr>
        <w:t>核</w:t>
      </w:r>
      <w:r>
        <w:rPr>
          <w:w w:val="95"/>
        </w:rPr>
        <w:t>定</w:t>
      </w:r>
      <w:r>
        <w:rPr>
          <w:w w:val="95"/>
        </w:rPr>
        <w:t>。对</w:t>
      </w:r>
      <w:r>
        <w:rPr>
          <w:w w:val="95"/>
        </w:rPr>
        <w:t>属</w:t>
      </w:r>
      <w:r>
        <w:rPr>
          <w:w w:val="95"/>
        </w:rPr>
        <w:t>于</w:t>
      </w:r>
      <w:r>
        <w:rPr>
          <w:w w:val="95"/>
        </w:rPr>
        <w:t>保险责任的，</w:t>
      </w:r>
      <w:r>
        <w:rPr>
          <w:w w:val="95"/>
        </w:rPr>
        <w:t>我</w:t>
      </w:r>
      <w:r>
        <w:rPr>
          <w:w w:val="95"/>
        </w:rPr>
        <w:t>们</w:t>
      </w:r>
      <w:r>
        <w:rPr>
          <w:w w:val="95"/>
        </w:rPr>
        <w:t>在</w:t>
      </w:r>
      <w:r>
        <w:rPr>
          <w:w w:val="95"/>
        </w:rPr>
        <w:t>与保险金申请人达成</w:t>
      </w:r>
      <w:r>
        <w:rPr>
          <w:w w:val="95"/>
        </w:rPr>
        <w:t>给</w:t>
      </w:r>
      <w:r>
        <w:rPr>
          <w:w w:val="95"/>
        </w:rPr>
        <w:t>付</w:t>
      </w:r>
      <w:r>
        <w:rPr>
          <w:w w:val="95"/>
        </w:rPr>
        <w:t>保险金的</w:t>
      </w:r>
      <w:r>
        <w:rPr>
          <w:w w:val="95"/>
        </w:rPr>
        <w:t>协</w:t>
      </w:r>
      <w:r>
        <w:rPr>
          <w:w w:val="95"/>
        </w:rPr>
        <w:t>议</w:t>
      </w:r>
      <w:r>
        <w:rPr>
          <w:w w:val="95"/>
        </w:rPr>
        <w:t>后</w:t>
      </w:r>
      <w:r>
        <w:rPr>
          <w:spacing w:val="35"/>
        </w:rPr>
        <w:t> </w:t>
      </w:r>
      <w:r>
        <w:rPr>
          <w:w w:val="95"/>
        </w:rPr>
        <w:t>10</w:t>
      </w:r>
      <w:r>
        <w:rPr/>
        <w:t> </w:t>
      </w:r>
      <w:r>
        <w:rPr>
          <w:w w:val="95"/>
        </w:rPr>
        <w:t>日内，履行给付保险</w:t>
      </w:r>
      <w:r>
        <w:rPr>
          <w:w w:val="95"/>
        </w:rPr>
        <w:t>金</w:t>
      </w:r>
      <w:r>
        <w:rPr>
          <w:spacing w:val="-4"/>
        </w:rPr>
        <w:t>义务。</w:t>
      </w:r>
    </w:p>
    <w:p>
      <w:pPr>
        <w:pStyle w:val="BodyText"/>
        <w:spacing w:line="278" w:lineRule="auto"/>
        <w:ind w:left="3324" w:right="155" w:hanging="421"/>
      </w:pPr>
      <w:r>
        <w:rPr>
          <w:spacing w:val="-5"/>
          <w:w w:val="100"/>
        </w:rPr>
        <w:t>二、我们未及时履行前款规定义务的，对属于保险责任的，除支付保险金外，</w:t>
      </w:r>
      <w:r>
        <w:rPr>
          <w:spacing w:val="-4"/>
          <w:w w:val="100"/>
        </w:rPr>
        <w:t>应当赔偿保险金申请人因此受到的损失，其中利息损失按照我们确定的</w:t>
      </w:r>
      <w:r>
        <w:rPr>
          <w:spacing w:val="-3"/>
          <w:w w:val="100"/>
        </w:rPr>
        <w:t>利率按单利计算，且我们确定的利率不低于当时中国人民银行公布的金融机构人民币活期存款基准利率。</w:t>
      </w:r>
    </w:p>
    <w:p>
      <w:pPr>
        <w:pStyle w:val="BodyText"/>
        <w:spacing w:line="278" w:lineRule="auto"/>
        <w:ind w:left="3324" w:right="342" w:hanging="421"/>
      </w:pPr>
      <w:r>
        <w:rPr>
          <w:spacing w:val="-3"/>
        </w:rPr>
        <w:t>三、对不属于保险责任的，我们自作出核定之日起 </w:t>
      </w:r>
      <w:r>
        <w:rPr/>
        <w:t>3</w:t>
      </w:r>
      <w:r>
        <w:rPr>
          <w:spacing w:val="-8"/>
        </w:rPr>
        <w:t> 日内向保险金申请人发</w:t>
      </w:r>
      <w:r>
        <w:rPr>
          <w:spacing w:val="-2"/>
        </w:rPr>
        <w:t>出拒绝给付保险金通知书并说明理由。</w:t>
      </w:r>
    </w:p>
    <w:p>
      <w:pPr>
        <w:pStyle w:val="BodyText"/>
        <w:spacing w:line="278" w:lineRule="auto"/>
        <w:ind w:left="3324" w:right="263" w:hanging="421"/>
      </w:pPr>
      <w:r>
        <w:rPr>
          <w:spacing w:val="-4"/>
        </w:rPr>
        <w:t>四、我们在收到理赔申请书及有关证明和资料之日起 </w:t>
      </w:r>
      <w:r>
        <w:rPr>
          <w:spacing w:val="-2"/>
        </w:rPr>
        <w:t>60</w:t>
      </w:r>
      <w:r>
        <w:rPr>
          <w:spacing w:val="-9"/>
        </w:rPr>
        <w:t> 日内，对给付保险金</w:t>
      </w:r>
      <w:r>
        <w:rPr>
          <w:spacing w:val="-2"/>
        </w:rPr>
        <w:t>的数额不能确定的，根据已有证明和资料可以确定的数额先予支付；我</w:t>
      </w:r>
      <w:r>
        <w:rPr>
          <w:spacing w:val="-2"/>
        </w:rPr>
        <w:t>们最终确定给付保险金的数额后，将支付相应的差额。</w:t>
      </w:r>
    </w:p>
    <w:p>
      <w:pPr>
        <w:pStyle w:val="BodyText"/>
        <w:spacing w:before="3"/>
        <w:rPr>
          <w:sz w:val="24"/>
        </w:rPr>
      </w:pPr>
    </w:p>
    <w:p>
      <w:pPr>
        <w:pStyle w:val="ListParagraph"/>
        <w:numPr>
          <w:ilvl w:val="1"/>
          <w:numId w:val="7"/>
        </w:numPr>
        <w:tabs>
          <w:tab w:pos="1344" w:val="left" w:leader="none"/>
          <w:tab w:pos="1345" w:val="left" w:leader="none"/>
          <w:tab w:pos="2904" w:val="left" w:leader="none"/>
        </w:tabs>
        <w:spacing w:line="278" w:lineRule="auto" w:before="1" w:after="0"/>
        <w:ind w:left="2904" w:right="342" w:hanging="2696"/>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保险金申请人向我们申请</w:t>
      </w:r>
      <w:r>
        <w:rPr>
          <w:sz w:val="21"/>
        </w:rPr>
        <w:t>给付保险金的诉讼时效期</w:t>
      </w:r>
      <w:r>
        <w:rPr>
          <w:sz w:val="21"/>
        </w:rPr>
        <w:t>间为</w:t>
      </w:r>
      <w:r>
        <w:rPr>
          <w:spacing w:val="-53"/>
          <w:sz w:val="21"/>
        </w:rPr>
        <w:t> </w:t>
      </w:r>
      <w:r>
        <w:rPr>
          <w:sz w:val="21"/>
        </w:rPr>
        <w:t>2</w:t>
      </w:r>
      <w:r>
        <w:rPr>
          <w:spacing w:val="-55"/>
          <w:sz w:val="21"/>
        </w:rPr>
        <w:t> </w:t>
      </w:r>
      <w:r>
        <w:rPr>
          <w:sz w:val="21"/>
        </w:rPr>
        <w:t>年，自其知道</w:t>
      </w:r>
      <w:r>
        <w:rPr>
          <w:sz w:val="21"/>
        </w:rPr>
        <w:t>或者</w:t>
      </w:r>
      <w:r>
        <w:rPr>
          <w:spacing w:val="-2"/>
          <w:sz w:val="21"/>
        </w:rPr>
        <w:t>应</w:t>
      </w:r>
      <w:r>
        <w:rPr>
          <w:spacing w:val="-2"/>
          <w:sz w:val="21"/>
        </w:rPr>
        <w:t>当</w:t>
      </w:r>
      <w:r>
        <w:rPr>
          <w:spacing w:val="-2"/>
          <w:sz w:val="21"/>
        </w:rPr>
        <w:t>知道保险事故发生之</w:t>
      </w:r>
      <w:r>
        <w:rPr>
          <w:spacing w:val="-2"/>
          <w:sz w:val="21"/>
        </w:rPr>
        <w:t>日</w:t>
      </w:r>
      <w:r>
        <w:rPr>
          <w:spacing w:val="-2"/>
          <w:sz w:val="21"/>
        </w:rPr>
        <w:t>起</w:t>
      </w:r>
      <w:r>
        <w:rPr>
          <w:spacing w:val="-2"/>
          <w:sz w:val="21"/>
        </w:rPr>
        <w:t>计算。</w:t>
      </w:r>
    </w:p>
    <w:p>
      <w:pPr>
        <w:pStyle w:val="BodyText"/>
        <w:spacing w:before="2"/>
        <w:rPr>
          <w:sz w:val="25"/>
        </w:rPr>
      </w:pPr>
    </w:p>
    <w:p>
      <w:pPr>
        <w:tabs>
          <w:tab w:pos="1344" w:val="left" w:leader="none"/>
        </w:tabs>
        <w:spacing w:before="1"/>
        <w:ind w:left="209" w:right="0" w:firstLine="0"/>
        <w:jc w:val="left"/>
        <w:rPr>
          <w:b/>
          <w:sz w:val="28"/>
        </w:rPr>
      </w:pPr>
      <w:r>
        <w:rPr/>
        <w:drawing>
          <wp:anchor distT="0" distB="0" distL="0" distR="0" allowOverlap="1" layoutInCell="1" locked="0" behindDoc="0" simplePos="0" relativeHeight="6">
            <wp:simplePos x="0" y="0"/>
            <wp:positionH relativeFrom="page">
              <wp:posOffset>737616</wp:posOffset>
            </wp:positionH>
            <wp:positionV relativeFrom="paragraph">
              <wp:posOffset>375125</wp:posOffset>
            </wp:positionV>
            <wp:extent cx="6300216" cy="6095"/>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8" cstate="print"/>
                    <a:stretch>
                      <a:fillRect/>
                    </a:stretch>
                  </pic:blipFill>
                  <pic:spPr>
                    <a:xfrm>
                      <a:off x="0" y="0"/>
                      <a:ext cx="6300216"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如</w:t>
      </w:r>
      <w:r>
        <w:rPr>
          <w:b/>
          <w:w w:val="95"/>
          <w:sz w:val="28"/>
        </w:rPr>
        <w:t>何</w:t>
      </w:r>
      <w:r>
        <w:rPr>
          <w:b/>
          <w:w w:val="95"/>
          <w:sz w:val="28"/>
        </w:rPr>
        <w:t>交</w:t>
      </w:r>
      <w:r>
        <w:rPr>
          <w:b/>
          <w:w w:val="95"/>
          <w:sz w:val="28"/>
        </w:rPr>
        <w:t>纳</w:t>
      </w:r>
      <w:r>
        <w:rPr>
          <w:b/>
          <w:w w:val="95"/>
          <w:sz w:val="28"/>
        </w:rPr>
        <w:t>保</w:t>
      </w:r>
      <w:r>
        <w:rPr>
          <w:b/>
          <w:w w:val="95"/>
          <w:sz w:val="28"/>
        </w:rPr>
        <w:t>险</w:t>
      </w:r>
      <w:r>
        <w:rPr>
          <w:b/>
          <w:spacing w:val="-10"/>
          <w:w w:val="95"/>
          <w:sz w:val="28"/>
        </w:rPr>
        <w:t>费</w:t>
      </w:r>
    </w:p>
    <w:p>
      <w:pPr>
        <w:pStyle w:val="ListParagraph"/>
        <w:numPr>
          <w:ilvl w:val="1"/>
          <w:numId w:val="8"/>
        </w:numPr>
        <w:tabs>
          <w:tab w:pos="1344" w:val="left" w:leader="none"/>
          <w:tab w:pos="1345" w:val="left" w:leader="none"/>
          <w:tab w:pos="2904" w:val="left" w:leader="none"/>
        </w:tabs>
        <w:spacing w:line="278" w:lineRule="auto" w:before="335" w:after="0"/>
        <w:ind w:left="2904" w:right="263" w:hanging="2696"/>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交</w:t>
      </w:r>
      <w:r>
        <w:rPr>
          <w:b/>
          <w:spacing w:val="-2"/>
          <w:sz w:val="21"/>
        </w:rPr>
        <w:t>纳</w:t>
      </w:r>
      <w:r>
        <w:rPr>
          <w:b/>
          <w:sz w:val="21"/>
        </w:rPr>
        <w:tab/>
      </w:r>
      <w:r>
        <w:rPr>
          <w:sz w:val="21"/>
        </w:rPr>
        <w:t>一</w:t>
      </w:r>
      <w:r>
        <w:rPr>
          <w:spacing w:val="9"/>
          <w:sz w:val="21"/>
        </w:rPr>
        <w:t>、</w:t>
      </w:r>
      <w:r>
        <w:rPr>
          <w:sz w:val="21"/>
        </w:rPr>
        <w:t>本主险合同的交费方式和</w:t>
      </w:r>
      <w:r>
        <w:rPr>
          <w:sz w:val="21"/>
        </w:rPr>
        <w:t>交费期间由您和我们约定</w:t>
      </w:r>
      <w:r>
        <w:rPr>
          <w:sz w:val="21"/>
        </w:rPr>
        <w:t>并在保险单上载</w:t>
      </w:r>
      <w:r>
        <w:rPr>
          <w:sz w:val="21"/>
        </w:rPr>
        <w:t>明。二</w:t>
      </w:r>
      <w:r>
        <w:rPr>
          <w:spacing w:val="9"/>
          <w:sz w:val="21"/>
        </w:rPr>
        <w:t>、</w:t>
      </w:r>
      <w:r>
        <w:rPr>
          <w:sz w:val="21"/>
        </w:rPr>
        <w:t>分</w:t>
      </w:r>
      <w:r>
        <w:rPr>
          <w:sz w:val="21"/>
        </w:rPr>
        <w:t>期交纳保险费的，</w:t>
      </w:r>
      <w:r>
        <w:rPr>
          <w:sz w:val="21"/>
        </w:rPr>
        <w:t>在交纳</w:t>
      </w:r>
      <w:r>
        <w:rPr>
          <w:sz w:val="21"/>
        </w:rPr>
        <w:t>首期保险费后，您</w:t>
      </w:r>
      <w:r>
        <w:rPr>
          <w:sz w:val="21"/>
        </w:rPr>
        <w:t>应当按</w:t>
      </w:r>
      <w:r>
        <w:rPr>
          <w:sz w:val="21"/>
        </w:rPr>
        <w:t>照约定，在</w:t>
      </w:r>
      <w:r>
        <w:rPr>
          <w:sz w:val="21"/>
        </w:rPr>
        <w:t>每个</w:t>
      </w:r>
      <w:r>
        <w:rPr>
          <w:sz w:val="21"/>
        </w:rPr>
        <w:t>保</w:t>
      </w:r>
    </w:p>
    <w:p>
      <w:pPr>
        <w:pStyle w:val="BodyText"/>
        <w:spacing w:line="269" w:lineRule="exact"/>
        <w:ind w:left="3346"/>
        <w:jc w:val="both"/>
      </w:pPr>
      <w:r>
        <w:rPr>
          <w:spacing w:val="-2"/>
        </w:rPr>
        <w:t>险费约定交纳日（</w:t>
      </w:r>
      <w:r>
        <w:rPr>
          <w:spacing w:val="-21"/>
        </w:rPr>
        <w:t>见 </w:t>
      </w:r>
      <w:r>
        <w:rPr>
          <w:spacing w:val="-2"/>
        </w:rPr>
        <w:t>9.36）</w:t>
      </w:r>
      <w:r>
        <w:rPr>
          <w:spacing w:val="-3"/>
        </w:rPr>
        <w:t>交纳其余各期的保险费。</w:t>
      </w:r>
    </w:p>
    <w:p>
      <w:pPr>
        <w:spacing w:after="0" w:line="269" w:lineRule="exact"/>
        <w:jc w:val="both"/>
        <w:sectPr>
          <w:type w:val="continuous"/>
          <w:pgSz w:w="11910" w:h="16840"/>
          <w:pgMar w:top="300" w:bottom="280" w:left="1060" w:right="660"/>
        </w:sectPr>
      </w:pPr>
    </w:p>
    <w:p>
      <w:pPr>
        <w:pStyle w:val="ListParagraph"/>
        <w:numPr>
          <w:ilvl w:val="1"/>
          <w:numId w:val="8"/>
        </w:numPr>
        <w:tabs>
          <w:tab w:pos="1344" w:val="left" w:leader="none"/>
          <w:tab w:pos="1345" w:val="left" w:leader="none"/>
          <w:tab w:pos="2904" w:val="left" w:leader="none"/>
        </w:tabs>
        <w:spacing w:line="240" w:lineRule="auto" w:before="53" w:after="0"/>
        <w:ind w:left="1344" w:right="0" w:hanging="1136"/>
        <w:jc w:val="left"/>
        <w:rPr>
          <w:sz w:val="21"/>
        </w:rPr>
      </w:pPr>
      <w:r>
        <w:rPr>
          <w:b/>
          <w:sz w:val="21"/>
        </w:rPr>
        <w:t>宽限</w:t>
      </w:r>
      <w:r>
        <w:rPr>
          <w:b/>
          <w:spacing w:val="-10"/>
          <w:sz w:val="21"/>
        </w:rPr>
        <w:t>期</w:t>
      </w:r>
      <w:r>
        <w:rPr>
          <w:b/>
          <w:sz w:val="21"/>
        </w:rPr>
        <w:tab/>
      </w:r>
      <w:r>
        <w:rPr>
          <w:spacing w:val="-2"/>
          <w:sz w:val="21"/>
        </w:rPr>
        <w:t>一</w:t>
      </w:r>
      <w:r>
        <w:rPr>
          <w:spacing w:val="-2"/>
          <w:sz w:val="21"/>
        </w:rPr>
        <w:t>、</w:t>
      </w:r>
      <w:r>
        <w:rPr>
          <w:spacing w:val="-59"/>
          <w:sz w:val="21"/>
        </w:rPr>
        <w:t> </w:t>
      </w:r>
      <w:r>
        <w:rPr>
          <w:spacing w:val="-2"/>
          <w:sz w:val="21"/>
        </w:rPr>
        <w:t>如</w:t>
      </w:r>
      <w:r>
        <w:rPr>
          <w:spacing w:val="-2"/>
          <w:sz w:val="21"/>
        </w:rPr>
        <w:t>果</w:t>
      </w:r>
      <w:r>
        <w:rPr>
          <w:spacing w:val="-2"/>
          <w:sz w:val="21"/>
        </w:rPr>
        <w:t>您到期未交纳保险费</w:t>
      </w:r>
      <w:r>
        <w:rPr>
          <w:spacing w:val="-68"/>
          <w:sz w:val="21"/>
        </w:rPr>
        <w:t>，</w:t>
      </w:r>
      <w:r>
        <w:rPr>
          <w:spacing w:val="-2"/>
          <w:sz w:val="21"/>
        </w:rPr>
        <w:t>自</w:t>
      </w:r>
      <w:r>
        <w:rPr>
          <w:spacing w:val="-2"/>
          <w:sz w:val="21"/>
        </w:rPr>
        <w:t>保</w:t>
      </w:r>
      <w:r>
        <w:rPr>
          <w:spacing w:val="-2"/>
          <w:sz w:val="21"/>
        </w:rPr>
        <w:t>险费约定交纳日的次</w:t>
      </w:r>
      <w:r>
        <w:rPr>
          <w:spacing w:val="-2"/>
          <w:sz w:val="21"/>
        </w:rPr>
        <w:t>日</w:t>
      </w:r>
      <w:r>
        <w:rPr>
          <w:spacing w:val="-2"/>
          <w:sz w:val="21"/>
        </w:rPr>
        <w:t>零</w:t>
      </w:r>
      <w:r>
        <w:rPr>
          <w:spacing w:val="-2"/>
          <w:sz w:val="21"/>
        </w:rPr>
        <w:t>时起</w:t>
      </w:r>
      <w:r>
        <w:rPr>
          <w:spacing w:val="-44"/>
          <w:sz w:val="21"/>
        </w:rPr>
        <w:t> </w:t>
      </w:r>
      <w:r>
        <w:rPr>
          <w:spacing w:val="-2"/>
          <w:sz w:val="21"/>
        </w:rPr>
        <w:t>60</w:t>
      </w:r>
      <w:r>
        <w:rPr>
          <w:spacing w:val="-43"/>
          <w:sz w:val="21"/>
        </w:rPr>
        <w:t> </w:t>
      </w:r>
      <w:r>
        <w:rPr>
          <w:spacing w:val="-2"/>
          <w:sz w:val="21"/>
        </w:rPr>
        <w:t>日</w:t>
      </w:r>
      <w:r>
        <w:rPr>
          <w:spacing w:val="-2"/>
          <w:sz w:val="21"/>
        </w:rPr>
        <w:t>为</w:t>
      </w:r>
      <w:r>
        <w:rPr>
          <w:spacing w:val="-10"/>
          <w:sz w:val="21"/>
        </w:rPr>
        <w:t>宽</w:t>
      </w:r>
    </w:p>
    <w:p>
      <w:pPr>
        <w:spacing w:line="268" w:lineRule="auto" w:before="43"/>
        <w:ind w:left="3368" w:right="299" w:firstLine="0"/>
        <w:jc w:val="left"/>
        <w:rPr>
          <w:b/>
          <w:i/>
          <w:sz w:val="22"/>
        </w:rPr>
      </w:pPr>
      <w:r>
        <w:rPr>
          <w:spacing w:val="-2"/>
          <w:sz w:val="21"/>
        </w:rPr>
        <w:t>限期。宽限期内发生的保险事故，我们仍会按本主险合同的约定承担相</w:t>
      </w:r>
      <w:r>
        <w:rPr>
          <w:spacing w:val="-2"/>
          <w:sz w:val="21"/>
        </w:rPr>
        <w:t>应的保险责任，</w:t>
      </w:r>
      <w:r>
        <w:rPr>
          <w:b/>
          <w:i/>
          <w:spacing w:val="-2"/>
          <w:sz w:val="22"/>
        </w:rPr>
        <w:t>但</w:t>
      </w:r>
      <w:r>
        <w:rPr>
          <w:b/>
          <w:i/>
          <w:spacing w:val="-2"/>
          <w:sz w:val="22"/>
        </w:rPr>
        <w:t>在</w:t>
      </w:r>
      <w:r>
        <w:rPr>
          <w:b/>
          <w:i/>
          <w:spacing w:val="-2"/>
          <w:sz w:val="22"/>
        </w:rPr>
        <w:t>给</w:t>
      </w:r>
      <w:r>
        <w:rPr>
          <w:b/>
          <w:i/>
          <w:spacing w:val="-2"/>
          <w:sz w:val="22"/>
        </w:rPr>
        <w:t>付</w:t>
      </w:r>
      <w:r>
        <w:rPr>
          <w:b/>
          <w:i/>
          <w:spacing w:val="-2"/>
          <w:sz w:val="22"/>
        </w:rPr>
        <w:t>保</w:t>
      </w:r>
      <w:r>
        <w:rPr>
          <w:b/>
          <w:i/>
          <w:spacing w:val="-2"/>
          <w:sz w:val="22"/>
        </w:rPr>
        <w:t>险</w:t>
      </w:r>
      <w:r>
        <w:rPr>
          <w:b/>
          <w:i/>
          <w:spacing w:val="-2"/>
          <w:sz w:val="22"/>
        </w:rPr>
        <w:t>金</w:t>
      </w:r>
      <w:r>
        <w:rPr>
          <w:b/>
          <w:i/>
          <w:spacing w:val="-2"/>
          <w:sz w:val="22"/>
        </w:rPr>
        <w:t>时</w:t>
      </w:r>
      <w:r>
        <w:rPr>
          <w:b/>
          <w:i/>
          <w:spacing w:val="-2"/>
          <w:sz w:val="22"/>
        </w:rPr>
        <w:t>需</w:t>
      </w:r>
      <w:r>
        <w:rPr>
          <w:b/>
          <w:i/>
          <w:spacing w:val="-2"/>
          <w:sz w:val="22"/>
        </w:rPr>
        <w:t>扣</w:t>
      </w:r>
      <w:r>
        <w:rPr>
          <w:b/>
          <w:i/>
          <w:spacing w:val="-2"/>
          <w:sz w:val="22"/>
        </w:rPr>
        <w:t>除</w:t>
      </w:r>
      <w:r>
        <w:rPr>
          <w:b/>
          <w:i/>
          <w:spacing w:val="-2"/>
          <w:sz w:val="22"/>
        </w:rPr>
        <w:t>您</w:t>
      </w:r>
      <w:r>
        <w:rPr>
          <w:b/>
          <w:i/>
          <w:spacing w:val="-2"/>
          <w:sz w:val="22"/>
        </w:rPr>
        <w:t>欠交的</w:t>
      </w:r>
      <w:r>
        <w:rPr>
          <w:b/>
          <w:i/>
          <w:spacing w:val="-2"/>
          <w:sz w:val="22"/>
        </w:rPr>
        <w:t>保</w:t>
      </w:r>
      <w:r>
        <w:rPr>
          <w:b/>
          <w:i/>
          <w:spacing w:val="-2"/>
          <w:sz w:val="22"/>
        </w:rPr>
        <w:t>险</w:t>
      </w:r>
      <w:r>
        <w:rPr>
          <w:b/>
          <w:i/>
          <w:spacing w:val="-2"/>
          <w:sz w:val="22"/>
        </w:rPr>
        <w:t>费。</w:t>
      </w:r>
    </w:p>
    <w:p>
      <w:pPr>
        <w:spacing w:line="266" w:lineRule="auto" w:before="0"/>
        <w:ind w:left="3367" w:right="278" w:hanging="463"/>
        <w:jc w:val="left"/>
        <w:rPr>
          <w:b/>
          <w:i/>
          <w:sz w:val="22"/>
        </w:rPr>
      </w:pPr>
      <w:r>
        <w:rPr>
          <w:w w:val="95"/>
          <w:sz w:val="21"/>
        </w:rPr>
        <w:t>二</w:t>
      </w:r>
      <w:r>
        <w:rPr>
          <w:w w:val="95"/>
          <w:sz w:val="21"/>
        </w:rPr>
        <w:t>、</w:t>
      </w:r>
      <w:r>
        <w:rPr>
          <w:spacing w:val="-60"/>
          <w:w w:val="95"/>
          <w:sz w:val="21"/>
        </w:rPr>
        <w:t> </w:t>
      </w:r>
      <w:r>
        <w:rPr>
          <w:b/>
          <w:i/>
          <w:w w:val="95"/>
          <w:sz w:val="22"/>
        </w:rPr>
        <w:t>如果您在宽限期结束之后仍未交纳对应的保险费，除非本主险合同另有</w:t>
      </w:r>
      <w:r>
        <w:rPr>
          <w:b/>
          <w:i/>
          <w:spacing w:val="-2"/>
          <w:w w:val="95"/>
          <w:sz w:val="22"/>
        </w:rPr>
        <w:t>约定，否则本主险合同自宽限期满的次日零时起效力中止。</w:t>
      </w:r>
    </w:p>
    <w:p>
      <w:pPr>
        <w:pStyle w:val="BodyText"/>
        <w:spacing w:before="12"/>
        <w:rPr>
          <w:b/>
          <w:i/>
          <w:sz w:val="17"/>
        </w:rPr>
      </w:pPr>
    </w:p>
    <w:p>
      <w:pPr>
        <w:tabs>
          <w:tab w:pos="1344" w:val="left" w:leader="none"/>
        </w:tabs>
        <w:spacing w:before="99"/>
        <w:ind w:left="209" w:right="0" w:firstLine="0"/>
        <w:jc w:val="left"/>
        <w:rPr>
          <w:b/>
          <w:sz w:val="28"/>
        </w:rPr>
      </w:pPr>
      <w:r>
        <w:rPr/>
        <w:drawing>
          <wp:anchor distT="0" distB="0" distL="0" distR="0" allowOverlap="1" layoutInCell="1" locked="0" behindDoc="0" simplePos="0" relativeHeight="7">
            <wp:simplePos x="0" y="0"/>
            <wp:positionH relativeFrom="page">
              <wp:posOffset>737616</wp:posOffset>
            </wp:positionH>
            <wp:positionV relativeFrom="paragraph">
              <wp:posOffset>437236</wp:posOffset>
            </wp:positionV>
            <wp:extent cx="6300215" cy="6096"/>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300215"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现</w:t>
      </w:r>
      <w:r>
        <w:rPr>
          <w:b/>
          <w:w w:val="95"/>
          <w:sz w:val="28"/>
        </w:rPr>
        <w:t>金</w:t>
      </w:r>
      <w:r>
        <w:rPr>
          <w:b/>
          <w:w w:val="95"/>
          <w:sz w:val="28"/>
        </w:rPr>
        <w:t>价</w:t>
      </w:r>
      <w:r>
        <w:rPr>
          <w:b/>
          <w:w w:val="95"/>
          <w:sz w:val="28"/>
        </w:rPr>
        <w:t>值</w:t>
      </w:r>
      <w:r>
        <w:rPr>
          <w:b/>
          <w:w w:val="95"/>
          <w:sz w:val="28"/>
        </w:rPr>
        <w:t>权</w:t>
      </w:r>
      <w:r>
        <w:rPr>
          <w:b/>
          <w:spacing w:val="-10"/>
          <w:w w:val="95"/>
          <w:sz w:val="28"/>
        </w:rPr>
        <w:t>益</w:t>
      </w:r>
    </w:p>
    <w:p>
      <w:pPr>
        <w:pStyle w:val="BodyText"/>
        <w:tabs>
          <w:tab w:pos="1344" w:val="left" w:leader="none"/>
          <w:tab w:pos="2904" w:val="left" w:leader="none"/>
        </w:tabs>
        <w:spacing w:line="278" w:lineRule="auto" w:before="335"/>
        <w:ind w:left="2904" w:right="265" w:hanging="2696"/>
      </w:pPr>
      <w:r>
        <w:rPr>
          <w:b/>
          <w:spacing w:val="-4"/>
        </w:rPr>
        <w:t>5.1</w:t>
      </w:r>
      <w:r>
        <w:rPr>
          <w:b/>
        </w:rPr>
        <w:tab/>
      </w:r>
      <w:r>
        <w:rPr>
          <w:b/>
          <w:spacing w:val="-4"/>
        </w:rPr>
        <w:t>现</w:t>
      </w:r>
      <w:r>
        <w:rPr>
          <w:b/>
          <w:spacing w:val="-4"/>
        </w:rPr>
        <w:t>金</w:t>
      </w:r>
      <w:r>
        <w:rPr>
          <w:b/>
          <w:spacing w:val="-4"/>
        </w:rPr>
        <w:t>价</w:t>
      </w:r>
      <w:r>
        <w:rPr>
          <w:b/>
          <w:spacing w:val="-4"/>
        </w:rPr>
        <w:t>值</w:t>
      </w:r>
      <w:r>
        <w:rPr>
          <w:b/>
        </w:rPr>
        <w:tab/>
      </w:r>
      <w:r>
        <w:rPr>
          <w:spacing w:val="-2"/>
        </w:rPr>
        <w:t>本主险合同保险单年</w:t>
      </w:r>
      <w:r>
        <w:rPr>
          <w:spacing w:val="-2"/>
        </w:rPr>
        <w:t>度</w:t>
      </w:r>
      <w:r>
        <w:rPr>
          <w:spacing w:val="-2"/>
        </w:rPr>
        <w:t>末</w:t>
      </w:r>
      <w:r>
        <w:rPr>
          <w:spacing w:val="-2"/>
        </w:rPr>
        <w:t>的现金价值会在保险</w:t>
      </w:r>
      <w:r>
        <w:rPr>
          <w:spacing w:val="-2"/>
        </w:rPr>
        <w:t>单</w:t>
      </w:r>
      <w:r>
        <w:rPr>
          <w:spacing w:val="-2"/>
        </w:rPr>
        <w:t>上</w:t>
      </w:r>
      <w:r>
        <w:rPr>
          <w:spacing w:val="-2"/>
        </w:rPr>
        <w:t>载明，保险单年度内</w:t>
      </w:r>
      <w:r>
        <w:rPr>
          <w:spacing w:val="-2"/>
        </w:rPr>
        <w:t>的</w:t>
      </w:r>
      <w:r>
        <w:rPr>
          <w:spacing w:val="-2"/>
        </w:rPr>
        <w:t>现</w:t>
      </w:r>
      <w:r>
        <w:rPr>
          <w:spacing w:val="-2"/>
        </w:rPr>
        <w:t>金</w:t>
      </w:r>
      <w:r>
        <w:rPr>
          <w:spacing w:val="-2"/>
        </w:rPr>
        <w:t>价</w:t>
      </w:r>
      <w:r>
        <w:rPr>
          <w:spacing w:val="-2"/>
        </w:rPr>
        <w:t>值，您可以向我们咨</w:t>
      </w:r>
      <w:r>
        <w:rPr>
          <w:spacing w:val="-2"/>
        </w:rPr>
        <w:t>询</w:t>
      </w:r>
      <w:r>
        <w:rPr>
          <w:spacing w:val="-2"/>
        </w:rPr>
        <w:t>。</w:t>
      </w:r>
    </w:p>
    <w:p>
      <w:pPr>
        <w:pStyle w:val="BodyText"/>
        <w:spacing w:before="2"/>
        <w:rPr>
          <w:sz w:val="25"/>
        </w:rPr>
      </w:pPr>
    </w:p>
    <w:p>
      <w:pPr>
        <w:pStyle w:val="Heading1"/>
        <w:tabs>
          <w:tab w:pos="1344" w:val="left" w:leader="none"/>
        </w:tabs>
      </w:pPr>
      <w:r>
        <w:rPr/>
        <w:drawing>
          <wp:anchor distT="0" distB="0" distL="0" distR="0" allowOverlap="1" layoutInCell="1" locked="0" behindDoc="0" simplePos="0" relativeHeight="8">
            <wp:simplePos x="0" y="0"/>
            <wp:positionH relativeFrom="page">
              <wp:posOffset>737616</wp:posOffset>
            </wp:positionH>
            <wp:positionV relativeFrom="paragraph">
              <wp:posOffset>374524</wp:posOffset>
            </wp:positionV>
            <wp:extent cx="6300215" cy="6096"/>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8" cstate="print"/>
                    <a:stretch>
                      <a:fillRect/>
                    </a:stretch>
                  </pic:blipFill>
                  <pic:spPr>
                    <a:xfrm>
                      <a:off x="0" y="0"/>
                      <a:ext cx="6300215" cy="6096"/>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ListParagraph"/>
        <w:numPr>
          <w:ilvl w:val="1"/>
          <w:numId w:val="9"/>
        </w:numPr>
        <w:tabs>
          <w:tab w:pos="1344" w:val="left" w:leader="none"/>
          <w:tab w:pos="1345" w:val="left" w:leader="none"/>
          <w:tab w:pos="2904" w:val="left" w:leader="none"/>
        </w:tabs>
        <w:spacing w:line="240" w:lineRule="auto" w:before="325" w:after="0"/>
        <w:ind w:left="1344" w:right="0" w:hanging="1136"/>
        <w:jc w:val="left"/>
        <w:rPr>
          <w:b/>
          <w:i/>
          <w:sz w:val="22"/>
        </w:rPr>
      </w:pPr>
      <w:r>
        <w:rPr>
          <w:b/>
          <w:sz w:val="21"/>
        </w:rPr>
        <w:t>效力中</w:t>
      </w:r>
      <w:r>
        <w:rPr>
          <w:b/>
          <w:spacing w:val="-10"/>
          <w:sz w:val="21"/>
        </w:rPr>
        <w:t>止</w:t>
      </w:r>
      <w:r>
        <w:rPr>
          <w:b/>
          <w:sz w:val="21"/>
        </w:rPr>
        <w:tab/>
      </w:r>
      <w:r>
        <w:rPr>
          <w:b/>
          <w:i/>
          <w:spacing w:val="-2"/>
          <w:w w:val="95"/>
          <w:sz w:val="22"/>
        </w:rPr>
        <w:t>在</w:t>
      </w:r>
      <w:r>
        <w:rPr>
          <w:b/>
          <w:i/>
          <w:spacing w:val="-2"/>
          <w:w w:val="95"/>
          <w:sz w:val="22"/>
        </w:rPr>
        <w:t>本</w:t>
      </w:r>
      <w:r>
        <w:rPr>
          <w:b/>
          <w:i/>
          <w:spacing w:val="-2"/>
          <w:w w:val="95"/>
          <w:sz w:val="22"/>
        </w:rPr>
        <w:t>主</w:t>
      </w:r>
      <w:r>
        <w:rPr>
          <w:b/>
          <w:i/>
          <w:spacing w:val="-2"/>
          <w:w w:val="95"/>
          <w:sz w:val="22"/>
        </w:rPr>
        <w:t>险</w:t>
      </w:r>
      <w:r>
        <w:rPr>
          <w:b/>
          <w:i/>
          <w:spacing w:val="-2"/>
          <w:w w:val="95"/>
          <w:sz w:val="22"/>
        </w:rPr>
        <w:t>合</w:t>
      </w:r>
      <w:r>
        <w:rPr>
          <w:b/>
          <w:i/>
          <w:spacing w:val="-2"/>
          <w:w w:val="95"/>
          <w:sz w:val="22"/>
        </w:rPr>
        <w:t>同</w:t>
      </w:r>
      <w:r>
        <w:rPr>
          <w:b/>
          <w:i/>
          <w:spacing w:val="-2"/>
          <w:w w:val="95"/>
          <w:sz w:val="22"/>
        </w:rPr>
        <w:t>效</w:t>
      </w:r>
      <w:r>
        <w:rPr>
          <w:b/>
          <w:i/>
          <w:spacing w:val="-2"/>
          <w:w w:val="95"/>
          <w:sz w:val="22"/>
        </w:rPr>
        <w:t>力</w:t>
      </w:r>
      <w:r>
        <w:rPr>
          <w:b/>
          <w:i/>
          <w:spacing w:val="-2"/>
          <w:w w:val="95"/>
          <w:sz w:val="22"/>
        </w:rPr>
        <w:t>中止期间，</w:t>
      </w:r>
      <w:r>
        <w:rPr>
          <w:b/>
          <w:i/>
          <w:spacing w:val="-2"/>
          <w:w w:val="95"/>
          <w:sz w:val="22"/>
        </w:rPr>
        <w:t>我</w:t>
      </w:r>
      <w:r>
        <w:rPr>
          <w:b/>
          <w:i/>
          <w:spacing w:val="-2"/>
          <w:w w:val="95"/>
          <w:sz w:val="22"/>
        </w:rPr>
        <w:t>们</w:t>
      </w:r>
      <w:r>
        <w:rPr>
          <w:b/>
          <w:i/>
          <w:spacing w:val="-2"/>
          <w:w w:val="95"/>
          <w:sz w:val="22"/>
        </w:rPr>
        <w:t>不</w:t>
      </w:r>
      <w:r>
        <w:rPr>
          <w:b/>
          <w:i/>
          <w:spacing w:val="-2"/>
          <w:w w:val="95"/>
          <w:sz w:val="22"/>
        </w:rPr>
        <w:t>承</w:t>
      </w:r>
      <w:r>
        <w:rPr>
          <w:b/>
          <w:i/>
          <w:spacing w:val="-2"/>
          <w:w w:val="95"/>
          <w:sz w:val="22"/>
        </w:rPr>
        <w:t>担</w:t>
      </w:r>
      <w:r>
        <w:rPr>
          <w:b/>
          <w:i/>
          <w:spacing w:val="-2"/>
          <w:w w:val="95"/>
          <w:sz w:val="22"/>
        </w:rPr>
        <w:t>本</w:t>
      </w:r>
      <w:r>
        <w:rPr>
          <w:b/>
          <w:i/>
          <w:spacing w:val="-2"/>
          <w:w w:val="95"/>
          <w:sz w:val="22"/>
        </w:rPr>
        <w:t>主险合</w:t>
      </w:r>
      <w:r>
        <w:rPr>
          <w:b/>
          <w:i/>
          <w:spacing w:val="-2"/>
          <w:w w:val="95"/>
          <w:sz w:val="22"/>
        </w:rPr>
        <w:t>同</w:t>
      </w:r>
      <w:r>
        <w:rPr>
          <w:b/>
          <w:i/>
          <w:spacing w:val="-2"/>
          <w:w w:val="95"/>
          <w:sz w:val="22"/>
        </w:rPr>
        <w:t>项</w:t>
      </w:r>
      <w:r>
        <w:rPr>
          <w:b/>
          <w:i/>
          <w:spacing w:val="-2"/>
          <w:w w:val="95"/>
          <w:sz w:val="22"/>
        </w:rPr>
        <w:t>下</w:t>
      </w:r>
      <w:r>
        <w:rPr>
          <w:b/>
          <w:i/>
          <w:spacing w:val="-2"/>
          <w:w w:val="95"/>
          <w:sz w:val="22"/>
        </w:rPr>
        <w:t>的</w:t>
      </w:r>
      <w:r>
        <w:rPr>
          <w:b/>
          <w:i/>
          <w:spacing w:val="-2"/>
          <w:w w:val="95"/>
          <w:sz w:val="22"/>
        </w:rPr>
        <w:t>保</w:t>
      </w:r>
      <w:r>
        <w:rPr>
          <w:b/>
          <w:i/>
          <w:spacing w:val="-2"/>
          <w:w w:val="95"/>
          <w:sz w:val="22"/>
        </w:rPr>
        <w:t>险</w:t>
      </w:r>
      <w:r>
        <w:rPr>
          <w:b/>
          <w:i/>
          <w:spacing w:val="-2"/>
          <w:w w:val="95"/>
          <w:sz w:val="22"/>
        </w:rPr>
        <w:t>责</w:t>
      </w:r>
      <w:r>
        <w:rPr>
          <w:b/>
          <w:i/>
          <w:spacing w:val="-2"/>
          <w:w w:val="95"/>
          <w:sz w:val="22"/>
        </w:rPr>
        <w:t>任</w:t>
      </w:r>
      <w:r>
        <w:rPr>
          <w:b/>
          <w:i/>
          <w:spacing w:val="-10"/>
          <w:w w:val="95"/>
          <w:sz w:val="22"/>
        </w:rPr>
        <w:t>。</w:t>
      </w:r>
    </w:p>
    <w:p>
      <w:pPr>
        <w:pStyle w:val="BodyText"/>
        <w:spacing w:before="5"/>
        <w:rPr>
          <w:b/>
          <w:i/>
          <w:sz w:val="27"/>
        </w:rPr>
      </w:pPr>
    </w:p>
    <w:p>
      <w:pPr>
        <w:pStyle w:val="ListParagraph"/>
        <w:numPr>
          <w:ilvl w:val="1"/>
          <w:numId w:val="9"/>
        </w:numPr>
        <w:tabs>
          <w:tab w:pos="1344" w:val="left" w:leader="none"/>
          <w:tab w:pos="1345" w:val="left" w:leader="none"/>
          <w:tab w:pos="2904" w:val="left" w:leader="none"/>
        </w:tabs>
        <w:spacing w:line="240" w:lineRule="auto" w:before="1" w:after="0"/>
        <w:ind w:left="1344" w:right="0" w:hanging="1136"/>
        <w:jc w:val="left"/>
        <w:rPr>
          <w:sz w:val="21"/>
        </w:rPr>
      </w:pPr>
      <w:r>
        <w:rPr>
          <w:b/>
          <w:sz w:val="21"/>
        </w:rPr>
        <w:t>效力恢</w:t>
      </w:r>
      <w:r>
        <w:rPr>
          <w:b/>
          <w:spacing w:val="-10"/>
          <w:sz w:val="21"/>
        </w:rPr>
        <w:t>复</w:t>
      </w:r>
      <w:r>
        <w:rPr>
          <w:b/>
          <w:sz w:val="21"/>
        </w:rPr>
        <w:tab/>
      </w:r>
      <w:r>
        <w:rPr>
          <w:spacing w:val="-2"/>
          <w:sz w:val="21"/>
        </w:rPr>
        <w:t>一</w:t>
      </w:r>
      <w:r>
        <w:rPr>
          <w:spacing w:val="-2"/>
          <w:sz w:val="21"/>
        </w:rPr>
        <w:t>、</w:t>
      </w:r>
      <w:r>
        <w:rPr>
          <w:spacing w:val="-60"/>
          <w:sz w:val="21"/>
        </w:rPr>
        <w:t> </w:t>
      </w:r>
      <w:r>
        <w:rPr>
          <w:spacing w:val="-2"/>
          <w:sz w:val="21"/>
        </w:rPr>
        <w:t>本</w:t>
      </w:r>
      <w:r>
        <w:rPr>
          <w:spacing w:val="-2"/>
          <w:sz w:val="21"/>
        </w:rPr>
        <w:t>主</w:t>
      </w:r>
      <w:r>
        <w:rPr>
          <w:spacing w:val="-2"/>
          <w:sz w:val="21"/>
        </w:rPr>
        <w:t>险合同效力中止之日起</w:t>
      </w:r>
      <w:r>
        <w:rPr>
          <w:spacing w:val="-23"/>
          <w:sz w:val="21"/>
        </w:rPr>
        <w:t> </w:t>
      </w:r>
      <w:r>
        <w:rPr>
          <w:spacing w:val="-2"/>
          <w:sz w:val="21"/>
        </w:rPr>
        <w:t>2</w:t>
      </w:r>
      <w:r>
        <w:rPr>
          <w:spacing w:val="-23"/>
          <w:sz w:val="21"/>
        </w:rPr>
        <w:t> </w:t>
      </w:r>
      <w:r>
        <w:rPr>
          <w:spacing w:val="-2"/>
          <w:sz w:val="21"/>
        </w:rPr>
        <w:t>年</w:t>
      </w:r>
      <w:r>
        <w:rPr>
          <w:spacing w:val="-2"/>
          <w:sz w:val="21"/>
        </w:rPr>
        <w:t>内</w:t>
      </w:r>
      <w:r>
        <w:rPr>
          <w:spacing w:val="-2"/>
          <w:sz w:val="21"/>
        </w:rPr>
        <w:t>，您可以申请恢</w:t>
      </w:r>
      <w:r>
        <w:rPr>
          <w:spacing w:val="-2"/>
          <w:sz w:val="21"/>
        </w:rPr>
        <w:t>复</w:t>
      </w:r>
      <w:r>
        <w:rPr>
          <w:spacing w:val="-2"/>
          <w:sz w:val="21"/>
        </w:rPr>
        <w:t>本</w:t>
      </w:r>
      <w:r>
        <w:rPr>
          <w:spacing w:val="-2"/>
          <w:sz w:val="21"/>
        </w:rPr>
        <w:t>主险合同效力</w:t>
      </w:r>
      <w:r>
        <w:rPr>
          <w:spacing w:val="-10"/>
          <w:sz w:val="21"/>
        </w:rPr>
        <w:t>。</w:t>
      </w:r>
    </w:p>
    <w:p>
      <w:pPr>
        <w:pStyle w:val="BodyText"/>
        <w:spacing w:line="278" w:lineRule="auto" w:before="43"/>
        <w:ind w:left="3368" w:right="260"/>
      </w:pPr>
      <w:r>
        <w:rPr>
          <w:spacing w:val="-2"/>
        </w:rPr>
        <w:t>经我们与您协商并达成协议，并向我们补交您全部欠交保险费及利息，</w:t>
      </w:r>
      <w:r>
        <w:rPr>
          <w:spacing w:val="-2"/>
        </w:rPr>
        <w:t>本主险合同自我们收到上述所有款项并核准之日零时起效力恢复。</w:t>
      </w:r>
    </w:p>
    <w:p>
      <w:pPr>
        <w:pStyle w:val="BodyText"/>
        <w:spacing w:line="278" w:lineRule="auto"/>
        <w:ind w:left="3368" w:right="260" w:hanging="464"/>
        <w:jc w:val="both"/>
      </w:pPr>
      <w:r>
        <w:rPr>
          <w:spacing w:val="-8"/>
        </w:rPr>
        <w:t>二、 自本主险合同效力中止之日起满 </w:t>
      </w:r>
      <w:r>
        <w:rPr>
          <w:spacing w:val="-2"/>
        </w:rPr>
        <w:t>2</w:t>
      </w:r>
      <w:r>
        <w:rPr>
          <w:spacing w:val="-7"/>
        </w:rPr>
        <w:t> 年您和我们未达成协议的，我们有权</w:t>
      </w:r>
      <w:r>
        <w:rPr>
          <w:spacing w:val="-2"/>
        </w:rPr>
        <w:t>解除本主险合同。我们解除本主险合同的，向您退还本主险合同效力中</w:t>
      </w:r>
      <w:r>
        <w:rPr>
          <w:spacing w:val="-2"/>
        </w:rPr>
        <w:t>止日的现金价值。</w:t>
      </w:r>
    </w:p>
    <w:p>
      <w:pPr>
        <w:pStyle w:val="BodyText"/>
        <w:spacing w:before="2"/>
        <w:rPr>
          <w:sz w:val="25"/>
        </w:rPr>
      </w:pPr>
    </w:p>
    <w:p>
      <w:pPr>
        <w:pStyle w:val="Heading1"/>
        <w:tabs>
          <w:tab w:pos="1344" w:val="left" w:leader="none"/>
        </w:tabs>
      </w:pPr>
      <w:r>
        <w:rPr/>
        <w:drawing>
          <wp:anchor distT="0" distB="0" distL="0" distR="0" allowOverlap="1" layoutInCell="1" locked="0" behindDoc="0" simplePos="0" relativeHeight="9">
            <wp:simplePos x="0" y="0"/>
            <wp:positionH relativeFrom="page">
              <wp:posOffset>737616</wp:posOffset>
            </wp:positionH>
            <wp:positionV relativeFrom="paragraph">
              <wp:posOffset>374438</wp:posOffset>
            </wp:positionV>
            <wp:extent cx="6300215" cy="6096"/>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8" cstate="print"/>
                    <a:stretch>
                      <a:fillRect/>
                    </a:stretch>
                  </pic:blipFill>
                  <pic:spPr>
                    <a:xfrm>
                      <a:off x="0" y="0"/>
                      <a:ext cx="6300215"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解</w:t>
      </w:r>
      <w:r>
        <w:rPr>
          <w:w w:val="95"/>
        </w:rPr>
        <w:t>除</w:t>
      </w:r>
      <w:r>
        <w:rPr>
          <w:w w:val="95"/>
        </w:rPr>
        <w:t>保</w:t>
      </w:r>
      <w:r>
        <w:rPr>
          <w:w w:val="95"/>
        </w:rPr>
        <w:t>险</w:t>
      </w:r>
      <w:r>
        <w:rPr>
          <w:w w:val="95"/>
        </w:rPr>
        <w:t>合</w:t>
      </w:r>
      <w:r>
        <w:rPr>
          <w:spacing w:val="-10"/>
          <w:w w:val="95"/>
        </w:rPr>
        <w:t>同</w:t>
      </w:r>
    </w:p>
    <w:p>
      <w:pPr>
        <w:pStyle w:val="BodyText"/>
        <w:spacing w:before="7"/>
        <w:rPr>
          <w:b/>
          <w:sz w:val="20"/>
        </w:rPr>
      </w:pPr>
    </w:p>
    <w:p>
      <w:pPr>
        <w:spacing w:after="0"/>
        <w:rPr>
          <w:sz w:val="20"/>
        </w:rPr>
        <w:sectPr>
          <w:pgSz w:w="11910" w:h="16840"/>
          <w:pgMar w:top="1200" w:bottom="280" w:left="1060" w:right="660"/>
        </w:sectPr>
      </w:pPr>
    </w:p>
    <w:p>
      <w:pPr>
        <w:tabs>
          <w:tab w:pos="1344" w:val="left" w:leader="none"/>
        </w:tabs>
        <w:spacing w:line="278" w:lineRule="auto" w:before="71"/>
        <w:ind w:left="1344" w:right="38" w:hanging="1136"/>
        <w:jc w:val="left"/>
        <w:rPr>
          <w:b/>
          <w:sz w:val="21"/>
        </w:rPr>
      </w:pPr>
      <w:r>
        <w:rPr>
          <w:b/>
          <w:spacing w:val="-4"/>
          <w:sz w:val="21"/>
        </w:rPr>
        <w:t>7.1</w:t>
      </w:r>
      <w:r>
        <w:rPr>
          <w:b/>
          <w:sz w:val="21"/>
        </w:rPr>
        <w:tab/>
      </w:r>
      <w:r>
        <w:rPr>
          <w:b/>
          <w:spacing w:val="-2"/>
          <w:sz w:val="21"/>
        </w:rPr>
        <w:t>您解除合同的</w:t>
      </w:r>
      <w:r>
        <w:rPr>
          <w:b/>
          <w:spacing w:val="-4"/>
          <w:sz w:val="21"/>
        </w:rPr>
        <w:t>手续及风险</w:t>
      </w:r>
    </w:p>
    <w:p>
      <w:pPr>
        <w:pStyle w:val="BodyText"/>
        <w:spacing w:line="278" w:lineRule="auto" w:before="71"/>
        <w:ind w:left="672" w:right="299" w:hanging="464"/>
      </w:pPr>
      <w:r>
        <w:rPr/>
        <w:br w:type="column"/>
      </w:r>
      <w:r>
        <w:rPr>
          <w:spacing w:val="-9"/>
        </w:rPr>
        <w:t>一、 您在犹豫期后，可以书面通知要求解除本主险合同，并向我们提供下列</w:t>
      </w:r>
      <w:r>
        <w:rPr>
          <w:spacing w:val="-2"/>
        </w:rPr>
        <w:t>证明和资料：</w:t>
      </w:r>
    </w:p>
    <w:p>
      <w:pPr>
        <w:pStyle w:val="BodyText"/>
        <w:spacing w:line="269" w:lineRule="exact"/>
        <w:ind w:left="629"/>
      </w:pPr>
      <w:r>
        <w:rPr/>
        <w:t>（一）</w:t>
      </w:r>
      <w:r>
        <w:rPr>
          <w:spacing w:val="-6"/>
        </w:rPr>
        <w:t> 保险合同；</w:t>
      </w:r>
    </w:p>
    <w:p>
      <w:pPr>
        <w:pStyle w:val="BodyText"/>
        <w:spacing w:before="43"/>
        <w:ind w:left="629"/>
      </w:pPr>
      <w:r>
        <w:rPr>
          <w:spacing w:val="-2"/>
        </w:rPr>
        <w:t>（二）</w:t>
      </w:r>
      <w:r>
        <w:rPr>
          <w:spacing w:val="-6"/>
        </w:rPr>
        <w:t> 解除合同的申请书；</w:t>
      </w:r>
    </w:p>
    <w:p>
      <w:pPr>
        <w:pStyle w:val="BodyText"/>
        <w:spacing w:before="43"/>
        <w:ind w:left="629"/>
      </w:pPr>
      <w:r>
        <w:rPr>
          <w:spacing w:val="-2"/>
        </w:rPr>
        <w:t>（三）</w:t>
      </w:r>
      <w:r>
        <w:rPr>
          <w:spacing w:val="-6"/>
        </w:rPr>
        <w:t> 您的有效身份证件。</w:t>
      </w:r>
    </w:p>
    <w:p>
      <w:pPr>
        <w:pStyle w:val="BodyText"/>
        <w:spacing w:line="278" w:lineRule="auto" w:before="43"/>
        <w:ind w:left="663" w:right="263" w:hanging="454"/>
        <w:jc w:val="both"/>
      </w:pPr>
      <w:r>
        <w:rPr/>
        <w:t>二、自我们收到解除合同的申请书时起，本主险合同终止。除另有约定外，我们在收到上述证明和资料之日起 30 日内向您退还合同解除时本主险</w:t>
      </w:r>
      <w:r>
        <w:rPr>
          <w:spacing w:val="-2"/>
        </w:rPr>
        <w:t>合同的现金价值。</w:t>
      </w:r>
    </w:p>
    <w:p>
      <w:pPr>
        <w:spacing w:line="272" w:lineRule="exact" w:before="0"/>
        <w:ind w:left="209" w:right="0" w:firstLine="0"/>
        <w:jc w:val="left"/>
        <w:rPr>
          <w:b/>
          <w:i/>
          <w:sz w:val="22"/>
        </w:rPr>
      </w:pPr>
      <w:r>
        <w:rPr>
          <w:spacing w:val="16"/>
          <w:w w:val="95"/>
          <w:sz w:val="21"/>
        </w:rPr>
        <w:t>三、</w:t>
      </w:r>
      <w:r>
        <w:rPr>
          <w:b/>
          <w:i/>
          <w:spacing w:val="-1"/>
          <w:w w:val="95"/>
          <w:sz w:val="22"/>
        </w:rPr>
        <w:t>您在犹豫期后解除本主险合同会遭受一定损失。</w:t>
      </w:r>
    </w:p>
    <w:p>
      <w:pPr>
        <w:spacing w:after="0" w:line="272" w:lineRule="exact"/>
        <w:jc w:val="left"/>
        <w:rPr>
          <w:sz w:val="22"/>
        </w:rPr>
        <w:sectPr>
          <w:type w:val="continuous"/>
          <w:pgSz w:w="11910" w:h="16840"/>
          <w:pgMar w:top="300" w:bottom="280" w:left="1060" w:right="660"/>
          <w:cols w:num="2" w:equalWidth="0">
            <w:col w:w="2653" w:space="43"/>
            <w:col w:w="7494"/>
          </w:cols>
        </w:sectPr>
      </w:pPr>
    </w:p>
    <w:p>
      <w:pPr>
        <w:pStyle w:val="BodyText"/>
        <w:spacing w:before="1"/>
        <w:rPr>
          <w:b/>
          <w:i/>
        </w:rPr>
      </w:pPr>
    </w:p>
    <w:p>
      <w:pPr>
        <w:spacing w:line="266" w:lineRule="auto" w:before="72"/>
        <w:ind w:left="2904" w:right="263" w:hanging="1"/>
        <w:jc w:val="left"/>
        <w:rPr>
          <w:b/>
          <w:i/>
          <w:sz w:val="22"/>
        </w:rPr>
      </w:pPr>
      <w:r>
        <w:rPr>
          <w:b/>
          <w:i/>
          <w:spacing w:val="-2"/>
          <w:w w:val="95"/>
          <w:sz w:val="22"/>
        </w:rPr>
        <w:t>如果被保险人或受益人已向您支付相当于本主险合同现金价值的款项并书面</w:t>
      </w:r>
      <w:r>
        <w:rPr>
          <w:b/>
          <w:i/>
          <w:spacing w:val="-2"/>
          <w:w w:val="95"/>
          <w:sz w:val="22"/>
        </w:rPr>
        <w:t>通知我们的情况下，您解除本主险合同应经被保险人或受益人同意。</w:t>
      </w:r>
    </w:p>
    <w:p>
      <w:pPr>
        <w:pStyle w:val="BodyText"/>
        <w:spacing w:before="11"/>
        <w:rPr>
          <w:b/>
          <w:i/>
          <w:sz w:val="25"/>
        </w:rPr>
      </w:pPr>
    </w:p>
    <w:p>
      <w:pPr>
        <w:pStyle w:val="Heading1"/>
        <w:tabs>
          <w:tab w:pos="1344" w:val="left" w:leader="none"/>
        </w:tabs>
        <w:spacing w:before="1"/>
      </w:pPr>
      <w:r>
        <w:rPr/>
        <w:drawing>
          <wp:anchor distT="0" distB="0" distL="0" distR="0" allowOverlap="1" layoutInCell="1" locked="0" behindDoc="0" simplePos="0" relativeHeight="10">
            <wp:simplePos x="0" y="0"/>
            <wp:positionH relativeFrom="page">
              <wp:posOffset>737616</wp:posOffset>
            </wp:positionH>
            <wp:positionV relativeFrom="paragraph">
              <wp:posOffset>375067</wp:posOffset>
            </wp:positionV>
            <wp:extent cx="6300216" cy="6096"/>
            <wp:effectExtent l="0" t="0" r="0" b="0"/>
            <wp:wrapTopAndBottom/>
            <wp:docPr id="21" name="image5.png"/>
            <wp:cNvGraphicFramePr>
              <a:graphicFrameLocks noChangeAspect="1"/>
            </wp:cNvGraphicFramePr>
            <a:graphic>
              <a:graphicData uri="http://schemas.openxmlformats.org/drawingml/2006/picture">
                <pic:pic>
                  <pic:nvPicPr>
                    <pic:cNvPr id="22" name="image5.png"/>
                    <pic:cNvPicPr/>
                  </pic:nvPicPr>
                  <pic:blipFill>
                    <a:blip r:embed="rId9" cstate="print"/>
                    <a:stretch>
                      <a:fillRect/>
                    </a:stretch>
                  </pic:blipFill>
                  <pic:spPr>
                    <a:xfrm>
                      <a:off x="0" y="0"/>
                      <a:ext cx="6300216"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before="6"/>
        <w:rPr>
          <w:b/>
          <w:sz w:val="20"/>
        </w:rPr>
      </w:pPr>
    </w:p>
    <w:p>
      <w:pPr>
        <w:spacing w:after="0"/>
        <w:rPr>
          <w:sz w:val="20"/>
        </w:rPr>
        <w:sectPr>
          <w:type w:val="continuous"/>
          <w:pgSz w:w="11910" w:h="16840"/>
          <w:pgMar w:top="300" w:bottom="280" w:left="1060" w:right="660"/>
        </w:sectPr>
      </w:pPr>
    </w:p>
    <w:p>
      <w:pPr>
        <w:pStyle w:val="ListParagraph"/>
        <w:numPr>
          <w:ilvl w:val="1"/>
          <w:numId w:val="10"/>
        </w:numPr>
        <w:tabs>
          <w:tab w:pos="1344" w:val="left" w:leader="none"/>
          <w:tab w:pos="1345" w:val="left" w:leader="none"/>
        </w:tabs>
        <w:spacing w:line="278" w:lineRule="auto" w:before="72" w:after="0"/>
        <w:ind w:left="1344" w:right="38" w:hanging="1136"/>
        <w:jc w:val="left"/>
        <w:rPr>
          <w:b/>
          <w:sz w:val="21"/>
        </w:rPr>
      </w:pPr>
      <w:r>
        <w:rPr>
          <w:b/>
          <w:spacing w:val="-2"/>
          <w:sz w:val="21"/>
        </w:rPr>
        <w:t>明确说明与如</w:t>
      </w:r>
      <w:r>
        <w:rPr>
          <w:b/>
          <w:spacing w:val="-4"/>
          <w:sz w:val="21"/>
        </w:rPr>
        <w:t>实告知</w:t>
      </w:r>
    </w:p>
    <w:p>
      <w:pPr>
        <w:pStyle w:val="BodyText"/>
        <w:spacing w:before="72"/>
        <w:ind w:left="209"/>
      </w:pPr>
      <w:r>
        <w:rPr/>
        <w:br w:type="column"/>
      </w:r>
      <w:r>
        <w:rPr>
          <w:spacing w:val="-2"/>
        </w:rPr>
        <w:t>一、订立本主险合同时，我们应向您说明本主险合同的内容。</w:t>
      </w:r>
    </w:p>
    <w:p>
      <w:pPr>
        <w:pStyle w:val="BodyText"/>
        <w:spacing w:before="43"/>
        <w:ind w:left="209"/>
      </w:pPr>
      <w:r>
        <w:rPr>
          <w:spacing w:val="-2"/>
        </w:rPr>
        <w:t>二、对保险条款中免除我们责任的条款，我们在订立本主险合同时应当在投</w:t>
      </w:r>
    </w:p>
    <w:p>
      <w:pPr>
        <w:spacing w:after="0"/>
        <w:sectPr>
          <w:type w:val="continuous"/>
          <w:pgSz w:w="11910" w:h="16840"/>
          <w:pgMar w:top="300" w:bottom="280" w:left="1060" w:right="660"/>
          <w:cols w:num="2" w:equalWidth="0">
            <w:col w:w="2653" w:space="43"/>
            <w:col w:w="7494"/>
          </w:cols>
        </w:sectPr>
      </w:pPr>
    </w:p>
    <w:p>
      <w:pPr>
        <w:pStyle w:val="BodyText"/>
        <w:spacing w:line="278" w:lineRule="auto" w:before="61"/>
        <w:ind w:left="3358" w:right="308"/>
        <w:jc w:val="both"/>
      </w:pPr>
      <w:r>
        <w:rPr>
          <w:spacing w:val="-2"/>
        </w:rPr>
        <w:t>保单、保险单或者其他保险凭证上作出足以引起您注意的提示，并对该</w:t>
      </w:r>
      <w:r>
        <w:rPr>
          <w:spacing w:val="-2"/>
        </w:rPr>
        <w:t>条款的内容以书面或者口头形式向您作出明确说明，未作提示或者明确</w:t>
      </w:r>
      <w:r>
        <w:rPr>
          <w:spacing w:val="-2"/>
        </w:rPr>
        <w:t>说明的，该条款不产生效力。</w:t>
      </w:r>
    </w:p>
    <w:p>
      <w:pPr>
        <w:pStyle w:val="BodyText"/>
        <w:spacing w:line="269" w:lineRule="exact"/>
        <w:ind w:left="2904"/>
      </w:pPr>
      <w:r>
        <w:rPr>
          <w:spacing w:val="-2"/>
        </w:rPr>
        <w:t>三、我们就您和被保险人的有关情况提出询问，您应当如实告知。</w:t>
      </w:r>
    </w:p>
    <w:p>
      <w:pPr>
        <w:spacing w:line="266" w:lineRule="auto" w:before="33"/>
        <w:ind w:left="3360" w:right="156" w:hanging="456"/>
        <w:jc w:val="left"/>
        <w:rPr>
          <w:b/>
          <w:i/>
          <w:sz w:val="22"/>
        </w:rPr>
      </w:pPr>
      <w:r>
        <w:rPr>
          <w:b/>
          <w:i/>
          <w:w w:val="95"/>
          <w:sz w:val="22"/>
        </w:rPr>
        <w:t>四、如果您故意或者因重大过失未履行前款规定的如实告知义务，足以影响</w:t>
      </w:r>
      <w:r>
        <w:rPr>
          <w:b/>
          <w:i/>
          <w:spacing w:val="-7"/>
          <w:w w:val="95"/>
          <w:sz w:val="22"/>
        </w:rPr>
        <w:t>我们决定是否同意承保或者提高保险费率的，我们有权解除本主险合同。</w:t>
      </w:r>
    </w:p>
    <w:p>
      <w:pPr>
        <w:spacing w:line="266" w:lineRule="auto" w:before="0"/>
        <w:ind w:left="3360" w:right="285" w:hanging="457"/>
        <w:jc w:val="left"/>
        <w:rPr>
          <w:b/>
          <w:i/>
          <w:sz w:val="22"/>
        </w:rPr>
      </w:pPr>
      <w:r>
        <w:rPr>
          <w:b/>
          <w:i/>
          <w:w w:val="95"/>
          <w:sz w:val="22"/>
        </w:rPr>
        <w:t>五、如果您故意不履行如实告知义务，对于本主险合同解除前发生的保险事</w:t>
      </w:r>
      <w:r>
        <w:rPr>
          <w:b/>
          <w:i/>
          <w:spacing w:val="-2"/>
          <w:w w:val="95"/>
          <w:sz w:val="22"/>
        </w:rPr>
        <w:t>故，我们不承担给付保险金的责任，并不退还保险费。</w:t>
      </w:r>
    </w:p>
    <w:p>
      <w:pPr>
        <w:spacing w:line="266" w:lineRule="auto" w:before="0"/>
        <w:ind w:left="3360" w:right="285" w:hanging="456"/>
        <w:jc w:val="both"/>
        <w:rPr>
          <w:b/>
          <w:i/>
          <w:sz w:val="22"/>
        </w:rPr>
      </w:pPr>
      <w:r>
        <w:rPr>
          <w:b/>
          <w:i/>
          <w:w w:val="95"/>
          <w:sz w:val="22"/>
        </w:rPr>
        <w:t>六、如果您因重大过失未履行如实告知义务，对保险事故的发生有严重影响</w:t>
      </w:r>
      <w:r>
        <w:rPr>
          <w:b/>
          <w:i/>
          <w:spacing w:val="-2"/>
          <w:w w:val="95"/>
          <w:sz w:val="22"/>
        </w:rPr>
        <w:t>的，对于本主险合同解除前发生的保险事故，我们不承担给付保险金的</w:t>
      </w:r>
      <w:r>
        <w:rPr>
          <w:b/>
          <w:i/>
          <w:spacing w:val="-2"/>
          <w:sz w:val="22"/>
        </w:rPr>
        <w:t>责</w:t>
      </w:r>
      <w:r>
        <w:rPr>
          <w:b/>
          <w:i/>
          <w:spacing w:val="-2"/>
          <w:sz w:val="22"/>
        </w:rPr>
        <w:t>任</w:t>
      </w:r>
      <w:r>
        <w:rPr>
          <w:b/>
          <w:i/>
          <w:spacing w:val="-2"/>
          <w:sz w:val="22"/>
        </w:rPr>
        <w:t>，</w:t>
      </w:r>
      <w:r>
        <w:rPr>
          <w:b/>
          <w:i/>
          <w:spacing w:val="-2"/>
          <w:sz w:val="22"/>
        </w:rPr>
        <w:t>但</w:t>
      </w:r>
      <w:r>
        <w:rPr>
          <w:b/>
          <w:i/>
          <w:spacing w:val="-2"/>
          <w:sz w:val="22"/>
        </w:rPr>
        <w:t>应</w:t>
      </w:r>
      <w:r>
        <w:rPr>
          <w:b/>
          <w:i/>
          <w:spacing w:val="-2"/>
          <w:sz w:val="22"/>
        </w:rPr>
        <w:t>当</w:t>
      </w:r>
      <w:r>
        <w:rPr>
          <w:b/>
          <w:i/>
          <w:spacing w:val="-2"/>
          <w:sz w:val="22"/>
        </w:rPr>
        <w:t>退</w:t>
      </w:r>
      <w:r>
        <w:rPr>
          <w:b/>
          <w:i/>
          <w:spacing w:val="-2"/>
          <w:sz w:val="22"/>
        </w:rPr>
        <w:t>还</w:t>
      </w:r>
      <w:r>
        <w:rPr>
          <w:b/>
          <w:i/>
          <w:spacing w:val="-2"/>
          <w:sz w:val="22"/>
        </w:rPr>
        <w:t>保险费（</w:t>
      </w:r>
      <w:r>
        <w:rPr>
          <w:b/>
          <w:i/>
          <w:spacing w:val="-2"/>
          <w:sz w:val="22"/>
        </w:rPr>
        <w:t>无</w:t>
      </w:r>
      <w:r>
        <w:rPr>
          <w:b/>
          <w:i/>
          <w:spacing w:val="-2"/>
          <w:sz w:val="22"/>
        </w:rPr>
        <w:t>息</w:t>
      </w:r>
      <w:r>
        <w:rPr>
          <w:b/>
          <w:i/>
          <w:spacing w:val="-106"/>
          <w:sz w:val="22"/>
        </w:rPr>
        <w:t>）</w:t>
      </w:r>
      <w:r>
        <w:rPr>
          <w:b/>
          <w:i/>
          <w:spacing w:val="-2"/>
          <w:sz w:val="22"/>
        </w:rPr>
        <w:t>。</w:t>
      </w:r>
    </w:p>
    <w:p>
      <w:pPr>
        <w:pStyle w:val="BodyText"/>
        <w:spacing w:line="278" w:lineRule="auto" w:before="4"/>
        <w:ind w:left="3358" w:right="308" w:hanging="454"/>
      </w:pPr>
      <w:r>
        <w:rPr/>
        <w:t>七、我们在本主险合同订立时已经知道您未如实告知的情况的，我们不得解</w:t>
      </w:r>
      <w:r>
        <w:rPr>
          <w:spacing w:val="-2"/>
        </w:rPr>
        <w:t>除本主险合同；发生保险事故的，我们承担给付保险金的责任。</w:t>
      </w:r>
    </w:p>
    <w:p>
      <w:pPr>
        <w:spacing w:line="266" w:lineRule="auto" w:before="0"/>
        <w:ind w:left="3357" w:right="287" w:hanging="454"/>
        <w:jc w:val="both"/>
        <w:rPr>
          <w:b/>
          <w:i/>
          <w:sz w:val="22"/>
        </w:rPr>
      </w:pPr>
      <w:r>
        <w:rPr>
          <w:sz w:val="21"/>
        </w:rPr>
        <w:t>八、如果本主险合同效力中止后您申请复效时，我们就被保险人在本主险合</w:t>
      </w:r>
      <w:r>
        <w:rPr>
          <w:spacing w:val="-2"/>
          <w:sz w:val="21"/>
        </w:rPr>
        <w:t>同效力中止期间的有关情况提出询问的，您应当如实向我们告知。</w:t>
      </w:r>
      <w:r>
        <w:rPr>
          <w:b/>
          <w:i/>
          <w:spacing w:val="-2"/>
          <w:sz w:val="22"/>
        </w:rPr>
        <w:t>如</w:t>
      </w:r>
      <w:r>
        <w:rPr>
          <w:b/>
          <w:i/>
          <w:spacing w:val="-2"/>
          <w:sz w:val="22"/>
        </w:rPr>
        <w:t>果</w:t>
      </w:r>
      <w:r>
        <w:rPr>
          <w:b/>
          <w:i/>
          <w:spacing w:val="-2"/>
          <w:w w:val="95"/>
          <w:sz w:val="22"/>
        </w:rPr>
        <w:t>因您未履行前述的如实告知义务，足以影响我们决定是否同意您的复效</w:t>
      </w:r>
      <w:r>
        <w:rPr>
          <w:b/>
          <w:i/>
          <w:spacing w:val="-2"/>
          <w:w w:val="95"/>
          <w:sz w:val="22"/>
        </w:rPr>
        <w:t>申请或提高保险费率的，我们有权解除本主险合同。我们因此而解除本</w:t>
      </w:r>
      <w:r>
        <w:rPr>
          <w:b/>
          <w:i/>
          <w:spacing w:val="-2"/>
          <w:w w:val="95"/>
          <w:sz w:val="22"/>
        </w:rPr>
        <w:t>主险合同的，对于本主险合同复效之日（含）</w:t>
      </w:r>
      <w:r>
        <w:rPr>
          <w:b/>
          <w:i/>
          <w:spacing w:val="-3"/>
          <w:w w:val="95"/>
          <w:sz w:val="22"/>
        </w:rPr>
        <w:t>起至本主险合同解除之日</w:t>
      </w:r>
    </w:p>
    <w:p>
      <w:pPr>
        <w:spacing w:before="0"/>
        <w:ind w:left="3357" w:right="0" w:firstLine="0"/>
        <w:jc w:val="left"/>
        <w:rPr>
          <w:b/>
          <w:i/>
          <w:sz w:val="22"/>
        </w:rPr>
      </w:pPr>
      <w:r>
        <w:rPr>
          <w:b/>
          <w:i/>
          <w:spacing w:val="-2"/>
          <w:w w:val="95"/>
          <w:sz w:val="22"/>
        </w:rPr>
        <w:t>（含）</w:t>
      </w:r>
      <w:r>
        <w:rPr>
          <w:b/>
          <w:i/>
          <w:spacing w:val="-3"/>
          <w:w w:val="95"/>
          <w:sz w:val="22"/>
        </w:rPr>
        <w:t>期间发生的保险事故，我们不承担给付保险金的责任。</w:t>
      </w:r>
    </w:p>
    <w:p>
      <w:pPr>
        <w:pStyle w:val="BodyText"/>
        <w:spacing w:before="11"/>
        <w:rPr>
          <w:b/>
          <w:i/>
        </w:rPr>
      </w:pPr>
    </w:p>
    <w:p>
      <w:pPr>
        <w:spacing w:after="0"/>
        <w:sectPr>
          <w:pgSz w:w="11910" w:h="16840"/>
          <w:pgMar w:top="880" w:bottom="280" w:left="1060" w:right="660"/>
        </w:sectPr>
      </w:pPr>
    </w:p>
    <w:p>
      <w:pPr>
        <w:pStyle w:val="ListParagraph"/>
        <w:numPr>
          <w:ilvl w:val="1"/>
          <w:numId w:val="10"/>
        </w:numPr>
        <w:tabs>
          <w:tab w:pos="1344" w:val="left" w:leader="none"/>
          <w:tab w:pos="1345" w:val="left" w:leader="none"/>
        </w:tabs>
        <w:spacing w:line="278" w:lineRule="auto" w:before="71" w:after="0"/>
        <w:ind w:left="1344" w:right="38" w:hanging="1136"/>
        <w:jc w:val="left"/>
        <w:rPr>
          <w:b/>
          <w:sz w:val="21"/>
        </w:rPr>
      </w:pPr>
      <w:r>
        <w:rPr>
          <w:b/>
          <w:spacing w:val="-2"/>
          <w:sz w:val="21"/>
        </w:rPr>
        <w:t>我们合同解除</w:t>
      </w:r>
      <w:r>
        <w:rPr>
          <w:b/>
          <w:spacing w:val="-4"/>
          <w:sz w:val="21"/>
        </w:rPr>
        <w:t>权的限制</w:t>
      </w:r>
    </w:p>
    <w:p>
      <w:pPr>
        <w:pStyle w:val="BodyText"/>
        <w:spacing w:line="278" w:lineRule="auto" w:before="71"/>
        <w:ind w:left="209" w:right="155"/>
      </w:pPr>
      <w:r>
        <w:rPr/>
        <w:br w:type="column"/>
      </w:r>
      <w:r>
        <w:rPr>
          <w:spacing w:val="-2"/>
        </w:rPr>
        <w:t>前条规定的合同解除权，自我们知道有解除事由之日起，超过 </w:t>
      </w:r>
      <w:r>
        <w:rPr/>
        <w:t>30</w:t>
      </w:r>
      <w:r>
        <w:rPr>
          <w:spacing w:val="-10"/>
        </w:rPr>
        <w:t> 日不行使而</w:t>
      </w:r>
      <w:r>
        <w:rPr>
          <w:spacing w:val="-6"/>
        </w:rPr>
        <w:t>消灭。自本主险合同成立之日或复效之日起超过 </w:t>
      </w:r>
      <w:r>
        <w:rPr>
          <w:spacing w:val="-4"/>
        </w:rPr>
        <w:t>2</w:t>
      </w:r>
      <w:r>
        <w:rPr>
          <w:spacing w:val="-11"/>
        </w:rPr>
        <w:t> 年的，我们不得解除合同；</w:t>
      </w:r>
      <w:r>
        <w:rPr>
          <w:spacing w:val="-2"/>
        </w:rPr>
        <w:t>发生保险事故的，我们承担给付保险金的责任。</w:t>
      </w:r>
    </w:p>
    <w:p>
      <w:pPr>
        <w:spacing w:after="0" w:line="278" w:lineRule="auto"/>
        <w:sectPr>
          <w:type w:val="continuous"/>
          <w:pgSz w:w="11910" w:h="16840"/>
          <w:pgMar w:top="300" w:bottom="280" w:left="1060" w:right="660"/>
          <w:cols w:num="2" w:equalWidth="0">
            <w:col w:w="2653" w:space="115"/>
            <w:col w:w="7422"/>
          </w:cols>
        </w:sectPr>
      </w:pPr>
    </w:p>
    <w:p>
      <w:pPr>
        <w:pStyle w:val="BodyText"/>
        <w:spacing w:before="10"/>
        <w:rPr>
          <w:sz w:val="18"/>
        </w:rPr>
      </w:pPr>
    </w:p>
    <w:p>
      <w:pPr>
        <w:pStyle w:val="ListParagraph"/>
        <w:numPr>
          <w:ilvl w:val="1"/>
          <w:numId w:val="10"/>
        </w:numPr>
        <w:tabs>
          <w:tab w:pos="1345" w:val="left" w:leader="none"/>
        </w:tabs>
        <w:spacing w:line="278" w:lineRule="auto" w:before="71" w:after="0"/>
        <w:ind w:left="2904" w:right="342" w:hanging="2696"/>
        <w:jc w:val="both"/>
        <w:rPr>
          <w:sz w:val="21"/>
        </w:rPr>
      </w:pPr>
      <w:r>
        <w:rPr>
          <w:b/>
          <w:sz w:val="21"/>
        </w:rPr>
        <w:t>年龄错误</w:t>
      </w:r>
      <w:r>
        <w:rPr>
          <w:b/>
          <w:spacing w:val="583"/>
          <w:sz w:val="21"/>
        </w:rPr>
        <w:t> </w:t>
      </w:r>
      <w:r>
        <w:rPr>
          <w:sz w:val="21"/>
        </w:rPr>
        <w:t>您在申请投保时，应将与有效身份证件相符的被保险人的出生日期在投保书</w:t>
      </w:r>
      <w:r>
        <w:rPr>
          <w:spacing w:val="-2"/>
          <w:sz w:val="21"/>
        </w:rPr>
        <w:t>上填明，如果发生错误按照下列方式办理：</w:t>
      </w:r>
    </w:p>
    <w:p>
      <w:pPr>
        <w:spacing w:line="266" w:lineRule="auto" w:before="0"/>
        <w:ind w:left="3451" w:right="261" w:hanging="547"/>
        <w:jc w:val="both"/>
        <w:rPr>
          <w:b/>
          <w:i/>
          <w:sz w:val="22"/>
        </w:rPr>
      </w:pPr>
      <w:r>
        <w:rPr>
          <w:w w:val="95"/>
          <w:sz w:val="21"/>
        </w:rPr>
        <w:t>(</w:t>
      </w:r>
      <w:r>
        <w:rPr>
          <w:w w:val="95"/>
          <w:sz w:val="21"/>
        </w:rPr>
        <w:t>一</w:t>
      </w:r>
      <w:r>
        <w:rPr>
          <w:w w:val="95"/>
          <w:sz w:val="21"/>
        </w:rPr>
        <w:t>) </w:t>
      </w:r>
      <w:r>
        <w:rPr>
          <w:b/>
          <w:i/>
          <w:spacing w:val="-5"/>
          <w:w w:val="95"/>
          <w:sz w:val="22"/>
        </w:rPr>
        <w:t>您申报的被保险人年龄不真实，并且其真实年龄不符合本主险合同约定</w:t>
      </w:r>
      <w:r>
        <w:rPr>
          <w:b/>
          <w:i/>
          <w:spacing w:val="-2"/>
          <w:w w:val="95"/>
          <w:sz w:val="22"/>
        </w:rPr>
        <w:t>投保年龄限制的，我们有权解除本主险合同。我们行使合同解除权适用 “我们合同解除权的限制”的规定。对于解除合同的，我们向您退还本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的</w:t>
      </w:r>
      <w:r>
        <w:rPr>
          <w:b/>
          <w:i/>
          <w:spacing w:val="-2"/>
          <w:sz w:val="22"/>
        </w:rPr>
        <w:t>现</w:t>
      </w:r>
      <w:r>
        <w:rPr>
          <w:b/>
          <w:i/>
          <w:spacing w:val="-2"/>
          <w:sz w:val="22"/>
        </w:rPr>
        <w:t>金</w:t>
      </w:r>
      <w:r>
        <w:rPr>
          <w:b/>
          <w:i/>
          <w:spacing w:val="-2"/>
          <w:sz w:val="22"/>
        </w:rPr>
        <w:t>价</w:t>
      </w:r>
      <w:r>
        <w:rPr>
          <w:b/>
          <w:i/>
          <w:spacing w:val="-2"/>
          <w:sz w:val="22"/>
        </w:rPr>
        <w:t>值。</w:t>
      </w:r>
    </w:p>
    <w:p>
      <w:pPr>
        <w:spacing w:line="266" w:lineRule="auto" w:before="0"/>
        <w:ind w:left="3451" w:right="261" w:hanging="547"/>
        <w:jc w:val="left"/>
        <w:rPr>
          <w:b/>
          <w:i/>
          <w:sz w:val="22"/>
        </w:rPr>
      </w:pPr>
      <w:r>
        <w:rPr>
          <w:w w:val="95"/>
          <w:sz w:val="21"/>
        </w:rPr>
        <w:t>(</w:t>
      </w:r>
      <w:r>
        <w:rPr>
          <w:w w:val="95"/>
          <w:sz w:val="21"/>
        </w:rPr>
        <w:t>二</w:t>
      </w:r>
      <w:r>
        <w:rPr>
          <w:w w:val="95"/>
          <w:sz w:val="21"/>
        </w:rPr>
        <w:t>)</w:t>
      </w:r>
      <w:r>
        <w:rPr>
          <w:spacing w:val="19"/>
          <w:sz w:val="21"/>
        </w:rPr>
        <w:t> </w:t>
      </w:r>
      <w:r>
        <w:rPr>
          <w:b/>
          <w:i/>
          <w:w w:val="95"/>
          <w:sz w:val="22"/>
        </w:rPr>
        <w:t>您申报的被保险人年龄不真实，致使您支付的保险费少于应交保险费</w:t>
      </w:r>
      <w:r>
        <w:rPr>
          <w:b/>
          <w:i/>
          <w:spacing w:val="-2"/>
          <w:w w:val="95"/>
          <w:sz w:val="22"/>
        </w:rPr>
        <w:t>的，我们有权更正并要求您补交保险费。若已经发生保险事故，在给付</w:t>
      </w:r>
      <w:r>
        <w:rPr>
          <w:b/>
          <w:i/>
          <w:spacing w:val="-2"/>
          <w:w w:val="95"/>
          <w:sz w:val="22"/>
        </w:rPr>
        <w:t>保险金时按实交保险费和应交保险费的比例给付。</w:t>
      </w:r>
    </w:p>
    <w:p>
      <w:pPr>
        <w:pStyle w:val="BodyText"/>
        <w:spacing w:line="278" w:lineRule="auto"/>
        <w:ind w:left="3452" w:right="426" w:hanging="548"/>
      </w:pPr>
      <w:r>
        <w:rPr>
          <w:spacing w:val="-2"/>
        </w:rPr>
        <w:t>(三) 您申报的被保险人年龄不真实，致使您支付的保险费多于应交保险费</w:t>
      </w:r>
      <w:r>
        <w:rPr>
          <w:spacing w:val="-2"/>
        </w:rPr>
        <w:t>的，我们会将多收的保险费（无息）退还给您。</w:t>
      </w:r>
    </w:p>
    <w:p>
      <w:pPr>
        <w:pStyle w:val="BodyText"/>
        <w:spacing w:before="11"/>
        <w:rPr>
          <w:sz w:val="23"/>
        </w:rPr>
      </w:pPr>
    </w:p>
    <w:p>
      <w:pPr>
        <w:pStyle w:val="ListParagraph"/>
        <w:numPr>
          <w:ilvl w:val="1"/>
          <w:numId w:val="10"/>
        </w:numPr>
        <w:tabs>
          <w:tab w:pos="1345" w:val="left" w:leader="none"/>
        </w:tabs>
        <w:spacing w:line="278" w:lineRule="auto" w:before="0" w:after="0"/>
        <w:ind w:left="2904" w:right="342" w:hanging="2696"/>
        <w:jc w:val="both"/>
        <w:rPr>
          <w:sz w:val="21"/>
        </w:rPr>
      </w:pPr>
      <w:r>
        <w:rPr>
          <w:b/>
          <w:sz w:val="21"/>
        </w:rPr>
        <w:t>合同内容变更 </w:t>
      </w:r>
      <w:r>
        <w:rPr>
          <w:sz w:val="21"/>
        </w:rPr>
        <w:t>在本主险合同保险期间内且在本主险合同有效期内，经您与我们协商一致，</w:t>
      </w:r>
      <w:r>
        <w:rPr>
          <w:spacing w:val="-2"/>
          <w:sz w:val="21"/>
        </w:rPr>
        <w:t>可以变更本主险合同的有关内容。变更本主险合同的，由我们对保险合同批</w:t>
      </w:r>
      <w:r>
        <w:rPr>
          <w:spacing w:val="-2"/>
          <w:sz w:val="21"/>
        </w:rPr>
        <w:t>注或者附贴批单，或者由您与我们订立书面的变更协议。</w:t>
      </w:r>
    </w:p>
    <w:p>
      <w:pPr>
        <w:pStyle w:val="BodyText"/>
        <w:spacing w:before="4"/>
        <w:rPr>
          <w:sz w:val="24"/>
        </w:rPr>
      </w:pPr>
    </w:p>
    <w:p>
      <w:pPr>
        <w:pStyle w:val="ListParagraph"/>
        <w:numPr>
          <w:ilvl w:val="1"/>
          <w:numId w:val="10"/>
        </w:numPr>
        <w:tabs>
          <w:tab w:pos="1345" w:val="left" w:leader="none"/>
        </w:tabs>
        <w:spacing w:line="278" w:lineRule="auto" w:before="0" w:after="0"/>
        <w:ind w:left="2904" w:right="342" w:hanging="2696"/>
        <w:jc w:val="both"/>
        <w:rPr>
          <w:sz w:val="21"/>
        </w:rPr>
      </w:pPr>
      <w:r>
        <w:rPr>
          <w:b/>
          <w:sz w:val="21"/>
        </w:rPr>
        <w:t>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认可的其他形式通知我们，我们按本主险合同载明的最后住所或联系地址发</w:t>
      </w:r>
      <w:r>
        <w:rPr>
          <w:spacing w:val="-2"/>
          <w:sz w:val="21"/>
        </w:rPr>
        <w:t>送的有关通知，均视为已送达给您。</w:t>
      </w:r>
    </w:p>
    <w:p>
      <w:pPr>
        <w:pStyle w:val="BodyText"/>
        <w:spacing w:before="4"/>
        <w:rPr>
          <w:sz w:val="24"/>
        </w:rPr>
      </w:pPr>
    </w:p>
    <w:p>
      <w:pPr>
        <w:pStyle w:val="ListParagraph"/>
        <w:numPr>
          <w:ilvl w:val="1"/>
          <w:numId w:val="10"/>
        </w:numPr>
        <w:tabs>
          <w:tab w:pos="1344" w:val="left" w:leader="none"/>
          <w:tab w:pos="1345" w:val="left" w:leader="none"/>
          <w:tab w:pos="2904" w:val="left" w:leader="none"/>
        </w:tabs>
        <w:spacing w:line="240" w:lineRule="auto" w:before="0" w:after="0"/>
        <w:ind w:left="1344" w:right="0" w:hanging="1136"/>
        <w:jc w:val="left"/>
        <w:rPr>
          <w:sz w:val="21"/>
        </w:rPr>
      </w:pPr>
      <w:r>
        <w:rPr>
          <w:b/>
          <w:sz w:val="21"/>
        </w:rPr>
        <w:t>效力终</w:t>
      </w:r>
      <w:r>
        <w:rPr>
          <w:b/>
          <w:spacing w:val="-10"/>
          <w:sz w:val="21"/>
        </w:rPr>
        <w:t>止</w:t>
      </w:r>
      <w:r>
        <w:rPr>
          <w:b/>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合同效力终止</w:t>
      </w:r>
      <w:r>
        <w:rPr>
          <w:spacing w:val="-10"/>
          <w:sz w:val="21"/>
        </w:rPr>
        <w:t>：</w:t>
      </w:r>
    </w:p>
    <w:p>
      <w:pPr>
        <w:spacing w:after="0" w:line="240" w:lineRule="auto"/>
        <w:jc w:val="left"/>
        <w:rPr>
          <w:sz w:val="21"/>
        </w:rPr>
        <w:sectPr>
          <w:type w:val="continuous"/>
          <w:pgSz w:w="11910" w:h="16840"/>
          <w:pgMar w:top="300" w:bottom="280" w:left="1060" w:right="660"/>
        </w:sectPr>
      </w:pPr>
    </w:p>
    <w:tbl>
      <w:tblPr>
        <w:tblW w:w="0" w:type="auto"/>
        <w:jc w:val="left"/>
        <w:tblInd w:w="1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4"/>
        <w:gridCol w:w="1835"/>
        <w:gridCol w:w="7253"/>
      </w:tblGrid>
      <w:tr>
        <w:trPr>
          <w:trHeight w:val="261" w:hRule="atLeast"/>
        </w:trPr>
        <w:tc>
          <w:tcPr>
            <w:tcW w:w="2669" w:type="dxa"/>
            <w:gridSpan w:val="2"/>
            <w:vMerge w:val="restart"/>
          </w:tcPr>
          <w:p>
            <w:pPr>
              <w:pStyle w:val="TableParagraph"/>
              <w:spacing w:before="0"/>
              <w:rPr>
                <w:rFonts w:ascii="Times New Roman"/>
                <w:sz w:val="20"/>
              </w:rPr>
            </w:pPr>
          </w:p>
        </w:tc>
        <w:tc>
          <w:tcPr>
            <w:tcW w:w="7253" w:type="dxa"/>
          </w:tcPr>
          <w:p>
            <w:pPr>
              <w:pStyle w:val="TableParagraph"/>
              <w:spacing w:line="241" w:lineRule="exact" w:before="0"/>
              <w:ind w:left="134"/>
              <w:rPr>
                <w:sz w:val="21"/>
              </w:rPr>
            </w:pPr>
            <w:r>
              <w:rPr>
                <w:spacing w:val="-2"/>
                <w:sz w:val="21"/>
              </w:rPr>
              <w:t>（一）</w:t>
            </w:r>
            <w:r>
              <w:rPr>
                <w:spacing w:val="-5"/>
                <w:sz w:val="21"/>
              </w:rPr>
              <w:t> 您申请解除本主险合同；</w:t>
            </w:r>
          </w:p>
        </w:tc>
      </w:tr>
      <w:tr>
        <w:trPr>
          <w:trHeight w:val="311" w:hRule="atLeast"/>
        </w:trPr>
        <w:tc>
          <w:tcPr>
            <w:tcW w:w="2669" w:type="dxa"/>
            <w:gridSpan w:val="2"/>
            <w:vMerge/>
            <w:tcBorders>
              <w:top w:val="nil"/>
            </w:tcBorders>
          </w:tcPr>
          <w:p>
            <w:pPr>
              <w:rPr>
                <w:sz w:val="2"/>
                <w:szCs w:val="2"/>
              </w:rPr>
            </w:pPr>
          </w:p>
        </w:tc>
        <w:tc>
          <w:tcPr>
            <w:tcW w:w="7253" w:type="dxa"/>
          </w:tcPr>
          <w:p>
            <w:pPr>
              <w:pStyle w:val="TableParagraph"/>
              <w:ind w:left="134"/>
              <w:rPr>
                <w:sz w:val="21"/>
              </w:rPr>
            </w:pPr>
            <w:r>
              <w:rPr>
                <w:sz w:val="21"/>
              </w:rPr>
              <w:t>（二）</w:t>
            </w:r>
            <w:r>
              <w:rPr>
                <w:spacing w:val="-7"/>
                <w:sz w:val="21"/>
              </w:rPr>
              <w:t> 被保险人身故；</w:t>
            </w:r>
          </w:p>
        </w:tc>
      </w:tr>
      <w:tr>
        <w:trPr>
          <w:trHeight w:val="311" w:hRule="atLeast"/>
        </w:trPr>
        <w:tc>
          <w:tcPr>
            <w:tcW w:w="2669" w:type="dxa"/>
            <w:gridSpan w:val="2"/>
            <w:vMerge/>
            <w:tcBorders>
              <w:top w:val="nil"/>
            </w:tcBorders>
          </w:tcPr>
          <w:p>
            <w:pPr>
              <w:rPr>
                <w:sz w:val="2"/>
                <w:szCs w:val="2"/>
              </w:rPr>
            </w:pPr>
          </w:p>
        </w:tc>
        <w:tc>
          <w:tcPr>
            <w:tcW w:w="7253" w:type="dxa"/>
          </w:tcPr>
          <w:p>
            <w:pPr>
              <w:pStyle w:val="TableParagraph"/>
              <w:ind w:left="134"/>
              <w:rPr>
                <w:sz w:val="21"/>
              </w:rPr>
            </w:pPr>
            <w:r>
              <w:rPr>
                <w:spacing w:val="-2"/>
                <w:sz w:val="21"/>
              </w:rPr>
              <w:t>（三）</w:t>
            </w:r>
            <w:r>
              <w:rPr>
                <w:spacing w:val="-5"/>
                <w:sz w:val="21"/>
              </w:rPr>
              <w:t> 本主险合同有效期届满；</w:t>
            </w:r>
          </w:p>
        </w:tc>
      </w:tr>
      <w:tr>
        <w:trPr>
          <w:trHeight w:val="312" w:hRule="atLeast"/>
        </w:trPr>
        <w:tc>
          <w:tcPr>
            <w:tcW w:w="2669" w:type="dxa"/>
            <w:gridSpan w:val="2"/>
            <w:vMerge/>
            <w:tcBorders>
              <w:top w:val="nil"/>
            </w:tcBorders>
          </w:tcPr>
          <w:p>
            <w:pPr>
              <w:rPr>
                <w:sz w:val="2"/>
                <w:szCs w:val="2"/>
              </w:rPr>
            </w:pPr>
          </w:p>
        </w:tc>
        <w:tc>
          <w:tcPr>
            <w:tcW w:w="7253" w:type="dxa"/>
          </w:tcPr>
          <w:p>
            <w:pPr>
              <w:pStyle w:val="TableParagraph"/>
              <w:ind w:left="134"/>
              <w:rPr>
                <w:sz w:val="21"/>
              </w:rPr>
            </w:pPr>
            <w:r>
              <w:rPr>
                <w:spacing w:val="-2"/>
                <w:sz w:val="21"/>
              </w:rPr>
              <w:t>（四）</w:t>
            </w:r>
            <w:r>
              <w:rPr>
                <w:spacing w:val="-8"/>
                <w:sz w:val="21"/>
              </w:rPr>
              <w:t> 自本主险合同效力中止之日起满 </w:t>
            </w:r>
            <w:r>
              <w:rPr>
                <w:spacing w:val="-2"/>
                <w:sz w:val="21"/>
              </w:rPr>
              <w:t>2</w:t>
            </w:r>
            <w:r>
              <w:rPr>
                <w:spacing w:val="-10"/>
                <w:sz w:val="21"/>
              </w:rPr>
              <w:t> 年双方未达成复效协议；</w:t>
            </w:r>
          </w:p>
        </w:tc>
      </w:tr>
      <w:tr>
        <w:trPr>
          <w:trHeight w:val="468" w:hRule="atLeast"/>
        </w:trPr>
        <w:tc>
          <w:tcPr>
            <w:tcW w:w="2669" w:type="dxa"/>
            <w:gridSpan w:val="2"/>
            <w:vMerge/>
            <w:tcBorders>
              <w:top w:val="nil"/>
            </w:tcBorders>
          </w:tcPr>
          <w:p>
            <w:pPr>
              <w:rPr>
                <w:sz w:val="2"/>
                <w:szCs w:val="2"/>
              </w:rPr>
            </w:pPr>
          </w:p>
        </w:tc>
        <w:tc>
          <w:tcPr>
            <w:tcW w:w="7253" w:type="dxa"/>
          </w:tcPr>
          <w:p>
            <w:pPr>
              <w:pStyle w:val="TableParagraph"/>
              <w:ind w:left="134"/>
              <w:rPr>
                <w:sz w:val="21"/>
              </w:rPr>
            </w:pPr>
            <w:r>
              <w:rPr>
                <w:spacing w:val="-2"/>
                <w:sz w:val="21"/>
              </w:rPr>
              <w:t>（五）</w:t>
            </w:r>
            <w:r>
              <w:rPr>
                <w:spacing w:val="-5"/>
                <w:sz w:val="21"/>
              </w:rPr>
              <w:t> 其他导致本主险合同效力终止的情形。</w:t>
            </w:r>
          </w:p>
        </w:tc>
      </w:tr>
      <w:tr>
        <w:trPr>
          <w:trHeight w:val="468" w:hRule="atLeast"/>
        </w:trPr>
        <w:tc>
          <w:tcPr>
            <w:tcW w:w="834" w:type="dxa"/>
          </w:tcPr>
          <w:p>
            <w:pPr>
              <w:pStyle w:val="TableParagraph"/>
              <w:spacing w:before="178"/>
              <w:ind w:left="107"/>
              <w:rPr>
                <w:b/>
                <w:sz w:val="21"/>
              </w:rPr>
            </w:pPr>
            <w:r>
              <w:rPr>
                <w:b/>
                <w:spacing w:val="-5"/>
                <w:sz w:val="21"/>
              </w:rPr>
              <w:t>8.7</w:t>
            </w:r>
          </w:p>
        </w:tc>
        <w:tc>
          <w:tcPr>
            <w:tcW w:w="1835" w:type="dxa"/>
          </w:tcPr>
          <w:p>
            <w:pPr>
              <w:pStyle w:val="TableParagraph"/>
              <w:spacing w:before="178"/>
              <w:ind w:left="409"/>
              <w:rPr>
                <w:b/>
                <w:sz w:val="21"/>
              </w:rPr>
            </w:pPr>
            <w:r>
              <w:rPr>
                <w:b/>
                <w:spacing w:val="-3"/>
                <w:sz w:val="21"/>
              </w:rPr>
              <w:t>争议处理</w:t>
            </w:r>
          </w:p>
        </w:tc>
        <w:tc>
          <w:tcPr>
            <w:tcW w:w="7253" w:type="dxa"/>
          </w:tcPr>
          <w:p>
            <w:pPr>
              <w:pStyle w:val="TableParagraph"/>
              <w:spacing w:before="178"/>
              <w:ind w:left="134"/>
              <w:rPr>
                <w:sz w:val="21"/>
              </w:rPr>
            </w:pPr>
            <w:r>
              <w:rPr>
                <w:spacing w:val="-3"/>
                <w:sz w:val="21"/>
              </w:rPr>
              <w:t>本主险合同履行过程中，双方发生争议不能协商解决的，依法向具有管辖权</w:t>
            </w:r>
          </w:p>
        </w:tc>
      </w:tr>
      <w:tr>
        <w:trPr>
          <w:trHeight w:val="372"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34"/>
              <w:rPr>
                <w:sz w:val="21"/>
              </w:rPr>
            </w:pPr>
            <w:r>
              <w:rPr>
                <w:spacing w:val="-3"/>
                <w:sz w:val="21"/>
              </w:rPr>
              <w:t>的人民法院提起诉讼。</w:t>
            </w:r>
          </w:p>
        </w:tc>
      </w:tr>
      <w:tr>
        <w:trPr>
          <w:trHeight w:val="562" w:hRule="atLeast"/>
        </w:trPr>
        <w:tc>
          <w:tcPr>
            <w:tcW w:w="834" w:type="dxa"/>
            <w:tcBorders>
              <w:bottom w:val="single" w:sz="4" w:space="0" w:color="000000"/>
            </w:tcBorders>
          </w:tcPr>
          <w:p>
            <w:pPr>
              <w:pStyle w:val="TableParagraph"/>
              <w:spacing w:line="524" w:lineRule="exact" w:before="0"/>
              <w:ind w:left="108"/>
              <w:rPr>
                <w:rFonts w:ascii="Wingdings 2" w:hAnsi="Wingdings 2"/>
                <w:b/>
                <w:sz w:val="52"/>
              </w:rPr>
            </w:pPr>
            <w:r>
              <w:rPr>
                <w:rFonts w:ascii="Wingdings 2" w:hAnsi="Wingdings 2"/>
                <w:b/>
                <w:w w:val="100"/>
                <w:sz w:val="52"/>
              </w:rPr>
              <w:t></w:t>
            </w:r>
          </w:p>
        </w:tc>
        <w:tc>
          <w:tcPr>
            <w:tcW w:w="1835" w:type="dxa"/>
            <w:tcBorders>
              <w:bottom w:val="single" w:sz="4" w:space="0" w:color="000000"/>
            </w:tcBorders>
          </w:tcPr>
          <w:p>
            <w:pPr>
              <w:pStyle w:val="TableParagraph"/>
              <w:spacing w:before="72"/>
              <w:ind w:left="433"/>
              <w:rPr>
                <w:b/>
                <w:sz w:val="28"/>
              </w:rPr>
            </w:pPr>
            <w:r>
              <w:rPr>
                <w:b/>
                <w:w w:val="95"/>
                <w:sz w:val="28"/>
              </w:rPr>
              <w:t>释</w:t>
            </w:r>
            <w:r>
              <w:rPr>
                <w:b/>
                <w:spacing w:val="-10"/>
                <w:sz w:val="28"/>
              </w:rPr>
              <w:t>义</w:t>
            </w:r>
          </w:p>
        </w:tc>
        <w:tc>
          <w:tcPr>
            <w:tcW w:w="7253" w:type="dxa"/>
            <w:tcBorders>
              <w:bottom w:val="single" w:sz="4" w:space="0" w:color="000000"/>
            </w:tcBorders>
          </w:tcPr>
          <w:p>
            <w:pPr>
              <w:pStyle w:val="TableParagraph"/>
              <w:spacing w:before="0"/>
              <w:rPr>
                <w:rFonts w:ascii="Times New Roman"/>
                <w:sz w:val="20"/>
              </w:rPr>
            </w:pPr>
          </w:p>
        </w:tc>
      </w:tr>
      <w:tr>
        <w:trPr>
          <w:trHeight w:val="624" w:hRule="atLeast"/>
        </w:trPr>
        <w:tc>
          <w:tcPr>
            <w:tcW w:w="834" w:type="dxa"/>
            <w:tcBorders>
              <w:top w:val="single" w:sz="4" w:space="0" w:color="000000"/>
            </w:tcBorders>
          </w:tcPr>
          <w:p>
            <w:pPr>
              <w:pStyle w:val="TableParagraph"/>
              <w:spacing w:before="1"/>
              <w:rPr>
                <w:sz w:val="26"/>
              </w:rPr>
            </w:pPr>
          </w:p>
          <w:p>
            <w:pPr>
              <w:pStyle w:val="TableParagraph"/>
              <w:spacing w:before="0"/>
              <w:ind w:left="107"/>
              <w:rPr>
                <w:b/>
                <w:sz w:val="21"/>
              </w:rPr>
            </w:pPr>
            <w:r>
              <w:rPr>
                <w:b/>
                <w:spacing w:val="-5"/>
                <w:sz w:val="21"/>
              </w:rPr>
              <w:t>9.1</w:t>
            </w:r>
          </w:p>
        </w:tc>
        <w:tc>
          <w:tcPr>
            <w:tcW w:w="1835" w:type="dxa"/>
            <w:tcBorders>
              <w:top w:val="single" w:sz="4" w:space="0" w:color="000000"/>
            </w:tcBorders>
          </w:tcPr>
          <w:p>
            <w:pPr>
              <w:pStyle w:val="TableParagraph"/>
              <w:spacing w:before="1"/>
              <w:rPr>
                <w:sz w:val="26"/>
              </w:rPr>
            </w:pPr>
          </w:p>
          <w:p>
            <w:pPr>
              <w:pStyle w:val="TableParagraph"/>
              <w:spacing w:before="0"/>
              <w:ind w:left="433"/>
              <w:rPr>
                <w:b/>
                <w:sz w:val="21"/>
              </w:rPr>
            </w:pPr>
            <w:r>
              <w:rPr>
                <w:b/>
                <w:spacing w:val="-5"/>
                <w:sz w:val="21"/>
              </w:rPr>
              <w:t>周岁</w:t>
            </w:r>
          </w:p>
        </w:tc>
        <w:tc>
          <w:tcPr>
            <w:tcW w:w="7253" w:type="dxa"/>
            <w:tcBorders>
              <w:top w:val="single" w:sz="4" w:space="0" w:color="000000"/>
            </w:tcBorders>
          </w:tcPr>
          <w:p>
            <w:pPr>
              <w:pStyle w:val="TableParagraph"/>
              <w:spacing w:before="1"/>
              <w:rPr>
                <w:sz w:val="26"/>
              </w:rPr>
            </w:pPr>
          </w:p>
          <w:p>
            <w:pPr>
              <w:pStyle w:val="TableParagraph"/>
              <w:spacing w:before="0"/>
              <w:ind w:left="158"/>
              <w:rPr>
                <w:sz w:val="21"/>
              </w:rPr>
            </w:pPr>
            <w:r>
              <w:rPr>
                <w:spacing w:val="-3"/>
                <w:sz w:val="21"/>
              </w:rPr>
              <w:t>指按有效身份证件中记载的出生日期计算的年龄，自出生之日起为零周岁，</w:t>
            </w:r>
          </w:p>
        </w:tc>
      </w:tr>
      <w:tr>
        <w:trPr>
          <w:trHeight w:val="468"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58"/>
              <w:rPr>
                <w:sz w:val="21"/>
              </w:rPr>
            </w:pPr>
            <w:r>
              <w:rPr>
                <w:spacing w:val="-3"/>
                <w:sz w:val="21"/>
              </w:rPr>
              <w:t>每经过一年增加一岁，不足一年的不计。</w:t>
            </w:r>
          </w:p>
        </w:tc>
      </w:tr>
      <w:tr>
        <w:trPr>
          <w:trHeight w:val="623" w:hRule="atLeast"/>
        </w:trPr>
        <w:tc>
          <w:tcPr>
            <w:tcW w:w="834" w:type="dxa"/>
          </w:tcPr>
          <w:p>
            <w:pPr>
              <w:pStyle w:val="TableParagraph"/>
              <w:spacing w:before="178"/>
              <w:ind w:left="107"/>
              <w:rPr>
                <w:b/>
                <w:sz w:val="21"/>
              </w:rPr>
            </w:pPr>
            <w:r>
              <w:rPr>
                <w:b/>
                <w:spacing w:val="-5"/>
                <w:sz w:val="21"/>
              </w:rPr>
              <w:t>9.2</w:t>
            </w:r>
          </w:p>
        </w:tc>
        <w:tc>
          <w:tcPr>
            <w:tcW w:w="1835" w:type="dxa"/>
          </w:tcPr>
          <w:p>
            <w:pPr>
              <w:pStyle w:val="TableParagraph"/>
              <w:spacing w:before="178"/>
              <w:ind w:left="433"/>
              <w:rPr>
                <w:b/>
                <w:sz w:val="21"/>
              </w:rPr>
            </w:pPr>
            <w:r>
              <w:rPr>
                <w:b/>
                <w:spacing w:val="-2"/>
                <w:sz w:val="21"/>
              </w:rPr>
              <w:t>基本医疗保险</w:t>
            </w:r>
          </w:p>
        </w:tc>
        <w:tc>
          <w:tcPr>
            <w:tcW w:w="7253" w:type="dxa"/>
          </w:tcPr>
          <w:p>
            <w:pPr>
              <w:pStyle w:val="TableParagraph"/>
              <w:spacing w:before="178"/>
              <w:ind w:left="158"/>
              <w:rPr>
                <w:sz w:val="21"/>
              </w:rPr>
            </w:pPr>
            <w:r>
              <w:rPr>
                <w:spacing w:val="-3"/>
                <w:sz w:val="21"/>
              </w:rPr>
              <w:t>指城镇职工基本医疗保险、城镇居民基本医疗保险、新型农村合作医疗。</w:t>
            </w:r>
          </w:p>
        </w:tc>
      </w:tr>
      <w:tr>
        <w:trPr>
          <w:trHeight w:val="468" w:hRule="atLeast"/>
        </w:trPr>
        <w:tc>
          <w:tcPr>
            <w:tcW w:w="834" w:type="dxa"/>
          </w:tcPr>
          <w:p>
            <w:pPr>
              <w:pStyle w:val="TableParagraph"/>
              <w:spacing w:before="178"/>
              <w:ind w:left="107"/>
              <w:rPr>
                <w:b/>
                <w:sz w:val="21"/>
              </w:rPr>
            </w:pPr>
            <w:r>
              <w:rPr>
                <w:b/>
                <w:spacing w:val="-5"/>
                <w:sz w:val="21"/>
              </w:rPr>
              <w:t>9.3</w:t>
            </w:r>
          </w:p>
        </w:tc>
        <w:tc>
          <w:tcPr>
            <w:tcW w:w="1835" w:type="dxa"/>
          </w:tcPr>
          <w:p>
            <w:pPr>
              <w:pStyle w:val="TableParagraph"/>
              <w:spacing w:before="178"/>
              <w:ind w:left="433"/>
              <w:rPr>
                <w:b/>
                <w:sz w:val="21"/>
              </w:rPr>
            </w:pPr>
            <w:r>
              <w:rPr>
                <w:b/>
                <w:spacing w:val="-3"/>
                <w:sz w:val="21"/>
              </w:rPr>
              <w:t>公费医疗</w:t>
            </w:r>
          </w:p>
        </w:tc>
        <w:tc>
          <w:tcPr>
            <w:tcW w:w="7253" w:type="dxa"/>
          </w:tcPr>
          <w:p>
            <w:pPr>
              <w:pStyle w:val="TableParagraph"/>
              <w:spacing w:before="178"/>
              <w:ind w:left="158"/>
              <w:rPr>
                <w:sz w:val="21"/>
              </w:rPr>
            </w:pPr>
            <w:r>
              <w:rPr>
                <w:spacing w:val="-3"/>
                <w:sz w:val="21"/>
              </w:rPr>
              <w:t>公费医疗制度，是国家为保障国家工作人员身体健康而实行的一项社会保障</w:t>
            </w:r>
          </w:p>
        </w:tc>
      </w:tr>
      <w:tr>
        <w:trPr>
          <w:trHeight w:val="312"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58"/>
              <w:rPr>
                <w:sz w:val="21"/>
              </w:rPr>
            </w:pPr>
            <w:r>
              <w:rPr>
                <w:spacing w:val="-3"/>
                <w:sz w:val="21"/>
              </w:rPr>
              <w:t>制度。国家通过医疗卫生部门向享受人员提供制度规定范围内的免费医疗及</w:t>
            </w:r>
          </w:p>
        </w:tc>
      </w:tr>
      <w:tr>
        <w:trPr>
          <w:trHeight w:val="468"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58"/>
              <w:rPr>
                <w:sz w:val="21"/>
              </w:rPr>
            </w:pPr>
            <w:r>
              <w:rPr>
                <w:spacing w:val="-4"/>
                <w:sz w:val="21"/>
              </w:rPr>
              <w:t>预防服务。</w:t>
            </w:r>
          </w:p>
        </w:tc>
      </w:tr>
      <w:tr>
        <w:trPr>
          <w:trHeight w:val="468" w:hRule="atLeast"/>
        </w:trPr>
        <w:tc>
          <w:tcPr>
            <w:tcW w:w="834" w:type="dxa"/>
          </w:tcPr>
          <w:p>
            <w:pPr>
              <w:pStyle w:val="TableParagraph"/>
              <w:spacing w:before="178"/>
              <w:ind w:left="107"/>
              <w:rPr>
                <w:b/>
                <w:sz w:val="21"/>
              </w:rPr>
            </w:pPr>
            <w:r>
              <w:rPr>
                <w:b/>
                <w:spacing w:val="-5"/>
                <w:sz w:val="21"/>
              </w:rPr>
              <w:t>9.4</w:t>
            </w:r>
          </w:p>
        </w:tc>
        <w:tc>
          <w:tcPr>
            <w:tcW w:w="1835" w:type="dxa"/>
          </w:tcPr>
          <w:p>
            <w:pPr>
              <w:pStyle w:val="TableParagraph"/>
              <w:spacing w:before="178"/>
              <w:ind w:left="433"/>
              <w:rPr>
                <w:b/>
                <w:sz w:val="21"/>
              </w:rPr>
            </w:pPr>
            <w:r>
              <w:rPr>
                <w:b/>
                <w:spacing w:val="-2"/>
                <w:sz w:val="21"/>
              </w:rPr>
              <w:t>有效身份证件</w:t>
            </w:r>
          </w:p>
        </w:tc>
        <w:tc>
          <w:tcPr>
            <w:tcW w:w="7253" w:type="dxa"/>
          </w:tcPr>
          <w:p>
            <w:pPr>
              <w:pStyle w:val="TableParagraph"/>
              <w:spacing w:before="178"/>
              <w:ind w:left="158" w:right="-15"/>
              <w:rPr>
                <w:sz w:val="21"/>
              </w:rPr>
            </w:pPr>
            <w:r>
              <w:rPr>
                <w:spacing w:val="-5"/>
                <w:sz w:val="21"/>
              </w:rPr>
              <w:t>指证明其身份的证件，如：居民身份证、按规定可使用的有效护照、军官证、</w:t>
            </w:r>
          </w:p>
        </w:tc>
      </w:tr>
      <w:tr>
        <w:trPr>
          <w:trHeight w:val="467"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58"/>
              <w:rPr>
                <w:sz w:val="21"/>
              </w:rPr>
            </w:pPr>
            <w:r>
              <w:rPr>
                <w:spacing w:val="-2"/>
                <w:sz w:val="21"/>
              </w:rPr>
              <w:t>警官证、士兵证、居民户口簿（仅限未成年人）</w:t>
            </w:r>
            <w:r>
              <w:rPr>
                <w:spacing w:val="-4"/>
                <w:sz w:val="21"/>
              </w:rPr>
              <w:t>等证件。</w:t>
            </w:r>
          </w:p>
        </w:tc>
      </w:tr>
      <w:tr>
        <w:trPr>
          <w:trHeight w:val="468" w:hRule="atLeast"/>
        </w:trPr>
        <w:tc>
          <w:tcPr>
            <w:tcW w:w="834" w:type="dxa"/>
          </w:tcPr>
          <w:p>
            <w:pPr>
              <w:pStyle w:val="TableParagraph"/>
              <w:spacing w:before="178"/>
              <w:ind w:left="107"/>
              <w:rPr>
                <w:b/>
                <w:sz w:val="21"/>
              </w:rPr>
            </w:pPr>
            <w:r>
              <w:rPr>
                <w:b/>
                <w:spacing w:val="-5"/>
                <w:sz w:val="21"/>
              </w:rPr>
              <w:t>9.5</w:t>
            </w:r>
          </w:p>
        </w:tc>
        <w:tc>
          <w:tcPr>
            <w:tcW w:w="1835" w:type="dxa"/>
          </w:tcPr>
          <w:p>
            <w:pPr>
              <w:pStyle w:val="TableParagraph"/>
              <w:spacing w:before="178"/>
              <w:ind w:left="433"/>
              <w:rPr>
                <w:b/>
                <w:sz w:val="21"/>
              </w:rPr>
            </w:pPr>
            <w:r>
              <w:rPr>
                <w:b/>
                <w:spacing w:val="-3"/>
                <w:sz w:val="21"/>
              </w:rPr>
              <w:t>意外伤害</w:t>
            </w:r>
          </w:p>
        </w:tc>
        <w:tc>
          <w:tcPr>
            <w:tcW w:w="7253" w:type="dxa"/>
          </w:tcPr>
          <w:p>
            <w:pPr>
              <w:pStyle w:val="TableParagraph"/>
              <w:spacing w:before="178"/>
              <w:ind w:left="158"/>
              <w:rPr>
                <w:sz w:val="21"/>
              </w:rPr>
            </w:pPr>
            <w:r>
              <w:rPr>
                <w:spacing w:val="-3"/>
                <w:sz w:val="21"/>
              </w:rPr>
              <w:t>指遭受外来的、突发的、非本意的、非疾病的使身体受到伤害的客观事件，</w:t>
            </w:r>
          </w:p>
        </w:tc>
      </w:tr>
      <w:tr>
        <w:trPr>
          <w:trHeight w:val="468"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58"/>
              <w:rPr>
                <w:sz w:val="21"/>
              </w:rPr>
            </w:pPr>
            <w:r>
              <w:rPr>
                <w:spacing w:val="-3"/>
                <w:sz w:val="21"/>
              </w:rPr>
              <w:t>并以此客观事件为直接且单独原因导致身体蒙受伤害或身故。</w:t>
            </w:r>
          </w:p>
        </w:tc>
      </w:tr>
      <w:tr>
        <w:trPr>
          <w:trHeight w:val="467" w:hRule="atLeast"/>
        </w:trPr>
        <w:tc>
          <w:tcPr>
            <w:tcW w:w="834" w:type="dxa"/>
          </w:tcPr>
          <w:p>
            <w:pPr>
              <w:pStyle w:val="TableParagraph"/>
              <w:spacing w:before="178"/>
              <w:ind w:left="107"/>
              <w:rPr>
                <w:b/>
                <w:sz w:val="21"/>
              </w:rPr>
            </w:pPr>
            <w:r>
              <w:rPr>
                <w:b/>
                <w:spacing w:val="-5"/>
                <w:sz w:val="21"/>
              </w:rPr>
              <w:t>9.6</w:t>
            </w:r>
          </w:p>
        </w:tc>
        <w:tc>
          <w:tcPr>
            <w:tcW w:w="1835" w:type="dxa"/>
          </w:tcPr>
          <w:p>
            <w:pPr>
              <w:pStyle w:val="TableParagraph"/>
              <w:spacing w:before="178"/>
              <w:ind w:left="409"/>
              <w:rPr>
                <w:b/>
                <w:sz w:val="21"/>
              </w:rPr>
            </w:pPr>
            <w:r>
              <w:rPr>
                <w:b/>
                <w:spacing w:val="-2"/>
                <w:sz w:val="21"/>
              </w:rPr>
              <w:t>城乡居民大病</w:t>
            </w:r>
          </w:p>
        </w:tc>
        <w:tc>
          <w:tcPr>
            <w:tcW w:w="7253" w:type="dxa"/>
          </w:tcPr>
          <w:p>
            <w:pPr>
              <w:pStyle w:val="TableParagraph"/>
              <w:spacing w:before="178"/>
              <w:ind w:left="134"/>
              <w:rPr>
                <w:sz w:val="21"/>
              </w:rPr>
            </w:pPr>
            <w:r>
              <w:rPr>
                <w:spacing w:val="-3"/>
                <w:sz w:val="21"/>
              </w:rPr>
              <w:t>城乡居民大病保险是基本医疗保障制度的拓展和延伸，是对大病患者发生的</w:t>
            </w:r>
          </w:p>
        </w:tc>
      </w:tr>
      <w:tr>
        <w:trPr>
          <w:trHeight w:val="468" w:hRule="atLeast"/>
        </w:trPr>
        <w:tc>
          <w:tcPr>
            <w:tcW w:w="834" w:type="dxa"/>
          </w:tcPr>
          <w:p>
            <w:pPr>
              <w:pStyle w:val="TableParagraph"/>
              <w:spacing w:before="0"/>
              <w:rPr>
                <w:rFonts w:ascii="Times New Roman"/>
                <w:sz w:val="20"/>
              </w:rPr>
            </w:pPr>
          </w:p>
        </w:tc>
        <w:tc>
          <w:tcPr>
            <w:tcW w:w="1835" w:type="dxa"/>
          </w:tcPr>
          <w:p>
            <w:pPr>
              <w:pStyle w:val="TableParagraph"/>
              <w:ind w:left="409"/>
              <w:rPr>
                <w:b/>
                <w:sz w:val="21"/>
              </w:rPr>
            </w:pPr>
            <w:r>
              <w:rPr>
                <w:b/>
                <w:spacing w:val="-5"/>
                <w:sz w:val="21"/>
              </w:rPr>
              <w:t>保险</w:t>
            </w:r>
          </w:p>
        </w:tc>
        <w:tc>
          <w:tcPr>
            <w:tcW w:w="7253" w:type="dxa"/>
          </w:tcPr>
          <w:p>
            <w:pPr>
              <w:pStyle w:val="TableParagraph"/>
              <w:ind w:left="134"/>
              <w:rPr>
                <w:sz w:val="21"/>
              </w:rPr>
            </w:pPr>
            <w:r>
              <w:rPr>
                <w:spacing w:val="-3"/>
                <w:sz w:val="21"/>
              </w:rPr>
              <w:t>高额医疗费用给予进一步保障的制度性安排。</w:t>
            </w:r>
          </w:p>
        </w:tc>
      </w:tr>
      <w:tr>
        <w:trPr>
          <w:trHeight w:val="1872" w:hRule="atLeast"/>
        </w:trPr>
        <w:tc>
          <w:tcPr>
            <w:tcW w:w="834" w:type="dxa"/>
          </w:tcPr>
          <w:p>
            <w:pPr>
              <w:pStyle w:val="TableParagraph"/>
              <w:spacing w:before="178"/>
              <w:ind w:left="107"/>
              <w:rPr>
                <w:b/>
                <w:sz w:val="21"/>
              </w:rPr>
            </w:pPr>
            <w:r>
              <w:rPr>
                <w:b/>
                <w:spacing w:val="-5"/>
                <w:sz w:val="21"/>
              </w:rPr>
              <w:t>9.7</w:t>
            </w:r>
          </w:p>
        </w:tc>
        <w:tc>
          <w:tcPr>
            <w:tcW w:w="1835" w:type="dxa"/>
          </w:tcPr>
          <w:p>
            <w:pPr>
              <w:pStyle w:val="TableParagraph"/>
              <w:spacing w:before="178"/>
              <w:ind w:left="433"/>
              <w:rPr>
                <w:b/>
                <w:sz w:val="21"/>
              </w:rPr>
            </w:pPr>
            <w:r>
              <w:rPr>
                <w:b/>
                <w:spacing w:val="-5"/>
                <w:sz w:val="21"/>
              </w:rPr>
              <w:t>医院</w:t>
            </w:r>
          </w:p>
        </w:tc>
        <w:tc>
          <w:tcPr>
            <w:tcW w:w="7253" w:type="dxa"/>
          </w:tcPr>
          <w:p>
            <w:pPr>
              <w:pStyle w:val="TableParagraph"/>
              <w:spacing w:line="266" w:lineRule="auto" w:before="178"/>
              <w:ind w:left="157" w:right="104"/>
              <w:jc w:val="both"/>
              <w:rPr>
                <w:sz w:val="21"/>
              </w:rPr>
            </w:pPr>
            <w:r>
              <w:rPr>
                <w:spacing w:val="-2"/>
                <w:sz w:val="21"/>
              </w:rPr>
              <w:t>指国家卫生行政部门的医院等级分类中的二级或二级以上的公立医院的普通</w:t>
            </w:r>
            <w:r>
              <w:rPr>
                <w:w w:val="95"/>
                <w:sz w:val="21"/>
              </w:rPr>
              <w:t>部</w:t>
            </w:r>
            <w:r>
              <w:rPr>
                <w:b/>
                <w:i/>
                <w:w w:val="95"/>
                <w:sz w:val="22"/>
              </w:rPr>
              <w:t>（不包含其中的特需病房、国际部病房、外宾病房、VIP </w:t>
            </w:r>
            <w:r>
              <w:rPr>
                <w:b/>
                <w:i/>
                <w:w w:val="95"/>
                <w:sz w:val="22"/>
              </w:rPr>
              <w:t>病房、干部病房</w:t>
            </w:r>
            <w:r>
              <w:rPr>
                <w:b/>
                <w:i/>
                <w:spacing w:val="-2"/>
                <w:w w:val="95"/>
                <w:sz w:val="22"/>
              </w:rPr>
              <w:t>等</w:t>
            </w:r>
            <w:r>
              <w:rPr>
                <w:b/>
                <w:spacing w:val="-58"/>
                <w:w w:val="95"/>
                <w:sz w:val="21"/>
              </w:rPr>
              <w:t>），</w:t>
            </w:r>
            <w:r>
              <w:rPr>
                <w:b/>
                <w:i/>
                <w:spacing w:val="-2"/>
                <w:w w:val="95"/>
                <w:sz w:val="22"/>
              </w:rPr>
              <w:t>不包括主要为康复、护理、疗养、戒酒、戒毒、精神心理治疗、养老或</w:t>
            </w:r>
            <w:r>
              <w:rPr>
                <w:b/>
                <w:i/>
                <w:spacing w:val="-2"/>
                <w:w w:val="95"/>
                <w:sz w:val="22"/>
              </w:rPr>
              <w:t>相类似的非以直接治疗病人为目的的医疗机构以及无相应医护人员或设备的</w:t>
            </w:r>
            <w:r>
              <w:rPr>
                <w:b/>
                <w:i/>
                <w:spacing w:val="-2"/>
                <w:sz w:val="22"/>
              </w:rPr>
              <w:t>二</w:t>
            </w:r>
            <w:r>
              <w:rPr>
                <w:b/>
                <w:i/>
                <w:spacing w:val="-2"/>
                <w:sz w:val="22"/>
              </w:rPr>
              <w:t>级</w:t>
            </w:r>
            <w:r>
              <w:rPr>
                <w:b/>
                <w:i/>
                <w:spacing w:val="-2"/>
                <w:sz w:val="22"/>
              </w:rPr>
              <w:t>或</w:t>
            </w:r>
            <w:r>
              <w:rPr>
                <w:b/>
                <w:i/>
                <w:spacing w:val="-2"/>
                <w:sz w:val="22"/>
              </w:rPr>
              <w:t>三</w:t>
            </w:r>
            <w:r>
              <w:rPr>
                <w:b/>
                <w:i/>
                <w:spacing w:val="-2"/>
                <w:sz w:val="22"/>
              </w:rPr>
              <w:t>级</w:t>
            </w:r>
            <w:r>
              <w:rPr>
                <w:b/>
                <w:i/>
                <w:spacing w:val="-2"/>
                <w:sz w:val="22"/>
              </w:rPr>
              <w:t>医</w:t>
            </w:r>
            <w:r>
              <w:rPr>
                <w:b/>
                <w:i/>
                <w:spacing w:val="-2"/>
                <w:sz w:val="22"/>
              </w:rPr>
              <w:t>院</w:t>
            </w:r>
            <w:r>
              <w:rPr>
                <w:b/>
                <w:i/>
                <w:spacing w:val="-2"/>
                <w:sz w:val="22"/>
              </w:rPr>
              <w:t>的</w:t>
            </w:r>
            <w:r>
              <w:rPr>
                <w:b/>
                <w:i/>
                <w:spacing w:val="-2"/>
                <w:sz w:val="22"/>
              </w:rPr>
              <w:t>联合医</w:t>
            </w:r>
            <w:r>
              <w:rPr>
                <w:b/>
                <w:i/>
                <w:spacing w:val="-2"/>
                <w:sz w:val="22"/>
              </w:rPr>
              <w:t>院</w:t>
            </w:r>
            <w:r>
              <w:rPr>
                <w:b/>
                <w:i/>
                <w:spacing w:val="-2"/>
                <w:sz w:val="22"/>
              </w:rPr>
              <w:t>或</w:t>
            </w:r>
            <w:r>
              <w:rPr>
                <w:b/>
                <w:i/>
                <w:spacing w:val="-2"/>
                <w:sz w:val="22"/>
              </w:rPr>
              <w:t>联</w:t>
            </w:r>
            <w:r>
              <w:rPr>
                <w:b/>
                <w:i/>
                <w:spacing w:val="-2"/>
                <w:sz w:val="22"/>
              </w:rPr>
              <w:t>合</w:t>
            </w:r>
            <w:r>
              <w:rPr>
                <w:b/>
                <w:i/>
                <w:spacing w:val="-2"/>
                <w:sz w:val="22"/>
              </w:rPr>
              <w:t>病</w:t>
            </w:r>
            <w:r>
              <w:rPr>
                <w:b/>
                <w:i/>
                <w:spacing w:val="-2"/>
                <w:sz w:val="22"/>
              </w:rPr>
              <w:t>房</w:t>
            </w:r>
            <w:r>
              <w:rPr>
                <w:spacing w:val="-2"/>
                <w:sz w:val="21"/>
              </w:rPr>
              <w:t>。</w:t>
            </w:r>
          </w:p>
        </w:tc>
      </w:tr>
      <w:tr>
        <w:trPr>
          <w:trHeight w:val="467" w:hRule="atLeast"/>
        </w:trPr>
        <w:tc>
          <w:tcPr>
            <w:tcW w:w="834" w:type="dxa"/>
          </w:tcPr>
          <w:p>
            <w:pPr>
              <w:pStyle w:val="TableParagraph"/>
              <w:spacing w:before="177"/>
              <w:ind w:left="107"/>
              <w:rPr>
                <w:b/>
                <w:sz w:val="21"/>
              </w:rPr>
            </w:pPr>
            <w:r>
              <w:rPr>
                <w:b/>
                <w:spacing w:val="-5"/>
                <w:sz w:val="21"/>
              </w:rPr>
              <w:t>9.8</w:t>
            </w:r>
          </w:p>
        </w:tc>
        <w:tc>
          <w:tcPr>
            <w:tcW w:w="1835" w:type="dxa"/>
          </w:tcPr>
          <w:p>
            <w:pPr>
              <w:pStyle w:val="TableParagraph"/>
              <w:spacing w:before="177"/>
              <w:ind w:left="433"/>
              <w:rPr>
                <w:b/>
                <w:sz w:val="21"/>
              </w:rPr>
            </w:pPr>
            <w:r>
              <w:rPr>
                <w:b/>
                <w:spacing w:val="-3"/>
                <w:sz w:val="21"/>
              </w:rPr>
              <w:t>专科医生</w:t>
            </w:r>
          </w:p>
        </w:tc>
        <w:tc>
          <w:tcPr>
            <w:tcW w:w="7253" w:type="dxa"/>
          </w:tcPr>
          <w:p>
            <w:pPr>
              <w:pStyle w:val="TableParagraph"/>
              <w:spacing w:before="177"/>
              <w:ind w:left="134"/>
              <w:rPr>
                <w:sz w:val="21"/>
              </w:rPr>
            </w:pPr>
            <w:r>
              <w:rPr>
                <w:spacing w:val="-3"/>
                <w:sz w:val="21"/>
              </w:rPr>
              <w:t>专科医生应当同时满足以下四项资格条件：</w:t>
            </w:r>
          </w:p>
        </w:tc>
      </w:tr>
      <w:tr>
        <w:trPr>
          <w:trHeight w:val="311" w:hRule="atLeast"/>
        </w:trPr>
        <w:tc>
          <w:tcPr>
            <w:tcW w:w="834" w:type="dxa"/>
          </w:tcPr>
          <w:p>
            <w:pPr>
              <w:pStyle w:val="TableParagraph"/>
              <w:spacing w:before="0"/>
              <w:rPr>
                <w:rFonts w:ascii="Times New Roman"/>
                <w:sz w:val="20"/>
              </w:rPr>
            </w:pPr>
          </w:p>
        </w:tc>
        <w:tc>
          <w:tcPr>
            <w:tcW w:w="1835" w:type="dxa"/>
          </w:tcPr>
          <w:p>
            <w:pPr>
              <w:pStyle w:val="TableParagraph"/>
              <w:spacing w:before="0"/>
              <w:rPr>
                <w:rFonts w:ascii="Times New Roman"/>
                <w:sz w:val="20"/>
              </w:rPr>
            </w:pPr>
          </w:p>
        </w:tc>
        <w:tc>
          <w:tcPr>
            <w:tcW w:w="7253" w:type="dxa"/>
          </w:tcPr>
          <w:p>
            <w:pPr>
              <w:pStyle w:val="TableParagraph"/>
              <w:ind w:left="134"/>
              <w:rPr>
                <w:sz w:val="21"/>
              </w:rPr>
            </w:pPr>
            <w:r>
              <w:rPr>
                <w:spacing w:val="-2"/>
                <w:sz w:val="21"/>
              </w:rPr>
              <w:t>（1）</w:t>
            </w:r>
            <w:r>
              <w:rPr>
                <w:spacing w:val="-3"/>
                <w:sz w:val="21"/>
              </w:rPr>
              <w:t>具有有效的中华人民共和国《医师资格证书》；</w:t>
            </w:r>
          </w:p>
        </w:tc>
      </w:tr>
      <w:tr>
        <w:trPr>
          <w:trHeight w:val="261" w:hRule="atLeast"/>
        </w:trPr>
        <w:tc>
          <w:tcPr>
            <w:tcW w:w="834" w:type="dxa"/>
          </w:tcPr>
          <w:p>
            <w:pPr>
              <w:pStyle w:val="TableParagraph"/>
              <w:spacing w:before="0"/>
              <w:rPr>
                <w:rFonts w:ascii="Times New Roman"/>
                <w:sz w:val="18"/>
              </w:rPr>
            </w:pPr>
          </w:p>
        </w:tc>
        <w:tc>
          <w:tcPr>
            <w:tcW w:w="1835" w:type="dxa"/>
          </w:tcPr>
          <w:p>
            <w:pPr>
              <w:pStyle w:val="TableParagraph"/>
              <w:spacing w:before="0"/>
              <w:rPr>
                <w:rFonts w:ascii="Times New Roman"/>
                <w:sz w:val="18"/>
              </w:rPr>
            </w:pPr>
          </w:p>
        </w:tc>
        <w:tc>
          <w:tcPr>
            <w:tcW w:w="7253" w:type="dxa"/>
          </w:tcPr>
          <w:p>
            <w:pPr>
              <w:pStyle w:val="TableParagraph"/>
              <w:spacing w:line="220" w:lineRule="exact"/>
              <w:ind w:left="134"/>
              <w:rPr>
                <w:sz w:val="21"/>
              </w:rPr>
            </w:pPr>
            <w:r>
              <w:rPr>
                <w:spacing w:val="-4"/>
                <w:sz w:val="21"/>
              </w:rPr>
              <w:t>（2）</w:t>
            </w:r>
            <w:r>
              <w:rPr>
                <w:spacing w:val="-5"/>
                <w:sz w:val="21"/>
              </w:rPr>
              <w:t>具有有效的中华人民共和国《医师执业证书》，并按期到相关部门登记</w:t>
            </w:r>
          </w:p>
        </w:tc>
      </w:tr>
    </w:tbl>
    <w:p>
      <w:pPr>
        <w:pStyle w:val="BodyText"/>
        <w:spacing w:before="91"/>
        <w:ind w:left="3430"/>
      </w:pPr>
      <w:r>
        <w:rPr>
          <w:spacing w:val="-4"/>
        </w:rPr>
        <w:t>注册；</w:t>
      </w:r>
    </w:p>
    <w:p>
      <w:pPr>
        <w:pStyle w:val="ListParagraph"/>
        <w:numPr>
          <w:ilvl w:val="1"/>
          <w:numId w:val="6"/>
        </w:numPr>
        <w:tabs>
          <w:tab w:pos="3434" w:val="left" w:leader="none"/>
        </w:tabs>
        <w:spacing w:line="278" w:lineRule="auto" w:before="43" w:after="0"/>
        <w:ind w:left="3430" w:right="260" w:hanging="526"/>
        <w:jc w:val="left"/>
        <w:rPr>
          <w:sz w:val="21"/>
        </w:rPr>
      </w:pPr>
      <w:r>
        <w:rPr>
          <w:spacing w:val="-2"/>
          <w:sz w:val="21"/>
        </w:rPr>
        <w:t>具有有效的中华人民共和国主治医师或主治医师以上职称的《医师职称</w:t>
      </w:r>
      <w:r>
        <w:rPr>
          <w:spacing w:val="-4"/>
          <w:sz w:val="21"/>
        </w:rPr>
        <w:t>证书》；</w:t>
      </w:r>
    </w:p>
    <w:p>
      <w:pPr>
        <w:pStyle w:val="ListParagraph"/>
        <w:numPr>
          <w:ilvl w:val="1"/>
          <w:numId w:val="6"/>
        </w:numPr>
        <w:tabs>
          <w:tab w:pos="3458" w:val="left" w:leader="none"/>
        </w:tabs>
        <w:spacing w:line="278" w:lineRule="auto" w:before="0" w:after="0"/>
        <w:ind w:left="2928" w:right="263" w:firstLine="0"/>
        <w:jc w:val="left"/>
        <w:rPr>
          <w:sz w:val="21"/>
        </w:rPr>
      </w:pPr>
      <w:r>
        <w:rPr>
          <w:spacing w:val="-7"/>
          <w:w w:val="100"/>
          <w:sz w:val="21"/>
        </w:rPr>
        <w:t>在国家《医院分级管理标准》二级或二级以上医院的相应科室从事临</w:t>
      </w:r>
      <w:r>
        <w:rPr>
          <w:spacing w:val="-5"/>
          <w:w w:val="100"/>
          <w:sz w:val="21"/>
        </w:rPr>
        <w:t>床工作三年以上。</w:t>
      </w:r>
    </w:p>
    <w:p>
      <w:pPr>
        <w:pStyle w:val="BodyText"/>
        <w:spacing w:before="4"/>
        <w:rPr>
          <w:sz w:val="24"/>
        </w:rPr>
      </w:pPr>
    </w:p>
    <w:p>
      <w:pPr>
        <w:pStyle w:val="ListParagraph"/>
        <w:numPr>
          <w:ilvl w:val="1"/>
          <w:numId w:val="11"/>
        </w:numPr>
        <w:tabs>
          <w:tab w:pos="1344" w:val="left" w:leader="none"/>
          <w:tab w:pos="1345" w:val="left" w:leader="none"/>
          <w:tab w:pos="2904" w:val="left" w:leader="none"/>
        </w:tabs>
        <w:spacing w:line="240" w:lineRule="auto" w:before="0" w:after="0"/>
        <w:ind w:left="1344" w:right="0" w:hanging="1136"/>
        <w:jc w:val="left"/>
        <w:rPr>
          <w:sz w:val="21"/>
        </w:rPr>
      </w:pPr>
      <w:r>
        <w:rPr>
          <w:b/>
          <w:sz w:val="21"/>
        </w:rPr>
        <w:t>合理且必</w:t>
      </w:r>
      <w:r>
        <w:rPr>
          <w:b/>
          <w:spacing w:val="-10"/>
          <w:sz w:val="21"/>
        </w:rPr>
        <w:t>要</w:t>
      </w:r>
      <w:r>
        <w:rPr>
          <w:b/>
          <w:sz w:val="21"/>
        </w:rPr>
        <w:tab/>
      </w:r>
      <w:r>
        <w:rPr>
          <w:spacing w:val="-2"/>
          <w:sz w:val="21"/>
        </w:rPr>
        <w:t>指</w:t>
      </w:r>
      <w:r>
        <w:rPr>
          <w:spacing w:val="-2"/>
          <w:sz w:val="21"/>
        </w:rPr>
        <w:t>合</w:t>
      </w:r>
      <w:r>
        <w:rPr>
          <w:spacing w:val="-2"/>
          <w:sz w:val="21"/>
        </w:rPr>
        <w:t>理的、符合通常惯例</w:t>
      </w:r>
      <w:r>
        <w:rPr>
          <w:spacing w:val="-2"/>
          <w:sz w:val="21"/>
        </w:rPr>
        <w:t>且</w:t>
      </w:r>
      <w:r>
        <w:rPr>
          <w:spacing w:val="-2"/>
          <w:sz w:val="21"/>
        </w:rPr>
        <w:t>医</w:t>
      </w:r>
      <w:r>
        <w:rPr>
          <w:spacing w:val="-2"/>
          <w:sz w:val="21"/>
        </w:rPr>
        <w:t>疗必需的医疗费</w:t>
      </w:r>
      <w:r>
        <w:rPr>
          <w:spacing w:val="-2"/>
          <w:sz w:val="21"/>
        </w:rPr>
        <w:t>用</w:t>
      </w:r>
      <w:r>
        <w:rPr>
          <w:spacing w:val="-10"/>
          <w:sz w:val="21"/>
        </w:rPr>
        <w:t>。</w:t>
      </w:r>
    </w:p>
    <w:p>
      <w:pPr>
        <w:pStyle w:val="BodyText"/>
        <w:spacing w:before="43"/>
        <w:ind w:left="2904"/>
      </w:pPr>
      <w:r>
        <w:rPr>
          <w:spacing w:val="-3"/>
        </w:rPr>
        <w:t>符合通常惯例指被保险人接受的医疗服务满足以下条件：</w:t>
      </w:r>
    </w:p>
    <w:p>
      <w:pPr>
        <w:spacing w:after="0"/>
        <w:sectPr>
          <w:pgSz w:w="11910" w:h="16840"/>
          <w:pgMar w:top="960" w:bottom="280" w:left="1060" w:right="660"/>
        </w:sectPr>
      </w:pPr>
    </w:p>
    <w:p>
      <w:pPr>
        <w:pStyle w:val="ListParagraph"/>
        <w:numPr>
          <w:ilvl w:val="0"/>
          <w:numId w:val="12"/>
        </w:numPr>
        <w:tabs>
          <w:tab w:pos="3434" w:val="left" w:leader="none"/>
        </w:tabs>
        <w:spacing w:line="278" w:lineRule="auto" w:before="61" w:after="0"/>
        <w:ind w:left="3430" w:right="260" w:hanging="526"/>
        <w:jc w:val="left"/>
        <w:rPr>
          <w:sz w:val="21"/>
        </w:rPr>
      </w:pPr>
      <w:r>
        <w:rPr>
          <w:spacing w:val="-2"/>
          <w:sz w:val="21"/>
        </w:rPr>
        <w:t>该服务满足医疗需要而且根据治疗当地通行治疗规范、采用了通行治疗</w:t>
      </w:r>
      <w:r>
        <w:rPr>
          <w:spacing w:val="-4"/>
          <w:sz w:val="21"/>
        </w:rPr>
        <w:t>方法；</w:t>
      </w:r>
    </w:p>
    <w:p>
      <w:pPr>
        <w:pStyle w:val="ListParagraph"/>
        <w:numPr>
          <w:ilvl w:val="0"/>
          <w:numId w:val="12"/>
        </w:numPr>
        <w:tabs>
          <w:tab w:pos="3434" w:val="left" w:leader="none"/>
        </w:tabs>
        <w:spacing w:line="278" w:lineRule="auto" w:before="0" w:after="0"/>
        <w:ind w:left="3430" w:right="260" w:hanging="526"/>
        <w:jc w:val="both"/>
        <w:rPr>
          <w:sz w:val="21"/>
        </w:rPr>
      </w:pPr>
      <w:r>
        <w:rPr>
          <w:spacing w:val="-2"/>
          <w:sz w:val="21"/>
        </w:rPr>
        <w:t>医疗费用没有超过当地对类似情形治疗的常规费用，类似情形是指在同</w:t>
      </w:r>
      <w:r>
        <w:rPr>
          <w:spacing w:val="-2"/>
          <w:sz w:val="21"/>
        </w:rPr>
        <w:t>一地区、对相同性别、近似年龄的人所患的同类疾病或身体伤害实施的</w:t>
      </w:r>
      <w:r>
        <w:rPr>
          <w:spacing w:val="-2"/>
          <w:sz w:val="21"/>
        </w:rPr>
        <w:t>类似治疗或服务。</w:t>
      </w:r>
    </w:p>
    <w:p>
      <w:pPr>
        <w:pStyle w:val="BodyText"/>
        <w:spacing w:line="269" w:lineRule="exact"/>
        <w:ind w:left="2904"/>
      </w:pPr>
      <w:r>
        <w:rPr>
          <w:spacing w:val="-3"/>
        </w:rPr>
        <w:t>医疗必需指针对意外伤害或疾病本身的医疗服务及医疗费用满足以下条件：</w:t>
      </w:r>
    </w:p>
    <w:p>
      <w:pPr>
        <w:pStyle w:val="ListParagraph"/>
        <w:numPr>
          <w:ilvl w:val="0"/>
          <w:numId w:val="13"/>
        </w:numPr>
        <w:tabs>
          <w:tab w:pos="3434" w:val="left" w:leader="none"/>
        </w:tabs>
        <w:spacing w:line="240" w:lineRule="auto" w:before="42" w:after="0"/>
        <w:ind w:left="3433" w:right="0" w:hanging="530"/>
        <w:jc w:val="left"/>
        <w:rPr>
          <w:sz w:val="21"/>
        </w:rPr>
      </w:pPr>
      <w:r>
        <w:rPr>
          <w:spacing w:val="-3"/>
          <w:sz w:val="21"/>
        </w:rPr>
        <w:t>治疗意外伤害或疾病合适且必须的、有医生处方的项目；</w:t>
      </w:r>
    </w:p>
    <w:p>
      <w:pPr>
        <w:pStyle w:val="ListParagraph"/>
        <w:numPr>
          <w:ilvl w:val="0"/>
          <w:numId w:val="13"/>
        </w:numPr>
        <w:tabs>
          <w:tab w:pos="3434" w:val="left" w:leader="none"/>
        </w:tabs>
        <w:spacing w:line="240" w:lineRule="auto" w:before="43" w:after="0"/>
        <w:ind w:left="3433" w:right="0" w:hanging="530"/>
        <w:jc w:val="left"/>
        <w:rPr>
          <w:sz w:val="21"/>
        </w:rPr>
      </w:pPr>
      <w:r>
        <w:rPr>
          <w:spacing w:val="-3"/>
          <w:sz w:val="21"/>
        </w:rPr>
        <w:t>非试验性的、非研究性的项目；</w:t>
      </w:r>
    </w:p>
    <w:p>
      <w:pPr>
        <w:pStyle w:val="ListParagraph"/>
        <w:numPr>
          <w:ilvl w:val="0"/>
          <w:numId w:val="13"/>
        </w:numPr>
        <w:tabs>
          <w:tab w:pos="3434" w:val="left" w:leader="none"/>
        </w:tabs>
        <w:spacing w:line="240" w:lineRule="auto" w:before="43" w:after="0"/>
        <w:ind w:left="3433" w:right="0" w:hanging="530"/>
        <w:jc w:val="left"/>
        <w:rPr>
          <w:sz w:val="21"/>
        </w:rPr>
      </w:pPr>
      <w:r>
        <w:rPr>
          <w:spacing w:val="-3"/>
          <w:sz w:val="21"/>
        </w:rPr>
        <w:t>不超过安全、足量治疗原则的项目；</w:t>
      </w:r>
    </w:p>
    <w:p>
      <w:pPr>
        <w:pStyle w:val="ListParagraph"/>
        <w:numPr>
          <w:ilvl w:val="0"/>
          <w:numId w:val="13"/>
        </w:numPr>
        <w:tabs>
          <w:tab w:pos="3434" w:val="left" w:leader="none"/>
        </w:tabs>
        <w:spacing w:line="240" w:lineRule="auto" w:before="43" w:after="0"/>
        <w:ind w:left="3433" w:right="0" w:hanging="530"/>
        <w:jc w:val="left"/>
        <w:rPr>
          <w:sz w:val="21"/>
        </w:rPr>
      </w:pPr>
      <w:r>
        <w:rPr>
          <w:spacing w:val="-3"/>
          <w:sz w:val="21"/>
        </w:rPr>
        <w:t>与接受治疗当地普遍接受的医疗专业实践标准一致；</w:t>
      </w:r>
    </w:p>
    <w:p>
      <w:pPr>
        <w:pStyle w:val="ListParagraph"/>
        <w:numPr>
          <w:ilvl w:val="0"/>
          <w:numId w:val="13"/>
        </w:numPr>
        <w:tabs>
          <w:tab w:pos="3434" w:val="left" w:leader="none"/>
        </w:tabs>
        <w:spacing w:line="240" w:lineRule="auto" w:before="43" w:after="0"/>
        <w:ind w:left="3433" w:right="0" w:hanging="530"/>
        <w:jc w:val="left"/>
        <w:rPr>
          <w:sz w:val="21"/>
        </w:rPr>
      </w:pPr>
      <w:r>
        <w:rPr>
          <w:spacing w:val="-3"/>
          <w:sz w:val="21"/>
        </w:rPr>
        <w:t>接受的医疗服务范围是合适的而且经济有效的。</w:t>
      </w:r>
    </w:p>
    <w:p>
      <w:pPr>
        <w:pStyle w:val="BodyText"/>
        <w:spacing w:line="278" w:lineRule="auto" w:before="43"/>
        <w:ind w:left="2904" w:right="342"/>
        <w:jc w:val="both"/>
      </w:pPr>
      <w:r>
        <w:rPr>
          <w:spacing w:val="-2"/>
        </w:rPr>
        <w:t>对是否合理且医疗必需由我们根据客观、审慎、合理的原则进行核定，若被</w:t>
      </w:r>
      <w:r>
        <w:rPr>
          <w:spacing w:val="-2"/>
        </w:rPr>
        <w:t>保险人对核定结果有不同意见，可委托双方认可的权威医学机构或者权威医</w:t>
      </w:r>
      <w:r>
        <w:rPr>
          <w:spacing w:val="-2"/>
        </w:rPr>
        <w:t>学专家进行审核鉴定。</w:t>
      </w:r>
    </w:p>
    <w:p>
      <w:pPr>
        <w:pStyle w:val="BodyText"/>
        <w:spacing w:before="4"/>
        <w:rPr>
          <w:sz w:val="24"/>
        </w:rPr>
      </w:pPr>
    </w:p>
    <w:p>
      <w:pPr>
        <w:pStyle w:val="ListParagraph"/>
        <w:numPr>
          <w:ilvl w:val="1"/>
          <w:numId w:val="11"/>
        </w:numPr>
        <w:tabs>
          <w:tab w:pos="1344" w:val="left" w:leader="none"/>
          <w:tab w:pos="1345" w:val="left" w:leader="none"/>
          <w:tab w:pos="2904" w:val="left" w:leader="none"/>
        </w:tabs>
        <w:spacing w:line="278" w:lineRule="auto" w:before="0" w:after="0"/>
        <w:ind w:left="2904" w:right="342" w:hanging="2696"/>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w:t>
      </w:r>
      <w:r>
        <w:rPr>
          <w:spacing w:val="-2"/>
          <w:sz w:val="21"/>
        </w:rPr>
        <w:t>由</w:t>
      </w:r>
      <w:r>
        <w:rPr>
          <w:spacing w:val="-2"/>
          <w:sz w:val="21"/>
        </w:rPr>
        <w:t>本</w:t>
      </w:r>
      <w:r>
        <w:rPr>
          <w:spacing w:val="-2"/>
          <w:sz w:val="21"/>
        </w:rPr>
        <w:t>公</w:t>
      </w:r>
      <w:r>
        <w:rPr>
          <w:spacing w:val="-2"/>
          <w:sz w:val="21"/>
        </w:rPr>
        <w:t>司退还的那部分金额。</w:t>
      </w:r>
    </w:p>
    <w:p>
      <w:pPr>
        <w:pStyle w:val="BodyText"/>
        <w:spacing w:before="4"/>
        <w:rPr>
          <w:sz w:val="24"/>
        </w:rPr>
      </w:pPr>
    </w:p>
    <w:p>
      <w:pPr>
        <w:pStyle w:val="ListParagraph"/>
        <w:numPr>
          <w:ilvl w:val="1"/>
          <w:numId w:val="11"/>
        </w:numPr>
        <w:tabs>
          <w:tab w:pos="1344" w:val="left" w:leader="none"/>
          <w:tab w:pos="1345" w:val="left" w:leader="none"/>
          <w:tab w:pos="2904" w:val="left" w:leader="none"/>
        </w:tabs>
        <w:spacing w:line="268" w:lineRule="auto" w:before="1" w:after="0"/>
        <w:ind w:left="2904" w:right="155" w:hanging="2696"/>
        <w:jc w:val="left"/>
        <w:rPr>
          <w:b/>
          <w:i/>
          <w:sz w:val="22"/>
        </w:rPr>
      </w:pPr>
      <w:r>
        <w:rPr>
          <w:b/>
          <w:spacing w:val="-6"/>
          <w:sz w:val="21"/>
        </w:rPr>
        <w:t>住</w:t>
      </w:r>
      <w:r>
        <w:rPr>
          <w:b/>
          <w:spacing w:val="-6"/>
          <w:sz w:val="21"/>
        </w:rPr>
        <w:t>院</w:t>
      </w:r>
      <w:r>
        <w:rPr>
          <w:b/>
          <w:sz w:val="21"/>
        </w:rPr>
        <w:tab/>
      </w:r>
      <w:r>
        <w:rPr>
          <w:sz w:val="21"/>
        </w:rPr>
        <w:t>指被保险人因疾病或意外</w:t>
      </w:r>
      <w:r>
        <w:rPr>
          <w:sz w:val="21"/>
        </w:rPr>
        <w:t>伤害而入住医院的正式病房</w:t>
      </w:r>
      <w:r>
        <w:rPr>
          <w:spacing w:val="-106"/>
          <w:sz w:val="21"/>
        </w:rPr>
        <w:t>，</w:t>
      </w:r>
      <w:r>
        <w:rPr>
          <w:sz w:val="21"/>
        </w:rPr>
        <w:t>接</w:t>
      </w:r>
      <w:r>
        <w:rPr>
          <w:sz w:val="21"/>
        </w:rPr>
        <w:t>受全天</w:t>
      </w:r>
      <w:r>
        <w:rPr>
          <w:spacing w:val="-67"/>
          <w:sz w:val="21"/>
        </w:rPr>
        <w:t> </w:t>
      </w:r>
      <w:r>
        <w:rPr>
          <w:sz w:val="21"/>
        </w:rPr>
        <w:t>24</w:t>
      </w:r>
      <w:r>
        <w:rPr>
          <w:spacing w:val="-65"/>
          <w:sz w:val="21"/>
        </w:rPr>
        <w:t> </w:t>
      </w:r>
      <w:r>
        <w:rPr>
          <w:sz w:val="21"/>
        </w:rPr>
        <w:t>小时监护、</w:t>
      </w:r>
      <w:r>
        <w:rPr>
          <w:spacing w:val="-2"/>
          <w:sz w:val="21"/>
        </w:rPr>
        <w:t>护</w:t>
      </w:r>
      <w:r>
        <w:rPr>
          <w:spacing w:val="-2"/>
          <w:sz w:val="21"/>
        </w:rPr>
        <w:t>理</w:t>
      </w:r>
      <w:r>
        <w:rPr>
          <w:spacing w:val="-2"/>
          <w:sz w:val="21"/>
        </w:rPr>
        <w:t>、治疗的过程，并正</w:t>
      </w:r>
      <w:r>
        <w:rPr>
          <w:spacing w:val="-2"/>
          <w:sz w:val="21"/>
        </w:rPr>
        <w:t>式</w:t>
      </w:r>
      <w:r>
        <w:rPr>
          <w:spacing w:val="-2"/>
          <w:sz w:val="21"/>
        </w:rPr>
        <w:t>办</w:t>
      </w:r>
      <w:r>
        <w:rPr>
          <w:spacing w:val="-2"/>
          <w:sz w:val="21"/>
        </w:rPr>
        <w:t>理入出院手续，</w:t>
      </w:r>
      <w:r>
        <w:rPr>
          <w:b/>
          <w:i/>
          <w:spacing w:val="-2"/>
          <w:sz w:val="22"/>
        </w:rPr>
        <w:t>但不</w:t>
      </w:r>
      <w:r>
        <w:rPr>
          <w:b/>
          <w:i/>
          <w:spacing w:val="-2"/>
          <w:sz w:val="22"/>
        </w:rPr>
        <w:t>包</w:t>
      </w:r>
      <w:r>
        <w:rPr>
          <w:b/>
          <w:i/>
          <w:spacing w:val="-2"/>
          <w:sz w:val="22"/>
        </w:rPr>
        <w:t>括</w:t>
      </w:r>
      <w:r>
        <w:rPr>
          <w:b/>
          <w:i/>
          <w:spacing w:val="-2"/>
          <w:sz w:val="22"/>
        </w:rPr>
        <w:t>下</w:t>
      </w:r>
      <w:r>
        <w:rPr>
          <w:b/>
          <w:i/>
          <w:spacing w:val="-2"/>
          <w:sz w:val="22"/>
        </w:rPr>
        <w:t>列</w:t>
      </w:r>
      <w:r>
        <w:rPr>
          <w:b/>
          <w:i/>
          <w:spacing w:val="-2"/>
          <w:sz w:val="22"/>
        </w:rPr>
        <w:t>情</w:t>
      </w:r>
      <w:r>
        <w:rPr>
          <w:b/>
          <w:i/>
          <w:spacing w:val="-2"/>
          <w:sz w:val="22"/>
        </w:rPr>
        <w:t>况</w:t>
      </w:r>
      <w:r>
        <w:rPr>
          <w:b/>
          <w:i/>
          <w:spacing w:val="-2"/>
          <w:sz w:val="22"/>
        </w:rPr>
        <w:t>：</w:t>
      </w:r>
    </w:p>
    <w:p>
      <w:pPr>
        <w:pStyle w:val="ListParagraph"/>
        <w:numPr>
          <w:ilvl w:val="2"/>
          <w:numId w:val="11"/>
        </w:numPr>
        <w:tabs>
          <w:tab w:pos="3434" w:val="left" w:leader="none"/>
        </w:tabs>
        <w:spacing w:line="279" w:lineRule="exact" w:before="0" w:after="0"/>
        <w:ind w:left="3433" w:right="0" w:hanging="530"/>
        <w:jc w:val="left"/>
        <w:rPr>
          <w:b/>
          <w:i/>
          <w:sz w:val="22"/>
        </w:rPr>
      </w:pPr>
      <w:r>
        <w:rPr>
          <w:b/>
          <w:i/>
          <w:spacing w:val="-3"/>
          <w:w w:val="95"/>
          <w:sz w:val="22"/>
        </w:rPr>
        <w:t>被保险人入住门急诊观察室、家庭病床、联合病房；</w:t>
      </w:r>
    </w:p>
    <w:p>
      <w:pPr>
        <w:pStyle w:val="ListParagraph"/>
        <w:numPr>
          <w:ilvl w:val="2"/>
          <w:numId w:val="11"/>
        </w:numPr>
        <w:tabs>
          <w:tab w:pos="3434" w:val="left" w:leader="none"/>
        </w:tabs>
        <w:spacing w:line="240" w:lineRule="auto" w:before="30" w:after="0"/>
        <w:ind w:left="3433" w:right="0" w:hanging="530"/>
        <w:jc w:val="left"/>
        <w:rPr>
          <w:b/>
          <w:i/>
          <w:sz w:val="22"/>
        </w:rPr>
      </w:pPr>
      <w:r>
        <w:rPr>
          <w:b/>
          <w:i/>
          <w:spacing w:val="-2"/>
          <w:w w:val="95"/>
          <w:sz w:val="22"/>
        </w:rPr>
        <w:t>被保险人入住康复病房（康复科）</w:t>
      </w:r>
      <w:r>
        <w:rPr>
          <w:b/>
          <w:i/>
          <w:spacing w:val="-4"/>
          <w:w w:val="95"/>
          <w:sz w:val="22"/>
        </w:rPr>
        <w:t>或接受康复治疗；</w:t>
      </w:r>
    </w:p>
    <w:p>
      <w:pPr>
        <w:pStyle w:val="ListParagraph"/>
        <w:numPr>
          <w:ilvl w:val="2"/>
          <w:numId w:val="11"/>
        </w:numPr>
        <w:tabs>
          <w:tab w:pos="3434" w:val="left" w:leader="none"/>
        </w:tabs>
        <w:spacing w:line="266" w:lineRule="auto" w:before="30" w:after="0"/>
        <w:ind w:left="2904" w:right="263" w:firstLine="0"/>
        <w:jc w:val="left"/>
        <w:rPr>
          <w:b/>
          <w:i/>
          <w:sz w:val="22"/>
        </w:rPr>
      </w:pPr>
      <w:r>
        <w:rPr>
          <w:b/>
          <w:i/>
          <w:spacing w:val="-3"/>
          <w:w w:val="95"/>
          <w:sz w:val="22"/>
        </w:rPr>
        <w:t>被保险人住院期间一天内未接受与入院诊断相关的检查和治疗或一天</w:t>
      </w:r>
      <w:r>
        <w:rPr>
          <w:b/>
          <w:i/>
          <w:spacing w:val="-4"/>
          <w:w w:val="95"/>
          <w:sz w:val="22"/>
        </w:rPr>
        <w:t>内住院不满二十四小时，但遵医嘱到外院接受临时治疗的除外；</w:t>
      </w:r>
    </w:p>
    <w:p>
      <w:pPr>
        <w:pStyle w:val="ListParagraph"/>
        <w:numPr>
          <w:ilvl w:val="2"/>
          <w:numId w:val="11"/>
        </w:numPr>
        <w:tabs>
          <w:tab w:pos="3434" w:val="left" w:leader="none"/>
        </w:tabs>
        <w:spacing w:line="280" w:lineRule="exact" w:before="0" w:after="0"/>
        <w:ind w:left="3433" w:right="0" w:hanging="530"/>
        <w:jc w:val="left"/>
        <w:rPr>
          <w:b/>
          <w:i/>
          <w:sz w:val="22"/>
        </w:rPr>
      </w:pPr>
      <w:r>
        <w:rPr>
          <w:b/>
          <w:i/>
          <w:spacing w:val="-3"/>
          <w:w w:val="95"/>
          <w:sz w:val="22"/>
        </w:rPr>
        <w:t>挂床住院及其他不合理住院。</w:t>
      </w:r>
    </w:p>
    <w:p>
      <w:pPr>
        <w:pStyle w:val="BodyText"/>
        <w:spacing w:line="278" w:lineRule="auto" w:before="40"/>
        <w:ind w:left="2904" w:right="241"/>
        <w:jc w:val="both"/>
      </w:pPr>
      <w:r>
        <w:rPr>
          <w:spacing w:val="-2"/>
        </w:rPr>
        <w:t>挂床住院，指被保险人住院期间未全天（</w:t>
      </w:r>
      <w:r>
        <w:rPr>
          <w:spacing w:val="-10"/>
        </w:rPr>
        <w:t>连续 </w:t>
      </w:r>
      <w:r>
        <w:rPr>
          <w:spacing w:val="-2"/>
        </w:rPr>
        <w:t>24</w:t>
      </w:r>
      <w:r>
        <w:rPr>
          <w:spacing w:val="-10"/>
        </w:rPr>
        <w:t> 小时</w:t>
      </w:r>
      <w:r>
        <w:rPr>
          <w:spacing w:val="-2"/>
        </w:rPr>
        <w:t>）在医院入住的情况。</w:t>
      </w:r>
      <w:r>
        <w:rPr>
          <w:spacing w:val="-2"/>
        </w:rPr>
        <w:t>不合理的住院，指被保险人未达到入院标准而办理入院手续或已达到出院标</w:t>
      </w:r>
      <w:r>
        <w:rPr>
          <w:spacing w:val="-2"/>
        </w:rPr>
        <w:t>准而不办理出院手续的情形，入出院标准按当地卫生部门规定标准执行。</w:t>
      </w:r>
    </w:p>
    <w:p>
      <w:pPr>
        <w:pStyle w:val="BodyText"/>
        <w:spacing w:before="4"/>
        <w:rPr>
          <w:sz w:val="24"/>
        </w:rPr>
      </w:pPr>
    </w:p>
    <w:p>
      <w:pPr>
        <w:pStyle w:val="ListParagraph"/>
        <w:numPr>
          <w:ilvl w:val="1"/>
          <w:numId w:val="11"/>
        </w:numPr>
        <w:tabs>
          <w:tab w:pos="1344" w:val="left" w:leader="none"/>
          <w:tab w:pos="1345" w:val="left" w:leader="none"/>
          <w:tab w:pos="2928" w:val="left" w:leader="none"/>
        </w:tabs>
        <w:spacing w:line="240" w:lineRule="auto" w:before="0" w:after="0"/>
        <w:ind w:left="1344" w:right="0" w:hanging="1136"/>
        <w:jc w:val="left"/>
        <w:rPr>
          <w:sz w:val="21"/>
        </w:rPr>
      </w:pPr>
      <w:r>
        <w:rPr>
          <w:b/>
          <w:sz w:val="21"/>
        </w:rPr>
        <w:t>住院医疗费</w:t>
      </w:r>
      <w:r>
        <w:rPr>
          <w:b/>
          <w:spacing w:val="-10"/>
          <w:sz w:val="21"/>
        </w:rPr>
        <w:t>用</w:t>
      </w:r>
      <w:r>
        <w:rPr>
          <w:b/>
          <w:sz w:val="21"/>
        </w:rPr>
        <w:tab/>
      </w:r>
      <w:r>
        <w:rPr>
          <w:spacing w:val="-2"/>
          <w:sz w:val="21"/>
        </w:rPr>
        <w:t>指</w:t>
      </w:r>
      <w:r>
        <w:rPr>
          <w:spacing w:val="-2"/>
          <w:sz w:val="21"/>
        </w:rPr>
        <w:t>被</w:t>
      </w:r>
      <w:r>
        <w:rPr>
          <w:spacing w:val="-2"/>
          <w:sz w:val="21"/>
        </w:rPr>
        <w:t>保险人住院期间发生</w:t>
      </w:r>
      <w:r>
        <w:rPr>
          <w:spacing w:val="-2"/>
          <w:sz w:val="21"/>
        </w:rPr>
        <w:t>的</w:t>
      </w:r>
      <w:r>
        <w:rPr>
          <w:spacing w:val="-2"/>
          <w:sz w:val="21"/>
        </w:rPr>
        <w:t>医</w:t>
      </w:r>
      <w:r>
        <w:rPr>
          <w:spacing w:val="-2"/>
          <w:sz w:val="21"/>
        </w:rPr>
        <w:t>疗费用，包括</w:t>
      </w:r>
      <w:r>
        <w:rPr>
          <w:spacing w:val="-10"/>
          <w:sz w:val="21"/>
        </w:rPr>
        <w:t>：</w:t>
      </w:r>
    </w:p>
    <w:p>
      <w:pPr>
        <w:pStyle w:val="ListParagraph"/>
        <w:numPr>
          <w:ilvl w:val="0"/>
          <w:numId w:val="14"/>
        </w:numPr>
        <w:tabs>
          <w:tab w:pos="3289" w:val="left" w:leader="none"/>
        </w:tabs>
        <w:spacing w:line="240" w:lineRule="auto" w:before="43" w:after="0"/>
        <w:ind w:left="3288" w:right="0" w:hanging="361"/>
        <w:jc w:val="left"/>
        <w:rPr>
          <w:sz w:val="21"/>
        </w:rPr>
      </w:pPr>
      <w:r>
        <w:rPr>
          <w:spacing w:val="-4"/>
          <w:sz w:val="21"/>
        </w:rPr>
        <w:t>床位费</w:t>
      </w:r>
    </w:p>
    <w:p>
      <w:pPr>
        <w:spacing w:line="268" w:lineRule="auto" w:before="43"/>
        <w:ind w:left="3288" w:right="260" w:firstLine="0"/>
        <w:jc w:val="left"/>
        <w:rPr>
          <w:sz w:val="21"/>
        </w:rPr>
      </w:pPr>
      <w:r>
        <w:rPr>
          <w:spacing w:val="-6"/>
          <w:sz w:val="21"/>
        </w:rPr>
        <w:t>床位费指被保险人在住院期间发生的医院床位的费用，包括普通床位费和</w:t>
      </w:r>
      <w:r>
        <w:rPr>
          <w:spacing w:val="-2"/>
          <w:sz w:val="21"/>
        </w:rPr>
        <w:t>重症监护室床位费，</w:t>
      </w:r>
      <w:r>
        <w:rPr>
          <w:b/>
          <w:i/>
          <w:spacing w:val="-2"/>
          <w:sz w:val="22"/>
        </w:rPr>
        <w:t>不包</w:t>
      </w:r>
      <w:r>
        <w:rPr>
          <w:b/>
          <w:i/>
          <w:spacing w:val="-2"/>
          <w:sz w:val="22"/>
        </w:rPr>
        <w:t>括</w:t>
      </w:r>
      <w:r>
        <w:rPr>
          <w:b/>
          <w:i/>
          <w:spacing w:val="-2"/>
          <w:sz w:val="22"/>
        </w:rPr>
        <w:t>陪</w:t>
      </w:r>
      <w:r>
        <w:rPr>
          <w:b/>
          <w:i/>
          <w:spacing w:val="-2"/>
          <w:sz w:val="22"/>
        </w:rPr>
        <w:t>床</w:t>
      </w:r>
      <w:r>
        <w:rPr>
          <w:b/>
          <w:i/>
          <w:spacing w:val="-2"/>
          <w:sz w:val="22"/>
        </w:rPr>
        <w:t>、</w:t>
      </w:r>
      <w:r>
        <w:rPr>
          <w:b/>
          <w:i/>
          <w:spacing w:val="-2"/>
          <w:sz w:val="22"/>
        </w:rPr>
        <w:t>观</w:t>
      </w:r>
      <w:r>
        <w:rPr>
          <w:b/>
          <w:i/>
          <w:spacing w:val="-2"/>
          <w:sz w:val="22"/>
        </w:rPr>
        <w:t>察</w:t>
      </w:r>
      <w:r>
        <w:rPr>
          <w:b/>
          <w:i/>
          <w:spacing w:val="-2"/>
          <w:sz w:val="22"/>
        </w:rPr>
        <w:t>床</w:t>
      </w:r>
      <w:r>
        <w:rPr>
          <w:b/>
          <w:i/>
          <w:spacing w:val="-2"/>
          <w:sz w:val="22"/>
        </w:rPr>
        <w:t>位</w:t>
      </w:r>
      <w:r>
        <w:rPr>
          <w:b/>
          <w:i/>
          <w:spacing w:val="-2"/>
          <w:sz w:val="22"/>
        </w:rPr>
        <w:t>和家庭</w:t>
      </w:r>
      <w:r>
        <w:rPr>
          <w:b/>
          <w:i/>
          <w:spacing w:val="-2"/>
          <w:sz w:val="22"/>
        </w:rPr>
        <w:t>病</w:t>
      </w:r>
      <w:r>
        <w:rPr>
          <w:b/>
          <w:i/>
          <w:spacing w:val="-2"/>
          <w:sz w:val="22"/>
        </w:rPr>
        <w:t>床</w:t>
      </w:r>
      <w:r>
        <w:rPr>
          <w:b/>
          <w:i/>
          <w:spacing w:val="-2"/>
          <w:sz w:val="22"/>
        </w:rPr>
        <w:t>的</w:t>
      </w:r>
      <w:r>
        <w:rPr>
          <w:b/>
          <w:i/>
          <w:spacing w:val="-2"/>
          <w:sz w:val="22"/>
        </w:rPr>
        <w:t>费</w:t>
      </w:r>
      <w:r>
        <w:rPr>
          <w:b/>
          <w:i/>
          <w:spacing w:val="-2"/>
          <w:sz w:val="22"/>
        </w:rPr>
        <w:t>用</w:t>
      </w:r>
      <w:r>
        <w:rPr>
          <w:spacing w:val="-2"/>
          <w:sz w:val="21"/>
        </w:rPr>
        <w:t>。</w:t>
      </w:r>
    </w:p>
    <w:p>
      <w:pPr>
        <w:pStyle w:val="ListParagraph"/>
        <w:numPr>
          <w:ilvl w:val="0"/>
          <w:numId w:val="14"/>
        </w:numPr>
        <w:tabs>
          <w:tab w:pos="3289" w:val="left" w:leader="none"/>
        </w:tabs>
        <w:spacing w:line="240" w:lineRule="auto" w:before="7" w:after="0"/>
        <w:ind w:left="3288" w:right="0" w:hanging="361"/>
        <w:jc w:val="left"/>
        <w:rPr>
          <w:sz w:val="21"/>
        </w:rPr>
      </w:pPr>
      <w:r>
        <w:rPr>
          <w:spacing w:val="-4"/>
          <w:sz w:val="21"/>
        </w:rPr>
        <w:t>加床费</w:t>
      </w:r>
    </w:p>
    <w:p>
      <w:pPr>
        <w:pStyle w:val="BodyText"/>
        <w:spacing w:line="278" w:lineRule="auto" w:before="43"/>
        <w:ind w:left="3288" w:right="260"/>
        <w:jc w:val="both"/>
      </w:pPr>
      <w:r>
        <w:rPr>
          <w:spacing w:val="-8"/>
        </w:rPr>
        <w:t>指未满 </w:t>
      </w:r>
      <w:r>
        <w:rPr>
          <w:spacing w:val="-2"/>
        </w:rPr>
        <w:t>18</w:t>
      </w:r>
      <w:r>
        <w:rPr>
          <w:spacing w:val="-7"/>
        </w:rPr>
        <w:t> 周岁的被保险人在住院治疗期间，根据本主险合同约定给付其</w:t>
      </w:r>
      <w:r>
        <w:rPr>
          <w:spacing w:val="-6"/>
        </w:rPr>
        <w:t>合法监护人（</w:t>
      </w:r>
      <w:r>
        <w:rPr>
          <w:spacing w:val="-12"/>
        </w:rPr>
        <w:t>限 </w:t>
      </w:r>
      <w:r>
        <w:rPr>
          <w:spacing w:val="-6"/>
        </w:rPr>
        <w:t>1</w:t>
      </w:r>
      <w:r>
        <w:rPr>
          <w:spacing w:val="-10"/>
        </w:rPr>
        <w:t> 人</w:t>
      </w:r>
      <w:r>
        <w:rPr>
          <w:spacing w:val="-6"/>
        </w:rPr>
        <w:t>）在医院留宿发生的加床费；或女性被保险人在住院</w:t>
      </w:r>
      <w:r>
        <w:rPr>
          <w:spacing w:val="-12"/>
        </w:rPr>
        <w:t>医疗期间，根据本主险合同约定给付其一周岁以下哺乳期婴儿在医院留宿</w:t>
      </w:r>
      <w:r>
        <w:rPr>
          <w:spacing w:val="-2"/>
        </w:rPr>
        <w:t>发生的加床费。</w:t>
      </w:r>
    </w:p>
    <w:p>
      <w:pPr>
        <w:pStyle w:val="ListParagraph"/>
        <w:numPr>
          <w:ilvl w:val="0"/>
          <w:numId w:val="14"/>
        </w:numPr>
        <w:tabs>
          <w:tab w:pos="3289" w:val="left" w:leader="none"/>
        </w:tabs>
        <w:spacing w:line="269" w:lineRule="exact" w:before="0" w:after="0"/>
        <w:ind w:left="3288" w:right="0" w:hanging="361"/>
        <w:jc w:val="both"/>
        <w:rPr>
          <w:sz w:val="21"/>
        </w:rPr>
      </w:pPr>
      <w:r>
        <w:rPr>
          <w:spacing w:val="-4"/>
          <w:sz w:val="21"/>
        </w:rPr>
        <w:t>膳食费</w:t>
      </w:r>
    </w:p>
    <w:p>
      <w:pPr>
        <w:pStyle w:val="BodyText"/>
        <w:spacing w:line="278" w:lineRule="auto" w:before="43"/>
        <w:ind w:left="3288" w:right="378"/>
      </w:pPr>
      <w:r>
        <w:rPr>
          <w:spacing w:val="-2"/>
        </w:rPr>
        <w:t>膳食费是指根据医生的医嘱且由医院内设的专门为住院病人配餐的食堂</w:t>
      </w:r>
      <w:r>
        <w:rPr>
          <w:spacing w:val="-2"/>
        </w:rPr>
        <w:t>配送的并符合通常惯例的膳食费用。</w:t>
      </w:r>
    </w:p>
    <w:p>
      <w:pPr>
        <w:spacing w:line="272" w:lineRule="exact" w:before="0"/>
        <w:ind w:left="3288" w:right="0" w:firstLine="0"/>
        <w:jc w:val="left"/>
        <w:rPr>
          <w:sz w:val="21"/>
        </w:rPr>
      </w:pPr>
      <w:r>
        <w:rPr>
          <w:b/>
          <w:i/>
          <w:spacing w:val="-2"/>
          <w:w w:val="95"/>
          <w:sz w:val="22"/>
        </w:rPr>
        <w:t>膳食费不包括</w:t>
      </w:r>
      <w:r>
        <w:rPr>
          <w:spacing w:val="-10"/>
          <w:w w:val="95"/>
          <w:sz w:val="21"/>
        </w:rPr>
        <w:t>：</w:t>
      </w:r>
    </w:p>
    <w:p>
      <w:pPr>
        <w:pStyle w:val="ListParagraph"/>
        <w:numPr>
          <w:ilvl w:val="1"/>
          <w:numId w:val="14"/>
        </w:numPr>
        <w:tabs>
          <w:tab w:pos="4045" w:val="left" w:leader="none"/>
        </w:tabs>
        <w:spacing w:line="240" w:lineRule="auto" w:before="40" w:after="0"/>
        <w:ind w:left="4044" w:right="0" w:hanging="721"/>
        <w:jc w:val="left"/>
        <w:rPr>
          <w:sz w:val="21"/>
        </w:rPr>
      </w:pPr>
      <w:r>
        <w:rPr>
          <w:spacing w:val="-3"/>
          <w:sz w:val="21"/>
        </w:rPr>
        <w:t>所有医院外其他营利性餐饮服务机构提供的餐饮费用；</w:t>
      </w:r>
    </w:p>
    <w:p>
      <w:pPr>
        <w:pStyle w:val="ListParagraph"/>
        <w:numPr>
          <w:ilvl w:val="1"/>
          <w:numId w:val="14"/>
        </w:numPr>
        <w:tabs>
          <w:tab w:pos="4045" w:val="left" w:leader="none"/>
        </w:tabs>
        <w:spacing w:line="278" w:lineRule="auto" w:before="43" w:after="0"/>
        <w:ind w:left="4044" w:right="462" w:hanging="720"/>
        <w:jc w:val="left"/>
        <w:rPr>
          <w:sz w:val="21"/>
        </w:rPr>
      </w:pPr>
      <w:r>
        <w:rPr>
          <w:spacing w:val="-2"/>
          <w:sz w:val="21"/>
        </w:rPr>
        <w:t>不是根据医嘱配送的、在医院对外营业的餐厅或食堂的餐饮费</w:t>
      </w:r>
      <w:r>
        <w:rPr>
          <w:spacing w:val="-6"/>
          <w:sz w:val="21"/>
        </w:rPr>
        <w:t>用；</w:t>
      </w:r>
    </w:p>
    <w:p>
      <w:pPr>
        <w:pStyle w:val="ListParagraph"/>
        <w:numPr>
          <w:ilvl w:val="1"/>
          <w:numId w:val="14"/>
        </w:numPr>
        <w:tabs>
          <w:tab w:pos="4045" w:val="left" w:leader="none"/>
        </w:tabs>
        <w:spacing w:line="240" w:lineRule="auto" w:before="0" w:after="0"/>
        <w:ind w:left="4044" w:right="0" w:hanging="721"/>
        <w:jc w:val="left"/>
        <w:rPr>
          <w:sz w:val="21"/>
        </w:rPr>
      </w:pPr>
      <w:r>
        <w:rPr>
          <w:spacing w:val="-3"/>
          <w:sz w:val="21"/>
        </w:rPr>
        <w:t>不在医院开具的医疗费用清单上的餐饮费用。</w:t>
      </w:r>
    </w:p>
    <w:p>
      <w:pPr>
        <w:spacing w:after="0" w:line="240" w:lineRule="auto"/>
        <w:jc w:val="left"/>
        <w:rPr>
          <w:sz w:val="21"/>
        </w:rPr>
        <w:sectPr>
          <w:pgSz w:w="11910" w:h="16840"/>
          <w:pgMar w:top="880" w:bottom="280" w:left="1060" w:right="660"/>
        </w:sectPr>
      </w:pPr>
    </w:p>
    <w:p>
      <w:pPr>
        <w:pStyle w:val="ListParagraph"/>
        <w:numPr>
          <w:ilvl w:val="0"/>
          <w:numId w:val="14"/>
        </w:numPr>
        <w:tabs>
          <w:tab w:pos="3289" w:val="left" w:leader="none"/>
        </w:tabs>
        <w:spacing w:line="240" w:lineRule="auto" w:before="61" w:after="0"/>
        <w:ind w:left="3288" w:right="0" w:hanging="361"/>
        <w:jc w:val="left"/>
        <w:rPr>
          <w:sz w:val="21"/>
        </w:rPr>
      </w:pPr>
      <w:r>
        <w:rPr>
          <w:spacing w:val="-4"/>
          <w:sz w:val="21"/>
        </w:rPr>
        <w:t>药品费</w:t>
      </w:r>
    </w:p>
    <w:p>
      <w:pPr>
        <w:pStyle w:val="BodyText"/>
        <w:spacing w:line="278" w:lineRule="auto" w:before="43"/>
        <w:ind w:left="3288" w:right="260"/>
      </w:pPr>
      <w:r>
        <w:rPr>
          <w:spacing w:val="-6"/>
        </w:rPr>
        <w:t>指在住院以及特殊门诊就医期间根据医生开具的处方所发生的西药、中成</w:t>
      </w:r>
      <w:r>
        <w:rPr>
          <w:spacing w:val="-2"/>
        </w:rPr>
        <w:t>药和中草药的费用。</w:t>
      </w:r>
    </w:p>
    <w:p>
      <w:pPr>
        <w:spacing w:line="272" w:lineRule="exact" w:before="0"/>
        <w:ind w:left="3288" w:right="0" w:firstLine="0"/>
        <w:jc w:val="left"/>
        <w:rPr>
          <w:sz w:val="21"/>
        </w:rPr>
      </w:pPr>
      <w:r>
        <w:rPr>
          <w:b/>
          <w:i/>
          <w:w w:val="95"/>
          <w:sz w:val="22"/>
        </w:rPr>
        <w:t>但不包括下列药品</w:t>
      </w:r>
      <w:r>
        <w:rPr>
          <w:spacing w:val="-10"/>
          <w:w w:val="95"/>
          <w:sz w:val="21"/>
        </w:rPr>
        <w:t>：</w:t>
      </w:r>
    </w:p>
    <w:p>
      <w:pPr>
        <w:pStyle w:val="ListParagraph"/>
        <w:numPr>
          <w:ilvl w:val="0"/>
          <w:numId w:val="15"/>
        </w:numPr>
        <w:tabs>
          <w:tab w:pos="4045" w:val="left" w:leader="none"/>
        </w:tabs>
        <w:spacing w:line="278" w:lineRule="auto" w:before="40" w:after="0"/>
        <w:ind w:left="4044" w:right="157" w:hanging="720"/>
        <w:jc w:val="left"/>
        <w:rPr>
          <w:sz w:val="21"/>
        </w:rPr>
      </w:pPr>
      <w:r>
        <w:rPr>
          <w:spacing w:val="-2"/>
          <w:sz w:val="21"/>
        </w:rPr>
        <w:t>主要起营养滋补作用的中草药类：花旗参、冬虫夏草、西红花、</w:t>
      </w:r>
      <w:r>
        <w:rPr>
          <w:spacing w:val="-4"/>
          <w:sz w:val="21"/>
        </w:rPr>
        <w:t>灵芝、白糖参、朝鲜红参、红参、野山参、移山参、蛤蚧、琥珀、</w:t>
      </w:r>
      <w:r>
        <w:rPr>
          <w:spacing w:val="-2"/>
          <w:sz w:val="21"/>
        </w:rPr>
        <w:t>珊瑚、玳瑁、玛瑙、珍珠（粉</w:t>
      </w:r>
      <w:r>
        <w:rPr>
          <w:spacing w:val="-108"/>
          <w:sz w:val="21"/>
        </w:rPr>
        <w:t>）</w:t>
      </w:r>
      <w:r>
        <w:rPr>
          <w:spacing w:val="-2"/>
          <w:sz w:val="21"/>
        </w:rPr>
        <w:t>、阿胶、阿胶珠、血宝胶囊、红</w:t>
      </w:r>
      <w:r>
        <w:rPr>
          <w:spacing w:val="-2"/>
          <w:sz w:val="21"/>
        </w:rPr>
        <w:t> </w:t>
      </w:r>
      <w:r>
        <w:rPr>
          <w:spacing w:val="-11"/>
          <w:sz w:val="21"/>
        </w:rPr>
        <w:t>桃 </w:t>
      </w:r>
      <w:r>
        <w:rPr>
          <w:sz w:val="21"/>
        </w:rPr>
        <w:t>K</w:t>
      </w:r>
      <w:r>
        <w:rPr>
          <w:spacing w:val="-5"/>
          <w:sz w:val="21"/>
        </w:rPr>
        <w:t> 口服液、十全大补丸、十全大补膏等；</w:t>
      </w:r>
    </w:p>
    <w:p>
      <w:pPr>
        <w:pStyle w:val="ListParagraph"/>
        <w:numPr>
          <w:ilvl w:val="0"/>
          <w:numId w:val="15"/>
        </w:numPr>
        <w:tabs>
          <w:tab w:pos="4045" w:val="left" w:leader="none"/>
        </w:tabs>
        <w:spacing w:line="278" w:lineRule="auto" w:before="0" w:after="0"/>
        <w:ind w:left="4044" w:right="155" w:hanging="720"/>
        <w:jc w:val="left"/>
        <w:rPr>
          <w:sz w:val="21"/>
        </w:rPr>
      </w:pPr>
      <w:r>
        <w:rPr>
          <w:spacing w:val="-4"/>
          <w:sz w:val="21"/>
        </w:rPr>
        <w:t>可以入药的动物及动物相关的物品，如狗宝、牛黄、麝香、燕窝、</w:t>
      </w:r>
      <w:r>
        <w:rPr>
          <w:spacing w:val="-2"/>
          <w:sz w:val="21"/>
        </w:rPr>
        <w:t>马宝、羚羊角尖粉、鹿茸、海马、胎盘、血竭、鞭、尾、筋、骨</w:t>
      </w:r>
      <w:r>
        <w:rPr>
          <w:spacing w:val="-2"/>
          <w:sz w:val="21"/>
        </w:rPr>
        <w:t>等，用中药材和中药饮片炮制的各类酒制剂等；</w:t>
      </w:r>
    </w:p>
    <w:p>
      <w:pPr>
        <w:pStyle w:val="ListParagraph"/>
        <w:numPr>
          <w:ilvl w:val="0"/>
          <w:numId w:val="15"/>
        </w:numPr>
        <w:tabs>
          <w:tab w:pos="4045" w:val="left" w:leader="none"/>
        </w:tabs>
        <w:spacing w:line="278" w:lineRule="auto" w:before="0" w:after="0"/>
        <w:ind w:left="4044" w:right="253" w:hanging="720"/>
        <w:jc w:val="both"/>
        <w:rPr>
          <w:sz w:val="21"/>
        </w:rPr>
      </w:pPr>
      <w:r>
        <w:rPr>
          <w:spacing w:val="-2"/>
          <w:sz w:val="21"/>
        </w:rPr>
        <w:t>美容和减肥药品，包括奥利司他、芬氟拉明、阿米雷斯、祛痤疮</w:t>
      </w:r>
      <w:r>
        <w:rPr>
          <w:spacing w:val="-2"/>
          <w:sz w:val="21"/>
        </w:rPr>
        <w:t>胶囊、痘清胶囊、养颜胶囊、美容口服液、美容片、蜂胶胶囊、</w:t>
      </w:r>
      <w:r>
        <w:rPr>
          <w:spacing w:val="-2"/>
          <w:sz w:val="21"/>
        </w:rPr>
        <w:t>羊胎素、龟苓膏、鹿胎粉、珍珠粉、芦荟、大豆异黄酮、葡萄籽</w:t>
      </w:r>
      <w:r>
        <w:rPr>
          <w:spacing w:val="-2"/>
          <w:sz w:val="21"/>
        </w:rPr>
        <w:t>胶囊、减肥茶、减肥胶囊、苗条素、低聚糖肉碱、左旋肉碱银杏</w:t>
      </w:r>
      <w:r>
        <w:rPr>
          <w:spacing w:val="-2"/>
          <w:sz w:val="21"/>
        </w:rPr>
        <w:t>胶囊、亚油酸软胶囊等以美容、减肥为保健功能的健字药品。</w:t>
      </w:r>
    </w:p>
    <w:p>
      <w:pPr>
        <w:pStyle w:val="ListParagraph"/>
        <w:numPr>
          <w:ilvl w:val="0"/>
          <w:numId w:val="14"/>
        </w:numPr>
        <w:tabs>
          <w:tab w:pos="3289" w:val="left" w:leader="none"/>
        </w:tabs>
        <w:spacing w:line="268" w:lineRule="exact" w:before="0" w:after="0"/>
        <w:ind w:left="3288" w:right="0" w:hanging="361"/>
        <w:jc w:val="left"/>
        <w:rPr>
          <w:sz w:val="21"/>
        </w:rPr>
      </w:pPr>
      <w:r>
        <w:rPr>
          <w:spacing w:val="-4"/>
          <w:sz w:val="21"/>
        </w:rPr>
        <w:t>材料费</w:t>
      </w:r>
    </w:p>
    <w:p>
      <w:pPr>
        <w:pStyle w:val="BodyText"/>
        <w:spacing w:line="278" w:lineRule="auto" w:before="43"/>
        <w:ind w:left="3288" w:right="378"/>
      </w:pPr>
      <w:r>
        <w:rPr>
          <w:spacing w:val="-2"/>
        </w:rPr>
        <w:t>指在住院以及特殊门诊就医期间医生或护士在为被保险人进行的各种治</w:t>
      </w:r>
      <w:r>
        <w:rPr>
          <w:spacing w:val="-2"/>
        </w:rPr>
        <w:t>疗中所使用的一次性敷料费用。</w:t>
      </w:r>
    </w:p>
    <w:p>
      <w:pPr>
        <w:pStyle w:val="ListParagraph"/>
        <w:numPr>
          <w:ilvl w:val="0"/>
          <w:numId w:val="14"/>
        </w:numPr>
        <w:tabs>
          <w:tab w:pos="3289" w:val="left" w:leader="none"/>
        </w:tabs>
        <w:spacing w:line="240" w:lineRule="auto" w:before="0" w:after="0"/>
        <w:ind w:left="3288" w:right="0" w:hanging="361"/>
        <w:jc w:val="left"/>
        <w:rPr>
          <w:sz w:val="21"/>
        </w:rPr>
      </w:pPr>
      <w:r>
        <w:rPr>
          <w:spacing w:val="-2"/>
          <w:sz w:val="21"/>
        </w:rPr>
        <w:t>医生费（诊疗费</w:t>
      </w:r>
      <w:r>
        <w:rPr>
          <w:spacing w:val="-10"/>
          <w:sz w:val="21"/>
        </w:rPr>
        <w:t>）</w:t>
      </w:r>
    </w:p>
    <w:p>
      <w:pPr>
        <w:pStyle w:val="BodyText"/>
        <w:spacing w:line="278" w:lineRule="auto" w:before="42"/>
        <w:ind w:left="3288" w:right="260"/>
      </w:pPr>
      <w:r>
        <w:rPr>
          <w:spacing w:val="-4"/>
        </w:rPr>
        <w:t>指由医生所实施的病情咨询及检查、各种器械或仪器检查、诊断、治疗方</w:t>
      </w:r>
      <w:r>
        <w:rPr>
          <w:spacing w:val="-2"/>
        </w:rPr>
        <w:t>案拟定等各项医疗服务所收取的费用。</w:t>
      </w:r>
    </w:p>
    <w:p>
      <w:pPr>
        <w:pStyle w:val="ListParagraph"/>
        <w:numPr>
          <w:ilvl w:val="0"/>
          <w:numId w:val="14"/>
        </w:numPr>
        <w:tabs>
          <w:tab w:pos="3289" w:val="left" w:leader="none"/>
        </w:tabs>
        <w:spacing w:line="240" w:lineRule="auto" w:before="0" w:after="0"/>
        <w:ind w:left="3288" w:right="0" w:hanging="361"/>
        <w:jc w:val="left"/>
        <w:rPr>
          <w:sz w:val="21"/>
        </w:rPr>
      </w:pPr>
      <w:r>
        <w:rPr>
          <w:spacing w:val="-4"/>
          <w:sz w:val="21"/>
        </w:rPr>
        <w:t>治疗费</w:t>
      </w:r>
    </w:p>
    <w:p>
      <w:pPr>
        <w:pStyle w:val="BodyText"/>
        <w:spacing w:line="278" w:lineRule="auto" w:before="43"/>
        <w:ind w:left="3288" w:right="169"/>
      </w:pPr>
      <w:r>
        <w:rPr>
          <w:spacing w:val="-2"/>
        </w:rPr>
        <w:t>指由医生或护士对患者进行的除手术外的各种治疗项目而发生的治疗费，</w:t>
      </w:r>
      <w:r>
        <w:rPr>
          <w:spacing w:val="-2"/>
        </w:rPr>
        <w:t>包括因清创、换药、拆线、脓肿切开引流、瘘管烧灼、血管穿刺、输血、</w:t>
      </w:r>
      <w:r>
        <w:rPr>
          <w:spacing w:val="-2"/>
        </w:rPr>
        <w:t>输液、注射、肌肉封闭、吸氧、冷冻、激光、急救治疗、心肺复苏等而发</w:t>
      </w:r>
      <w:r>
        <w:rPr>
          <w:spacing w:val="-2"/>
        </w:rPr>
        <w:t>生的治疗费，具体以所就诊医院的费用项目划分为准。</w:t>
      </w:r>
    </w:p>
    <w:p>
      <w:pPr>
        <w:pStyle w:val="ListParagraph"/>
        <w:numPr>
          <w:ilvl w:val="0"/>
          <w:numId w:val="14"/>
        </w:numPr>
        <w:tabs>
          <w:tab w:pos="3289" w:val="left" w:leader="none"/>
        </w:tabs>
        <w:spacing w:line="269" w:lineRule="exact" w:before="0" w:after="0"/>
        <w:ind w:left="3288" w:right="0" w:hanging="361"/>
        <w:jc w:val="left"/>
        <w:rPr>
          <w:sz w:val="21"/>
        </w:rPr>
      </w:pPr>
      <w:r>
        <w:rPr>
          <w:spacing w:val="-4"/>
          <w:sz w:val="21"/>
        </w:rPr>
        <w:t>护理费</w:t>
      </w:r>
    </w:p>
    <w:p>
      <w:pPr>
        <w:pStyle w:val="BodyText"/>
        <w:spacing w:line="278" w:lineRule="auto" w:before="43"/>
        <w:ind w:left="3288" w:right="260"/>
      </w:pPr>
      <w:r>
        <w:rPr>
          <w:spacing w:val="-6"/>
        </w:rPr>
        <w:t>指住院期间由护士对被保险人提供临床护理服务所收取的费用。包括各级</w:t>
      </w:r>
      <w:r>
        <w:rPr>
          <w:spacing w:val="-2"/>
        </w:rPr>
        <w:t>护理、重症监护与专项护理费用。</w:t>
      </w:r>
    </w:p>
    <w:p>
      <w:pPr>
        <w:pStyle w:val="ListParagraph"/>
        <w:numPr>
          <w:ilvl w:val="0"/>
          <w:numId w:val="14"/>
        </w:numPr>
        <w:tabs>
          <w:tab w:pos="3289" w:val="left" w:leader="none"/>
        </w:tabs>
        <w:spacing w:line="240" w:lineRule="auto" w:before="0" w:after="0"/>
        <w:ind w:left="3288" w:right="0" w:hanging="361"/>
        <w:jc w:val="left"/>
        <w:rPr>
          <w:sz w:val="21"/>
        </w:rPr>
      </w:pPr>
      <w:r>
        <w:rPr>
          <w:spacing w:val="-4"/>
          <w:sz w:val="21"/>
        </w:rPr>
        <w:t>检查化验费</w:t>
      </w:r>
    </w:p>
    <w:p>
      <w:pPr>
        <w:pStyle w:val="BodyText"/>
        <w:spacing w:line="278" w:lineRule="auto" w:before="43"/>
        <w:ind w:left="3288" w:right="263"/>
        <w:jc w:val="both"/>
      </w:pPr>
      <w:r>
        <w:rPr>
          <w:spacing w:val="-4"/>
        </w:rPr>
        <w:t>指住院期间实际发生的、以诊断疾病为目的，采取必要的医学手段进行检</w:t>
      </w:r>
      <w:r>
        <w:rPr>
          <w:spacing w:val="-4"/>
        </w:rPr>
        <w:t>查及化验而发生的合理的医疗费用。检查及化验项目包括试验室检查、病</w:t>
      </w:r>
      <w:r>
        <w:rPr>
          <w:spacing w:val="-6"/>
        </w:rPr>
        <w:t>理检查、放射线检查、CT、核磁共振检查</w:t>
      </w:r>
      <w:r>
        <w:rPr>
          <w:spacing w:val="15"/>
        </w:rPr>
        <w:t>（MR</w:t>
      </w:r>
      <w:r>
        <w:rPr>
          <w:spacing w:val="12"/>
        </w:rPr>
        <w:t>I</w:t>
      </w:r>
      <w:r>
        <w:rPr>
          <w:spacing w:val="-91"/>
        </w:rPr>
        <w:t>）</w:t>
      </w:r>
      <w:r>
        <w:rPr>
          <w:spacing w:val="-6"/>
        </w:rPr>
        <w:t>、B</w:t>
      </w:r>
      <w:r>
        <w:rPr>
          <w:spacing w:val="-9"/>
        </w:rPr>
        <w:t> 超、血管造影、同位</w:t>
      </w:r>
      <w:r>
        <w:rPr>
          <w:spacing w:val="-2"/>
        </w:rPr>
        <w:t>素、心电图、心功能、肺功能、骨密度、基因学检查。</w:t>
      </w:r>
    </w:p>
    <w:p>
      <w:pPr>
        <w:pStyle w:val="ListParagraph"/>
        <w:numPr>
          <w:ilvl w:val="0"/>
          <w:numId w:val="14"/>
        </w:numPr>
        <w:tabs>
          <w:tab w:pos="3289" w:val="left" w:leader="none"/>
        </w:tabs>
        <w:spacing w:line="269" w:lineRule="exact" w:before="0" w:after="0"/>
        <w:ind w:left="3288" w:right="0" w:hanging="361"/>
        <w:jc w:val="left"/>
        <w:rPr>
          <w:sz w:val="21"/>
        </w:rPr>
      </w:pPr>
      <w:r>
        <w:rPr>
          <w:spacing w:val="-4"/>
          <w:sz w:val="21"/>
        </w:rPr>
        <w:t>手术费用</w:t>
      </w:r>
    </w:p>
    <w:p>
      <w:pPr>
        <w:pStyle w:val="BodyText"/>
        <w:spacing w:line="278" w:lineRule="auto" w:before="43"/>
        <w:ind w:left="3288" w:right="265"/>
      </w:pPr>
      <w:r>
        <w:rPr>
          <w:spacing w:val="-4"/>
        </w:rPr>
        <w:t>包括手术费、麻醉费、手术监测费、手术辅助费、未独立记账的术中用药</w:t>
      </w:r>
      <w:r>
        <w:rPr/>
        <w:t>费、手术设备费、合理且必要的手术植入材料（</w:t>
      </w:r>
      <w:r>
        <w:rPr>
          <w:spacing w:val="-23"/>
        </w:rPr>
        <w:t>见 </w:t>
      </w:r>
      <w:r>
        <w:rPr/>
        <w:t>9.37）费。</w:t>
      </w:r>
    </w:p>
    <w:p>
      <w:pPr>
        <w:pStyle w:val="ListParagraph"/>
        <w:numPr>
          <w:ilvl w:val="0"/>
          <w:numId w:val="14"/>
        </w:numPr>
        <w:tabs>
          <w:tab w:pos="3289" w:val="left" w:leader="none"/>
        </w:tabs>
        <w:spacing w:line="240" w:lineRule="auto" w:before="0" w:after="0"/>
        <w:ind w:left="3288" w:right="0" w:hanging="361"/>
        <w:jc w:val="left"/>
        <w:rPr>
          <w:sz w:val="21"/>
        </w:rPr>
      </w:pPr>
      <w:r>
        <w:rPr>
          <w:spacing w:val="-4"/>
          <w:sz w:val="21"/>
        </w:rPr>
        <w:t>器官移植费</w:t>
      </w:r>
    </w:p>
    <w:p>
      <w:pPr>
        <w:spacing w:line="271" w:lineRule="auto" w:before="42"/>
        <w:ind w:left="3288" w:right="157" w:firstLine="0"/>
        <w:jc w:val="left"/>
        <w:rPr>
          <w:b/>
          <w:i/>
          <w:sz w:val="22"/>
        </w:rPr>
      </w:pPr>
      <w:r>
        <w:rPr>
          <w:spacing w:val="-14"/>
          <w:sz w:val="21"/>
        </w:rPr>
        <w:t>指经相关专科医生明确诊断，根据医学需要必须进行肝脏移植、肾脏移植、</w:t>
      </w:r>
      <w:r>
        <w:rPr>
          <w:spacing w:val="-15"/>
          <w:sz w:val="21"/>
        </w:rPr>
        <w:t>心脏移植、肺脏移植或骨髓移植而发生的手术费、辅助治疗费、检验费等。</w:t>
      </w:r>
      <w:r>
        <w:rPr>
          <w:b/>
          <w:i/>
          <w:spacing w:val="-2"/>
          <w:w w:val="95"/>
          <w:sz w:val="22"/>
        </w:rPr>
        <w:t>但不包括器官供体自身费用和因器官供体寻找、获取以及从供体切除、</w:t>
      </w:r>
      <w:r>
        <w:rPr>
          <w:b/>
          <w:i/>
          <w:spacing w:val="40"/>
          <w:sz w:val="22"/>
        </w:rPr>
        <w:t> </w:t>
      </w:r>
      <w:r>
        <w:rPr>
          <w:b/>
          <w:i/>
          <w:spacing w:val="-2"/>
          <w:sz w:val="22"/>
        </w:rPr>
        <w:t>储</w:t>
      </w:r>
      <w:r>
        <w:rPr>
          <w:b/>
          <w:i/>
          <w:spacing w:val="-2"/>
          <w:sz w:val="22"/>
        </w:rPr>
        <w:t>藏</w:t>
      </w:r>
      <w:r>
        <w:rPr>
          <w:b/>
          <w:i/>
          <w:spacing w:val="-2"/>
          <w:sz w:val="22"/>
        </w:rPr>
        <w:t>、</w:t>
      </w:r>
      <w:r>
        <w:rPr>
          <w:b/>
          <w:i/>
          <w:spacing w:val="-2"/>
          <w:sz w:val="22"/>
        </w:rPr>
        <w:t>运</w:t>
      </w:r>
      <w:r>
        <w:rPr>
          <w:b/>
          <w:i/>
          <w:spacing w:val="-2"/>
          <w:sz w:val="22"/>
        </w:rPr>
        <w:t>送</w:t>
      </w:r>
      <w:r>
        <w:rPr>
          <w:b/>
          <w:i/>
          <w:spacing w:val="-2"/>
          <w:sz w:val="22"/>
        </w:rPr>
        <w:t>器</w:t>
      </w:r>
      <w:r>
        <w:rPr>
          <w:b/>
          <w:i/>
          <w:spacing w:val="-2"/>
          <w:sz w:val="22"/>
        </w:rPr>
        <w:t>官</w:t>
      </w:r>
      <w:r>
        <w:rPr>
          <w:b/>
          <w:i/>
          <w:spacing w:val="-2"/>
          <w:sz w:val="22"/>
        </w:rPr>
        <w:t>而</w:t>
      </w:r>
      <w:r>
        <w:rPr>
          <w:b/>
          <w:i/>
          <w:spacing w:val="-2"/>
          <w:sz w:val="22"/>
        </w:rPr>
        <w:t>发生的</w:t>
      </w:r>
      <w:r>
        <w:rPr>
          <w:b/>
          <w:i/>
          <w:spacing w:val="-2"/>
          <w:sz w:val="22"/>
        </w:rPr>
        <w:t>相</w:t>
      </w:r>
      <w:r>
        <w:rPr>
          <w:b/>
          <w:i/>
          <w:spacing w:val="-2"/>
          <w:sz w:val="22"/>
        </w:rPr>
        <w:t>关</w:t>
      </w:r>
      <w:r>
        <w:rPr>
          <w:b/>
          <w:i/>
          <w:spacing w:val="-2"/>
          <w:sz w:val="22"/>
        </w:rPr>
        <w:t>费</w:t>
      </w:r>
      <w:r>
        <w:rPr>
          <w:b/>
          <w:i/>
          <w:spacing w:val="-2"/>
          <w:sz w:val="22"/>
        </w:rPr>
        <w:t>用。</w:t>
      </w:r>
    </w:p>
    <w:p>
      <w:pPr>
        <w:pStyle w:val="ListParagraph"/>
        <w:numPr>
          <w:ilvl w:val="0"/>
          <w:numId w:val="14"/>
        </w:numPr>
        <w:tabs>
          <w:tab w:pos="3289" w:val="left" w:leader="none"/>
        </w:tabs>
        <w:spacing w:line="240" w:lineRule="auto" w:before="3" w:after="0"/>
        <w:ind w:left="3288" w:right="0" w:hanging="361"/>
        <w:jc w:val="left"/>
        <w:rPr>
          <w:sz w:val="21"/>
        </w:rPr>
      </w:pPr>
      <w:r>
        <w:rPr>
          <w:spacing w:val="-4"/>
          <w:sz w:val="21"/>
        </w:rPr>
        <w:t>救护车费用</w:t>
      </w:r>
    </w:p>
    <w:p>
      <w:pPr>
        <w:spacing w:line="268" w:lineRule="auto" w:before="43"/>
        <w:ind w:left="3288" w:right="263" w:firstLine="0"/>
        <w:jc w:val="left"/>
        <w:rPr>
          <w:b/>
          <w:i/>
          <w:sz w:val="22"/>
        </w:rPr>
      </w:pPr>
      <w:r>
        <w:rPr>
          <w:spacing w:val="-4"/>
          <w:sz w:val="21"/>
        </w:rPr>
        <w:t>指在住院期间以抢救生命或治疗疾病为目的，根据医生建议，被保险人需</w:t>
      </w:r>
      <w:r>
        <w:rPr>
          <w:spacing w:val="-2"/>
          <w:w w:val="95"/>
          <w:sz w:val="21"/>
        </w:rPr>
        <w:t>医</w:t>
      </w:r>
      <w:r>
        <w:rPr>
          <w:spacing w:val="-2"/>
          <w:w w:val="95"/>
          <w:sz w:val="21"/>
        </w:rPr>
        <w:t>院</w:t>
      </w:r>
      <w:r>
        <w:rPr>
          <w:spacing w:val="-2"/>
          <w:w w:val="95"/>
          <w:sz w:val="21"/>
        </w:rPr>
        <w:t>转诊过程中的医院用</w:t>
      </w:r>
      <w:r>
        <w:rPr>
          <w:spacing w:val="-2"/>
          <w:w w:val="95"/>
          <w:sz w:val="21"/>
        </w:rPr>
        <w:t>车</w:t>
      </w:r>
      <w:r>
        <w:rPr>
          <w:spacing w:val="-2"/>
          <w:w w:val="95"/>
          <w:sz w:val="21"/>
        </w:rPr>
        <w:t>费</w:t>
      </w:r>
      <w:r>
        <w:rPr>
          <w:spacing w:val="-2"/>
          <w:w w:val="95"/>
          <w:sz w:val="21"/>
        </w:rPr>
        <w:t>用</w:t>
      </w:r>
      <w:r>
        <w:rPr>
          <w:spacing w:val="-2"/>
          <w:w w:val="95"/>
          <w:sz w:val="21"/>
        </w:rPr>
        <w:t>，</w:t>
      </w:r>
      <w:r>
        <w:rPr>
          <w:b/>
          <w:i/>
          <w:spacing w:val="-2"/>
          <w:w w:val="95"/>
          <w:sz w:val="22"/>
        </w:rPr>
        <w:t>且救护车的使用权限仅限于同一城市</w:t>
      </w:r>
    </w:p>
    <w:p>
      <w:pPr>
        <w:spacing w:after="0" w:line="268" w:lineRule="auto"/>
        <w:jc w:val="left"/>
        <w:rPr>
          <w:sz w:val="22"/>
        </w:rPr>
        <w:sectPr>
          <w:pgSz w:w="11910" w:h="16840"/>
          <w:pgMar w:top="880" w:bottom="280" w:left="1060" w:right="660"/>
        </w:sectPr>
      </w:pPr>
    </w:p>
    <w:p>
      <w:pPr>
        <w:spacing w:before="51"/>
        <w:ind w:left="3288" w:right="0" w:firstLine="0"/>
        <w:jc w:val="left"/>
        <w:rPr>
          <w:sz w:val="21"/>
        </w:rPr>
      </w:pPr>
      <w:r>
        <w:rPr>
          <w:b/>
          <w:i/>
          <w:w w:val="95"/>
          <w:sz w:val="22"/>
        </w:rPr>
        <w:t>的医疗运送</w:t>
      </w:r>
      <w:r>
        <w:rPr>
          <w:b/>
          <w:i/>
          <w:spacing w:val="-5"/>
          <w:sz w:val="22"/>
        </w:rPr>
        <w:t> </w:t>
      </w:r>
      <w:r>
        <w:rPr>
          <w:spacing w:val="-10"/>
          <w:w w:val="95"/>
          <w:sz w:val="21"/>
        </w:rPr>
        <w:t>。</w:t>
      </w:r>
    </w:p>
    <w:p>
      <w:pPr>
        <w:pStyle w:val="BodyText"/>
        <w:spacing w:before="9"/>
        <w:rPr>
          <w:sz w:val="29"/>
        </w:rPr>
      </w:pPr>
    </w:p>
    <w:tbl>
      <w:tblPr>
        <w:tblW w:w="0" w:type="auto"/>
        <w:jc w:val="left"/>
        <w:tblInd w:w="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9"/>
        <w:gridCol w:w="1770"/>
        <w:gridCol w:w="7320"/>
      </w:tblGrid>
      <w:tr>
        <w:trPr>
          <w:trHeight w:val="261" w:hRule="atLeast"/>
        </w:trPr>
        <w:tc>
          <w:tcPr>
            <w:tcW w:w="829" w:type="dxa"/>
          </w:tcPr>
          <w:p>
            <w:pPr>
              <w:pStyle w:val="TableParagraph"/>
              <w:spacing w:line="241" w:lineRule="exact" w:before="0"/>
              <w:ind w:left="50"/>
              <w:rPr>
                <w:b/>
                <w:sz w:val="21"/>
              </w:rPr>
            </w:pPr>
            <w:r>
              <w:rPr>
                <w:b/>
                <w:spacing w:val="-4"/>
                <w:sz w:val="21"/>
              </w:rPr>
              <w:t>9.13</w:t>
            </w:r>
          </w:p>
        </w:tc>
        <w:tc>
          <w:tcPr>
            <w:tcW w:w="1770" w:type="dxa"/>
          </w:tcPr>
          <w:p>
            <w:pPr>
              <w:pStyle w:val="TableParagraph"/>
              <w:spacing w:line="241" w:lineRule="exact" w:before="0"/>
              <w:ind w:left="356"/>
              <w:rPr>
                <w:rFonts w:ascii="楷体" w:hAnsi="楷体" w:eastAsia="楷体" w:hint="eastAsia"/>
                <w:b/>
                <w:sz w:val="21"/>
              </w:rPr>
            </w:pPr>
            <w:r>
              <w:rPr>
                <w:rFonts w:ascii="楷体" w:hAnsi="楷体" w:eastAsia="楷体" w:hint="eastAsia"/>
                <w:b/>
                <w:spacing w:val="-2"/>
                <w:sz w:val="21"/>
              </w:rPr>
              <w:t>恶性肿瘤——</w:t>
            </w:r>
          </w:p>
        </w:tc>
        <w:tc>
          <w:tcPr>
            <w:tcW w:w="7320" w:type="dxa"/>
          </w:tcPr>
          <w:p>
            <w:pPr>
              <w:pStyle w:val="TableParagraph"/>
              <w:spacing w:line="241" w:lineRule="exact" w:before="0"/>
              <w:ind w:left="146"/>
              <w:rPr>
                <w:sz w:val="21"/>
              </w:rPr>
            </w:pPr>
            <w:r>
              <w:rPr>
                <w:spacing w:val="-3"/>
                <w:sz w:val="21"/>
              </w:rPr>
              <w:t>指恶性细胞不受控制的进行性增长和扩散，浸润和破坏周围正常组织，可以</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ind w:left="356"/>
              <w:rPr>
                <w:rFonts w:ascii="楷体" w:eastAsia="楷体" w:hint="eastAsia"/>
                <w:b/>
                <w:sz w:val="21"/>
              </w:rPr>
            </w:pPr>
            <w:r>
              <w:rPr>
                <w:rFonts w:ascii="楷体" w:eastAsia="楷体" w:hint="eastAsia"/>
                <w:b/>
                <w:spacing w:val="-5"/>
                <w:sz w:val="21"/>
              </w:rPr>
              <w:t>重度</w:t>
            </w:r>
          </w:p>
        </w:tc>
        <w:tc>
          <w:tcPr>
            <w:tcW w:w="7320" w:type="dxa"/>
          </w:tcPr>
          <w:p>
            <w:pPr>
              <w:pStyle w:val="TableParagraph"/>
              <w:ind w:left="146"/>
              <w:rPr>
                <w:sz w:val="21"/>
              </w:rPr>
            </w:pPr>
            <w:r>
              <w:rPr>
                <w:spacing w:val="-6"/>
                <w:sz w:val="21"/>
              </w:rPr>
              <w:t>经血管、淋巴管和体腔扩散转移到身体其他部位，病灶经组织病理学检查（</w:t>
            </w:r>
            <w:r>
              <w:rPr>
                <w:spacing w:val="-10"/>
                <w:sz w:val="21"/>
              </w:rPr>
              <w:t>见</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9.38）（涵盖骨髓病理学检查）</w:t>
            </w:r>
            <w:r>
              <w:rPr>
                <w:spacing w:val="-3"/>
                <w:sz w:val="21"/>
              </w:rPr>
              <w:t>结果明确诊断，临床诊断属于世界卫生组织</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z w:val="21"/>
              </w:rPr>
              <w:t>（WHO，World</w:t>
            </w:r>
            <w:r>
              <w:rPr>
                <w:spacing w:val="-24"/>
                <w:sz w:val="21"/>
              </w:rPr>
              <w:t> </w:t>
            </w:r>
            <w:r>
              <w:rPr>
                <w:sz w:val="21"/>
              </w:rPr>
              <w:t>Health</w:t>
            </w:r>
            <w:r>
              <w:rPr>
                <w:spacing w:val="-24"/>
                <w:sz w:val="21"/>
              </w:rPr>
              <w:t> </w:t>
            </w:r>
            <w:r>
              <w:rPr>
                <w:sz w:val="21"/>
              </w:rPr>
              <w:t>Organization）</w:t>
            </w:r>
            <w:r>
              <w:rPr>
                <w:spacing w:val="-1"/>
                <w:sz w:val="21"/>
              </w:rPr>
              <w:t>《疾病和有关健康问题的国际统计分</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类》第十次修订版（ICD-10）</w:t>
            </w:r>
            <w:r>
              <w:rPr>
                <w:spacing w:val="-3"/>
                <w:sz w:val="21"/>
              </w:rPr>
              <w:t>的恶性肿瘤类别及《国际疾病分类肿瘤学专辑》</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第三版（ICD-O-3）（见9.39）的肿瘤形态学编码属于3、6、9（恶性肿瘤</w:t>
            </w:r>
            <w:r>
              <w:rPr>
                <w:spacing w:val="-10"/>
                <w:sz w:val="21"/>
              </w:rPr>
              <w:t>）</w:t>
            </w:r>
          </w:p>
        </w:tc>
      </w:tr>
      <w:tr>
        <w:trPr>
          <w:trHeight w:val="4524"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4"/>
                <w:sz w:val="21"/>
              </w:rPr>
              <w:t>范畴的疾病。</w:t>
            </w:r>
          </w:p>
          <w:p>
            <w:pPr>
              <w:pStyle w:val="TableParagraph"/>
              <w:spacing w:before="32"/>
              <w:ind w:left="145"/>
              <w:rPr>
                <w:b/>
                <w:i/>
                <w:sz w:val="22"/>
              </w:rPr>
            </w:pPr>
            <w:r>
              <w:rPr>
                <w:b/>
                <w:i/>
                <w:spacing w:val="-3"/>
                <w:w w:val="95"/>
                <w:sz w:val="22"/>
              </w:rPr>
              <w:t>下列疾病不属于“恶性肿瘤——重度”，不在保障范围内：</w:t>
            </w:r>
          </w:p>
          <w:p>
            <w:pPr>
              <w:pStyle w:val="TableParagraph"/>
              <w:spacing w:before="31"/>
              <w:ind w:left="145"/>
              <w:rPr>
                <w:b/>
                <w:i/>
                <w:sz w:val="22"/>
              </w:rPr>
            </w:pPr>
            <w:r>
              <w:rPr>
                <w:b/>
                <w:i/>
                <w:spacing w:val="-2"/>
                <w:w w:val="95"/>
                <w:sz w:val="22"/>
              </w:rPr>
              <w:t>（1）ICD-O-3肿瘤形态学编码属于0（良性肿瘤）、1（动态未定性肿瘤）、</w:t>
            </w:r>
            <w:r>
              <w:rPr>
                <w:b/>
                <w:i/>
                <w:spacing w:val="-10"/>
                <w:w w:val="95"/>
                <w:sz w:val="22"/>
              </w:rPr>
              <w:t>2</w:t>
            </w:r>
          </w:p>
          <w:p>
            <w:pPr>
              <w:pStyle w:val="TableParagraph"/>
              <w:spacing w:before="30"/>
              <w:ind w:left="145"/>
              <w:rPr>
                <w:b/>
                <w:i/>
                <w:sz w:val="22"/>
              </w:rPr>
            </w:pPr>
            <w:r>
              <w:rPr>
                <w:b/>
                <w:i/>
                <w:spacing w:val="-2"/>
                <w:w w:val="95"/>
                <w:sz w:val="22"/>
              </w:rPr>
              <w:t>（原位癌和非侵袭性癌）</w:t>
            </w:r>
            <w:r>
              <w:rPr>
                <w:b/>
                <w:i/>
                <w:spacing w:val="-4"/>
                <w:w w:val="95"/>
                <w:sz w:val="22"/>
              </w:rPr>
              <w:t>范畴的疾病，如：</w:t>
            </w:r>
          </w:p>
          <w:p>
            <w:pPr>
              <w:pStyle w:val="TableParagraph"/>
              <w:numPr>
                <w:ilvl w:val="0"/>
                <w:numId w:val="16"/>
              </w:numPr>
              <w:tabs>
                <w:tab w:pos="359" w:val="left" w:leader="none"/>
              </w:tabs>
              <w:spacing w:line="266" w:lineRule="auto" w:before="30" w:after="0"/>
              <w:ind w:left="145" w:right="212" w:firstLine="0"/>
              <w:jc w:val="left"/>
              <w:rPr>
                <w:b/>
                <w:i/>
                <w:sz w:val="22"/>
              </w:rPr>
            </w:pPr>
            <w:r>
              <w:rPr>
                <w:b/>
                <w:i/>
                <w:spacing w:val="-2"/>
                <w:w w:val="95"/>
                <w:sz w:val="22"/>
              </w:rPr>
              <w:t>原位癌，癌前病变，非浸润性癌，非侵袭性癌，肿瘤细胞未侵犯基底层，</w:t>
            </w:r>
            <w:r>
              <w:rPr>
                <w:b/>
                <w:i/>
                <w:spacing w:val="-2"/>
                <w:sz w:val="22"/>
              </w:rPr>
              <w:t>上</w:t>
            </w:r>
            <w:r>
              <w:rPr>
                <w:b/>
                <w:i/>
                <w:spacing w:val="-2"/>
                <w:sz w:val="22"/>
              </w:rPr>
              <w:t>皮</w:t>
            </w:r>
            <w:r>
              <w:rPr>
                <w:b/>
                <w:i/>
                <w:spacing w:val="-2"/>
                <w:sz w:val="22"/>
              </w:rPr>
              <w:t>内</w:t>
            </w:r>
            <w:r>
              <w:rPr>
                <w:b/>
                <w:i/>
                <w:spacing w:val="-2"/>
                <w:sz w:val="22"/>
              </w:rPr>
              <w:t>瘤</w:t>
            </w:r>
            <w:r>
              <w:rPr>
                <w:b/>
                <w:i/>
                <w:spacing w:val="-2"/>
                <w:sz w:val="22"/>
              </w:rPr>
              <w:t>变</w:t>
            </w:r>
            <w:r>
              <w:rPr>
                <w:b/>
                <w:i/>
                <w:spacing w:val="-2"/>
                <w:sz w:val="22"/>
              </w:rPr>
              <w:t>，</w:t>
            </w:r>
            <w:r>
              <w:rPr>
                <w:b/>
                <w:i/>
                <w:spacing w:val="-2"/>
                <w:sz w:val="22"/>
              </w:rPr>
              <w:t>细</w:t>
            </w:r>
            <w:r>
              <w:rPr>
                <w:b/>
                <w:i/>
                <w:spacing w:val="-2"/>
                <w:sz w:val="22"/>
              </w:rPr>
              <w:t>胞</w:t>
            </w:r>
            <w:r>
              <w:rPr>
                <w:b/>
                <w:i/>
                <w:spacing w:val="-2"/>
                <w:sz w:val="22"/>
              </w:rPr>
              <w:t>不典型</w:t>
            </w:r>
            <w:r>
              <w:rPr>
                <w:b/>
                <w:i/>
                <w:spacing w:val="-2"/>
                <w:sz w:val="22"/>
              </w:rPr>
              <w:t>性</w:t>
            </w:r>
            <w:r>
              <w:rPr>
                <w:b/>
                <w:i/>
                <w:spacing w:val="-2"/>
                <w:sz w:val="22"/>
              </w:rPr>
              <w:t>增</w:t>
            </w:r>
            <w:r>
              <w:rPr>
                <w:b/>
                <w:i/>
                <w:spacing w:val="-2"/>
                <w:sz w:val="22"/>
              </w:rPr>
              <w:t>生</w:t>
            </w:r>
            <w:r>
              <w:rPr>
                <w:b/>
                <w:i/>
                <w:spacing w:val="-2"/>
                <w:sz w:val="22"/>
              </w:rPr>
              <w:t>等</w:t>
            </w:r>
            <w:r>
              <w:rPr>
                <w:b/>
                <w:i/>
                <w:spacing w:val="-2"/>
                <w:sz w:val="22"/>
              </w:rPr>
              <w:t>；</w:t>
            </w:r>
          </w:p>
          <w:p>
            <w:pPr>
              <w:pStyle w:val="TableParagraph"/>
              <w:numPr>
                <w:ilvl w:val="0"/>
                <w:numId w:val="16"/>
              </w:numPr>
              <w:tabs>
                <w:tab w:pos="358" w:val="left" w:leader="none"/>
              </w:tabs>
              <w:spacing w:line="280" w:lineRule="exact" w:before="0" w:after="0"/>
              <w:ind w:left="358" w:right="0" w:hanging="213"/>
              <w:jc w:val="left"/>
              <w:rPr>
                <w:b/>
                <w:i/>
                <w:sz w:val="22"/>
              </w:rPr>
            </w:pPr>
            <w:r>
              <w:rPr>
                <w:b/>
                <w:i/>
                <w:spacing w:val="-3"/>
                <w:w w:val="95"/>
                <w:sz w:val="22"/>
              </w:rPr>
              <w:t>交界性肿瘤，交界恶性肿瘤，肿瘤低度恶性潜能，潜在低度恶性肿瘤等；</w:t>
            </w:r>
          </w:p>
          <w:p>
            <w:pPr>
              <w:pStyle w:val="TableParagraph"/>
              <w:numPr>
                <w:ilvl w:val="0"/>
                <w:numId w:val="17"/>
              </w:numPr>
              <w:tabs>
                <w:tab w:pos="675" w:val="left" w:leader="none"/>
              </w:tabs>
              <w:spacing w:line="240" w:lineRule="auto" w:before="30" w:after="0"/>
              <w:ind w:left="674" w:right="0" w:hanging="530"/>
              <w:jc w:val="left"/>
              <w:rPr>
                <w:b/>
                <w:i/>
                <w:sz w:val="22"/>
              </w:rPr>
            </w:pPr>
            <w:r>
              <w:rPr>
                <w:b/>
                <w:i/>
                <w:spacing w:val="-2"/>
                <w:w w:val="95"/>
                <w:sz w:val="22"/>
              </w:rPr>
              <w:t>TNM分期（见9.40）</w:t>
            </w:r>
            <w:r>
              <w:rPr>
                <w:b/>
                <w:i/>
                <w:spacing w:val="-3"/>
                <w:w w:val="95"/>
                <w:sz w:val="22"/>
              </w:rPr>
              <w:t>为Ⅰ期或更轻分期的甲状腺癌；</w:t>
            </w:r>
          </w:p>
          <w:p>
            <w:pPr>
              <w:pStyle w:val="TableParagraph"/>
              <w:numPr>
                <w:ilvl w:val="0"/>
                <w:numId w:val="17"/>
              </w:numPr>
              <w:tabs>
                <w:tab w:pos="675" w:val="left" w:leader="none"/>
              </w:tabs>
              <w:spacing w:line="240" w:lineRule="auto" w:before="30" w:after="0"/>
              <w:ind w:left="674" w:right="0" w:hanging="530"/>
              <w:jc w:val="left"/>
              <w:rPr>
                <w:b/>
                <w:i/>
                <w:sz w:val="22"/>
              </w:rPr>
            </w:pPr>
            <w:r>
              <w:rPr>
                <w:b/>
                <w:i/>
                <w:w w:val="95"/>
                <w:position w:val="1"/>
                <w:sz w:val="22"/>
              </w:rPr>
              <w:t>TNM分期为T</w:t>
            </w:r>
            <w:r>
              <w:rPr>
                <w:b/>
                <w:i/>
                <w:w w:val="95"/>
                <w:sz w:val="11"/>
              </w:rPr>
              <w:t>1</w:t>
            </w:r>
            <w:r>
              <w:rPr>
                <w:b/>
                <w:i/>
                <w:w w:val="95"/>
                <w:position w:val="1"/>
                <w:sz w:val="22"/>
              </w:rPr>
              <w:t>N</w:t>
            </w:r>
            <w:r>
              <w:rPr>
                <w:b/>
                <w:i/>
                <w:w w:val="95"/>
                <w:sz w:val="11"/>
              </w:rPr>
              <w:t>0</w:t>
            </w:r>
            <w:r>
              <w:rPr>
                <w:b/>
                <w:i/>
                <w:w w:val="95"/>
                <w:position w:val="1"/>
                <w:sz w:val="22"/>
              </w:rPr>
              <w:t>M</w:t>
            </w:r>
            <w:r>
              <w:rPr>
                <w:b/>
                <w:i/>
                <w:w w:val="95"/>
                <w:sz w:val="11"/>
              </w:rPr>
              <w:t>0</w:t>
            </w:r>
            <w:r>
              <w:rPr>
                <w:b/>
                <w:i/>
                <w:spacing w:val="-1"/>
                <w:w w:val="95"/>
                <w:position w:val="1"/>
                <w:sz w:val="22"/>
              </w:rPr>
              <w:t>期或更轻分期的前列腺癌；</w:t>
            </w:r>
          </w:p>
          <w:p>
            <w:pPr>
              <w:pStyle w:val="TableParagraph"/>
              <w:numPr>
                <w:ilvl w:val="0"/>
                <w:numId w:val="17"/>
              </w:numPr>
              <w:tabs>
                <w:tab w:pos="675" w:val="left" w:leader="none"/>
              </w:tabs>
              <w:spacing w:line="240" w:lineRule="auto" w:before="30" w:after="0"/>
              <w:ind w:left="674" w:right="0" w:hanging="530"/>
              <w:jc w:val="left"/>
              <w:rPr>
                <w:b/>
                <w:i/>
                <w:sz w:val="22"/>
              </w:rPr>
            </w:pPr>
            <w:r>
              <w:rPr>
                <w:b/>
                <w:i/>
                <w:spacing w:val="-3"/>
                <w:w w:val="95"/>
                <w:sz w:val="22"/>
              </w:rPr>
              <w:t>黑色素瘤以外的未发生淋巴结和远处转移的皮肤恶性肿瘤；</w:t>
            </w:r>
          </w:p>
          <w:p>
            <w:pPr>
              <w:pStyle w:val="TableParagraph"/>
              <w:numPr>
                <w:ilvl w:val="0"/>
                <w:numId w:val="17"/>
              </w:numPr>
              <w:tabs>
                <w:tab w:pos="675" w:val="left" w:leader="none"/>
              </w:tabs>
              <w:spacing w:line="240" w:lineRule="auto" w:before="31" w:after="0"/>
              <w:ind w:left="674" w:right="0" w:hanging="530"/>
              <w:jc w:val="left"/>
              <w:rPr>
                <w:b/>
                <w:i/>
                <w:sz w:val="22"/>
              </w:rPr>
            </w:pPr>
            <w:r>
              <w:rPr>
                <w:b/>
                <w:i/>
                <w:spacing w:val="-2"/>
                <w:w w:val="95"/>
                <w:sz w:val="22"/>
              </w:rPr>
              <w:t>相当于Binet分期方案A</w:t>
            </w:r>
            <w:r>
              <w:rPr>
                <w:b/>
                <w:i/>
                <w:spacing w:val="-3"/>
                <w:w w:val="95"/>
                <w:sz w:val="22"/>
              </w:rPr>
              <w:t>期程度的慢性淋巴细胞白血病；</w:t>
            </w:r>
          </w:p>
          <w:p>
            <w:pPr>
              <w:pStyle w:val="TableParagraph"/>
              <w:numPr>
                <w:ilvl w:val="0"/>
                <w:numId w:val="17"/>
              </w:numPr>
              <w:tabs>
                <w:tab w:pos="675" w:val="left" w:leader="none"/>
              </w:tabs>
              <w:spacing w:line="240" w:lineRule="auto" w:before="30" w:after="0"/>
              <w:ind w:left="674" w:right="0" w:hanging="530"/>
              <w:jc w:val="left"/>
              <w:rPr>
                <w:b/>
                <w:i/>
                <w:sz w:val="22"/>
              </w:rPr>
            </w:pPr>
            <w:r>
              <w:rPr>
                <w:b/>
                <w:i/>
                <w:spacing w:val="-2"/>
                <w:w w:val="95"/>
                <w:sz w:val="22"/>
              </w:rPr>
              <w:t>相当于AnnArbor</w:t>
            </w:r>
            <w:r>
              <w:rPr>
                <w:b/>
                <w:i/>
                <w:spacing w:val="-3"/>
                <w:w w:val="95"/>
                <w:sz w:val="22"/>
              </w:rPr>
              <w:t>分期方案Ⅰ期程度的何杰金氏病；</w:t>
            </w:r>
          </w:p>
          <w:p>
            <w:pPr>
              <w:pStyle w:val="TableParagraph"/>
              <w:numPr>
                <w:ilvl w:val="0"/>
                <w:numId w:val="17"/>
              </w:numPr>
              <w:tabs>
                <w:tab w:pos="675" w:val="left" w:leader="none"/>
              </w:tabs>
              <w:spacing w:line="266" w:lineRule="auto" w:before="30" w:after="0"/>
              <w:ind w:left="145" w:right="209" w:firstLine="0"/>
              <w:jc w:val="left"/>
              <w:rPr>
                <w:b/>
                <w:i/>
                <w:sz w:val="22"/>
              </w:rPr>
            </w:pPr>
            <w:r>
              <w:rPr>
                <w:b/>
                <w:i/>
                <w:w w:val="95"/>
                <w:sz w:val="22"/>
              </w:rPr>
              <w:t>未发生淋巴结和远处转移且WHO分级为G1级别（核分裂像&lt;10/50</w:t>
            </w:r>
            <w:r>
              <w:rPr>
                <w:b/>
                <w:i/>
                <w:spacing w:val="-10"/>
                <w:w w:val="95"/>
                <w:sz w:val="22"/>
              </w:rPr>
              <w:t> </w:t>
            </w:r>
            <w:r>
              <w:rPr>
                <w:b/>
                <w:i/>
                <w:w w:val="95"/>
                <w:sz w:val="22"/>
              </w:rPr>
              <w:t>HPF</w:t>
            </w:r>
            <w:r>
              <w:rPr>
                <w:b/>
                <w:i/>
                <w:w w:val="95"/>
                <w:sz w:val="22"/>
              </w:rPr>
              <w:t>和 </w:t>
            </w:r>
            <w:r>
              <w:rPr>
                <w:b/>
                <w:i/>
                <w:spacing w:val="-2"/>
                <w:sz w:val="22"/>
              </w:rPr>
              <w:t>ki-67≤2%）</w:t>
            </w:r>
            <w:r>
              <w:rPr>
                <w:b/>
                <w:i/>
                <w:spacing w:val="-2"/>
                <w:sz w:val="22"/>
              </w:rPr>
              <w:t>或</w:t>
            </w:r>
            <w:r>
              <w:rPr>
                <w:b/>
                <w:i/>
                <w:spacing w:val="-2"/>
                <w:sz w:val="22"/>
              </w:rPr>
              <w:t>更</w:t>
            </w:r>
            <w:r>
              <w:rPr>
                <w:b/>
                <w:i/>
                <w:spacing w:val="-2"/>
                <w:sz w:val="22"/>
              </w:rPr>
              <w:t>轻</w:t>
            </w:r>
            <w:r>
              <w:rPr>
                <w:b/>
                <w:i/>
                <w:spacing w:val="-2"/>
                <w:sz w:val="22"/>
              </w:rPr>
              <w:t>分</w:t>
            </w:r>
            <w:r>
              <w:rPr>
                <w:b/>
                <w:i/>
                <w:spacing w:val="-2"/>
                <w:sz w:val="22"/>
              </w:rPr>
              <w:t>级的</w:t>
            </w:r>
            <w:r>
              <w:rPr>
                <w:b/>
                <w:i/>
                <w:spacing w:val="-2"/>
                <w:sz w:val="22"/>
              </w:rPr>
              <w:t>神</w:t>
            </w:r>
            <w:r>
              <w:rPr>
                <w:b/>
                <w:i/>
                <w:spacing w:val="-2"/>
                <w:sz w:val="22"/>
              </w:rPr>
              <w:t>经</w:t>
            </w:r>
            <w:r>
              <w:rPr>
                <w:b/>
                <w:i/>
                <w:spacing w:val="-2"/>
                <w:sz w:val="22"/>
              </w:rPr>
              <w:t>内</w:t>
            </w:r>
            <w:r>
              <w:rPr>
                <w:b/>
                <w:i/>
                <w:spacing w:val="-2"/>
                <w:sz w:val="22"/>
              </w:rPr>
              <w:t>分</w:t>
            </w:r>
            <w:r>
              <w:rPr>
                <w:b/>
                <w:i/>
                <w:spacing w:val="-2"/>
                <w:sz w:val="22"/>
              </w:rPr>
              <w:t>泌</w:t>
            </w:r>
            <w:r>
              <w:rPr>
                <w:b/>
                <w:i/>
                <w:spacing w:val="-2"/>
                <w:sz w:val="22"/>
              </w:rPr>
              <w:t>肿</w:t>
            </w:r>
            <w:r>
              <w:rPr>
                <w:b/>
                <w:i/>
                <w:spacing w:val="-2"/>
                <w:sz w:val="22"/>
              </w:rPr>
              <w:t>瘤</w:t>
            </w:r>
            <w:r>
              <w:rPr>
                <w:b/>
                <w:i/>
                <w:spacing w:val="-2"/>
                <w:sz w:val="22"/>
              </w:rPr>
              <w:t>。</w:t>
            </w:r>
          </w:p>
        </w:tc>
      </w:tr>
      <w:tr>
        <w:trPr>
          <w:trHeight w:val="467" w:hRule="atLeast"/>
        </w:trPr>
        <w:tc>
          <w:tcPr>
            <w:tcW w:w="829" w:type="dxa"/>
          </w:tcPr>
          <w:p>
            <w:pPr>
              <w:pStyle w:val="TableParagraph"/>
              <w:spacing w:before="177"/>
              <w:ind w:left="50"/>
              <w:rPr>
                <w:b/>
                <w:sz w:val="21"/>
              </w:rPr>
            </w:pPr>
            <w:r>
              <w:rPr>
                <w:b/>
                <w:spacing w:val="-4"/>
                <w:sz w:val="21"/>
              </w:rPr>
              <w:t>9.14</w:t>
            </w:r>
          </w:p>
        </w:tc>
        <w:tc>
          <w:tcPr>
            <w:tcW w:w="1770" w:type="dxa"/>
          </w:tcPr>
          <w:p>
            <w:pPr>
              <w:pStyle w:val="TableParagraph"/>
              <w:spacing w:before="177"/>
              <w:ind w:left="356"/>
              <w:rPr>
                <w:rFonts w:ascii="楷体" w:hAnsi="楷体" w:eastAsia="楷体" w:hint="eastAsia"/>
                <w:b/>
                <w:sz w:val="21"/>
              </w:rPr>
            </w:pPr>
            <w:r>
              <w:rPr>
                <w:rFonts w:ascii="楷体" w:hAnsi="楷体" w:eastAsia="楷体" w:hint="eastAsia"/>
                <w:b/>
                <w:spacing w:val="-2"/>
                <w:sz w:val="21"/>
              </w:rPr>
              <w:t>恶性肿瘤——</w:t>
            </w:r>
          </w:p>
        </w:tc>
        <w:tc>
          <w:tcPr>
            <w:tcW w:w="7320" w:type="dxa"/>
          </w:tcPr>
          <w:p>
            <w:pPr>
              <w:pStyle w:val="TableParagraph"/>
              <w:spacing w:before="177"/>
              <w:ind w:left="146"/>
              <w:rPr>
                <w:sz w:val="21"/>
              </w:rPr>
            </w:pPr>
            <w:r>
              <w:rPr>
                <w:spacing w:val="-3"/>
                <w:sz w:val="21"/>
              </w:rPr>
              <w:t>指恶性细胞不受控制的进行性增长和扩散，浸润和破坏周围正常组织，可以</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ind w:left="356"/>
              <w:rPr>
                <w:rFonts w:ascii="楷体" w:eastAsia="楷体" w:hint="eastAsia"/>
                <w:b/>
                <w:sz w:val="21"/>
              </w:rPr>
            </w:pPr>
            <w:r>
              <w:rPr>
                <w:rFonts w:ascii="楷体" w:eastAsia="楷体" w:hint="eastAsia"/>
                <w:b/>
                <w:spacing w:val="-5"/>
                <w:sz w:val="21"/>
              </w:rPr>
              <w:t>轻度</w:t>
            </w:r>
          </w:p>
        </w:tc>
        <w:tc>
          <w:tcPr>
            <w:tcW w:w="7320" w:type="dxa"/>
          </w:tcPr>
          <w:p>
            <w:pPr>
              <w:pStyle w:val="TableParagraph"/>
              <w:ind w:left="146"/>
              <w:rPr>
                <w:sz w:val="21"/>
              </w:rPr>
            </w:pPr>
            <w:r>
              <w:rPr>
                <w:spacing w:val="-6"/>
                <w:sz w:val="21"/>
              </w:rPr>
              <w:t>经血管、淋巴管和体腔扩散转移到身体其他部位，病灶经组织病理学检查（</w:t>
            </w:r>
            <w:r>
              <w:rPr>
                <w:spacing w:val="-10"/>
                <w:sz w:val="21"/>
              </w:rPr>
              <w:t>涵</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6"/>
                <w:sz w:val="21"/>
              </w:rPr>
              <w:t>盖骨髓病理学检查）结果明确诊断，临床诊断属于世界卫生组织（WHO，World</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4"/>
                <w:sz w:val="21"/>
              </w:rPr>
              <w:t>Health</w:t>
            </w:r>
            <w:r>
              <w:rPr>
                <w:spacing w:val="26"/>
                <w:sz w:val="21"/>
              </w:rPr>
              <w:t> </w:t>
            </w:r>
            <w:r>
              <w:rPr>
                <w:spacing w:val="4"/>
                <w:sz w:val="21"/>
              </w:rPr>
              <w:t>Or</w:t>
            </w:r>
            <w:r>
              <w:rPr>
                <w:spacing w:val="1"/>
                <w:sz w:val="21"/>
              </w:rPr>
              <w:t>g</w:t>
            </w:r>
            <w:r>
              <w:rPr>
                <w:spacing w:val="4"/>
                <w:sz w:val="21"/>
              </w:rPr>
              <w:t>ani</w:t>
            </w:r>
            <w:r>
              <w:rPr>
                <w:spacing w:val="1"/>
                <w:sz w:val="21"/>
              </w:rPr>
              <w:t>z</w:t>
            </w:r>
            <w:r>
              <w:rPr>
                <w:spacing w:val="4"/>
                <w:sz w:val="21"/>
              </w:rPr>
              <w:t>ati</w:t>
            </w:r>
            <w:r>
              <w:rPr>
                <w:spacing w:val="1"/>
                <w:sz w:val="21"/>
              </w:rPr>
              <w:t>o</w:t>
            </w:r>
            <w:r>
              <w:rPr>
                <w:spacing w:val="4"/>
                <w:sz w:val="21"/>
              </w:rPr>
              <w:t>n</w:t>
            </w:r>
            <w:r>
              <w:rPr>
                <w:spacing w:val="-102"/>
                <w:sz w:val="21"/>
              </w:rPr>
              <w:t>）</w:t>
            </w:r>
            <w:r>
              <w:rPr>
                <w:spacing w:val="-5"/>
                <w:sz w:val="21"/>
              </w:rPr>
              <w:t>《疾病和有关健康问题的国际统计分类》第十次修订</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68"/>
                <w:sz w:val="21"/>
              </w:rPr>
              <w:t>版</w:t>
            </w:r>
            <w:r>
              <w:rPr>
                <w:spacing w:val="-4"/>
                <w:sz w:val="21"/>
              </w:rPr>
              <w:t>（ICD-10）</w:t>
            </w:r>
            <w:r>
              <w:rPr>
                <w:spacing w:val="-18"/>
                <w:sz w:val="21"/>
              </w:rPr>
              <w:t>的恶性肿瘤类别及《国际疾病分类肿瘤学专辑》第三版</w:t>
            </w:r>
            <w:r>
              <w:rPr>
                <w:spacing w:val="-4"/>
                <w:sz w:val="21"/>
              </w:rPr>
              <w:t>（ICD-O-</w:t>
            </w:r>
            <w:r>
              <w:rPr>
                <w:spacing w:val="-5"/>
                <w:sz w:val="21"/>
              </w:rPr>
              <w:t>3）</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8"/>
                <w:sz w:val="21"/>
              </w:rPr>
              <w:t>的肿瘤形态学编码属于 </w:t>
            </w:r>
            <w:r>
              <w:rPr>
                <w:spacing w:val="-4"/>
                <w:sz w:val="21"/>
              </w:rPr>
              <w:t>3、6、9（恶性肿瘤）</w:t>
            </w:r>
            <w:r>
              <w:rPr>
                <w:spacing w:val="-5"/>
                <w:sz w:val="21"/>
              </w:rPr>
              <w:t>范畴，但不在“恶性肿瘤——重</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3"/>
                <w:sz w:val="21"/>
              </w:rPr>
              <w:t>度”保障范围的疾病。且特指下列六项之一：</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（1）TNM</w:t>
            </w:r>
            <w:r>
              <w:rPr>
                <w:spacing w:val="-10"/>
                <w:sz w:val="21"/>
              </w:rPr>
              <w:t> 分期为Ⅰ期的甲状腺癌；</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spacing w:before="21"/>
              <w:ind w:left="146"/>
              <w:rPr>
                <w:sz w:val="21"/>
              </w:rPr>
            </w:pPr>
            <w:r>
              <w:rPr>
                <w:spacing w:val="-2"/>
                <w:position w:val="1"/>
                <w:sz w:val="21"/>
              </w:rPr>
              <w:t>（2）TNM</w:t>
            </w:r>
            <w:r>
              <w:rPr>
                <w:spacing w:val="-20"/>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4"/>
                <w:sz w:val="11"/>
              </w:rPr>
              <w:t> </w:t>
            </w:r>
            <w:r>
              <w:rPr>
                <w:spacing w:val="-4"/>
                <w:position w:val="1"/>
                <w:sz w:val="21"/>
              </w:rPr>
              <w:t>期的前列腺癌；</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（3）</w:t>
            </w:r>
            <w:r>
              <w:rPr>
                <w:spacing w:val="-3"/>
                <w:sz w:val="21"/>
              </w:rPr>
              <w:t>黑色素瘤以外的未发生淋巴结和远处转移的皮肤恶性肿瘤；</w:t>
            </w:r>
          </w:p>
        </w:tc>
      </w:tr>
      <w:tr>
        <w:trPr>
          <w:trHeight w:val="312"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（4）</w:t>
            </w: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（5）</w:t>
            </w:r>
            <w:r>
              <w:rPr>
                <w:spacing w:val="-14"/>
                <w:sz w:val="21"/>
              </w:rPr>
              <w:t>相当于 </w:t>
            </w:r>
            <w:r>
              <w:rPr>
                <w:spacing w:val="-2"/>
                <w:sz w:val="21"/>
              </w:rPr>
              <w:t>Ann</w:t>
            </w:r>
            <w:r>
              <w:rPr>
                <w:spacing w:val="13"/>
                <w:sz w:val="21"/>
              </w:rPr>
              <w:t> </w:t>
            </w:r>
            <w:r>
              <w:rPr>
                <w:spacing w:val="-2"/>
                <w:sz w:val="21"/>
              </w:rPr>
              <w:t>Arbor</w:t>
            </w:r>
            <w:r>
              <w:rPr>
                <w:spacing w:val="-10"/>
                <w:sz w:val="21"/>
              </w:rPr>
              <w:t> 分期方案Ⅰ期程度的何杰金氏病；</w:t>
            </w:r>
          </w:p>
        </w:tc>
      </w:tr>
      <w:tr>
        <w:trPr>
          <w:trHeight w:val="311"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
                <w:sz w:val="21"/>
              </w:rPr>
              <w:t>（6）</w:t>
            </w:r>
            <w:r>
              <w:rPr>
                <w:spacing w:val="-6"/>
                <w:sz w:val="21"/>
              </w:rPr>
              <w:t>未发生淋巴结和远处转移且 </w:t>
            </w:r>
            <w:r>
              <w:rPr>
                <w:spacing w:val="-2"/>
                <w:sz w:val="21"/>
              </w:rPr>
              <w:t>WHO</w:t>
            </w:r>
            <w:r>
              <w:rPr>
                <w:spacing w:val="-22"/>
                <w:sz w:val="21"/>
              </w:rPr>
              <w:t> 分级为 </w:t>
            </w:r>
            <w:r>
              <w:rPr>
                <w:spacing w:val="-2"/>
                <w:sz w:val="21"/>
              </w:rPr>
              <w:t>G1</w:t>
            </w:r>
            <w:r>
              <w:rPr>
                <w:spacing w:val="-18"/>
                <w:sz w:val="21"/>
              </w:rPr>
              <w:t> 级别</w:t>
            </w:r>
            <w:r>
              <w:rPr>
                <w:spacing w:val="-2"/>
                <w:sz w:val="21"/>
              </w:rPr>
              <w:t>（核分裂像&lt;10/50</w:t>
            </w:r>
            <w:r>
              <w:rPr>
                <w:spacing w:val="11"/>
                <w:sz w:val="21"/>
              </w:rPr>
              <w:t> </w:t>
            </w:r>
            <w:r>
              <w:rPr>
                <w:spacing w:val="-5"/>
                <w:sz w:val="21"/>
              </w:rPr>
              <w:t>HPF</w:t>
            </w:r>
          </w:p>
        </w:tc>
      </w:tr>
      <w:tr>
        <w:trPr>
          <w:trHeight w:val="2340" w:hRule="atLeast"/>
        </w:trPr>
        <w:tc>
          <w:tcPr>
            <w:tcW w:w="829" w:type="dxa"/>
          </w:tcPr>
          <w:p>
            <w:pPr>
              <w:pStyle w:val="TableParagraph"/>
              <w:spacing w:before="0"/>
              <w:rPr>
                <w:rFonts w:ascii="Times New Roman"/>
                <w:sz w:val="20"/>
              </w:rPr>
            </w:pPr>
          </w:p>
        </w:tc>
        <w:tc>
          <w:tcPr>
            <w:tcW w:w="1770" w:type="dxa"/>
          </w:tcPr>
          <w:p>
            <w:pPr>
              <w:pStyle w:val="TableParagraph"/>
              <w:spacing w:before="0"/>
              <w:rPr>
                <w:rFonts w:ascii="Times New Roman"/>
                <w:sz w:val="20"/>
              </w:rPr>
            </w:pPr>
          </w:p>
        </w:tc>
        <w:tc>
          <w:tcPr>
            <w:tcW w:w="7320" w:type="dxa"/>
          </w:tcPr>
          <w:p>
            <w:pPr>
              <w:pStyle w:val="TableParagraph"/>
              <w:ind w:left="146"/>
              <w:rPr>
                <w:sz w:val="21"/>
              </w:rPr>
            </w:pPr>
            <w:r>
              <w:rPr>
                <w:spacing w:val="-20"/>
                <w:sz w:val="21"/>
              </w:rPr>
              <w:t>和 </w:t>
            </w:r>
            <w:r>
              <w:rPr>
                <w:spacing w:val="-2"/>
                <w:sz w:val="21"/>
              </w:rPr>
              <w:t>ki-67≤2%）</w:t>
            </w:r>
            <w:r>
              <w:rPr>
                <w:spacing w:val="-3"/>
                <w:sz w:val="21"/>
              </w:rPr>
              <w:t>的神经内分泌肿瘤。</w:t>
            </w:r>
          </w:p>
          <w:p>
            <w:pPr>
              <w:pStyle w:val="TableParagraph"/>
              <w:spacing w:before="33"/>
              <w:ind w:left="146"/>
              <w:rPr>
                <w:b/>
                <w:i/>
                <w:sz w:val="22"/>
              </w:rPr>
            </w:pPr>
            <w:r>
              <w:rPr>
                <w:b/>
                <w:i/>
                <w:spacing w:val="-10"/>
                <w:w w:val="95"/>
                <w:sz w:val="22"/>
              </w:rPr>
              <w:t>下列疾病不属于“恶性肿瘤——轻度”，不在保障范围内：</w:t>
            </w:r>
          </w:p>
          <w:p>
            <w:pPr>
              <w:pStyle w:val="TableParagraph"/>
              <w:spacing w:line="266" w:lineRule="auto" w:before="30"/>
              <w:ind w:left="146" w:right="154"/>
              <w:rPr>
                <w:b/>
                <w:i/>
                <w:sz w:val="22"/>
              </w:rPr>
            </w:pPr>
            <w:r>
              <w:rPr>
                <w:b/>
                <w:i/>
                <w:spacing w:val="-2"/>
                <w:w w:val="95"/>
                <w:sz w:val="22"/>
              </w:rPr>
              <w:t>ICD-O-3</w:t>
            </w:r>
            <w:r>
              <w:rPr>
                <w:b/>
                <w:i/>
                <w:spacing w:val="-41"/>
                <w:w w:val="95"/>
                <w:sz w:val="22"/>
              </w:rPr>
              <w:t> </w:t>
            </w:r>
            <w:r>
              <w:rPr>
                <w:b/>
                <w:i/>
                <w:spacing w:val="-6"/>
                <w:w w:val="95"/>
                <w:sz w:val="22"/>
              </w:rPr>
              <w:t>肿瘤形态学编码属于 </w:t>
            </w:r>
            <w:r>
              <w:rPr>
                <w:b/>
                <w:i/>
                <w:spacing w:val="-2"/>
                <w:w w:val="95"/>
                <w:sz w:val="22"/>
              </w:rPr>
              <w:t>0（良性肿瘤</w:t>
            </w:r>
            <w:r>
              <w:rPr>
                <w:b/>
                <w:i/>
                <w:spacing w:val="-106"/>
                <w:w w:val="95"/>
                <w:sz w:val="22"/>
              </w:rPr>
              <w:t>）</w:t>
            </w:r>
            <w:r>
              <w:rPr>
                <w:b/>
                <w:i/>
                <w:spacing w:val="-2"/>
                <w:w w:val="95"/>
                <w:sz w:val="22"/>
              </w:rPr>
              <w:t>、1（动态未定性肿瘤</w:t>
            </w:r>
            <w:r>
              <w:rPr>
                <w:b/>
                <w:i/>
                <w:spacing w:val="-108"/>
                <w:w w:val="95"/>
                <w:sz w:val="22"/>
              </w:rPr>
              <w:t>）</w:t>
            </w:r>
            <w:r>
              <w:rPr>
                <w:b/>
                <w:i/>
                <w:spacing w:val="-2"/>
                <w:w w:val="95"/>
                <w:sz w:val="22"/>
              </w:rPr>
              <w:t>、2（原位</w:t>
            </w:r>
            <w:r>
              <w:rPr>
                <w:b/>
                <w:i/>
                <w:spacing w:val="-2"/>
                <w:sz w:val="22"/>
              </w:rPr>
              <w:t>癌</w:t>
            </w:r>
            <w:r>
              <w:rPr>
                <w:b/>
                <w:i/>
                <w:spacing w:val="-2"/>
                <w:sz w:val="22"/>
              </w:rPr>
              <w:t>和</w:t>
            </w:r>
            <w:r>
              <w:rPr>
                <w:b/>
                <w:i/>
                <w:spacing w:val="-2"/>
                <w:sz w:val="22"/>
              </w:rPr>
              <w:t>非</w:t>
            </w:r>
            <w:r>
              <w:rPr>
                <w:b/>
                <w:i/>
                <w:spacing w:val="-2"/>
                <w:sz w:val="22"/>
              </w:rPr>
              <w:t>侵</w:t>
            </w:r>
            <w:r>
              <w:rPr>
                <w:b/>
                <w:i/>
                <w:spacing w:val="-2"/>
                <w:sz w:val="22"/>
              </w:rPr>
              <w:t>袭</w:t>
            </w:r>
            <w:r>
              <w:rPr>
                <w:b/>
                <w:i/>
                <w:spacing w:val="-2"/>
                <w:sz w:val="22"/>
              </w:rPr>
              <w:t>性</w:t>
            </w:r>
            <w:r>
              <w:rPr>
                <w:b/>
                <w:i/>
                <w:spacing w:val="-2"/>
                <w:sz w:val="22"/>
              </w:rPr>
              <w:t>癌</w:t>
            </w:r>
            <w:r>
              <w:rPr>
                <w:b/>
                <w:i/>
                <w:spacing w:val="-2"/>
                <w:sz w:val="22"/>
              </w:rPr>
              <w:t>）范畴的疾病，</w:t>
            </w:r>
            <w:r>
              <w:rPr>
                <w:b/>
                <w:i/>
                <w:spacing w:val="-2"/>
                <w:sz w:val="22"/>
              </w:rPr>
              <w:t>如</w:t>
            </w:r>
            <w:r>
              <w:rPr>
                <w:b/>
                <w:i/>
                <w:spacing w:val="-2"/>
                <w:sz w:val="22"/>
              </w:rPr>
              <w:t>：</w:t>
            </w:r>
          </w:p>
          <w:p>
            <w:pPr>
              <w:pStyle w:val="TableParagraph"/>
              <w:numPr>
                <w:ilvl w:val="0"/>
                <w:numId w:val="18"/>
              </w:numPr>
              <w:tabs>
                <w:tab w:pos="359" w:val="left" w:leader="none"/>
              </w:tabs>
              <w:spacing w:line="266" w:lineRule="auto" w:before="0" w:after="0"/>
              <w:ind w:left="146" w:right="211" w:firstLine="0"/>
              <w:jc w:val="left"/>
              <w:rPr>
                <w:b/>
                <w:i/>
                <w:sz w:val="22"/>
              </w:rPr>
            </w:pPr>
            <w:r>
              <w:rPr>
                <w:b/>
                <w:i/>
                <w:spacing w:val="-2"/>
                <w:w w:val="95"/>
                <w:sz w:val="22"/>
              </w:rPr>
              <w:t>原位癌，癌前病变，非浸润性癌，非侵袭性癌，肿瘤细胞未侵犯基底层，</w:t>
            </w:r>
            <w:r>
              <w:rPr>
                <w:b/>
                <w:i/>
                <w:spacing w:val="-2"/>
                <w:sz w:val="22"/>
              </w:rPr>
              <w:t>上</w:t>
            </w:r>
            <w:r>
              <w:rPr>
                <w:b/>
                <w:i/>
                <w:spacing w:val="-2"/>
                <w:sz w:val="22"/>
              </w:rPr>
              <w:t>皮</w:t>
            </w:r>
            <w:r>
              <w:rPr>
                <w:b/>
                <w:i/>
                <w:spacing w:val="-2"/>
                <w:sz w:val="22"/>
              </w:rPr>
              <w:t>内</w:t>
            </w:r>
            <w:r>
              <w:rPr>
                <w:b/>
                <w:i/>
                <w:spacing w:val="-2"/>
                <w:sz w:val="22"/>
              </w:rPr>
              <w:t>瘤</w:t>
            </w:r>
            <w:r>
              <w:rPr>
                <w:b/>
                <w:i/>
                <w:spacing w:val="-2"/>
                <w:sz w:val="22"/>
              </w:rPr>
              <w:t>变</w:t>
            </w:r>
            <w:r>
              <w:rPr>
                <w:b/>
                <w:i/>
                <w:spacing w:val="-2"/>
                <w:sz w:val="22"/>
              </w:rPr>
              <w:t>，</w:t>
            </w:r>
            <w:r>
              <w:rPr>
                <w:b/>
                <w:i/>
                <w:spacing w:val="-2"/>
                <w:sz w:val="22"/>
              </w:rPr>
              <w:t>细</w:t>
            </w:r>
            <w:r>
              <w:rPr>
                <w:b/>
                <w:i/>
                <w:spacing w:val="-2"/>
                <w:sz w:val="22"/>
              </w:rPr>
              <w:t>胞</w:t>
            </w:r>
            <w:r>
              <w:rPr>
                <w:b/>
                <w:i/>
                <w:spacing w:val="-2"/>
                <w:sz w:val="22"/>
              </w:rPr>
              <w:t>不典型</w:t>
            </w:r>
            <w:r>
              <w:rPr>
                <w:b/>
                <w:i/>
                <w:spacing w:val="-2"/>
                <w:sz w:val="22"/>
              </w:rPr>
              <w:t>性</w:t>
            </w:r>
            <w:r>
              <w:rPr>
                <w:b/>
                <w:i/>
                <w:spacing w:val="-2"/>
                <w:sz w:val="22"/>
              </w:rPr>
              <w:t>增</w:t>
            </w:r>
            <w:r>
              <w:rPr>
                <w:b/>
                <w:i/>
                <w:spacing w:val="-2"/>
                <w:sz w:val="22"/>
              </w:rPr>
              <w:t>生</w:t>
            </w:r>
            <w:r>
              <w:rPr>
                <w:b/>
                <w:i/>
                <w:spacing w:val="-2"/>
                <w:sz w:val="22"/>
              </w:rPr>
              <w:t>等</w:t>
            </w:r>
            <w:r>
              <w:rPr>
                <w:b/>
                <w:i/>
                <w:spacing w:val="-2"/>
                <w:sz w:val="22"/>
              </w:rPr>
              <w:t>；</w:t>
            </w:r>
          </w:p>
          <w:p>
            <w:pPr>
              <w:pStyle w:val="TableParagraph"/>
              <w:numPr>
                <w:ilvl w:val="0"/>
                <w:numId w:val="18"/>
              </w:numPr>
              <w:tabs>
                <w:tab w:pos="359" w:val="left" w:leader="none"/>
              </w:tabs>
              <w:spacing w:line="280" w:lineRule="exact" w:before="0" w:after="0"/>
              <w:ind w:left="358" w:right="0" w:hanging="213"/>
              <w:jc w:val="left"/>
              <w:rPr>
                <w:b/>
                <w:i/>
                <w:sz w:val="22"/>
              </w:rPr>
            </w:pPr>
            <w:r>
              <w:rPr>
                <w:b/>
                <w:i/>
                <w:spacing w:val="-3"/>
                <w:w w:val="95"/>
                <w:sz w:val="22"/>
              </w:rPr>
              <w:t>交界性肿瘤，交界恶性肿瘤，肿瘤低度恶性潜能，潜在低度恶性肿瘤等。</w:t>
            </w:r>
          </w:p>
        </w:tc>
      </w:tr>
      <w:tr>
        <w:trPr>
          <w:trHeight w:val="467" w:hRule="atLeast"/>
        </w:trPr>
        <w:tc>
          <w:tcPr>
            <w:tcW w:w="829" w:type="dxa"/>
          </w:tcPr>
          <w:p>
            <w:pPr>
              <w:pStyle w:val="TableParagraph"/>
              <w:spacing w:before="177"/>
              <w:ind w:left="50"/>
              <w:rPr>
                <w:b/>
                <w:sz w:val="21"/>
              </w:rPr>
            </w:pPr>
            <w:r>
              <w:rPr>
                <w:b/>
                <w:spacing w:val="-4"/>
                <w:sz w:val="21"/>
              </w:rPr>
              <w:t>9.15</w:t>
            </w:r>
          </w:p>
        </w:tc>
        <w:tc>
          <w:tcPr>
            <w:tcW w:w="1770" w:type="dxa"/>
          </w:tcPr>
          <w:p>
            <w:pPr>
              <w:pStyle w:val="TableParagraph"/>
              <w:spacing w:before="177"/>
              <w:ind w:left="356"/>
              <w:rPr>
                <w:b/>
                <w:sz w:val="21"/>
              </w:rPr>
            </w:pPr>
            <w:r>
              <w:rPr>
                <w:b/>
                <w:spacing w:val="-3"/>
                <w:sz w:val="21"/>
              </w:rPr>
              <w:t>化学疗法</w:t>
            </w:r>
          </w:p>
        </w:tc>
        <w:tc>
          <w:tcPr>
            <w:tcW w:w="7320" w:type="dxa"/>
          </w:tcPr>
          <w:p>
            <w:pPr>
              <w:pStyle w:val="TableParagraph"/>
              <w:spacing w:before="177"/>
              <w:ind w:left="146"/>
              <w:rPr>
                <w:sz w:val="21"/>
              </w:rPr>
            </w:pPr>
            <w:r>
              <w:rPr>
                <w:spacing w:val="-3"/>
                <w:sz w:val="21"/>
              </w:rPr>
              <w:t>指针对于恶性肿瘤——重度的化学疗法。化疗是使用医学界公认的化疗药物</w:t>
            </w:r>
          </w:p>
        </w:tc>
      </w:tr>
      <w:tr>
        <w:trPr>
          <w:trHeight w:val="261" w:hRule="atLeast"/>
        </w:trPr>
        <w:tc>
          <w:tcPr>
            <w:tcW w:w="829" w:type="dxa"/>
          </w:tcPr>
          <w:p>
            <w:pPr>
              <w:pStyle w:val="TableParagraph"/>
              <w:spacing w:before="0"/>
              <w:rPr>
                <w:rFonts w:ascii="Times New Roman"/>
                <w:sz w:val="18"/>
              </w:rPr>
            </w:pPr>
          </w:p>
        </w:tc>
        <w:tc>
          <w:tcPr>
            <w:tcW w:w="1770" w:type="dxa"/>
          </w:tcPr>
          <w:p>
            <w:pPr>
              <w:pStyle w:val="TableParagraph"/>
              <w:spacing w:before="0"/>
              <w:rPr>
                <w:rFonts w:ascii="Times New Roman"/>
                <w:sz w:val="18"/>
              </w:rPr>
            </w:pPr>
          </w:p>
        </w:tc>
        <w:tc>
          <w:tcPr>
            <w:tcW w:w="7320" w:type="dxa"/>
          </w:tcPr>
          <w:p>
            <w:pPr>
              <w:pStyle w:val="TableParagraph"/>
              <w:spacing w:line="220" w:lineRule="exact"/>
              <w:ind w:left="146"/>
              <w:rPr>
                <w:sz w:val="21"/>
              </w:rPr>
            </w:pPr>
            <w:r>
              <w:rPr>
                <w:spacing w:val="-3"/>
                <w:sz w:val="21"/>
              </w:rPr>
              <w:t>以杀死癌细胞、抑制癌细胞生长繁殖为目的而进行的治疗。本主险合同所指</w:t>
            </w:r>
          </w:p>
        </w:tc>
      </w:tr>
    </w:tbl>
    <w:p>
      <w:pPr>
        <w:spacing w:after="0" w:line="220" w:lineRule="exact"/>
        <w:rPr>
          <w:sz w:val="21"/>
        </w:rPr>
        <w:sectPr>
          <w:pgSz w:w="11910" w:h="16840"/>
          <w:pgMar w:top="880" w:bottom="280" w:left="1060" w:right="660"/>
        </w:sectPr>
      </w:pPr>
    </w:p>
    <w:p>
      <w:pPr>
        <w:pStyle w:val="BodyText"/>
        <w:spacing w:before="61"/>
        <w:ind w:left="2904"/>
      </w:pPr>
      <w:r>
        <w:rPr>
          <w:spacing w:val="-3"/>
        </w:rPr>
        <w:t>的化疗为被保险人根据医嘱，在医院进行的静脉注射化疗。</w:t>
      </w:r>
    </w:p>
    <w:p>
      <w:pPr>
        <w:pStyle w:val="BodyText"/>
        <w:spacing w:before="8"/>
        <w:rPr>
          <w:sz w:val="27"/>
        </w:rPr>
      </w:pPr>
    </w:p>
    <w:p>
      <w:pPr>
        <w:pStyle w:val="ListParagraph"/>
        <w:numPr>
          <w:ilvl w:val="1"/>
          <w:numId w:val="19"/>
        </w:numPr>
        <w:tabs>
          <w:tab w:pos="1345" w:val="left" w:leader="none"/>
        </w:tabs>
        <w:spacing w:line="278" w:lineRule="auto" w:before="1" w:after="0"/>
        <w:ind w:left="2904" w:right="342" w:hanging="2696"/>
        <w:jc w:val="both"/>
        <w:rPr>
          <w:sz w:val="21"/>
        </w:rPr>
      </w:pPr>
      <w:r>
        <w:rPr>
          <w:b/>
          <w:sz w:val="21"/>
        </w:rPr>
        <w:t>放射疗法</w:t>
      </w:r>
      <w:r>
        <w:rPr>
          <w:b/>
          <w:spacing w:val="583"/>
          <w:sz w:val="21"/>
        </w:rPr>
        <w:t> </w:t>
      </w:r>
      <w:r>
        <w:rPr>
          <w:sz w:val="21"/>
        </w:rPr>
        <w:t>指针对于恶性肿瘤——重度的放射治疗。放疗是使用各种不同能量的射线照</w:t>
      </w:r>
      <w:r>
        <w:rPr>
          <w:spacing w:val="-2"/>
          <w:sz w:val="21"/>
        </w:rPr>
        <w:t>射肿瘤组织，以抑制和杀灭癌细胞为目的而进行的治疗。本主险合同所指的</w:t>
      </w:r>
      <w:r>
        <w:rPr>
          <w:spacing w:val="-2"/>
          <w:sz w:val="21"/>
        </w:rPr>
        <w:t>放疗为被保险人根据医嘱，在医院的专门科室进行的放疗。</w:t>
      </w:r>
    </w:p>
    <w:p>
      <w:pPr>
        <w:pStyle w:val="BodyText"/>
        <w:spacing w:before="4"/>
        <w:rPr>
          <w:sz w:val="24"/>
        </w:rPr>
      </w:pPr>
    </w:p>
    <w:p>
      <w:pPr>
        <w:pStyle w:val="ListParagraph"/>
        <w:numPr>
          <w:ilvl w:val="1"/>
          <w:numId w:val="19"/>
        </w:numPr>
        <w:tabs>
          <w:tab w:pos="1344" w:val="left" w:leader="none"/>
          <w:tab w:pos="1345" w:val="left" w:leader="none"/>
          <w:tab w:pos="2904" w:val="left" w:leader="none"/>
        </w:tabs>
        <w:spacing w:line="278" w:lineRule="auto" w:before="0" w:after="0"/>
        <w:ind w:left="2904" w:right="155" w:hanging="2696"/>
        <w:jc w:val="left"/>
        <w:rPr>
          <w:sz w:val="21"/>
        </w:rPr>
      </w:pPr>
      <w:r>
        <w:rPr>
          <w:b/>
          <w:w w:val="100"/>
          <w:sz w:val="21"/>
        </w:rPr>
        <w:t>肿瘤免疫疗法</w:t>
      </w:r>
      <w:r>
        <w:rPr>
          <w:b/>
          <w:sz w:val="21"/>
        </w:rPr>
        <w:tab/>
      </w:r>
      <w:r>
        <w:rPr>
          <w:w w:val="100"/>
          <w:sz w:val="21"/>
        </w:rPr>
        <w:t>指应</w:t>
      </w:r>
      <w:r>
        <w:rPr>
          <w:spacing w:val="-3"/>
          <w:w w:val="100"/>
          <w:sz w:val="21"/>
        </w:rPr>
        <w:t>用</w:t>
      </w:r>
      <w:r>
        <w:rPr>
          <w:w w:val="100"/>
          <w:sz w:val="21"/>
        </w:rPr>
        <w:t>免</w:t>
      </w:r>
      <w:r>
        <w:rPr>
          <w:spacing w:val="-3"/>
          <w:w w:val="100"/>
          <w:sz w:val="21"/>
        </w:rPr>
        <w:t>疫</w:t>
      </w:r>
      <w:r>
        <w:rPr>
          <w:w w:val="100"/>
          <w:sz w:val="21"/>
        </w:rPr>
        <w:t>学</w:t>
      </w:r>
      <w:r>
        <w:rPr>
          <w:spacing w:val="-3"/>
          <w:w w:val="100"/>
          <w:sz w:val="21"/>
        </w:rPr>
        <w:t>原</w:t>
      </w:r>
      <w:r>
        <w:rPr>
          <w:w w:val="100"/>
          <w:sz w:val="21"/>
        </w:rPr>
        <w:t>理</w:t>
      </w:r>
      <w:r>
        <w:rPr>
          <w:spacing w:val="-3"/>
          <w:w w:val="100"/>
          <w:sz w:val="21"/>
        </w:rPr>
        <w:t>和</w:t>
      </w:r>
      <w:r>
        <w:rPr>
          <w:w w:val="100"/>
          <w:sz w:val="21"/>
        </w:rPr>
        <w:t>方</w:t>
      </w:r>
      <w:r>
        <w:rPr>
          <w:spacing w:val="-3"/>
          <w:w w:val="100"/>
          <w:sz w:val="21"/>
        </w:rPr>
        <w:t>法</w:t>
      </w:r>
      <w:r>
        <w:rPr>
          <w:w w:val="100"/>
          <w:sz w:val="21"/>
        </w:rPr>
        <w:t>，使</w:t>
      </w:r>
      <w:r>
        <w:rPr>
          <w:spacing w:val="-3"/>
          <w:w w:val="100"/>
          <w:sz w:val="21"/>
        </w:rPr>
        <w:t>用</w:t>
      </w:r>
      <w:r>
        <w:rPr>
          <w:w w:val="100"/>
          <w:sz w:val="21"/>
        </w:rPr>
        <w:t>肿</w:t>
      </w:r>
      <w:r>
        <w:rPr>
          <w:spacing w:val="-3"/>
          <w:w w:val="100"/>
          <w:sz w:val="21"/>
        </w:rPr>
        <w:t>瘤</w:t>
      </w:r>
      <w:r>
        <w:rPr>
          <w:w w:val="100"/>
          <w:sz w:val="21"/>
        </w:rPr>
        <w:t>免</w:t>
      </w:r>
      <w:r>
        <w:rPr>
          <w:spacing w:val="-3"/>
          <w:w w:val="100"/>
          <w:sz w:val="21"/>
        </w:rPr>
        <w:t>疫</w:t>
      </w:r>
      <w:r>
        <w:rPr>
          <w:w w:val="100"/>
          <w:sz w:val="21"/>
        </w:rPr>
        <w:t>治</w:t>
      </w:r>
      <w:r>
        <w:rPr>
          <w:spacing w:val="-3"/>
          <w:w w:val="100"/>
          <w:sz w:val="21"/>
        </w:rPr>
        <w:t>疗</w:t>
      </w:r>
      <w:r>
        <w:rPr>
          <w:w w:val="100"/>
          <w:sz w:val="21"/>
        </w:rPr>
        <w:t>药</w:t>
      </w:r>
      <w:r>
        <w:rPr>
          <w:spacing w:val="-3"/>
          <w:w w:val="100"/>
          <w:sz w:val="21"/>
        </w:rPr>
        <w:t>物</w:t>
      </w:r>
      <w:r>
        <w:rPr>
          <w:w w:val="100"/>
          <w:sz w:val="21"/>
        </w:rPr>
        <w:t>提高</w:t>
      </w:r>
      <w:r>
        <w:rPr>
          <w:spacing w:val="-3"/>
          <w:w w:val="100"/>
          <w:sz w:val="21"/>
        </w:rPr>
        <w:t>肿</w:t>
      </w:r>
      <w:r>
        <w:rPr>
          <w:w w:val="100"/>
          <w:sz w:val="21"/>
        </w:rPr>
        <w:t>瘤</w:t>
      </w:r>
      <w:r>
        <w:rPr>
          <w:spacing w:val="-3"/>
          <w:w w:val="100"/>
          <w:sz w:val="21"/>
        </w:rPr>
        <w:t>细</w:t>
      </w:r>
      <w:r>
        <w:rPr>
          <w:w w:val="100"/>
          <w:sz w:val="21"/>
        </w:rPr>
        <w:t>胞</w:t>
      </w:r>
      <w:r>
        <w:rPr>
          <w:spacing w:val="-3"/>
          <w:w w:val="100"/>
          <w:sz w:val="21"/>
        </w:rPr>
        <w:t>的</w:t>
      </w:r>
      <w:r>
        <w:rPr>
          <w:w w:val="100"/>
          <w:sz w:val="21"/>
        </w:rPr>
        <w:t>免</w:t>
      </w:r>
      <w:r>
        <w:rPr>
          <w:spacing w:val="-3"/>
          <w:w w:val="100"/>
          <w:sz w:val="21"/>
        </w:rPr>
        <w:t>疫</w:t>
      </w:r>
      <w:r>
        <w:rPr>
          <w:w w:val="100"/>
          <w:sz w:val="21"/>
        </w:rPr>
        <w:t>原性和对</w:t>
      </w:r>
      <w:r>
        <w:rPr>
          <w:spacing w:val="-3"/>
          <w:w w:val="100"/>
          <w:sz w:val="21"/>
        </w:rPr>
        <w:t>效</w:t>
      </w:r>
      <w:r>
        <w:rPr>
          <w:w w:val="100"/>
          <w:sz w:val="21"/>
        </w:rPr>
        <w:t>应</w:t>
      </w:r>
      <w:r>
        <w:rPr>
          <w:spacing w:val="-3"/>
          <w:w w:val="100"/>
          <w:sz w:val="21"/>
        </w:rPr>
        <w:t>细</w:t>
      </w:r>
      <w:r>
        <w:rPr>
          <w:w w:val="100"/>
          <w:sz w:val="21"/>
        </w:rPr>
        <w:t>胞</w:t>
      </w:r>
      <w:r>
        <w:rPr>
          <w:spacing w:val="-3"/>
          <w:w w:val="100"/>
          <w:sz w:val="21"/>
        </w:rPr>
        <w:t>杀</w:t>
      </w:r>
      <w:r>
        <w:rPr>
          <w:w w:val="100"/>
          <w:sz w:val="21"/>
        </w:rPr>
        <w:t>伤</w:t>
      </w:r>
      <w:r>
        <w:rPr>
          <w:spacing w:val="-3"/>
          <w:w w:val="100"/>
          <w:sz w:val="21"/>
        </w:rPr>
        <w:t>的</w:t>
      </w:r>
      <w:r>
        <w:rPr>
          <w:w w:val="100"/>
          <w:sz w:val="21"/>
        </w:rPr>
        <w:t>敏</w:t>
      </w:r>
      <w:r>
        <w:rPr>
          <w:spacing w:val="-3"/>
          <w:w w:val="100"/>
          <w:sz w:val="21"/>
        </w:rPr>
        <w:t>感</w:t>
      </w:r>
      <w:r>
        <w:rPr>
          <w:w w:val="100"/>
          <w:sz w:val="21"/>
        </w:rPr>
        <w:t>性，</w:t>
      </w:r>
      <w:r>
        <w:rPr>
          <w:spacing w:val="-3"/>
          <w:w w:val="100"/>
          <w:sz w:val="21"/>
        </w:rPr>
        <w:t>激</w:t>
      </w:r>
      <w:r>
        <w:rPr>
          <w:w w:val="100"/>
          <w:sz w:val="21"/>
        </w:rPr>
        <w:t>发</w:t>
      </w:r>
      <w:r>
        <w:rPr>
          <w:spacing w:val="-3"/>
          <w:w w:val="100"/>
          <w:sz w:val="21"/>
        </w:rPr>
        <w:t>和</w:t>
      </w:r>
      <w:r>
        <w:rPr>
          <w:w w:val="100"/>
          <w:sz w:val="21"/>
        </w:rPr>
        <w:t>增</w:t>
      </w:r>
      <w:r>
        <w:rPr>
          <w:spacing w:val="-3"/>
          <w:w w:val="100"/>
          <w:sz w:val="21"/>
        </w:rPr>
        <w:t>强</w:t>
      </w:r>
      <w:r>
        <w:rPr>
          <w:w w:val="100"/>
          <w:sz w:val="21"/>
        </w:rPr>
        <w:t>机</w:t>
      </w:r>
      <w:r>
        <w:rPr>
          <w:spacing w:val="-3"/>
          <w:w w:val="100"/>
          <w:sz w:val="21"/>
        </w:rPr>
        <w:t>体</w:t>
      </w:r>
      <w:r>
        <w:rPr>
          <w:w w:val="100"/>
          <w:sz w:val="21"/>
        </w:rPr>
        <w:t>抗</w:t>
      </w:r>
      <w:r>
        <w:rPr>
          <w:spacing w:val="-3"/>
          <w:w w:val="100"/>
          <w:sz w:val="21"/>
        </w:rPr>
        <w:t>肿</w:t>
      </w:r>
      <w:r>
        <w:rPr>
          <w:w w:val="100"/>
          <w:sz w:val="21"/>
        </w:rPr>
        <w:t>瘤免</w:t>
      </w:r>
      <w:r>
        <w:rPr>
          <w:spacing w:val="-3"/>
          <w:w w:val="100"/>
          <w:sz w:val="21"/>
        </w:rPr>
        <w:t>疫</w:t>
      </w:r>
      <w:r>
        <w:rPr>
          <w:w w:val="100"/>
          <w:sz w:val="21"/>
        </w:rPr>
        <w:t>应</w:t>
      </w:r>
      <w:r>
        <w:rPr>
          <w:spacing w:val="-3"/>
          <w:w w:val="100"/>
          <w:sz w:val="21"/>
        </w:rPr>
        <w:t>答</w:t>
      </w:r>
      <w:r>
        <w:rPr>
          <w:w w:val="100"/>
          <w:sz w:val="21"/>
        </w:rPr>
        <w:t>，</w:t>
      </w:r>
      <w:r>
        <w:rPr>
          <w:spacing w:val="-3"/>
          <w:w w:val="100"/>
          <w:sz w:val="21"/>
        </w:rPr>
        <w:t>并</w:t>
      </w:r>
      <w:r>
        <w:rPr>
          <w:w w:val="100"/>
          <w:sz w:val="21"/>
        </w:rPr>
        <w:t>应</w:t>
      </w:r>
      <w:r>
        <w:rPr>
          <w:spacing w:val="-3"/>
          <w:w w:val="100"/>
          <w:sz w:val="21"/>
        </w:rPr>
        <w:t>用</w:t>
      </w:r>
      <w:r>
        <w:rPr>
          <w:w w:val="100"/>
          <w:sz w:val="21"/>
        </w:rPr>
        <w:t>免疫细胞</w:t>
      </w:r>
      <w:r>
        <w:rPr>
          <w:spacing w:val="-3"/>
          <w:w w:val="100"/>
          <w:sz w:val="21"/>
        </w:rPr>
        <w:t>和</w:t>
      </w:r>
      <w:r>
        <w:rPr>
          <w:w w:val="100"/>
          <w:sz w:val="21"/>
        </w:rPr>
        <w:t>效</w:t>
      </w:r>
      <w:r>
        <w:rPr>
          <w:spacing w:val="-3"/>
          <w:w w:val="100"/>
          <w:sz w:val="21"/>
        </w:rPr>
        <w:t>应</w:t>
      </w:r>
      <w:r>
        <w:rPr>
          <w:w w:val="100"/>
          <w:sz w:val="21"/>
        </w:rPr>
        <w:t>分</w:t>
      </w:r>
      <w:r>
        <w:rPr>
          <w:spacing w:val="-3"/>
          <w:w w:val="100"/>
          <w:sz w:val="21"/>
        </w:rPr>
        <w:t>子</w:t>
      </w:r>
      <w:r>
        <w:rPr>
          <w:w w:val="100"/>
          <w:sz w:val="21"/>
        </w:rPr>
        <w:t>输</w:t>
      </w:r>
      <w:r>
        <w:rPr>
          <w:spacing w:val="-3"/>
          <w:w w:val="100"/>
          <w:sz w:val="21"/>
        </w:rPr>
        <w:t>注</w:t>
      </w:r>
      <w:r>
        <w:rPr>
          <w:w w:val="100"/>
          <w:sz w:val="21"/>
        </w:rPr>
        <w:t>宿</w:t>
      </w:r>
      <w:r>
        <w:rPr>
          <w:spacing w:val="-3"/>
          <w:w w:val="100"/>
          <w:sz w:val="21"/>
        </w:rPr>
        <w:t>主</w:t>
      </w:r>
      <w:r>
        <w:rPr>
          <w:w w:val="100"/>
          <w:sz w:val="21"/>
        </w:rPr>
        <w:t>体内</w:t>
      </w:r>
      <w:r>
        <w:rPr>
          <w:spacing w:val="-15"/>
          <w:w w:val="100"/>
          <w:sz w:val="21"/>
        </w:rPr>
        <w:t>，</w:t>
      </w:r>
      <w:r>
        <w:rPr>
          <w:w w:val="100"/>
          <w:sz w:val="21"/>
        </w:rPr>
        <w:t>协</w:t>
      </w:r>
      <w:r>
        <w:rPr>
          <w:spacing w:val="-3"/>
          <w:w w:val="100"/>
          <w:sz w:val="21"/>
        </w:rPr>
        <w:t>同</w:t>
      </w:r>
      <w:r>
        <w:rPr>
          <w:w w:val="100"/>
          <w:sz w:val="21"/>
        </w:rPr>
        <w:t>机</w:t>
      </w:r>
      <w:r>
        <w:rPr>
          <w:spacing w:val="-3"/>
          <w:w w:val="100"/>
          <w:sz w:val="21"/>
        </w:rPr>
        <w:t>体</w:t>
      </w:r>
      <w:r>
        <w:rPr>
          <w:w w:val="100"/>
          <w:sz w:val="21"/>
        </w:rPr>
        <w:t>免</w:t>
      </w:r>
      <w:r>
        <w:rPr>
          <w:spacing w:val="-3"/>
          <w:w w:val="100"/>
          <w:sz w:val="21"/>
        </w:rPr>
        <w:t>疫</w:t>
      </w:r>
      <w:r>
        <w:rPr>
          <w:w w:val="100"/>
          <w:sz w:val="21"/>
        </w:rPr>
        <w:t>系</w:t>
      </w:r>
      <w:r>
        <w:rPr>
          <w:spacing w:val="-3"/>
          <w:w w:val="100"/>
          <w:sz w:val="21"/>
        </w:rPr>
        <w:t>统</w:t>
      </w:r>
      <w:r>
        <w:rPr>
          <w:w w:val="100"/>
          <w:sz w:val="21"/>
        </w:rPr>
        <w:t>杀伤</w:t>
      </w:r>
      <w:r>
        <w:rPr>
          <w:spacing w:val="-3"/>
          <w:w w:val="100"/>
          <w:sz w:val="21"/>
        </w:rPr>
        <w:t>肿</w:t>
      </w:r>
      <w:r>
        <w:rPr>
          <w:w w:val="100"/>
          <w:sz w:val="21"/>
        </w:rPr>
        <w:t>瘤</w:t>
      </w:r>
      <w:r>
        <w:rPr>
          <w:spacing w:val="-15"/>
          <w:w w:val="100"/>
          <w:sz w:val="21"/>
        </w:rPr>
        <w:t>，</w:t>
      </w:r>
      <w:r>
        <w:rPr>
          <w:w w:val="100"/>
          <w:sz w:val="21"/>
        </w:rPr>
        <w:t>抑</w:t>
      </w:r>
      <w:r>
        <w:rPr>
          <w:spacing w:val="-3"/>
          <w:w w:val="100"/>
          <w:sz w:val="21"/>
        </w:rPr>
        <w:t>制</w:t>
      </w:r>
      <w:r>
        <w:rPr>
          <w:w w:val="100"/>
          <w:sz w:val="21"/>
        </w:rPr>
        <w:t>肿</w:t>
      </w:r>
      <w:r>
        <w:rPr>
          <w:spacing w:val="-3"/>
          <w:w w:val="100"/>
          <w:sz w:val="21"/>
        </w:rPr>
        <w:t>瘤</w:t>
      </w:r>
      <w:r>
        <w:rPr>
          <w:w w:val="100"/>
          <w:sz w:val="21"/>
        </w:rPr>
        <w:t>生</w:t>
      </w:r>
      <w:r>
        <w:rPr>
          <w:spacing w:val="-1"/>
          <w:w w:val="100"/>
          <w:sz w:val="21"/>
        </w:rPr>
        <w:t>长</w:t>
      </w:r>
      <w:r>
        <w:rPr>
          <w:w w:val="100"/>
          <w:sz w:val="21"/>
        </w:rPr>
        <w:t>。本主</w:t>
      </w:r>
      <w:r>
        <w:rPr>
          <w:spacing w:val="-3"/>
          <w:w w:val="100"/>
          <w:sz w:val="21"/>
        </w:rPr>
        <w:t>险</w:t>
      </w:r>
      <w:r>
        <w:rPr>
          <w:w w:val="100"/>
          <w:sz w:val="21"/>
        </w:rPr>
        <w:t>合</w:t>
      </w:r>
      <w:r>
        <w:rPr>
          <w:spacing w:val="-3"/>
          <w:w w:val="100"/>
          <w:sz w:val="21"/>
        </w:rPr>
        <w:t>同</w:t>
      </w:r>
      <w:r>
        <w:rPr>
          <w:w w:val="100"/>
          <w:sz w:val="21"/>
        </w:rPr>
        <w:t>所</w:t>
      </w:r>
      <w:r>
        <w:rPr>
          <w:spacing w:val="-3"/>
          <w:w w:val="100"/>
          <w:sz w:val="21"/>
        </w:rPr>
        <w:t>指</w:t>
      </w:r>
      <w:r>
        <w:rPr>
          <w:w w:val="100"/>
          <w:sz w:val="21"/>
        </w:rPr>
        <w:t>的</w:t>
      </w:r>
      <w:r>
        <w:rPr>
          <w:spacing w:val="-3"/>
          <w:w w:val="100"/>
          <w:sz w:val="21"/>
        </w:rPr>
        <w:t>肿</w:t>
      </w:r>
      <w:r>
        <w:rPr>
          <w:w w:val="100"/>
          <w:sz w:val="21"/>
        </w:rPr>
        <w:t>瘤</w:t>
      </w:r>
      <w:r>
        <w:rPr>
          <w:spacing w:val="-3"/>
          <w:w w:val="100"/>
          <w:sz w:val="21"/>
        </w:rPr>
        <w:t>免</w:t>
      </w:r>
      <w:r>
        <w:rPr>
          <w:w w:val="100"/>
          <w:sz w:val="21"/>
        </w:rPr>
        <w:t>疫疗</w:t>
      </w:r>
      <w:r>
        <w:rPr>
          <w:spacing w:val="-3"/>
          <w:w w:val="100"/>
          <w:sz w:val="21"/>
        </w:rPr>
        <w:t>法</w:t>
      </w:r>
      <w:r>
        <w:rPr>
          <w:w w:val="100"/>
          <w:sz w:val="21"/>
        </w:rPr>
        <w:t>使</w:t>
      </w:r>
      <w:r>
        <w:rPr>
          <w:spacing w:val="-3"/>
          <w:w w:val="100"/>
          <w:sz w:val="21"/>
        </w:rPr>
        <w:t>用</w:t>
      </w:r>
      <w:r>
        <w:rPr>
          <w:w w:val="100"/>
          <w:sz w:val="21"/>
        </w:rPr>
        <w:t>的</w:t>
      </w:r>
      <w:r>
        <w:rPr>
          <w:spacing w:val="-3"/>
          <w:w w:val="100"/>
          <w:sz w:val="21"/>
        </w:rPr>
        <w:t>药</w:t>
      </w:r>
      <w:r>
        <w:rPr>
          <w:w w:val="100"/>
          <w:sz w:val="21"/>
        </w:rPr>
        <w:t>物</w:t>
      </w:r>
      <w:r>
        <w:rPr>
          <w:spacing w:val="-3"/>
          <w:w w:val="100"/>
          <w:sz w:val="21"/>
        </w:rPr>
        <w:t>需</w:t>
      </w:r>
      <w:r>
        <w:rPr>
          <w:w w:val="100"/>
          <w:sz w:val="21"/>
        </w:rPr>
        <w:t>符</w:t>
      </w:r>
      <w:r>
        <w:rPr>
          <w:spacing w:val="-3"/>
          <w:w w:val="100"/>
          <w:sz w:val="21"/>
        </w:rPr>
        <w:t>合</w:t>
      </w:r>
      <w:r>
        <w:rPr>
          <w:w w:val="100"/>
          <w:sz w:val="21"/>
        </w:rPr>
        <w:t>法律</w:t>
      </w:r>
      <w:r>
        <w:rPr>
          <w:spacing w:val="-3"/>
          <w:w w:val="100"/>
          <w:sz w:val="21"/>
        </w:rPr>
        <w:t>、</w:t>
      </w:r>
      <w:r>
        <w:rPr>
          <w:w w:val="100"/>
          <w:sz w:val="21"/>
        </w:rPr>
        <w:t>法</w:t>
      </w:r>
      <w:r>
        <w:rPr>
          <w:spacing w:val="-3"/>
          <w:w w:val="100"/>
          <w:sz w:val="21"/>
        </w:rPr>
        <w:t>规</w:t>
      </w:r>
      <w:r>
        <w:rPr>
          <w:w w:val="100"/>
          <w:sz w:val="21"/>
        </w:rPr>
        <w:t>要</w:t>
      </w:r>
      <w:r>
        <w:rPr>
          <w:spacing w:val="-3"/>
          <w:w w:val="100"/>
          <w:sz w:val="21"/>
        </w:rPr>
        <w:t>求</w:t>
      </w:r>
      <w:r>
        <w:rPr>
          <w:w w:val="100"/>
          <w:sz w:val="21"/>
        </w:rPr>
        <w:t>并</w:t>
      </w:r>
      <w:r>
        <w:rPr>
          <w:spacing w:val="-3"/>
          <w:w w:val="100"/>
          <w:sz w:val="21"/>
        </w:rPr>
        <w:t>经</w:t>
      </w:r>
      <w:r>
        <w:rPr>
          <w:w w:val="100"/>
          <w:sz w:val="21"/>
        </w:rPr>
        <w:t>过国家药</w:t>
      </w:r>
      <w:r>
        <w:rPr>
          <w:spacing w:val="-3"/>
          <w:w w:val="100"/>
          <w:sz w:val="21"/>
        </w:rPr>
        <w:t>品</w:t>
      </w:r>
      <w:r>
        <w:rPr>
          <w:w w:val="100"/>
          <w:sz w:val="21"/>
        </w:rPr>
        <w:t>监</w:t>
      </w:r>
      <w:r>
        <w:rPr>
          <w:spacing w:val="-3"/>
          <w:w w:val="100"/>
          <w:sz w:val="21"/>
        </w:rPr>
        <w:t>督</w:t>
      </w:r>
      <w:r>
        <w:rPr>
          <w:w w:val="100"/>
          <w:sz w:val="21"/>
        </w:rPr>
        <w:t>管</w:t>
      </w:r>
      <w:r>
        <w:rPr>
          <w:spacing w:val="-3"/>
          <w:w w:val="100"/>
          <w:sz w:val="21"/>
        </w:rPr>
        <w:t>理</w:t>
      </w:r>
      <w:r>
        <w:rPr>
          <w:w w:val="100"/>
          <w:sz w:val="21"/>
        </w:rPr>
        <w:t>局</w:t>
      </w:r>
      <w:r>
        <w:rPr>
          <w:spacing w:val="-3"/>
          <w:w w:val="100"/>
          <w:sz w:val="21"/>
        </w:rPr>
        <w:t>批</w:t>
      </w:r>
      <w:r>
        <w:rPr>
          <w:w w:val="100"/>
          <w:sz w:val="21"/>
        </w:rPr>
        <w:t>准</w:t>
      </w:r>
      <w:r>
        <w:rPr>
          <w:spacing w:val="-3"/>
          <w:w w:val="100"/>
          <w:sz w:val="21"/>
        </w:rPr>
        <w:t>用</w:t>
      </w:r>
      <w:r>
        <w:rPr>
          <w:w w:val="100"/>
          <w:sz w:val="21"/>
        </w:rPr>
        <w:t>于临</w:t>
      </w:r>
      <w:r>
        <w:rPr>
          <w:spacing w:val="-3"/>
          <w:w w:val="100"/>
          <w:sz w:val="21"/>
        </w:rPr>
        <w:t>床</w:t>
      </w:r>
      <w:r>
        <w:rPr>
          <w:w w:val="100"/>
          <w:sz w:val="21"/>
        </w:rPr>
        <w:t>治</w:t>
      </w:r>
      <w:r>
        <w:rPr>
          <w:spacing w:val="-3"/>
          <w:w w:val="100"/>
          <w:sz w:val="21"/>
        </w:rPr>
        <w:t>疗</w:t>
      </w:r>
      <w:r>
        <w:rPr>
          <w:w w:val="100"/>
          <w:sz w:val="21"/>
        </w:rPr>
        <w:t>。</w:t>
      </w:r>
    </w:p>
    <w:p>
      <w:pPr>
        <w:pStyle w:val="BodyText"/>
        <w:spacing w:before="9"/>
        <w:rPr>
          <w:sz w:val="18"/>
        </w:rPr>
      </w:pPr>
    </w:p>
    <w:p>
      <w:pPr>
        <w:spacing w:after="0"/>
        <w:rPr>
          <w:sz w:val="18"/>
        </w:rPr>
        <w:sectPr>
          <w:pgSz w:w="11910" w:h="16840"/>
          <w:pgMar w:top="880" w:bottom="280" w:left="1060" w:right="660"/>
        </w:sectPr>
      </w:pPr>
    </w:p>
    <w:p>
      <w:pPr>
        <w:pStyle w:val="ListParagraph"/>
        <w:numPr>
          <w:ilvl w:val="1"/>
          <w:numId w:val="19"/>
        </w:numPr>
        <w:tabs>
          <w:tab w:pos="1344" w:val="left" w:leader="none"/>
          <w:tab w:pos="1345" w:val="left" w:leader="none"/>
        </w:tabs>
        <w:spacing w:line="278" w:lineRule="auto" w:before="72" w:after="0"/>
        <w:ind w:left="1344" w:right="38" w:hanging="1136"/>
        <w:jc w:val="left"/>
        <w:rPr>
          <w:b/>
          <w:sz w:val="21"/>
        </w:rPr>
      </w:pPr>
      <w:r>
        <w:rPr>
          <w:b/>
          <w:spacing w:val="-2"/>
          <w:sz w:val="21"/>
        </w:rPr>
        <w:t>肿瘤内分泌疗</w:t>
      </w:r>
      <w:r>
        <w:rPr>
          <w:b/>
          <w:spacing w:val="-10"/>
          <w:sz w:val="21"/>
        </w:rPr>
        <w:t>法</w:t>
      </w:r>
    </w:p>
    <w:p>
      <w:pPr>
        <w:pStyle w:val="BodyText"/>
        <w:spacing w:line="278" w:lineRule="auto" w:before="72"/>
        <w:ind w:left="209" w:right="157"/>
      </w:pPr>
      <w:r>
        <w:rPr/>
        <w:br w:type="column"/>
      </w:r>
      <w:r>
        <w:rPr>
          <w:spacing w:val="-5"/>
          <w:w w:val="100"/>
        </w:rPr>
        <w:t>指针对于恶性肿瘤——重度的内分泌疗法，用药物抑制激素生成和激素反应，</w:t>
      </w:r>
      <w:r>
        <w:rPr>
          <w:spacing w:val="-4"/>
          <w:w w:val="100"/>
        </w:rPr>
        <w:t>杀死癌细胞或抑制癌细胞的生长。本主险合同所指的内分泌疗法使用的药物</w:t>
      </w:r>
      <w:r>
        <w:rPr>
          <w:spacing w:val="-3"/>
          <w:w w:val="100"/>
        </w:rPr>
        <w:t>需符合法律、法规要求并经过国家药品监督管理局批准用于临床治疗。</w:t>
      </w:r>
    </w:p>
    <w:p>
      <w:pPr>
        <w:spacing w:after="0" w:line="278" w:lineRule="auto"/>
        <w:sectPr>
          <w:type w:val="continuous"/>
          <w:pgSz w:w="11910" w:h="16840"/>
          <w:pgMar w:top="300" w:bottom="280" w:left="1060" w:right="660"/>
          <w:cols w:num="2" w:equalWidth="0">
            <w:col w:w="2653" w:space="43"/>
            <w:col w:w="7494"/>
          </w:cols>
        </w:sectPr>
      </w:pPr>
    </w:p>
    <w:p>
      <w:pPr>
        <w:pStyle w:val="BodyText"/>
        <w:spacing w:before="9"/>
        <w:rPr>
          <w:sz w:val="18"/>
        </w:rPr>
      </w:pPr>
    </w:p>
    <w:p>
      <w:pPr>
        <w:pStyle w:val="ListParagraph"/>
        <w:numPr>
          <w:ilvl w:val="1"/>
          <w:numId w:val="19"/>
        </w:numPr>
        <w:tabs>
          <w:tab w:pos="1345" w:val="left" w:leader="none"/>
        </w:tabs>
        <w:spacing w:line="278" w:lineRule="auto" w:before="72" w:after="0"/>
        <w:ind w:left="2904" w:right="342" w:hanging="2696"/>
        <w:jc w:val="both"/>
        <w:rPr>
          <w:sz w:val="21"/>
        </w:rPr>
      </w:pPr>
      <w:r>
        <w:rPr>
          <w:b/>
          <w:sz w:val="21"/>
        </w:rPr>
        <w:t>肿瘤靶向疗法 </w:t>
      </w:r>
      <w:r>
        <w:rPr>
          <w:sz w:val="21"/>
        </w:rPr>
        <w:t>指在细胞分子水平上，针对已经明确的致癌点来设计相应的靶向治疗药物，</w:t>
      </w:r>
      <w:r>
        <w:rPr>
          <w:spacing w:val="-2"/>
          <w:sz w:val="21"/>
        </w:rPr>
        <w:t>利用具有一定特异性的载体，将药物或其他杀伤肿瘤细胞的活性物质选择性</w:t>
      </w:r>
      <w:r>
        <w:rPr>
          <w:spacing w:val="-2"/>
          <w:sz w:val="21"/>
        </w:rPr>
        <w:t>地运送到肿瘤部位攻击癌细胞的疗法。本主险合同所指的靶向疗法使用的药</w:t>
      </w:r>
      <w:r>
        <w:rPr>
          <w:spacing w:val="-2"/>
          <w:sz w:val="21"/>
        </w:rPr>
        <w:t>物需符合法律、法规要求并经过国家药品监督管理局批准用于临床治疗。</w:t>
      </w:r>
    </w:p>
    <w:p>
      <w:pPr>
        <w:pStyle w:val="BodyText"/>
        <w:spacing w:before="3"/>
        <w:rPr>
          <w:sz w:val="24"/>
        </w:rPr>
      </w:pPr>
    </w:p>
    <w:p>
      <w:pPr>
        <w:pStyle w:val="ListParagraph"/>
        <w:numPr>
          <w:ilvl w:val="1"/>
          <w:numId w:val="19"/>
        </w:numPr>
        <w:tabs>
          <w:tab w:pos="1345" w:val="left" w:leader="none"/>
        </w:tabs>
        <w:spacing w:line="278" w:lineRule="auto" w:before="1" w:after="0"/>
        <w:ind w:left="2904" w:right="342" w:hanging="2696"/>
        <w:jc w:val="both"/>
        <w:rPr>
          <w:sz w:val="21"/>
        </w:rPr>
      </w:pPr>
      <w:r>
        <w:rPr>
          <w:b/>
          <w:sz w:val="21"/>
        </w:rPr>
        <w:t>肾透析</w:t>
      </w:r>
      <w:r>
        <w:rPr>
          <w:b/>
          <w:spacing w:val="794"/>
          <w:sz w:val="21"/>
        </w:rPr>
        <w:t> </w:t>
      </w:r>
      <w:r>
        <w:rPr>
          <w:sz w:val="21"/>
        </w:rPr>
        <w:t>指根据半透膜的膜平衡原理，使用一定浓度的电解质和葡萄糖组成的透析液</w:t>
      </w:r>
      <w:r>
        <w:rPr>
          <w:spacing w:val="-2"/>
          <w:sz w:val="21"/>
        </w:rPr>
        <w:t>和血液中积累的代谢产物、水及电解质进行渗透交换，从而达到治疗终末期</w:t>
      </w:r>
      <w:r>
        <w:rPr>
          <w:spacing w:val="-2"/>
          <w:sz w:val="21"/>
        </w:rPr>
        <w:t>肾病目的的治疗方式。</w:t>
      </w:r>
    </w:p>
    <w:p>
      <w:pPr>
        <w:pStyle w:val="BodyText"/>
        <w:spacing w:before="4"/>
        <w:rPr>
          <w:sz w:val="24"/>
        </w:rPr>
      </w:pPr>
    </w:p>
    <w:p>
      <w:pPr>
        <w:pStyle w:val="ListParagraph"/>
        <w:numPr>
          <w:ilvl w:val="1"/>
          <w:numId w:val="19"/>
        </w:numPr>
        <w:tabs>
          <w:tab w:pos="1344" w:val="left" w:leader="none"/>
          <w:tab w:pos="1345" w:val="left" w:leader="none"/>
          <w:tab w:pos="2904" w:val="left" w:leader="none"/>
        </w:tabs>
        <w:spacing w:line="278" w:lineRule="auto" w:before="0" w:after="0"/>
        <w:ind w:left="2904" w:right="157" w:hanging="2696"/>
        <w:jc w:val="left"/>
        <w:rPr>
          <w:sz w:val="21"/>
        </w:rPr>
      </w:pPr>
      <w:r>
        <w:rPr>
          <w:b/>
          <w:w w:val="100"/>
          <w:sz w:val="21"/>
        </w:rPr>
        <w:t>毒品</w:t>
      </w:r>
      <w:r>
        <w:rPr>
          <w:b/>
          <w:sz w:val="21"/>
        </w:rPr>
        <w:tab/>
      </w:r>
      <w:r>
        <w:rPr>
          <w:spacing w:val="-22"/>
          <w:w w:val="100"/>
          <w:sz w:val="21"/>
        </w:rPr>
        <w:t>指</w:t>
      </w:r>
      <w:r>
        <w:rPr>
          <w:w w:val="100"/>
          <w:sz w:val="21"/>
        </w:rPr>
        <w:t>《</w:t>
      </w:r>
      <w:r>
        <w:rPr>
          <w:spacing w:val="-3"/>
          <w:w w:val="100"/>
          <w:sz w:val="21"/>
        </w:rPr>
        <w:t>中</w:t>
      </w:r>
      <w:r>
        <w:rPr>
          <w:w w:val="100"/>
          <w:sz w:val="21"/>
        </w:rPr>
        <w:t>华</w:t>
      </w:r>
      <w:r>
        <w:rPr>
          <w:spacing w:val="-3"/>
          <w:w w:val="100"/>
          <w:sz w:val="21"/>
        </w:rPr>
        <w:t>人</w:t>
      </w:r>
      <w:r>
        <w:rPr>
          <w:w w:val="100"/>
          <w:sz w:val="21"/>
        </w:rPr>
        <w:t>民</w:t>
      </w:r>
      <w:r>
        <w:rPr>
          <w:spacing w:val="-3"/>
          <w:w w:val="100"/>
          <w:sz w:val="21"/>
        </w:rPr>
        <w:t>共</w:t>
      </w:r>
      <w:r>
        <w:rPr>
          <w:w w:val="100"/>
          <w:sz w:val="21"/>
        </w:rPr>
        <w:t>和</w:t>
      </w:r>
      <w:r>
        <w:rPr>
          <w:spacing w:val="-3"/>
          <w:w w:val="100"/>
          <w:sz w:val="21"/>
        </w:rPr>
        <w:t>国</w:t>
      </w:r>
      <w:r>
        <w:rPr>
          <w:w w:val="100"/>
          <w:sz w:val="21"/>
        </w:rPr>
        <w:t>刑</w:t>
      </w:r>
      <w:r>
        <w:rPr>
          <w:spacing w:val="-3"/>
          <w:w w:val="100"/>
          <w:sz w:val="21"/>
        </w:rPr>
        <w:t>法</w:t>
      </w:r>
      <w:r>
        <w:rPr>
          <w:spacing w:val="-22"/>
          <w:w w:val="100"/>
          <w:sz w:val="21"/>
        </w:rPr>
        <w:t>》</w:t>
      </w:r>
      <w:r>
        <w:rPr>
          <w:w w:val="100"/>
          <w:sz w:val="21"/>
        </w:rPr>
        <w:t>规</w:t>
      </w:r>
      <w:r>
        <w:rPr>
          <w:spacing w:val="-3"/>
          <w:w w:val="100"/>
          <w:sz w:val="21"/>
        </w:rPr>
        <w:t>定</w:t>
      </w:r>
      <w:r>
        <w:rPr>
          <w:w w:val="100"/>
          <w:sz w:val="21"/>
        </w:rPr>
        <w:t>的</w:t>
      </w:r>
      <w:r>
        <w:rPr>
          <w:spacing w:val="-3"/>
          <w:w w:val="100"/>
          <w:sz w:val="21"/>
        </w:rPr>
        <w:t>鸦</w:t>
      </w:r>
      <w:r>
        <w:rPr>
          <w:spacing w:val="-1"/>
          <w:w w:val="100"/>
          <w:sz w:val="21"/>
        </w:rPr>
        <w:t>片</w:t>
      </w:r>
      <w:r>
        <w:rPr>
          <w:spacing w:val="-24"/>
          <w:w w:val="100"/>
          <w:sz w:val="21"/>
        </w:rPr>
        <w:t>、</w:t>
      </w:r>
      <w:r>
        <w:rPr>
          <w:w w:val="100"/>
          <w:sz w:val="21"/>
        </w:rPr>
        <w:t>海</w:t>
      </w:r>
      <w:r>
        <w:rPr>
          <w:spacing w:val="-3"/>
          <w:w w:val="100"/>
          <w:sz w:val="21"/>
        </w:rPr>
        <w:t>洛</w:t>
      </w:r>
      <w:r>
        <w:rPr>
          <w:spacing w:val="-1"/>
          <w:w w:val="100"/>
          <w:sz w:val="21"/>
        </w:rPr>
        <w:t>因</w:t>
      </w:r>
      <w:r>
        <w:rPr>
          <w:spacing w:val="-24"/>
          <w:w w:val="100"/>
          <w:sz w:val="21"/>
        </w:rPr>
        <w:t>、</w:t>
      </w:r>
      <w:r>
        <w:rPr>
          <w:w w:val="100"/>
          <w:sz w:val="21"/>
        </w:rPr>
        <w:t>甲基</w:t>
      </w:r>
      <w:r>
        <w:rPr>
          <w:spacing w:val="-3"/>
          <w:w w:val="100"/>
          <w:sz w:val="21"/>
        </w:rPr>
        <w:t>苯</w:t>
      </w:r>
      <w:r>
        <w:rPr>
          <w:w w:val="100"/>
          <w:sz w:val="21"/>
        </w:rPr>
        <w:t>丙</w:t>
      </w:r>
      <w:r>
        <w:rPr>
          <w:spacing w:val="-25"/>
          <w:w w:val="100"/>
          <w:sz w:val="21"/>
        </w:rPr>
        <w:t>胺</w:t>
      </w:r>
      <w:r>
        <w:rPr>
          <w:w w:val="100"/>
          <w:sz w:val="21"/>
        </w:rPr>
        <w:t>（</w:t>
      </w:r>
      <w:r>
        <w:rPr>
          <w:spacing w:val="-3"/>
          <w:w w:val="100"/>
          <w:sz w:val="21"/>
        </w:rPr>
        <w:t>冰</w:t>
      </w:r>
      <w:r>
        <w:rPr>
          <w:w w:val="100"/>
          <w:sz w:val="21"/>
        </w:rPr>
        <w:t>毒</w:t>
      </w:r>
      <w:r>
        <w:rPr>
          <w:spacing w:val="-106"/>
          <w:w w:val="100"/>
          <w:sz w:val="21"/>
        </w:rPr>
        <w:t>）</w:t>
      </w:r>
      <w:r>
        <w:rPr>
          <w:spacing w:val="-25"/>
          <w:w w:val="100"/>
          <w:sz w:val="21"/>
        </w:rPr>
        <w:t>、</w:t>
      </w:r>
      <w:r>
        <w:rPr>
          <w:w w:val="100"/>
          <w:sz w:val="21"/>
        </w:rPr>
        <w:t>吗</w:t>
      </w:r>
      <w:r>
        <w:rPr>
          <w:spacing w:val="-3"/>
          <w:w w:val="100"/>
          <w:sz w:val="21"/>
        </w:rPr>
        <w:t>啡</w:t>
      </w:r>
      <w:r>
        <w:rPr>
          <w:w w:val="100"/>
          <w:sz w:val="21"/>
        </w:rPr>
        <w:t>、大麻</w:t>
      </w:r>
      <w:r>
        <w:rPr>
          <w:spacing w:val="-3"/>
          <w:w w:val="100"/>
          <w:sz w:val="21"/>
        </w:rPr>
        <w:t>、</w:t>
      </w:r>
      <w:r>
        <w:rPr>
          <w:w w:val="100"/>
          <w:sz w:val="21"/>
        </w:rPr>
        <w:t>可</w:t>
      </w:r>
      <w:r>
        <w:rPr>
          <w:spacing w:val="-3"/>
          <w:w w:val="100"/>
          <w:sz w:val="21"/>
        </w:rPr>
        <w:t>卡</w:t>
      </w:r>
      <w:r>
        <w:rPr>
          <w:w w:val="100"/>
          <w:sz w:val="21"/>
        </w:rPr>
        <w:t>因</w:t>
      </w:r>
      <w:r>
        <w:rPr>
          <w:spacing w:val="-3"/>
          <w:w w:val="100"/>
          <w:sz w:val="21"/>
        </w:rPr>
        <w:t>以</w:t>
      </w:r>
      <w:r>
        <w:rPr>
          <w:w w:val="100"/>
          <w:sz w:val="21"/>
        </w:rPr>
        <w:t>及</w:t>
      </w:r>
      <w:r>
        <w:rPr>
          <w:spacing w:val="-3"/>
          <w:w w:val="100"/>
          <w:sz w:val="21"/>
        </w:rPr>
        <w:t>国</w:t>
      </w:r>
      <w:r>
        <w:rPr>
          <w:w w:val="100"/>
          <w:sz w:val="21"/>
        </w:rPr>
        <w:t>家</w:t>
      </w:r>
      <w:r>
        <w:rPr>
          <w:spacing w:val="-3"/>
          <w:w w:val="100"/>
          <w:sz w:val="21"/>
        </w:rPr>
        <w:t>规</w:t>
      </w:r>
      <w:r>
        <w:rPr>
          <w:w w:val="100"/>
          <w:sz w:val="21"/>
        </w:rPr>
        <w:t>定管</w:t>
      </w:r>
      <w:r>
        <w:rPr>
          <w:spacing w:val="-3"/>
          <w:w w:val="100"/>
          <w:sz w:val="21"/>
        </w:rPr>
        <w:t>制</w:t>
      </w:r>
      <w:r>
        <w:rPr>
          <w:w w:val="100"/>
          <w:sz w:val="21"/>
        </w:rPr>
        <w:t>的</w:t>
      </w:r>
      <w:r>
        <w:rPr>
          <w:spacing w:val="-3"/>
          <w:w w:val="100"/>
          <w:sz w:val="21"/>
        </w:rPr>
        <w:t>其</w:t>
      </w:r>
      <w:r>
        <w:rPr>
          <w:w w:val="100"/>
          <w:sz w:val="21"/>
        </w:rPr>
        <w:t>他</w:t>
      </w:r>
      <w:r>
        <w:rPr>
          <w:spacing w:val="-3"/>
          <w:w w:val="100"/>
          <w:sz w:val="21"/>
        </w:rPr>
        <w:t>能</w:t>
      </w:r>
      <w:r>
        <w:rPr>
          <w:w w:val="100"/>
          <w:sz w:val="21"/>
        </w:rPr>
        <w:t>够</w:t>
      </w:r>
      <w:r>
        <w:rPr>
          <w:spacing w:val="-3"/>
          <w:w w:val="100"/>
          <w:sz w:val="21"/>
        </w:rPr>
        <w:t>使</w:t>
      </w:r>
      <w:r>
        <w:rPr>
          <w:w w:val="100"/>
          <w:sz w:val="21"/>
        </w:rPr>
        <w:t>人</w:t>
      </w:r>
      <w:r>
        <w:rPr>
          <w:spacing w:val="-3"/>
          <w:w w:val="100"/>
          <w:sz w:val="21"/>
        </w:rPr>
        <w:t>形</w:t>
      </w:r>
      <w:r>
        <w:rPr>
          <w:w w:val="100"/>
          <w:sz w:val="21"/>
        </w:rPr>
        <w:t>成瘾</w:t>
      </w:r>
      <w:r>
        <w:rPr>
          <w:spacing w:val="-3"/>
          <w:w w:val="100"/>
          <w:sz w:val="21"/>
        </w:rPr>
        <w:t>癖</w:t>
      </w:r>
      <w:r>
        <w:rPr>
          <w:w w:val="100"/>
          <w:sz w:val="21"/>
        </w:rPr>
        <w:t>的</w:t>
      </w:r>
      <w:r>
        <w:rPr>
          <w:spacing w:val="-3"/>
          <w:w w:val="100"/>
          <w:sz w:val="21"/>
        </w:rPr>
        <w:t>麻</w:t>
      </w:r>
      <w:r>
        <w:rPr>
          <w:w w:val="100"/>
          <w:sz w:val="21"/>
        </w:rPr>
        <w:t>醉</w:t>
      </w:r>
      <w:r>
        <w:rPr>
          <w:spacing w:val="-3"/>
          <w:w w:val="100"/>
          <w:sz w:val="21"/>
        </w:rPr>
        <w:t>药</w:t>
      </w:r>
      <w:r>
        <w:rPr>
          <w:w w:val="100"/>
          <w:sz w:val="21"/>
        </w:rPr>
        <w:t>品</w:t>
      </w:r>
      <w:r>
        <w:rPr>
          <w:spacing w:val="-3"/>
          <w:w w:val="100"/>
          <w:sz w:val="21"/>
        </w:rPr>
        <w:t>和</w:t>
      </w:r>
      <w:r>
        <w:rPr>
          <w:w w:val="100"/>
          <w:sz w:val="21"/>
        </w:rPr>
        <w:t>精神药品</w:t>
      </w:r>
      <w:r>
        <w:rPr>
          <w:spacing w:val="-3"/>
          <w:w w:val="100"/>
          <w:sz w:val="21"/>
        </w:rPr>
        <w:t>，</w:t>
      </w:r>
      <w:r>
        <w:rPr>
          <w:w w:val="100"/>
          <w:sz w:val="21"/>
        </w:rPr>
        <w:t>但</w:t>
      </w:r>
      <w:r>
        <w:rPr>
          <w:spacing w:val="-3"/>
          <w:w w:val="100"/>
          <w:sz w:val="21"/>
        </w:rPr>
        <w:t>不</w:t>
      </w:r>
      <w:r>
        <w:rPr>
          <w:w w:val="100"/>
          <w:sz w:val="21"/>
        </w:rPr>
        <w:t>包</w:t>
      </w:r>
      <w:r>
        <w:rPr>
          <w:spacing w:val="-3"/>
          <w:w w:val="100"/>
          <w:sz w:val="21"/>
        </w:rPr>
        <w:t>括</w:t>
      </w:r>
      <w:r>
        <w:rPr>
          <w:w w:val="100"/>
          <w:sz w:val="21"/>
        </w:rPr>
        <w:t>由</w:t>
      </w:r>
      <w:r>
        <w:rPr>
          <w:spacing w:val="-3"/>
          <w:w w:val="100"/>
          <w:sz w:val="21"/>
        </w:rPr>
        <w:t>医</w:t>
      </w:r>
      <w:r>
        <w:rPr>
          <w:w w:val="100"/>
          <w:sz w:val="21"/>
        </w:rPr>
        <w:t>生</w:t>
      </w:r>
      <w:r>
        <w:rPr>
          <w:spacing w:val="-3"/>
          <w:w w:val="100"/>
          <w:sz w:val="21"/>
        </w:rPr>
        <w:t>开</w:t>
      </w:r>
      <w:r>
        <w:rPr>
          <w:w w:val="100"/>
          <w:sz w:val="21"/>
        </w:rPr>
        <w:t>具并</w:t>
      </w:r>
      <w:r>
        <w:rPr>
          <w:spacing w:val="-3"/>
          <w:w w:val="100"/>
          <w:sz w:val="21"/>
        </w:rPr>
        <w:t>遵</w:t>
      </w:r>
      <w:r>
        <w:rPr>
          <w:w w:val="100"/>
          <w:sz w:val="21"/>
        </w:rPr>
        <w:t>医</w:t>
      </w:r>
      <w:r>
        <w:rPr>
          <w:spacing w:val="-3"/>
          <w:w w:val="100"/>
          <w:sz w:val="21"/>
        </w:rPr>
        <w:t>嘱</w:t>
      </w:r>
      <w:r>
        <w:rPr>
          <w:w w:val="100"/>
          <w:sz w:val="21"/>
        </w:rPr>
        <w:t>使</w:t>
      </w:r>
      <w:r>
        <w:rPr>
          <w:spacing w:val="-3"/>
          <w:w w:val="100"/>
          <w:sz w:val="21"/>
        </w:rPr>
        <w:t>用</w:t>
      </w:r>
      <w:r>
        <w:rPr>
          <w:w w:val="100"/>
          <w:sz w:val="21"/>
        </w:rPr>
        <w:t>的</w:t>
      </w:r>
      <w:r>
        <w:rPr>
          <w:spacing w:val="-3"/>
          <w:w w:val="100"/>
          <w:sz w:val="21"/>
        </w:rPr>
        <w:t>用</w:t>
      </w:r>
      <w:r>
        <w:rPr>
          <w:w w:val="100"/>
          <w:sz w:val="21"/>
        </w:rPr>
        <w:t>于</w:t>
      </w:r>
      <w:r>
        <w:rPr>
          <w:spacing w:val="-3"/>
          <w:w w:val="100"/>
          <w:sz w:val="21"/>
        </w:rPr>
        <w:t>治</w:t>
      </w:r>
      <w:r>
        <w:rPr>
          <w:w w:val="100"/>
          <w:sz w:val="21"/>
        </w:rPr>
        <w:t>疗疾</w:t>
      </w:r>
      <w:r>
        <w:rPr>
          <w:spacing w:val="-3"/>
          <w:w w:val="100"/>
          <w:sz w:val="21"/>
        </w:rPr>
        <w:t>病</w:t>
      </w:r>
      <w:r>
        <w:rPr>
          <w:w w:val="100"/>
          <w:sz w:val="21"/>
        </w:rPr>
        <w:t>但</w:t>
      </w:r>
      <w:r>
        <w:rPr>
          <w:spacing w:val="-3"/>
          <w:w w:val="100"/>
          <w:sz w:val="21"/>
        </w:rPr>
        <w:t>含</w:t>
      </w:r>
      <w:r>
        <w:rPr>
          <w:w w:val="100"/>
          <w:sz w:val="21"/>
        </w:rPr>
        <w:t>有</w:t>
      </w:r>
      <w:r>
        <w:rPr>
          <w:spacing w:val="-3"/>
          <w:w w:val="100"/>
          <w:sz w:val="21"/>
        </w:rPr>
        <w:t>毒</w:t>
      </w:r>
      <w:r>
        <w:rPr>
          <w:w w:val="100"/>
          <w:sz w:val="21"/>
        </w:rPr>
        <w:t>品</w:t>
      </w:r>
      <w:r>
        <w:rPr>
          <w:spacing w:val="-3"/>
          <w:w w:val="100"/>
          <w:sz w:val="21"/>
        </w:rPr>
        <w:t>成</w:t>
      </w:r>
      <w:r>
        <w:rPr>
          <w:w w:val="100"/>
          <w:sz w:val="21"/>
        </w:rPr>
        <w:t>分的处方</w:t>
      </w:r>
      <w:r>
        <w:rPr>
          <w:spacing w:val="-3"/>
          <w:w w:val="100"/>
          <w:sz w:val="21"/>
        </w:rPr>
        <w:t>药</w:t>
      </w:r>
      <w:r>
        <w:rPr>
          <w:w w:val="100"/>
          <w:sz w:val="21"/>
        </w:rPr>
        <w:t>品。</w:t>
      </w:r>
    </w:p>
    <w:p>
      <w:pPr>
        <w:pStyle w:val="BodyText"/>
        <w:spacing w:before="4"/>
        <w:rPr>
          <w:sz w:val="24"/>
        </w:rPr>
      </w:pPr>
    </w:p>
    <w:p>
      <w:pPr>
        <w:pStyle w:val="ListParagraph"/>
        <w:numPr>
          <w:ilvl w:val="1"/>
          <w:numId w:val="19"/>
        </w:numPr>
        <w:tabs>
          <w:tab w:pos="1345" w:val="left" w:leader="none"/>
        </w:tabs>
        <w:spacing w:line="278" w:lineRule="auto" w:before="0" w:after="0"/>
        <w:ind w:left="2904" w:right="342" w:hanging="2696"/>
        <w:jc w:val="both"/>
        <w:rPr>
          <w:sz w:val="21"/>
        </w:rPr>
      </w:pPr>
      <w:r>
        <w:rPr>
          <w:b/>
          <w:sz w:val="21"/>
        </w:rPr>
        <w:t>酒后驾驶</w:t>
      </w:r>
      <w:r>
        <w:rPr>
          <w:b/>
          <w:spacing w:val="583"/>
          <w:sz w:val="21"/>
        </w:rPr>
        <w:t> </w:t>
      </w:r>
      <w:r>
        <w:rPr>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p>
      <w:pPr>
        <w:pStyle w:val="BodyText"/>
        <w:spacing w:before="9"/>
        <w:rPr>
          <w:sz w:val="18"/>
        </w:rPr>
      </w:pPr>
    </w:p>
    <w:p>
      <w:pPr>
        <w:spacing w:after="0"/>
        <w:rPr>
          <w:sz w:val="18"/>
        </w:rPr>
        <w:sectPr>
          <w:type w:val="continuous"/>
          <w:pgSz w:w="11910" w:h="16840"/>
          <w:pgMar w:top="300" w:bottom="280" w:left="1060" w:right="660"/>
        </w:sectPr>
      </w:pPr>
    </w:p>
    <w:p>
      <w:pPr>
        <w:pStyle w:val="ListParagraph"/>
        <w:numPr>
          <w:ilvl w:val="1"/>
          <w:numId w:val="19"/>
        </w:numPr>
        <w:tabs>
          <w:tab w:pos="1344" w:val="left" w:leader="none"/>
          <w:tab w:pos="1345" w:val="left" w:leader="none"/>
        </w:tabs>
        <w:spacing w:line="278" w:lineRule="auto" w:before="72" w:after="0"/>
        <w:ind w:left="1344" w:right="38" w:hanging="1136"/>
        <w:jc w:val="left"/>
        <w:rPr>
          <w:b/>
          <w:sz w:val="21"/>
        </w:rPr>
      </w:pPr>
      <w:r>
        <w:rPr>
          <w:b/>
          <w:spacing w:val="-2"/>
          <w:sz w:val="21"/>
        </w:rPr>
        <w:t>无合法有效驾</w:t>
      </w:r>
      <w:r>
        <w:rPr>
          <w:b/>
          <w:spacing w:val="-4"/>
          <w:sz w:val="21"/>
        </w:rPr>
        <w:t>驶证驾驶</w:t>
      </w:r>
    </w:p>
    <w:p>
      <w:pPr>
        <w:pStyle w:val="BodyText"/>
        <w:spacing w:before="72"/>
        <w:ind w:left="209"/>
      </w:pPr>
      <w:r>
        <w:rPr/>
        <w:br w:type="column"/>
      </w:r>
      <w:r>
        <w:rPr>
          <w:spacing w:val="-4"/>
        </w:rPr>
        <w:t>指下列情形之一：</w:t>
      </w:r>
    </w:p>
    <w:p>
      <w:pPr>
        <w:pStyle w:val="ListParagraph"/>
        <w:numPr>
          <w:ilvl w:val="0"/>
          <w:numId w:val="20"/>
        </w:numPr>
        <w:tabs>
          <w:tab w:pos="739" w:val="left" w:leader="none"/>
        </w:tabs>
        <w:spacing w:line="240" w:lineRule="auto" w:before="43" w:after="0"/>
        <w:ind w:left="738" w:right="0" w:hanging="530"/>
        <w:jc w:val="left"/>
        <w:rPr>
          <w:sz w:val="21"/>
        </w:rPr>
      </w:pPr>
      <w:r>
        <w:rPr>
          <w:spacing w:val="-3"/>
          <w:sz w:val="21"/>
        </w:rPr>
        <w:t>未依法取得驾驶证资格；</w:t>
      </w:r>
    </w:p>
    <w:p>
      <w:pPr>
        <w:pStyle w:val="ListParagraph"/>
        <w:numPr>
          <w:ilvl w:val="0"/>
          <w:numId w:val="20"/>
        </w:numPr>
        <w:tabs>
          <w:tab w:pos="739" w:val="left" w:leader="none"/>
        </w:tabs>
        <w:spacing w:line="240" w:lineRule="auto" w:before="43" w:after="0"/>
        <w:ind w:left="738" w:right="0" w:hanging="530"/>
        <w:jc w:val="left"/>
        <w:rPr>
          <w:sz w:val="21"/>
        </w:rPr>
      </w:pPr>
      <w:r>
        <w:rPr>
          <w:spacing w:val="-3"/>
          <w:sz w:val="21"/>
        </w:rPr>
        <w:t>驾驶证被依法扣留期间驾驶；</w:t>
      </w:r>
    </w:p>
    <w:p>
      <w:pPr>
        <w:pStyle w:val="ListParagraph"/>
        <w:numPr>
          <w:ilvl w:val="0"/>
          <w:numId w:val="20"/>
        </w:numPr>
        <w:tabs>
          <w:tab w:pos="739" w:val="left" w:leader="none"/>
        </w:tabs>
        <w:spacing w:line="240" w:lineRule="auto" w:before="43" w:after="0"/>
        <w:ind w:left="738" w:right="0" w:hanging="530"/>
        <w:jc w:val="left"/>
        <w:rPr>
          <w:sz w:val="21"/>
        </w:rPr>
      </w:pPr>
      <w:r>
        <w:rPr>
          <w:spacing w:val="-3"/>
          <w:sz w:val="21"/>
        </w:rPr>
        <w:t>驾驶与驾驶证准驾车型不相符合的车辆；</w:t>
      </w:r>
    </w:p>
    <w:p>
      <w:pPr>
        <w:pStyle w:val="ListParagraph"/>
        <w:numPr>
          <w:ilvl w:val="0"/>
          <w:numId w:val="20"/>
        </w:numPr>
        <w:tabs>
          <w:tab w:pos="739" w:val="left" w:leader="none"/>
        </w:tabs>
        <w:spacing w:line="240" w:lineRule="auto" w:before="43" w:after="0"/>
        <w:ind w:left="738" w:right="0" w:hanging="530"/>
        <w:jc w:val="left"/>
        <w:rPr>
          <w:sz w:val="21"/>
        </w:rPr>
      </w:pPr>
      <w:r>
        <w:rPr>
          <w:spacing w:val="-3"/>
          <w:sz w:val="21"/>
        </w:rPr>
        <w:t>持未经审验或者超过有效期限的驾驶证驾驶；</w:t>
      </w:r>
    </w:p>
    <w:p>
      <w:pPr>
        <w:pStyle w:val="ListParagraph"/>
        <w:numPr>
          <w:ilvl w:val="0"/>
          <w:numId w:val="20"/>
        </w:numPr>
        <w:tabs>
          <w:tab w:pos="737" w:val="left" w:leader="none"/>
        </w:tabs>
        <w:spacing w:line="278" w:lineRule="auto" w:before="43" w:after="0"/>
        <w:ind w:left="804" w:right="263" w:hanging="596"/>
        <w:jc w:val="left"/>
        <w:rPr>
          <w:sz w:val="21"/>
        </w:rPr>
      </w:pPr>
      <w:r>
        <w:rPr>
          <w:spacing w:val="-2"/>
          <w:sz w:val="21"/>
        </w:rPr>
        <w:t>持学习驾驶证学习驾车时，无教练员随车指导，或不按指定时间、路线</w:t>
      </w:r>
      <w:r>
        <w:rPr>
          <w:spacing w:val="-2"/>
          <w:sz w:val="21"/>
        </w:rPr>
        <w:t>学习驾车；</w:t>
      </w:r>
    </w:p>
    <w:p>
      <w:pPr>
        <w:pStyle w:val="ListParagraph"/>
        <w:numPr>
          <w:ilvl w:val="0"/>
          <w:numId w:val="20"/>
        </w:numPr>
        <w:tabs>
          <w:tab w:pos="739" w:val="left" w:leader="none"/>
        </w:tabs>
        <w:spacing w:line="240" w:lineRule="auto" w:before="0" w:after="0"/>
        <w:ind w:left="738" w:right="0" w:hanging="530"/>
        <w:jc w:val="left"/>
        <w:rPr>
          <w:sz w:val="21"/>
        </w:rPr>
      </w:pPr>
      <w:r>
        <w:rPr>
          <w:spacing w:val="-3"/>
          <w:sz w:val="21"/>
        </w:rPr>
        <w:t>公安交通管理部门认定的其他无有效驾驶证驾驶的情况。</w:t>
      </w:r>
    </w:p>
    <w:p>
      <w:pPr>
        <w:spacing w:after="0" w:line="240" w:lineRule="auto"/>
        <w:jc w:val="left"/>
        <w:rPr>
          <w:sz w:val="21"/>
        </w:rPr>
        <w:sectPr>
          <w:type w:val="continuous"/>
          <w:pgSz w:w="11910" w:h="16840"/>
          <w:pgMar w:top="300" w:bottom="280" w:left="1060" w:right="660"/>
          <w:cols w:num="2" w:equalWidth="0">
            <w:col w:w="2653" w:space="43"/>
            <w:col w:w="7494"/>
          </w:cols>
        </w:sectPr>
      </w:pPr>
    </w:p>
    <w:p>
      <w:pPr>
        <w:pStyle w:val="BodyText"/>
        <w:spacing w:before="1"/>
        <w:rPr>
          <w:sz w:val="22"/>
        </w:rPr>
      </w:pPr>
    </w:p>
    <w:p>
      <w:pPr>
        <w:spacing w:after="0"/>
        <w:rPr>
          <w:sz w:val="22"/>
        </w:rPr>
        <w:sectPr>
          <w:type w:val="continuous"/>
          <w:pgSz w:w="11910" w:h="16840"/>
          <w:pgMar w:top="300" w:bottom="280" w:left="1060" w:right="660"/>
        </w:sectPr>
      </w:pPr>
    </w:p>
    <w:p>
      <w:pPr>
        <w:pStyle w:val="ListParagraph"/>
        <w:numPr>
          <w:ilvl w:val="1"/>
          <w:numId w:val="19"/>
        </w:numPr>
        <w:tabs>
          <w:tab w:pos="1344" w:val="left" w:leader="none"/>
          <w:tab w:pos="1345" w:val="left" w:leader="none"/>
        </w:tabs>
        <w:spacing w:line="278" w:lineRule="auto" w:before="71" w:after="0"/>
        <w:ind w:left="1344" w:right="38" w:hanging="1136"/>
        <w:jc w:val="left"/>
        <w:rPr>
          <w:b/>
          <w:sz w:val="21"/>
        </w:rPr>
      </w:pPr>
      <w:r>
        <w:rPr>
          <w:b/>
          <w:spacing w:val="-2"/>
          <w:sz w:val="21"/>
        </w:rPr>
        <w:t>无合法有效行</w:t>
      </w:r>
      <w:r>
        <w:rPr>
          <w:b/>
          <w:spacing w:val="-6"/>
          <w:sz w:val="21"/>
        </w:rPr>
        <w:t>驶证</w:t>
      </w:r>
    </w:p>
    <w:p>
      <w:pPr>
        <w:pStyle w:val="BodyText"/>
        <w:spacing w:before="71"/>
        <w:ind w:left="209"/>
      </w:pPr>
      <w:r>
        <w:rPr/>
        <w:br w:type="column"/>
      </w:r>
      <w:r>
        <w:rPr>
          <w:spacing w:val="-4"/>
        </w:rPr>
        <w:t>指下列情形之一：</w:t>
      </w:r>
    </w:p>
    <w:p>
      <w:pPr>
        <w:pStyle w:val="ListParagraph"/>
        <w:numPr>
          <w:ilvl w:val="0"/>
          <w:numId w:val="21"/>
        </w:numPr>
        <w:tabs>
          <w:tab w:pos="739" w:val="left" w:leader="none"/>
        </w:tabs>
        <w:spacing w:line="240" w:lineRule="auto" w:before="44" w:after="0"/>
        <w:ind w:left="738" w:right="0" w:hanging="530"/>
        <w:jc w:val="left"/>
        <w:rPr>
          <w:sz w:val="21"/>
        </w:rPr>
      </w:pPr>
      <w:r>
        <w:rPr>
          <w:spacing w:val="-3"/>
          <w:sz w:val="21"/>
        </w:rPr>
        <w:t>机动车被依法注销登记的；</w:t>
      </w:r>
    </w:p>
    <w:p>
      <w:pPr>
        <w:pStyle w:val="ListParagraph"/>
        <w:numPr>
          <w:ilvl w:val="0"/>
          <w:numId w:val="21"/>
        </w:numPr>
        <w:tabs>
          <w:tab w:pos="739" w:val="left" w:leader="none"/>
        </w:tabs>
        <w:spacing w:line="240" w:lineRule="auto" w:before="42" w:after="0"/>
        <w:ind w:left="738"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300" w:bottom="280" w:left="1060" w:right="660"/>
          <w:cols w:num="2" w:equalWidth="0">
            <w:col w:w="2653" w:space="43"/>
            <w:col w:w="7494"/>
          </w:cols>
        </w:sectPr>
      </w:pPr>
    </w:p>
    <w:p>
      <w:pPr>
        <w:pStyle w:val="ListParagraph"/>
        <w:numPr>
          <w:ilvl w:val="1"/>
          <w:numId w:val="19"/>
        </w:numPr>
        <w:tabs>
          <w:tab w:pos="1344" w:val="left" w:leader="none"/>
          <w:tab w:pos="1345" w:val="left" w:leader="none"/>
          <w:tab w:pos="2904" w:val="left" w:leader="none"/>
        </w:tabs>
        <w:spacing w:line="278" w:lineRule="auto" w:before="53" w:after="0"/>
        <w:ind w:left="2904" w:right="342" w:hanging="2696"/>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w:t>
      </w:r>
      <w:r>
        <w:rPr>
          <w:spacing w:val="-2"/>
          <w:sz w:val="21"/>
        </w:rPr>
        <w:t>引</w:t>
      </w:r>
      <w:r>
        <w:rPr>
          <w:spacing w:val="-2"/>
          <w:sz w:val="21"/>
        </w:rPr>
        <w:t>，上道路行驶的供人员</w:t>
      </w:r>
      <w:r>
        <w:rPr>
          <w:spacing w:val="-2"/>
          <w:sz w:val="21"/>
        </w:rPr>
        <w:t>乘</w:t>
      </w:r>
      <w:r>
        <w:rPr>
          <w:spacing w:val="-2"/>
          <w:sz w:val="21"/>
        </w:rPr>
        <w:t>用</w:t>
      </w:r>
      <w:r>
        <w:rPr>
          <w:spacing w:val="-2"/>
          <w:sz w:val="21"/>
        </w:rPr>
        <w:t>或者用于运送物</w:t>
      </w:r>
      <w:r>
        <w:rPr>
          <w:spacing w:val="-2"/>
          <w:sz w:val="21"/>
        </w:rPr>
        <w:t>品</w:t>
      </w:r>
      <w:r>
        <w:rPr>
          <w:spacing w:val="-2"/>
          <w:sz w:val="21"/>
        </w:rPr>
        <w:t>以</w:t>
      </w:r>
      <w:r>
        <w:rPr>
          <w:spacing w:val="-2"/>
          <w:sz w:val="21"/>
        </w:rPr>
        <w:t>及</w:t>
      </w:r>
      <w:r>
        <w:rPr>
          <w:spacing w:val="-2"/>
          <w:sz w:val="21"/>
        </w:rPr>
        <w:t>进</w:t>
      </w:r>
      <w:r>
        <w:rPr>
          <w:spacing w:val="-2"/>
          <w:sz w:val="21"/>
        </w:rPr>
        <w:t>行工程专项作业的轮</w:t>
      </w:r>
      <w:r>
        <w:rPr>
          <w:spacing w:val="-2"/>
          <w:sz w:val="21"/>
        </w:rPr>
        <w:t>式</w:t>
      </w:r>
      <w:r>
        <w:rPr>
          <w:spacing w:val="-2"/>
          <w:sz w:val="21"/>
        </w:rPr>
        <w:t>车</w:t>
      </w:r>
      <w:r>
        <w:rPr>
          <w:spacing w:val="-2"/>
          <w:sz w:val="21"/>
        </w:rPr>
        <w:t>辆，以交通管理部门</w:t>
      </w:r>
      <w:r>
        <w:rPr>
          <w:spacing w:val="-2"/>
          <w:sz w:val="21"/>
        </w:rPr>
        <w:t>认</w:t>
      </w:r>
      <w:r>
        <w:rPr>
          <w:spacing w:val="-2"/>
          <w:sz w:val="21"/>
        </w:rPr>
        <w:t>定</w:t>
      </w:r>
      <w:r>
        <w:rPr>
          <w:spacing w:val="-2"/>
          <w:sz w:val="21"/>
        </w:rPr>
        <w:t>为</w:t>
      </w:r>
      <w:r>
        <w:rPr>
          <w:spacing w:val="-2"/>
          <w:sz w:val="21"/>
        </w:rPr>
        <w:t>准</w:t>
      </w:r>
      <w:r>
        <w:rPr>
          <w:spacing w:val="-2"/>
          <w:sz w:val="21"/>
        </w:rPr>
        <w:t>。</w:t>
      </w:r>
    </w:p>
    <w:p>
      <w:pPr>
        <w:pStyle w:val="BodyText"/>
        <w:spacing w:before="9"/>
        <w:rPr>
          <w:sz w:val="18"/>
        </w:rPr>
      </w:pPr>
    </w:p>
    <w:p>
      <w:pPr>
        <w:spacing w:after="0"/>
        <w:rPr>
          <w:sz w:val="18"/>
        </w:rPr>
        <w:sectPr>
          <w:pgSz w:w="11910" w:h="16840"/>
          <w:pgMar w:top="1200" w:bottom="280" w:left="1060" w:right="660"/>
        </w:sectPr>
      </w:pPr>
    </w:p>
    <w:p>
      <w:pPr>
        <w:pStyle w:val="ListParagraph"/>
        <w:numPr>
          <w:ilvl w:val="1"/>
          <w:numId w:val="19"/>
        </w:numPr>
        <w:tabs>
          <w:tab w:pos="1344" w:val="left" w:leader="none"/>
          <w:tab w:pos="1345" w:val="left" w:leader="none"/>
        </w:tabs>
        <w:spacing w:line="278" w:lineRule="auto" w:before="72" w:after="0"/>
        <w:ind w:left="1344" w:right="38" w:hanging="1136"/>
        <w:jc w:val="left"/>
        <w:rPr>
          <w:b/>
          <w:sz w:val="21"/>
        </w:rPr>
      </w:pPr>
      <w:r>
        <w:rPr>
          <w:b/>
          <w:spacing w:val="-2"/>
          <w:sz w:val="21"/>
        </w:rPr>
        <w:t>感染艾滋病病</w:t>
      </w:r>
      <w:r>
        <w:rPr>
          <w:b/>
          <w:spacing w:val="-2"/>
          <w:sz w:val="21"/>
        </w:rPr>
        <w:t>毒或患艾滋病</w:t>
      </w:r>
    </w:p>
    <w:p>
      <w:pPr>
        <w:pStyle w:val="BodyText"/>
        <w:spacing w:line="278" w:lineRule="auto" w:before="72"/>
        <w:ind w:left="209" w:right="260"/>
      </w:pPr>
      <w:r>
        <w:rPr/>
        <w:br w:type="column"/>
      </w:r>
      <w:r>
        <w:rPr>
          <w:spacing w:val="-6"/>
        </w:rPr>
        <w:t>艾滋病病毒指人类免疫缺陷病毒，英文缩写为 </w:t>
      </w:r>
      <w:r>
        <w:rPr>
          <w:spacing w:val="-4"/>
        </w:rPr>
        <w:t>HIV。艾滋病指人类免疫缺陷病</w:t>
      </w:r>
      <w:r>
        <w:rPr>
          <w:spacing w:val="-2"/>
        </w:rPr>
        <w:t>毒引起的获得性免疫缺陷综合征，英文缩写为 </w:t>
      </w:r>
      <w:r>
        <w:rPr/>
        <w:t>AIDS。</w:t>
      </w:r>
    </w:p>
    <w:p>
      <w:pPr>
        <w:pStyle w:val="BodyText"/>
        <w:spacing w:line="278" w:lineRule="auto"/>
        <w:ind w:left="209" w:right="157"/>
      </w:pPr>
      <w:r>
        <w:rPr>
          <w:spacing w:val="-3"/>
          <w:w w:val="100"/>
        </w:rPr>
        <w:t>在人体血液或其它样本中检测到艾滋病病毒或其抗体呈阳性，没有出现临床</w:t>
      </w:r>
      <w:r>
        <w:rPr>
          <w:spacing w:val="-6"/>
          <w:w w:val="100"/>
        </w:rPr>
        <w:t>症状或体征的，为感染艾滋病病毒；如果同时出现了明显临床症状或体征的，</w:t>
      </w:r>
      <w:r>
        <w:rPr>
          <w:spacing w:val="-4"/>
          <w:w w:val="100"/>
        </w:rPr>
        <w:t>为患艾滋病。</w:t>
      </w:r>
    </w:p>
    <w:p>
      <w:pPr>
        <w:spacing w:after="0" w:line="278" w:lineRule="auto"/>
        <w:sectPr>
          <w:type w:val="continuous"/>
          <w:pgSz w:w="11910" w:h="16840"/>
          <w:pgMar w:top="300" w:bottom="280" w:left="1060" w:right="660"/>
          <w:cols w:num="2" w:equalWidth="0">
            <w:col w:w="2653" w:space="43"/>
            <w:col w:w="7494"/>
          </w:cols>
        </w:sectPr>
      </w:pPr>
    </w:p>
    <w:p>
      <w:pPr>
        <w:pStyle w:val="BodyText"/>
        <w:spacing w:before="9"/>
        <w:rPr>
          <w:sz w:val="18"/>
        </w:rPr>
      </w:pPr>
    </w:p>
    <w:p>
      <w:pPr>
        <w:pStyle w:val="ListParagraph"/>
        <w:numPr>
          <w:ilvl w:val="1"/>
          <w:numId w:val="19"/>
        </w:numPr>
        <w:tabs>
          <w:tab w:pos="1344" w:val="left" w:leader="none"/>
          <w:tab w:pos="1345" w:val="left" w:leader="none"/>
          <w:tab w:pos="2904" w:val="left" w:leader="none"/>
        </w:tabs>
        <w:spacing w:line="240" w:lineRule="auto" w:before="72" w:after="0"/>
        <w:ind w:left="1344" w:right="0" w:hanging="1136"/>
        <w:jc w:val="left"/>
        <w:rPr>
          <w:sz w:val="21"/>
        </w:rPr>
      </w:pPr>
      <w:r>
        <w:rPr>
          <w:b/>
          <w:sz w:val="21"/>
        </w:rPr>
        <w:t>潜</w:t>
      </w:r>
      <w:r>
        <w:rPr>
          <w:b/>
          <w:spacing w:val="-10"/>
          <w:sz w:val="21"/>
        </w:rPr>
        <w:t>水</w:t>
      </w:r>
      <w:r>
        <w:rPr>
          <w:b/>
          <w:sz w:val="21"/>
        </w:rPr>
        <w:tab/>
      </w:r>
      <w:r>
        <w:rPr>
          <w:spacing w:val="-4"/>
          <w:sz w:val="21"/>
        </w:rPr>
        <w:t>指</w:t>
      </w:r>
      <w:r>
        <w:rPr>
          <w:spacing w:val="-4"/>
          <w:sz w:val="21"/>
        </w:rPr>
        <w:t>使</w:t>
      </w:r>
      <w:r>
        <w:rPr>
          <w:spacing w:val="-4"/>
          <w:sz w:val="21"/>
        </w:rPr>
        <w:t>用辅助呼吸器材在江、河、湖、海、水库、运</w:t>
      </w:r>
      <w:r>
        <w:rPr>
          <w:spacing w:val="-4"/>
          <w:sz w:val="21"/>
        </w:rPr>
        <w:t>河</w:t>
      </w:r>
      <w:r>
        <w:rPr>
          <w:spacing w:val="-4"/>
          <w:sz w:val="21"/>
        </w:rPr>
        <w:t>等</w:t>
      </w:r>
      <w:r>
        <w:rPr>
          <w:spacing w:val="-4"/>
          <w:sz w:val="21"/>
        </w:rPr>
        <w:t>水域进行的水下运动</w:t>
      </w:r>
      <w:r>
        <w:rPr>
          <w:spacing w:val="-10"/>
          <w:sz w:val="21"/>
        </w:rPr>
        <w:t>。</w:t>
      </w:r>
    </w:p>
    <w:p>
      <w:pPr>
        <w:pStyle w:val="BodyText"/>
        <w:spacing w:before="8"/>
        <w:rPr>
          <w:sz w:val="27"/>
        </w:rPr>
      </w:pPr>
    </w:p>
    <w:p>
      <w:pPr>
        <w:pStyle w:val="ListParagraph"/>
        <w:numPr>
          <w:ilvl w:val="1"/>
          <w:numId w:val="19"/>
        </w:numPr>
        <w:tabs>
          <w:tab w:pos="1344" w:val="left" w:leader="none"/>
          <w:tab w:pos="1345" w:val="left" w:leader="none"/>
          <w:tab w:pos="2904" w:val="left" w:leader="none"/>
        </w:tabs>
        <w:spacing w:line="240" w:lineRule="auto" w:before="1" w:after="0"/>
        <w:ind w:left="1344" w:right="0" w:hanging="1136"/>
        <w:jc w:val="left"/>
        <w:rPr>
          <w:sz w:val="21"/>
        </w:rPr>
      </w:pPr>
      <w:r>
        <w:rPr>
          <w:b/>
          <w:sz w:val="21"/>
        </w:rPr>
        <w:t>攀</w:t>
      </w:r>
      <w:r>
        <w:rPr>
          <w:b/>
          <w:spacing w:val="-10"/>
          <w:sz w:val="21"/>
        </w:rPr>
        <w:t>岩</w:t>
      </w:r>
      <w:r>
        <w:rPr>
          <w:b/>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悬崖、冰崖、冰山等运动</w:t>
      </w:r>
      <w:r>
        <w:rPr>
          <w:spacing w:val="-10"/>
          <w:sz w:val="21"/>
        </w:rPr>
        <w:t>。</w:t>
      </w:r>
    </w:p>
    <w:p>
      <w:pPr>
        <w:pStyle w:val="BodyText"/>
        <w:spacing w:before="8"/>
        <w:rPr>
          <w:sz w:val="27"/>
        </w:rPr>
      </w:pPr>
    </w:p>
    <w:p>
      <w:pPr>
        <w:pStyle w:val="ListParagraph"/>
        <w:numPr>
          <w:ilvl w:val="1"/>
          <w:numId w:val="19"/>
        </w:numPr>
        <w:tabs>
          <w:tab w:pos="1345" w:val="left" w:leader="none"/>
          <w:tab w:pos="2904" w:val="left" w:leader="none"/>
        </w:tabs>
        <w:spacing w:line="278" w:lineRule="auto" w:before="1" w:after="0"/>
        <w:ind w:left="2904" w:right="342" w:hanging="2696"/>
        <w:jc w:val="both"/>
        <w:rPr>
          <w:sz w:val="21"/>
        </w:rPr>
      </w:pPr>
      <w:r>
        <w:rPr>
          <w:b/>
          <w:spacing w:val="-6"/>
          <w:sz w:val="21"/>
        </w:rPr>
        <w:t>探</w:t>
      </w:r>
      <w:r>
        <w:rPr>
          <w:b/>
          <w:spacing w:val="-6"/>
          <w:sz w:val="21"/>
        </w:rPr>
        <w:t>险</w:t>
      </w:r>
      <w:r>
        <w:rPr>
          <w:b/>
          <w:sz w:val="21"/>
        </w:rPr>
        <w:tab/>
      </w:r>
      <w:r>
        <w:rPr>
          <w:spacing w:val="-2"/>
          <w:sz w:val="21"/>
        </w:rPr>
        <w:t>指</w:t>
      </w:r>
      <w:r>
        <w:rPr>
          <w:spacing w:val="-2"/>
          <w:sz w:val="21"/>
        </w:rPr>
        <w:t>明</w:t>
      </w:r>
      <w:r>
        <w:rPr>
          <w:spacing w:val="-2"/>
          <w:sz w:val="21"/>
        </w:rPr>
        <w:t>知在某种特定的自然</w:t>
      </w:r>
      <w:r>
        <w:rPr>
          <w:spacing w:val="-2"/>
          <w:sz w:val="21"/>
        </w:rPr>
        <w:t>条</w:t>
      </w:r>
      <w:r>
        <w:rPr>
          <w:spacing w:val="-2"/>
          <w:sz w:val="21"/>
        </w:rPr>
        <w:t>件</w:t>
      </w:r>
      <w:r>
        <w:rPr>
          <w:spacing w:val="-2"/>
          <w:sz w:val="21"/>
        </w:rPr>
        <w:t>下有失去生命或使身</w:t>
      </w:r>
      <w:r>
        <w:rPr>
          <w:spacing w:val="-2"/>
          <w:sz w:val="21"/>
        </w:rPr>
        <w:t>体</w:t>
      </w:r>
      <w:r>
        <w:rPr>
          <w:spacing w:val="-2"/>
          <w:sz w:val="21"/>
        </w:rPr>
        <w:t>受</w:t>
      </w:r>
      <w:r>
        <w:rPr>
          <w:spacing w:val="-2"/>
          <w:sz w:val="21"/>
        </w:rPr>
        <w:t>到伤害的危险，</w:t>
      </w:r>
      <w:r>
        <w:rPr>
          <w:spacing w:val="-2"/>
          <w:sz w:val="21"/>
        </w:rPr>
        <w:t>而</w:t>
      </w:r>
      <w:r>
        <w:rPr>
          <w:spacing w:val="-2"/>
          <w:sz w:val="21"/>
        </w:rPr>
        <w:t>故</w:t>
      </w:r>
      <w:r>
        <w:rPr>
          <w:spacing w:val="-2"/>
          <w:sz w:val="21"/>
        </w:rPr>
        <w:t>意</w:t>
      </w:r>
      <w:r>
        <w:rPr>
          <w:spacing w:val="-2"/>
          <w:sz w:val="21"/>
        </w:rPr>
        <w:t>使</w:t>
      </w:r>
      <w:r>
        <w:rPr>
          <w:spacing w:val="-2"/>
          <w:sz w:val="21"/>
        </w:rPr>
        <w:t>自己置身于其中的行</w:t>
      </w:r>
      <w:r>
        <w:rPr>
          <w:spacing w:val="-2"/>
          <w:sz w:val="21"/>
        </w:rPr>
        <w:t>为</w:t>
      </w:r>
      <w:r>
        <w:rPr>
          <w:spacing w:val="-2"/>
          <w:sz w:val="21"/>
        </w:rPr>
        <w:t>，如：江河漂流、登山</w:t>
      </w:r>
      <w:r>
        <w:rPr>
          <w:spacing w:val="-2"/>
          <w:sz w:val="21"/>
        </w:rPr>
        <w:t>、</w:t>
      </w:r>
      <w:r>
        <w:rPr>
          <w:spacing w:val="-2"/>
          <w:sz w:val="21"/>
        </w:rPr>
        <w:t>徒</w:t>
      </w:r>
      <w:r>
        <w:rPr>
          <w:spacing w:val="-2"/>
          <w:sz w:val="21"/>
        </w:rPr>
        <w:t>步穿越沙漠或人</w:t>
      </w:r>
      <w:r>
        <w:rPr>
          <w:spacing w:val="-2"/>
          <w:sz w:val="21"/>
        </w:rPr>
        <w:t>迹</w:t>
      </w:r>
      <w:r>
        <w:rPr>
          <w:spacing w:val="-2"/>
          <w:sz w:val="21"/>
        </w:rPr>
        <w:t>罕</w:t>
      </w:r>
      <w:r>
        <w:rPr>
          <w:spacing w:val="-2"/>
          <w:sz w:val="21"/>
        </w:rPr>
        <w:t>至</w:t>
      </w:r>
      <w:r>
        <w:rPr>
          <w:spacing w:val="-2"/>
          <w:sz w:val="21"/>
        </w:rPr>
        <w:t>的</w:t>
      </w:r>
      <w:r>
        <w:rPr>
          <w:spacing w:val="-2"/>
          <w:sz w:val="21"/>
        </w:rPr>
        <w:t>原始森林等活动。</w:t>
      </w:r>
    </w:p>
    <w:p>
      <w:pPr>
        <w:pStyle w:val="BodyText"/>
        <w:spacing w:before="4"/>
        <w:rPr>
          <w:sz w:val="24"/>
        </w:rPr>
      </w:pPr>
    </w:p>
    <w:p>
      <w:pPr>
        <w:pStyle w:val="ListParagraph"/>
        <w:numPr>
          <w:ilvl w:val="1"/>
          <w:numId w:val="19"/>
        </w:numPr>
        <w:tabs>
          <w:tab w:pos="1345" w:val="left" w:leader="none"/>
        </w:tabs>
        <w:spacing w:line="278" w:lineRule="auto" w:before="0" w:after="0"/>
        <w:ind w:left="2904" w:right="342" w:hanging="2696"/>
        <w:jc w:val="both"/>
        <w:rPr>
          <w:sz w:val="21"/>
        </w:rPr>
      </w:pPr>
      <w:r>
        <w:rPr>
          <w:b/>
          <w:sz w:val="21"/>
        </w:rPr>
        <w:t>武术比赛</w:t>
      </w:r>
      <w:r>
        <w:rPr>
          <w:b/>
          <w:spacing w:val="583"/>
          <w:sz w:val="21"/>
        </w:rPr>
        <w:t> </w:t>
      </w:r>
      <w:r>
        <w:rPr>
          <w:sz w:val="21"/>
        </w:rPr>
        <w:t>指两人或两人以上对抗性柔道、空手道、跆拳道、散打、拳击等各种拳术及</w:t>
      </w:r>
      <w:r>
        <w:rPr>
          <w:spacing w:val="-2"/>
          <w:sz w:val="21"/>
        </w:rPr>
        <w:t>使用器械的对抗性比赛。</w:t>
      </w:r>
    </w:p>
    <w:p>
      <w:pPr>
        <w:pStyle w:val="BodyText"/>
        <w:spacing w:before="4"/>
        <w:rPr>
          <w:sz w:val="24"/>
        </w:rPr>
      </w:pPr>
    </w:p>
    <w:p>
      <w:pPr>
        <w:pStyle w:val="ListParagraph"/>
        <w:numPr>
          <w:ilvl w:val="1"/>
          <w:numId w:val="19"/>
        </w:numPr>
        <w:tabs>
          <w:tab w:pos="1344" w:val="left" w:leader="none"/>
          <w:tab w:pos="1345" w:val="left" w:leader="none"/>
          <w:tab w:pos="2904" w:val="left" w:leader="none"/>
        </w:tabs>
        <w:spacing w:line="240" w:lineRule="auto" w:before="0" w:after="0"/>
        <w:ind w:left="1344" w:right="0" w:hanging="1136"/>
        <w:jc w:val="left"/>
        <w:rPr>
          <w:sz w:val="21"/>
        </w:rPr>
      </w:pPr>
      <w:r>
        <w:rPr>
          <w:b/>
          <w:sz w:val="21"/>
        </w:rPr>
        <w:t>特技表</w:t>
      </w:r>
      <w:r>
        <w:rPr>
          <w:b/>
          <w:spacing w:val="-10"/>
          <w:sz w:val="21"/>
        </w:rPr>
        <w:t>演</w:t>
      </w:r>
      <w:r>
        <w:rPr>
          <w:b/>
          <w:sz w:val="21"/>
        </w:rPr>
        <w:tab/>
      </w:r>
      <w:r>
        <w:rPr>
          <w:spacing w:val="-2"/>
          <w:sz w:val="21"/>
        </w:rPr>
        <w:t>指</w:t>
      </w:r>
      <w:r>
        <w:rPr>
          <w:spacing w:val="-2"/>
          <w:sz w:val="21"/>
        </w:rPr>
        <w:t>进</w:t>
      </w:r>
      <w:r>
        <w:rPr>
          <w:spacing w:val="-2"/>
          <w:sz w:val="21"/>
        </w:rPr>
        <w:t>行马术、杂技、飞车</w:t>
      </w:r>
      <w:r>
        <w:rPr>
          <w:spacing w:val="-2"/>
          <w:sz w:val="21"/>
        </w:rPr>
        <w:t>、</w:t>
      </w:r>
      <w:r>
        <w:rPr>
          <w:spacing w:val="-2"/>
          <w:sz w:val="21"/>
        </w:rPr>
        <w:t>驯</w:t>
      </w:r>
      <w:r>
        <w:rPr>
          <w:spacing w:val="-2"/>
          <w:sz w:val="21"/>
        </w:rPr>
        <w:t>兽等特殊技能的表演</w:t>
      </w:r>
      <w:r>
        <w:rPr>
          <w:spacing w:val="-10"/>
          <w:sz w:val="21"/>
        </w:rPr>
        <w:t>。</w:t>
      </w:r>
    </w:p>
    <w:p>
      <w:pPr>
        <w:pStyle w:val="BodyText"/>
        <w:spacing w:before="9"/>
        <w:rPr>
          <w:sz w:val="27"/>
        </w:rPr>
      </w:pPr>
    </w:p>
    <w:p>
      <w:pPr>
        <w:pStyle w:val="ListParagraph"/>
        <w:numPr>
          <w:ilvl w:val="1"/>
          <w:numId w:val="19"/>
        </w:numPr>
        <w:tabs>
          <w:tab w:pos="1344" w:val="left" w:leader="none"/>
          <w:tab w:pos="1345" w:val="left" w:leader="none"/>
          <w:tab w:pos="2904" w:val="left" w:leader="none"/>
        </w:tabs>
        <w:spacing w:line="278" w:lineRule="auto" w:before="0" w:after="0"/>
        <w:ind w:left="2904" w:right="342" w:hanging="2696"/>
        <w:jc w:val="left"/>
        <w:rPr>
          <w:sz w:val="21"/>
        </w:rPr>
      </w:pPr>
      <w:r>
        <w:rPr>
          <w:b/>
          <w:spacing w:val="-4"/>
          <w:sz w:val="21"/>
        </w:rPr>
        <w:t>既</w:t>
      </w:r>
      <w:r>
        <w:rPr>
          <w:b/>
          <w:spacing w:val="-4"/>
          <w:sz w:val="21"/>
        </w:rPr>
        <w:t>往</w:t>
      </w:r>
      <w:r>
        <w:rPr>
          <w:b/>
          <w:spacing w:val="-4"/>
          <w:sz w:val="21"/>
        </w:rPr>
        <w:t>症</w:t>
      </w:r>
      <w:r>
        <w:rPr>
          <w:b/>
          <w:sz w:val="21"/>
        </w:rPr>
        <w:tab/>
      </w:r>
      <w:r>
        <w:rPr>
          <w:spacing w:val="-2"/>
          <w:sz w:val="21"/>
        </w:rPr>
        <w:t>指</w:t>
      </w:r>
      <w:r>
        <w:rPr>
          <w:spacing w:val="-2"/>
          <w:sz w:val="21"/>
        </w:rPr>
        <w:t>在</w:t>
      </w:r>
      <w:r>
        <w:rPr>
          <w:spacing w:val="-2"/>
          <w:sz w:val="21"/>
        </w:rPr>
        <w:t>本主险合同生效日之</w:t>
      </w:r>
      <w:r>
        <w:rPr>
          <w:spacing w:val="-2"/>
          <w:sz w:val="21"/>
        </w:rPr>
        <w:t>前</w:t>
      </w:r>
      <w:r>
        <w:rPr>
          <w:spacing w:val="-2"/>
          <w:sz w:val="21"/>
        </w:rPr>
        <w:t>被</w:t>
      </w:r>
      <w:r>
        <w:rPr>
          <w:spacing w:val="-2"/>
          <w:sz w:val="21"/>
        </w:rPr>
        <w:t>保险人已知或者应该</w:t>
      </w:r>
      <w:r>
        <w:rPr>
          <w:spacing w:val="-2"/>
          <w:sz w:val="21"/>
        </w:rPr>
        <w:t>知</w:t>
      </w:r>
      <w:r>
        <w:rPr>
          <w:spacing w:val="-2"/>
          <w:sz w:val="21"/>
        </w:rPr>
        <w:t>道</w:t>
      </w:r>
      <w:r>
        <w:rPr>
          <w:spacing w:val="-2"/>
          <w:sz w:val="21"/>
        </w:rPr>
        <w:t>的有关疾病。通</w:t>
      </w:r>
      <w:r>
        <w:rPr>
          <w:spacing w:val="-2"/>
          <w:sz w:val="21"/>
        </w:rPr>
        <w:t>常</w:t>
      </w:r>
      <w:r>
        <w:rPr>
          <w:spacing w:val="-2"/>
          <w:sz w:val="21"/>
        </w:rPr>
        <w:t>包</w:t>
      </w:r>
      <w:r>
        <w:rPr>
          <w:spacing w:val="-2"/>
          <w:sz w:val="21"/>
        </w:rPr>
        <w:t>括</w:t>
      </w:r>
      <w:r>
        <w:rPr>
          <w:spacing w:val="-2"/>
          <w:sz w:val="21"/>
        </w:rPr>
        <w:t>下</w:t>
      </w:r>
      <w:r>
        <w:rPr>
          <w:spacing w:val="-2"/>
          <w:sz w:val="21"/>
        </w:rPr>
        <w:t>列情形之一：</w:t>
      </w:r>
    </w:p>
    <w:p>
      <w:pPr>
        <w:pStyle w:val="ListParagraph"/>
        <w:numPr>
          <w:ilvl w:val="2"/>
          <w:numId w:val="19"/>
        </w:numPr>
        <w:tabs>
          <w:tab w:pos="3434" w:val="left" w:leader="none"/>
        </w:tabs>
        <w:spacing w:line="269" w:lineRule="exact" w:before="0" w:after="0"/>
        <w:ind w:left="3433" w:right="0" w:hanging="530"/>
        <w:jc w:val="left"/>
        <w:rPr>
          <w:sz w:val="21"/>
        </w:rPr>
      </w:pPr>
      <w:r>
        <w:rPr>
          <w:spacing w:val="-3"/>
          <w:sz w:val="21"/>
        </w:rPr>
        <w:t>本主险合同生效日之前，医生已有诊断，长期治疗未间断；</w:t>
      </w:r>
    </w:p>
    <w:p>
      <w:pPr>
        <w:pStyle w:val="ListParagraph"/>
        <w:numPr>
          <w:ilvl w:val="2"/>
          <w:numId w:val="19"/>
        </w:numPr>
        <w:tabs>
          <w:tab w:pos="3432" w:val="left" w:leader="none"/>
        </w:tabs>
        <w:spacing w:line="278" w:lineRule="auto" w:before="43" w:after="0"/>
        <w:ind w:left="2904" w:right="263" w:firstLine="0"/>
        <w:jc w:val="left"/>
        <w:rPr>
          <w:sz w:val="21"/>
        </w:rPr>
      </w:pPr>
      <w:r>
        <w:rPr>
          <w:spacing w:val="-2"/>
          <w:sz w:val="21"/>
        </w:rPr>
        <w:t>本主险合同生效日之前，医生已有诊断，治疗后症状未完全消失，有间</w:t>
      </w:r>
      <w:r>
        <w:rPr>
          <w:spacing w:val="-2"/>
          <w:sz w:val="21"/>
        </w:rPr>
        <w:t>断治疗的情况；</w:t>
      </w:r>
    </w:p>
    <w:p>
      <w:pPr>
        <w:pStyle w:val="ListParagraph"/>
        <w:numPr>
          <w:ilvl w:val="2"/>
          <w:numId w:val="19"/>
        </w:numPr>
        <w:tabs>
          <w:tab w:pos="3434" w:val="left" w:leader="none"/>
        </w:tabs>
        <w:spacing w:line="269" w:lineRule="exact" w:before="0" w:after="0"/>
        <w:ind w:left="3433" w:right="0" w:hanging="530"/>
        <w:jc w:val="left"/>
        <w:rPr>
          <w:sz w:val="21"/>
        </w:rPr>
      </w:pPr>
      <w:r>
        <w:rPr>
          <w:spacing w:val="-3"/>
          <w:sz w:val="21"/>
        </w:rPr>
        <w:t>本主险合同生效日之前，医生已有诊断，但未予治疗。</w:t>
      </w:r>
    </w:p>
    <w:p>
      <w:pPr>
        <w:pStyle w:val="BodyText"/>
        <w:spacing w:before="9"/>
        <w:rPr>
          <w:sz w:val="27"/>
        </w:rPr>
      </w:pPr>
    </w:p>
    <w:p>
      <w:pPr>
        <w:pStyle w:val="ListParagraph"/>
        <w:numPr>
          <w:ilvl w:val="1"/>
          <w:numId w:val="19"/>
        </w:numPr>
        <w:tabs>
          <w:tab w:pos="1344" w:val="left" w:leader="none"/>
          <w:tab w:pos="1345" w:val="left" w:leader="none"/>
          <w:tab w:pos="2904" w:val="left" w:leader="none"/>
        </w:tabs>
        <w:spacing w:line="278" w:lineRule="auto" w:before="0" w:after="0"/>
        <w:ind w:left="2904" w:right="260" w:hanging="2696"/>
        <w:jc w:val="left"/>
        <w:rPr>
          <w:sz w:val="21"/>
        </w:rPr>
      </w:pPr>
      <w:r>
        <w:rPr>
          <w:b/>
          <w:spacing w:val="-4"/>
          <w:sz w:val="21"/>
        </w:rPr>
        <w:t>精</w:t>
      </w:r>
      <w:r>
        <w:rPr>
          <w:b/>
          <w:spacing w:val="-4"/>
          <w:sz w:val="21"/>
        </w:rPr>
        <w:t>神</w:t>
      </w:r>
      <w:r>
        <w:rPr>
          <w:b/>
          <w:spacing w:val="-4"/>
          <w:sz w:val="21"/>
        </w:rPr>
        <w:t>疾</w:t>
      </w:r>
      <w:r>
        <w:rPr>
          <w:b/>
          <w:spacing w:val="-4"/>
          <w:sz w:val="21"/>
        </w:rPr>
        <w:t>患</w:t>
      </w:r>
      <w:r>
        <w:rPr>
          <w:b/>
          <w:sz w:val="21"/>
        </w:rPr>
        <w:tab/>
      </w:r>
      <w:r>
        <w:rPr>
          <w:spacing w:val="-4"/>
          <w:sz w:val="21"/>
        </w:rPr>
        <w:t>以</w:t>
      </w:r>
      <w:r>
        <w:rPr>
          <w:spacing w:val="-4"/>
          <w:sz w:val="21"/>
        </w:rPr>
        <w:t>世</w:t>
      </w:r>
      <w:r>
        <w:rPr>
          <w:spacing w:val="-4"/>
          <w:sz w:val="21"/>
        </w:rPr>
        <w:t>界卫生组织颁布的《</w:t>
      </w:r>
      <w:r>
        <w:rPr>
          <w:spacing w:val="-4"/>
          <w:sz w:val="21"/>
        </w:rPr>
        <w:t>疾</w:t>
      </w:r>
      <w:r>
        <w:rPr>
          <w:spacing w:val="-4"/>
          <w:sz w:val="21"/>
        </w:rPr>
        <w:t>病</w:t>
      </w:r>
      <w:r>
        <w:rPr>
          <w:spacing w:val="-4"/>
          <w:sz w:val="21"/>
        </w:rPr>
        <w:t>和有关健康问题的国</w:t>
      </w:r>
      <w:r>
        <w:rPr>
          <w:spacing w:val="-4"/>
          <w:sz w:val="21"/>
        </w:rPr>
        <w:t>际</w:t>
      </w:r>
      <w:r>
        <w:rPr>
          <w:spacing w:val="-4"/>
          <w:sz w:val="21"/>
        </w:rPr>
        <w:t>统</w:t>
      </w:r>
      <w:r>
        <w:rPr>
          <w:spacing w:val="-4"/>
          <w:sz w:val="21"/>
        </w:rPr>
        <w:t>计分类（ICD-</w:t>
      </w:r>
      <w:r>
        <w:rPr>
          <w:spacing w:val="32"/>
          <w:sz w:val="21"/>
        </w:rPr>
        <w:t>1</w:t>
      </w:r>
      <w:r>
        <w:rPr>
          <w:spacing w:val="29"/>
          <w:sz w:val="21"/>
        </w:rPr>
        <w:t>0</w:t>
      </w:r>
      <w:r>
        <w:rPr>
          <w:spacing w:val="-74"/>
          <w:sz w:val="21"/>
        </w:rPr>
        <w:t>）</w:t>
      </w:r>
      <w:r>
        <w:rPr>
          <w:spacing w:val="-4"/>
          <w:sz w:val="21"/>
        </w:rPr>
        <w:t>》确</w:t>
      </w:r>
      <w:r>
        <w:rPr>
          <w:spacing w:val="-6"/>
          <w:sz w:val="21"/>
        </w:rPr>
        <w:t>定</w:t>
      </w:r>
      <w:r>
        <w:rPr>
          <w:spacing w:val="-6"/>
          <w:sz w:val="21"/>
        </w:rPr>
        <w:t>。</w:t>
      </w:r>
    </w:p>
    <w:p>
      <w:pPr>
        <w:pStyle w:val="BodyText"/>
        <w:spacing w:before="4"/>
        <w:rPr>
          <w:sz w:val="24"/>
        </w:rPr>
      </w:pPr>
    </w:p>
    <w:p>
      <w:pPr>
        <w:pStyle w:val="ListParagraph"/>
        <w:numPr>
          <w:ilvl w:val="1"/>
          <w:numId w:val="19"/>
        </w:numPr>
        <w:tabs>
          <w:tab w:pos="1344" w:val="left" w:leader="none"/>
          <w:tab w:pos="1345" w:val="left" w:leader="none"/>
          <w:tab w:pos="2904" w:val="left" w:leader="none"/>
        </w:tabs>
        <w:spacing w:line="278" w:lineRule="auto" w:before="1" w:after="0"/>
        <w:ind w:left="2904" w:right="342" w:hanging="2696"/>
        <w:jc w:val="left"/>
        <w:rPr>
          <w:sz w:val="21"/>
        </w:rPr>
      </w:pP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突变或畸变所引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9"/>
        <w:rPr>
          <w:sz w:val="18"/>
        </w:rPr>
      </w:pPr>
    </w:p>
    <w:p>
      <w:pPr>
        <w:spacing w:after="0"/>
        <w:rPr>
          <w:sz w:val="18"/>
        </w:rPr>
        <w:sectPr>
          <w:type w:val="continuous"/>
          <w:pgSz w:w="11910" w:h="16840"/>
          <w:pgMar w:top="300" w:bottom="280" w:left="1060" w:right="660"/>
        </w:sectPr>
      </w:pPr>
    </w:p>
    <w:p>
      <w:pPr>
        <w:pStyle w:val="ListParagraph"/>
        <w:numPr>
          <w:ilvl w:val="1"/>
          <w:numId w:val="19"/>
        </w:numPr>
        <w:tabs>
          <w:tab w:pos="1345" w:val="left" w:leader="none"/>
        </w:tabs>
        <w:spacing w:line="278" w:lineRule="auto" w:before="72" w:after="0"/>
        <w:ind w:left="1344" w:right="38" w:hanging="1136"/>
        <w:jc w:val="both"/>
        <w:rPr>
          <w:b/>
          <w:sz w:val="21"/>
        </w:rPr>
      </w:pPr>
      <w:r>
        <w:rPr>
          <w:b/>
          <w:spacing w:val="-2"/>
          <w:sz w:val="21"/>
        </w:rPr>
        <w:t>先天性畸形、</w:t>
      </w:r>
      <w:r>
        <w:rPr>
          <w:b/>
          <w:spacing w:val="-2"/>
          <w:sz w:val="21"/>
        </w:rPr>
        <w:t>变形或染色体</w:t>
      </w:r>
      <w:r>
        <w:rPr>
          <w:b/>
          <w:spacing w:val="-6"/>
          <w:sz w:val="21"/>
        </w:rPr>
        <w:t>异常</w:t>
      </w:r>
    </w:p>
    <w:p>
      <w:pPr>
        <w:pStyle w:val="BodyText"/>
        <w:spacing w:line="278" w:lineRule="auto" w:before="72"/>
        <w:ind w:left="209" w:right="342"/>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top="300" w:bottom="280" w:left="1060" w:right="660"/>
          <w:cols w:num="2" w:equalWidth="0">
            <w:col w:w="2653" w:space="43"/>
            <w:col w:w="7494"/>
          </w:cols>
        </w:sectPr>
      </w:pPr>
    </w:p>
    <w:p>
      <w:pPr>
        <w:pStyle w:val="BodyText"/>
        <w:spacing w:before="9"/>
        <w:rPr>
          <w:sz w:val="18"/>
        </w:rPr>
      </w:pPr>
    </w:p>
    <w:p>
      <w:pPr>
        <w:spacing w:after="0"/>
        <w:rPr>
          <w:sz w:val="18"/>
        </w:rPr>
        <w:sectPr>
          <w:type w:val="continuous"/>
          <w:pgSz w:w="11910" w:h="16840"/>
          <w:pgMar w:top="300" w:bottom="280" w:left="1060" w:right="660"/>
        </w:sectPr>
      </w:pPr>
    </w:p>
    <w:p>
      <w:pPr>
        <w:pStyle w:val="ListParagraph"/>
        <w:numPr>
          <w:ilvl w:val="1"/>
          <w:numId w:val="19"/>
        </w:numPr>
        <w:tabs>
          <w:tab w:pos="1344" w:val="left" w:leader="none"/>
          <w:tab w:pos="1345" w:val="left" w:leader="none"/>
        </w:tabs>
        <w:spacing w:line="278" w:lineRule="auto" w:before="72" w:after="0"/>
        <w:ind w:left="1344" w:right="38" w:hanging="1136"/>
        <w:jc w:val="left"/>
        <w:rPr>
          <w:b/>
          <w:sz w:val="21"/>
        </w:rPr>
      </w:pPr>
      <w:r>
        <w:rPr>
          <w:b/>
          <w:spacing w:val="-2"/>
          <w:sz w:val="21"/>
        </w:rPr>
        <w:t>保险费约定交</w:t>
      </w:r>
      <w:r>
        <w:rPr>
          <w:b/>
          <w:spacing w:val="-6"/>
          <w:sz w:val="21"/>
        </w:rPr>
        <w:t>纳日</w:t>
      </w:r>
    </w:p>
    <w:p>
      <w:pPr>
        <w:pStyle w:val="BodyText"/>
        <w:spacing w:line="278" w:lineRule="auto" w:before="72"/>
        <w:ind w:left="209" w:right="342"/>
      </w:pPr>
      <w:r>
        <w:rPr/>
        <w:br w:type="column"/>
      </w:r>
      <w:r>
        <w:rPr>
          <w:spacing w:val="-2"/>
        </w:rPr>
        <w:t>指本主险合同生效日在每年或每月的对应日。如果当月无对应的同一日，则</w:t>
      </w:r>
      <w:r>
        <w:rPr>
          <w:spacing w:val="-2"/>
        </w:rPr>
        <w:t>以该月最后一日作为对应日。</w:t>
      </w:r>
    </w:p>
    <w:p>
      <w:pPr>
        <w:spacing w:after="0" w:line="278" w:lineRule="auto"/>
        <w:sectPr>
          <w:type w:val="continuous"/>
          <w:pgSz w:w="11910" w:h="16840"/>
          <w:pgMar w:top="300" w:bottom="280" w:left="1060" w:right="660"/>
          <w:cols w:num="2" w:equalWidth="0">
            <w:col w:w="2653" w:space="43"/>
            <w:col w:w="7494"/>
          </w:cols>
        </w:sectPr>
      </w:pPr>
    </w:p>
    <w:p>
      <w:pPr>
        <w:pStyle w:val="BodyText"/>
        <w:spacing w:before="9"/>
        <w:rPr>
          <w:sz w:val="18"/>
        </w:rPr>
      </w:pPr>
    </w:p>
    <w:p>
      <w:pPr>
        <w:pStyle w:val="ListParagraph"/>
        <w:numPr>
          <w:ilvl w:val="1"/>
          <w:numId w:val="19"/>
        </w:numPr>
        <w:tabs>
          <w:tab w:pos="1344" w:val="left" w:leader="none"/>
          <w:tab w:pos="1345" w:val="left" w:leader="none"/>
          <w:tab w:pos="2904" w:val="left" w:leader="none"/>
        </w:tabs>
        <w:spacing w:line="278" w:lineRule="auto" w:before="72" w:after="0"/>
        <w:ind w:left="2904" w:right="265" w:hanging="2696"/>
        <w:jc w:val="left"/>
        <w:rPr>
          <w:sz w:val="21"/>
        </w:rPr>
      </w:pPr>
      <w:r>
        <w:rPr>
          <w:b/>
          <w:spacing w:val="-2"/>
          <w:sz w:val="21"/>
        </w:rPr>
        <w:t>手</w:t>
      </w:r>
      <w:r>
        <w:rPr>
          <w:b/>
          <w:spacing w:val="-2"/>
          <w:sz w:val="21"/>
        </w:rPr>
        <w:t>术</w:t>
      </w:r>
      <w:r>
        <w:rPr>
          <w:b/>
          <w:spacing w:val="-2"/>
          <w:sz w:val="21"/>
        </w:rPr>
        <w:t>植</w:t>
      </w:r>
      <w:r>
        <w:rPr>
          <w:b/>
          <w:spacing w:val="-2"/>
          <w:sz w:val="21"/>
        </w:rPr>
        <w:t>入</w:t>
      </w:r>
      <w:r>
        <w:rPr>
          <w:b/>
          <w:spacing w:val="-2"/>
          <w:sz w:val="21"/>
        </w:rPr>
        <w:t>材</w:t>
      </w:r>
      <w:r>
        <w:rPr>
          <w:b/>
          <w:spacing w:val="-2"/>
          <w:sz w:val="21"/>
        </w:rPr>
        <w:t>料</w:t>
      </w:r>
      <w:r>
        <w:rPr>
          <w:b/>
          <w:sz w:val="21"/>
        </w:rPr>
        <w:tab/>
      </w:r>
      <w:r>
        <w:rPr>
          <w:spacing w:val="-2"/>
          <w:sz w:val="21"/>
        </w:rPr>
        <w:t>指在手术过程中由医</w:t>
      </w:r>
      <w:r>
        <w:rPr>
          <w:spacing w:val="-2"/>
          <w:sz w:val="21"/>
        </w:rPr>
        <w:t>生</w:t>
      </w:r>
      <w:r>
        <w:rPr>
          <w:spacing w:val="-2"/>
          <w:sz w:val="21"/>
        </w:rPr>
        <w:t>植</w:t>
      </w:r>
      <w:r>
        <w:rPr>
          <w:spacing w:val="-2"/>
          <w:sz w:val="21"/>
        </w:rPr>
        <w:t>入患者体内、术后无</w:t>
      </w:r>
      <w:r>
        <w:rPr>
          <w:spacing w:val="-2"/>
          <w:sz w:val="21"/>
        </w:rPr>
        <w:t>法</w:t>
      </w:r>
      <w:r>
        <w:rPr>
          <w:spacing w:val="-2"/>
          <w:sz w:val="21"/>
        </w:rPr>
        <w:t>自</w:t>
      </w:r>
      <w:r>
        <w:rPr>
          <w:spacing w:val="-2"/>
          <w:sz w:val="21"/>
        </w:rPr>
        <w:t>由取摘、只能由医生</w:t>
      </w:r>
      <w:r>
        <w:rPr>
          <w:spacing w:val="-2"/>
          <w:sz w:val="21"/>
        </w:rPr>
        <w:t>进</w:t>
      </w:r>
      <w:r>
        <w:rPr>
          <w:spacing w:val="-2"/>
          <w:sz w:val="21"/>
        </w:rPr>
        <w:t>行</w:t>
      </w:r>
      <w:r>
        <w:rPr>
          <w:spacing w:val="-2"/>
          <w:sz w:val="21"/>
        </w:rPr>
        <w:t>开</w:t>
      </w:r>
      <w:r>
        <w:rPr>
          <w:spacing w:val="-2"/>
          <w:sz w:val="21"/>
        </w:rPr>
        <w:t>创</w:t>
      </w:r>
      <w:r>
        <w:rPr>
          <w:spacing w:val="-2"/>
          <w:sz w:val="21"/>
        </w:rPr>
        <w:t>手术才能取出的材料。</w:t>
      </w:r>
    </w:p>
    <w:p>
      <w:pPr>
        <w:spacing w:after="0" w:line="278" w:lineRule="auto"/>
        <w:jc w:val="left"/>
        <w:rPr>
          <w:sz w:val="21"/>
        </w:rPr>
        <w:sectPr>
          <w:type w:val="continuous"/>
          <w:pgSz w:w="11910" w:h="16840"/>
          <w:pgMar w:top="300" w:bottom="280" w:left="1060" w:right="660"/>
        </w:sectPr>
      </w:pPr>
    </w:p>
    <w:p>
      <w:pPr>
        <w:pStyle w:val="ListParagraph"/>
        <w:numPr>
          <w:ilvl w:val="1"/>
          <w:numId w:val="19"/>
        </w:numPr>
        <w:tabs>
          <w:tab w:pos="1344" w:val="left" w:leader="none"/>
          <w:tab w:pos="1345" w:val="left" w:leader="none"/>
        </w:tabs>
        <w:spacing w:line="278" w:lineRule="auto" w:before="61" w:after="0"/>
        <w:ind w:left="1344" w:right="38" w:hanging="1136"/>
        <w:jc w:val="left"/>
        <w:rPr>
          <w:b/>
          <w:sz w:val="21"/>
        </w:rPr>
      </w:pPr>
      <w:r>
        <w:rPr>
          <w:b/>
          <w:spacing w:val="-2"/>
          <w:sz w:val="21"/>
        </w:rPr>
        <w:t>组织病理学检</w:t>
      </w:r>
      <w:r>
        <w:rPr>
          <w:b/>
          <w:spacing w:val="-10"/>
          <w:sz w:val="21"/>
        </w:rPr>
        <w:t>查</w:t>
      </w:r>
    </w:p>
    <w:p>
      <w:pPr>
        <w:pStyle w:val="BodyText"/>
        <w:spacing w:line="278" w:lineRule="auto" w:before="61"/>
        <w:ind w:left="210" w:right="342"/>
      </w:pPr>
      <w:r>
        <w:rPr/>
        <w:br w:type="column"/>
      </w:r>
      <w:r>
        <w:rPr>
          <w:spacing w:val="-2"/>
        </w:rPr>
        <w:t>组织病理学检查是通过局部切除、钳取、穿刺等手术方法，从患者机体采取</w:t>
      </w:r>
      <w:r>
        <w:rPr>
          <w:spacing w:val="-2"/>
        </w:rPr>
        <w:t>病变组织块，经过包埋、切片后，进行病理检查的方法。</w:t>
      </w:r>
    </w:p>
    <w:p>
      <w:pPr>
        <w:spacing w:line="266" w:lineRule="auto" w:before="0"/>
        <w:ind w:left="209" w:right="321" w:hanging="1"/>
        <w:jc w:val="both"/>
        <w:rPr>
          <w:b/>
          <w:i/>
          <w:sz w:val="22"/>
        </w:rPr>
      </w:pPr>
      <w:r>
        <w:rPr>
          <w:b/>
          <w:i/>
          <w:spacing w:val="-2"/>
          <w:w w:val="95"/>
          <w:sz w:val="22"/>
        </w:rPr>
        <w:t>通过采集病变部位脱落细胞、细针吸取病变部位细胞、体腔积液分离病变细</w:t>
      </w:r>
      <w:r>
        <w:rPr>
          <w:b/>
          <w:i/>
          <w:spacing w:val="-2"/>
          <w:w w:val="95"/>
          <w:sz w:val="22"/>
        </w:rPr>
        <w:t>胞等方式获取病变细胞，制成涂片，进行病理检查的方法，属于细胞病理学</w:t>
      </w:r>
      <w:r>
        <w:rPr>
          <w:b/>
          <w:i/>
          <w:spacing w:val="-2"/>
          <w:sz w:val="22"/>
        </w:rPr>
        <w:t>检</w:t>
      </w:r>
      <w:r>
        <w:rPr>
          <w:b/>
          <w:i/>
          <w:spacing w:val="-2"/>
          <w:sz w:val="22"/>
        </w:rPr>
        <w:t>查</w:t>
      </w:r>
      <w:r>
        <w:rPr>
          <w:b/>
          <w:i/>
          <w:spacing w:val="-2"/>
          <w:sz w:val="22"/>
        </w:rPr>
        <w:t>，</w:t>
      </w:r>
      <w:r>
        <w:rPr>
          <w:b/>
          <w:i/>
          <w:spacing w:val="-2"/>
          <w:sz w:val="22"/>
        </w:rPr>
        <w:t>不</w:t>
      </w:r>
      <w:r>
        <w:rPr>
          <w:b/>
          <w:i/>
          <w:spacing w:val="-2"/>
          <w:sz w:val="22"/>
        </w:rPr>
        <w:t>属</w:t>
      </w:r>
      <w:r>
        <w:rPr>
          <w:b/>
          <w:i/>
          <w:spacing w:val="-2"/>
          <w:sz w:val="22"/>
        </w:rPr>
        <w:t>于</w:t>
      </w:r>
      <w:r>
        <w:rPr>
          <w:b/>
          <w:i/>
          <w:spacing w:val="-2"/>
          <w:sz w:val="22"/>
        </w:rPr>
        <w:t>组</w:t>
      </w:r>
      <w:r>
        <w:rPr>
          <w:b/>
          <w:i/>
          <w:spacing w:val="-2"/>
          <w:sz w:val="22"/>
        </w:rPr>
        <w:t>织</w:t>
      </w:r>
      <w:r>
        <w:rPr>
          <w:b/>
          <w:i/>
          <w:spacing w:val="-2"/>
          <w:sz w:val="22"/>
        </w:rPr>
        <w:t>病理学检查。</w:t>
      </w:r>
    </w:p>
    <w:p>
      <w:pPr>
        <w:spacing w:after="0" w:line="266" w:lineRule="auto"/>
        <w:jc w:val="both"/>
        <w:rPr>
          <w:sz w:val="22"/>
        </w:rPr>
        <w:sectPr>
          <w:pgSz w:w="11910" w:h="16840"/>
          <w:pgMar w:top="880" w:bottom="280" w:left="1060" w:right="660"/>
          <w:cols w:num="2" w:equalWidth="0">
            <w:col w:w="2653" w:space="42"/>
            <w:col w:w="7495"/>
          </w:cols>
        </w:sectPr>
      </w:pPr>
    </w:p>
    <w:p>
      <w:pPr>
        <w:pStyle w:val="BodyText"/>
        <w:spacing w:before="6"/>
        <w:rPr>
          <w:b/>
          <w:i/>
          <w:sz w:val="18"/>
        </w:rPr>
      </w:pPr>
    </w:p>
    <w:p>
      <w:pPr>
        <w:spacing w:after="0"/>
        <w:rPr>
          <w:sz w:val="18"/>
        </w:rPr>
        <w:sectPr>
          <w:type w:val="continuous"/>
          <w:pgSz w:w="11910" w:h="16840"/>
          <w:pgMar w:top="300" w:bottom="280" w:left="1060" w:right="660"/>
        </w:sectPr>
      </w:pPr>
    </w:p>
    <w:p>
      <w:pPr>
        <w:pStyle w:val="ListParagraph"/>
        <w:numPr>
          <w:ilvl w:val="1"/>
          <w:numId w:val="19"/>
        </w:numPr>
        <w:tabs>
          <w:tab w:pos="1344" w:val="left" w:leader="none"/>
          <w:tab w:pos="1345" w:val="left" w:leader="none"/>
        </w:tabs>
        <w:spacing w:line="278" w:lineRule="auto" w:before="72" w:after="0"/>
        <w:ind w:left="1344" w:right="38" w:hanging="1136"/>
        <w:jc w:val="left"/>
        <w:rPr>
          <w:b/>
          <w:sz w:val="21"/>
        </w:rPr>
      </w:pPr>
      <w:r>
        <w:rPr>
          <w:b/>
          <w:spacing w:val="-2"/>
          <w:sz w:val="21"/>
        </w:rPr>
        <w:t>ICD-10</w:t>
      </w:r>
      <w:r>
        <w:rPr>
          <w:b/>
          <w:spacing w:val="-29"/>
          <w:sz w:val="21"/>
        </w:rPr>
        <w:t> 与</w:t>
      </w:r>
      <w:r>
        <w:rPr>
          <w:b/>
          <w:spacing w:val="-2"/>
          <w:sz w:val="21"/>
        </w:rPr>
        <w:t> ICD-O-3</w:t>
      </w:r>
    </w:p>
    <w:p>
      <w:pPr>
        <w:pStyle w:val="BodyText"/>
        <w:spacing w:line="278" w:lineRule="auto" w:before="72"/>
        <w:ind w:left="209" w:right="157"/>
      </w:pPr>
      <w:r>
        <w:rPr/>
        <w:br w:type="column"/>
      </w:r>
      <w:r>
        <w:rPr>
          <w:spacing w:val="-2"/>
        </w:rPr>
        <w:t>《疾病和有关健康问题的国际统计分类》第十次修订版（ICD-</w:t>
      </w:r>
      <w:r>
        <w:rPr>
          <w:spacing w:val="27"/>
        </w:rPr>
        <w:t>10</w:t>
      </w:r>
      <w:r>
        <w:rPr>
          <w:spacing w:val="-81"/>
        </w:rPr>
        <w:t>）</w:t>
      </w:r>
      <w:r>
        <w:rPr>
          <w:spacing w:val="1"/>
        </w:rPr>
        <w:t>，是世界卫</w:t>
      </w:r>
      <w:r>
        <w:rPr>
          <w:spacing w:val="-2"/>
        </w:rPr>
        <w:t>生组织（WHO）</w:t>
      </w:r>
      <w:r>
        <w:rPr>
          <w:spacing w:val="-10"/>
        </w:rPr>
        <w:t>发布的国际通用的疾病分类方法。《国际疾病分类肿瘤学专辑》</w:t>
      </w:r>
      <w:r>
        <w:rPr/>
        <w:t>第三版（ICD-O-</w:t>
      </w:r>
      <w:r>
        <w:rPr>
          <w:spacing w:val="36"/>
        </w:rPr>
        <w:t>3</w:t>
      </w:r>
      <w:r>
        <w:rPr>
          <w:spacing w:val="-70"/>
        </w:rPr>
        <w:t>）</w:t>
      </w:r>
      <w:r>
        <w:rPr>
          <w:spacing w:val="-4"/>
        </w:rPr>
        <w:t>，是 </w:t>
      </w:r>
      <w:r>
        <w:rPr/>
        <w:t>WHO</w:t>
      </w:r>
      <w:r>
        <w:rPr>
          <w:spacing w:val="-13"/>
        </w:rPr>
        <w:t> 发布的针对 </w:t>
      </w:r>
      <w:r>
        <w:rPr/>
        <w:t>ICD</w:t>
      </w:r>
      <w:r>
        <w:rPr>
          <w:spacing w:val="-7"/>
        </w:rPr>
        <w:t> 中肿瘤形态学组织学细胞类型、</w:t>
      </w:r>
      <w:r>
        <w:rPr/>
        <w:t> 动态、分化程度的补充编码。其中形态学编码：0</w:t>
      </w:r>
      <w:r>
        <w:rPr>
          <w:spacing w:val="-5"/>
        </w:rPr>
        <w:t> 代表良性肿瘤；</w:t>
      </w:r>
      <w:r>
        <w:rPr/>
        <w:t>1</w:t>
      </w:r>
      <w:r>
        <w:rPr>
          <w:spacing w:val="-6"/>
        </w:rPr>
        <w:t> 代表动态</w:t>
      </w:r>
      <w:r>
        <w:rPr>
          <w:spacing w:val="-2"/>
        </w:rPr>
        <w:t>未定性肿瘤；2</w:t>
      </w:r>
      <w:r>
        <w:rPr>
          <w:spacing w:val="-10"/>
        </w:rPr>
        <w:t> 代表原位癌和非侵袭性癌；</w:t>
      </w:r>
      <w:r>
        <w:rPr>
          <w:spacing w:val="-2"/>
        </w:rPr>
        <w:t>3</w:t>
      </w:r>
      <w:r>
        <w:rPr>
          <w:spacing w:val="-11"/>
        </w:rPr>
        <w:t> 代表恶性肿瘤</w:t>
      </w:r>
      <w:r>
        <w:rPr>
          <w:spacing w:val="-2"/>
        </w:rPr>
        <w:t>（原发性</w:t>
      </w:r>
      <w:r>
        <w:rPr>
          <w:spacing w:val="-66"/>
        </w:rPr>
        <w:t>）</w:t>
      </w:r>
      <w:r>
        <w:rPr>
          <w:spacing w:val="18"/>
        </w:rPr>
        <w:t>；</w:t>
      </w:r>
      <w:r>
        <w:rPr>
          <w:spacing w:val="40"/>
        </w:rPr>
        <w:t>6</w:t>
      </w:r>
      <w:r>
        <w:rPr>
          <w:spacing w:val="-20"/>
        </w:rPr>
        <w:t> 代表</w:t>
      </w:r>
      <w:r>
        <w:rPr/>
        <w:t>恶性肿瘤（转移性</w:t>
      </w:r>
      <w:r>
        <w:rPr>
          <w:spacing w:val="-72"/>
        </w:rPr>
        <w:t>）</w:t>
      </w:r>
      <w:r>
        <w:rPr>
          <w:spacing w:val="36"/>
        </w:rPr>
        <w:t>；9</w:t>
      </w:r>
      <w:r>
        <w:rPr>
          <w:spacing w:val="-8"/>
        </w:rPr>
        <w:t> 代表恶性肿瘤</w:t>
      </w:r>
      <w:r>
        <w:rPr/>
        <w:t>（原发性或转移性未肯定</w:t>
      </w:r>
      <w:r>
        <w:rPr>
          <w:spacing w:val="-106"/>
        </w:rPr>
        <w:t>）</w:t>
      </w:r>
      <w:r>
        <w:rPr/>
        <w:t>。如果出现 ICD-10</w:t>
      </w:r>
      <w:r>
        <w:rPr>
          <w:spacing w:val="-15"/>
        </w:rPr>
        <w:t> 与 </w:t>
      </w:r>
      <w:r>
        <w:rPr/>
        <w:t>ICD-O-3</w:t>
      </w:r>
      <w:r>
        <w:rPr>
          <w:spacing w:val="-7"/>
        </w:rPr>
        <w:t> 不一致的情况，以 </w:t>
      </w:r>
      <w:r>
        <w:rPr/>
        <w:t>ICD-O-3</w:t>
      </w:r>
      <w:r>
        <w:rPr>
          <w:spacing w:val="-6"/>
        </w:rPr>
        <w:t> 为准。</w:t>
      </w:r>
    </w:p>
    <w:p>
      <w:pPr>
        <w:spacing w:after="0" w:line="278" w:lineRule="auto"/>
        <w:sectPr>
          <w:type w:val="continuous"/>
          <w:pgSz w:w="11910" w:h="16840"/>
          <w:pgMar w:top="300" w:bottom="280" w:left="1060" w:right="660"/>
          <w:cols w:num="2" w:equalWidth="0">
            <w:col w:w="2285" w:space="410"/>
            <w:col w:w="7495"/>
          </w:cols>
        </w:sectPr>
      </w:pPr>
    </w:p>
    <w:p>
      <w:pPr>
        <w:pStyle w:val="BodyText"/>
        <w:spacing w:before="9"/>
        <w:rPr>
          <w:sz w:val="18"/>
        </w:rPr>
      </w:pPr>
    </w:p>
    <w:p>
      <w:pPr>
        <w:pStyle w:val="ListParagraph"/>
        <w:numPr>
          <w:ilvl w:val="1"/>
          <w:numId w:val="19"/>
        </w:numPr>
        <w:tabs>
          <w:tab w:pos="1345" w:val="left" w:leader="none"/>
        </w:tabs>
        <w:spacing w:line="278" w:lineRule="auto" w:before="72" w:after="0"/>
        <w:ind w:left="2904" w:right="260" w:hanging="2696"/>
        <w:jc w:val="both"/>
        <w:rPr>
          <w:sz w:val="21"/>
        </w:rPr>
      </w:pPr>
      <w:r>
        <w:rPr>
          <w:b/>
          <w:sz w:val="21"/>
        </w:rPr>
        <w:t>TNM</w:t>
      </w:r>
      <w:r>
        <w:rPr>
          <w:b/>
          <w:spacing w:val="-10"/>
          <w:sz w:val="21"/>
        </w:rPr>
        <w:t> 分期</w:t>
      </w:r>
      <w:r>
        <w:rPr>
          <w:b/>
          <w:spacing w:val="63"/>
          <w:w w:val="150"/>
          <w:sz w:val="21"/>
        </w:rPr>
        <w:t>   </w:t>
      </w:r>
      <w:r>
        <w:rPr>
          <w:sz w:val="21"/>
        </w:rPr>
        <w:t>TNM</w:t>
      </w:r>
      <w:r>
        <w:rPr>
          <w:spacing w:val="-11"/>
          <w:sz w:val="21"/>
        </w:rPr>
        <w:t> 分期采用 </w:t>
      </w:r>
      <w:r>
        <w:rPr>
          <w:sz w:val="21"/>
        </w:rPr>
        <w:t>AJCC</w:t>
      </w:r>
      <w:r>
        <w:rPr>
          <w:spacing w:val="-5"/>
          <w:sz w:val="21"/>
        </w:rPr>
        <w:t> 癌症分期手册标准。该标准由美国癌症联合委员会与国际</w:t>
      </w:r>
      <w:r>
        <w:rPr>
          <w:w w:val="95"/>
          <w:sz w:val="21"/>
        </w:rPr>
        <w:t>抗</w:t>
      </w:r>
      <w:r>
        <w:rPr>
          <w:w w:val="95"/>
          <w:sz w:val="21"/>
        </w:rPr>
        <w:t>癌</w:t>
      </w:r>
      <w:r>
        <w:rPr>
          <w:w w:val="95"/>
          <w:sz w:val="21"/>
        </w:rPr>
        <w:t>联合会 TNM 委员会联</w:t>
      </w:r>
      <w:r>
        <w:rPr>
          <w:w w:val="95"/>
          <w:sz w:val="21"/>
        </w:rPr>
        <w:t>合</w:t>
      </w:r>
      <w:r>
        <w:rPr>
          <w:w w:val="95"/>
          <w:sz w:val="21"/>
        </w:rPr>
        <w:t>制</w:t>
      </w:r>
      <w:r>
        <w:rPr>
          <w:w w:val="95"/>
          <w:sz w:val="21"/>
        </w:rPr>
        <w:t>定</w:t>
      </w:r>
      <w:r>
        <w:rPr>
          <w:w w:val="95"/>
          <w:sz w:val="21"/>
        </w:rPr>
        <w:t>，是目前肿瘤医学</w:t>
      </w:r>
      <w:r>
        <w:rPr>
          <w:w w:val="95"/>
          <w:sz w:val="21"/>
        </w:rPr>
        <w:t>分</w:t>
      </w:r>
      <w:r>
        <w:rPr>
          <w:w w:val="95"/>
          <w:sz w:val="21"/>
        </w:rPr>
        <w:t>期</w:t>
      </w:r>
      <w:r>
        <w:rPr>
          <w:w w:val="95"/>
          <w:sz w:val="21"/>
        </w:rPr>
        <w:t>的国际通用</w:t>
      </w:r>
      <w:r>
        <w:rPr>
          <w:w w:val="95"/>
          <w:sz w:val="21"/>
        </w:rPr>
        <w:t>标</w:t>
      </w:r>
      <w:r>
        <w:rPr>
          <w:w w:val="95"/>
          <w:sz w:val="21"/>
        </w:rPr>
        <w:t>准</w:t>
      </w:r>
      <w:r>
        <w:rPr>
          <w:w w:val="95"/>
          <w:sz w:val="21"/>
        </w:rPr>
        <w:t>。T 指</w:t>
      </w:r>
      <w:r>
        <w:rPr>
          <w:w w:val="95"/>
          <w:sz w:val="21"/>
        </w:rPr>
        <w:t>原</w:t>
      </w:r>
      <w:r>
        <w:rPr>
          <w:w w:val="95"/>
          <w:sz w:val="21"/>
        </w:rPr>
        <w:t>发</w:t>
      </w:r>
      <w:r>
        <w:rPr>
          <w:w w:val="95"/>
          <w:sz w:val="21"/>
        </w:rPr>
        <w:t>肿瘤的大小、形态等；N</w:t>
      </w:r>
      <w:r>
        <w:rPr>
          <w:spacing w:val="32"/>
          <w:sz w:val="21"/>
        </w:rPr>
        <w:t> </w:t>
      </w:r>
      <w:r>
        <w:rPr>
          <w:w w:val="95"/>
          <w:sz w:val="21"/>
        </w:rPr>
        <w:t>指淋巴结的转移情况；M</w:t>
      </w:r>
      <w:r>
        <w:rPr>
          <w:spacing w:val="32"/>
          <w:sz w:val="21"/>
        </w:rPr>
        <w:t> </w:t>
      </w:r>
      <w:r>
        <w:rPr>
          <w:w w:val="95"/>
          <w:sz w:val="21"/>
        </w:rPr>
        <w:t>指有无其他脏器的</w:t>
      </w:r>
      <w:r>
        <w:rPr>
          <w:w w:val="95"/>
          <w:sz w:val="21"/>
        </w:rPr>
        <w:t>转</w:t>
      </w:r>
      <w:r>
        <w:rPr>
          <w:w w:val="95"/>
          <w:sz w:val="21"/>
        </w:rPr>
        <w:t>移</w:t>
      </w:r>
      <w:r>
        <w:rPr>
          <w:spacing w:val="-4"/>
          <w:sz w:val="21"/>
        </w:rPr>
        <w:t>情况。</w:t>
      </w:r>
    </w:p>
    <w:p>
      <w:pPr>
        <w:pStyle w:val="BodyText"/>
        <w:spacing w:before="4"/>
        <w:rPr>
          <w:sz w:val="24"/>
        </w:rPr>
      </w:pPr>
    </w:p>
    <w:p>
      <w:pPr>
        <w:pStyle w:val="BodyText"/>
        <w:spacing w:line="278" w:lineRule="auto"/>
        <w:ind w:left="2904" w:right="157"/>
      </w:pPr>
      <w:r>
        <w:rPr>
          <w:spacing w:val="-2"/>
        </w:rPr>
        <w:t>甲状腺癌的TNM分期采用目前现行的AJCC第八版定义标准，我国国家卫生健康</w:t>
      </w:r>
      <w:r>
        <w:rPr>
          <w:spacing w:val="-2"/>
        </w:rPr>
        <w:t>委员会2018年发布的《甲状腺癌诊疗规范（2018年版）》也采用此定义标准，</w:t>
      </w:r>
      <w:r>
        <w:rPr>
          <w:spacing w:val="-2"/>
        </w:rPr>
        <w:t>具体见下：</w:t>
      </w:r>
    </w:p>
    <w:p>
      <w:pPr>
        <w:pStyle w:val="BodyText"/>
        <w:spacing w:line="278" w:lineRule="auto"/>
        <w:ind w:left="2904" w:right="1290"/>
      </w:pPr>
      <w:r>
        <w:rPr>
          <w:spacing w:val="-2"/>
        </w:rPr>
        <w:t>甲状腺乳头状癌、滤泡癌、低分化癌、Hürthle细胞癌和未分化癌 pT</w:t>
      </w:r>
      <w:r>
        <w:rPr>
          <w:spacing w:val="-2"/>
          <w:sz w:val="11"/>
        </w:rPr>
        <w:t>X</w:t>
      </w:r>
      <w:r>
        <w:rPr>
          <w:spacing w:val="-2"/>
        </w:rPr>
        <w:t>：原发肿瘤不能评估</w:t>
      </w:r>
    </w:p>
    <w:p>
      <w:pPr>
        <w:pStyle w:val="BodyText"/>
        <w:spacing w:line="269" w:lineRule="exact"/>
        <w:ind w:left="2904"/>
      </w:pPr>
      <w:r>
        <w:rPr>
          <w:spacing w:val="-2"/>
        </w:rPr>
        <w:t>pT</w:t>
      </w:r>
      <w:r>
        <w:rPr>
          <w:spacing w:val="-2"/>
          <w:sz w:val="11"/>
        </w:rPr>
        <w:t>0</w:t>
      </w:r>
      <w:r>
        <w:rPr>
          <w:spacing w:val="-4"/>
        </w:rPr>
        <w:t>：无肿瘤证据</w:t>
      </w:r>
    </w:p>
    <w:p>
      <w:pPr>
        <w:pStyle w:val="BodyText"/>
        <w:spacing w:line="278" w:lineRule="auto" w:before="42"/>
        <w:ind w:left="3387" w:right="3409" w:hanging="483"/>
      </w:pPr>
      <w:r>
        <w:rPr>
          <w:spacing w:val="-2"/>
        </w:rPr>
        <w:t>pT</w:t>
      </w:r>
      <w:r>
        <w:rPr>
          <w:spacing w:val="-2"/>
          <w:sz w:val="11"/>
        </w:rPr>
        <w:t>1</w:t>
      </w:r>
      <w:r>
        <w:rPr>
          <w:spacing w:val="-2"/>
        </w:rPr>
        <w:t>：肿瘤局限在甲状腺内，最大径≤2cm T</w:t>
      </w:r>
      <w:r>
        <w:rPr>
          <w:spacing w:val="-2"/>
          <w:sz w:val="11"/>
        </w:rPr>
        <w:t>1a</w:t>
      </w:r>
      <w:r>
        <w:rPr>
          <w:spacing w:val="-2"/>
        </w:rPr>
        <w:t>肿瘤最大径≤1cm</w:t>
      </w:r>
    </w:p>
    <w:p>
      <w:pPr>
        <w:pStyle w:val="BodyText"/>
        <w:spacing w:line="278" w:lineRule="auto"/>
        <w:ind w:left="2904" w:right="3866" w:firstLine="482"/>
      </w:pPr>
      <w:r>
        <w:rPr>
          <w:spacing w:val="-2"/>
        </w:rPr>
        <w:t>T</w:t>
      </w:r>
      <w:r>
        <w:rPr>
          <w:spacing w:val="-2"/>
          <w:sz w:val="11"/>
        </w:rPr>
        <w:t>1b</w:t>
      </w:r>
      <w:r>
        <w:rPr>
          <w:spacing w:val="-2"/>
        </w:rPr>
        <w:t>肿瘤最大径＞1cm，≤2cm pT</w:t>
      </w:r>
      <w:r>
        <w:rPr>
          <w:spacing w:val="-2"/>
          <w:sz w:val="11"/>
        </w:rPr>
        <w:t>2</w:t>
      </w:r>
      <w:r>
        <w:rPr>
          <w:spacing w:val="-2"/>
        </w:rPr>
        <w:t>：肿瘤2～4cm</w:t>
      </w:r>
    </w:p>
    <w:p>
      <w:pPr>
        <w:pStyle w:val="BodyText"/>
        <w:spacing w:line="278" w:lineRule="auto"/>
        <w:ind w:left="2904" w:right="1760"/>
      </w:pPr>
      <w:r>
        <w:rPr>
          <w:spacing w:val="-2"/>
        </w:rPr>
        <w:t>pT</w:t>
      </w:r>
      <w:r>
        <w:rPr>
          <w:spacing w:val="-2"/>
          <w:sz w:val="11"/>
        </w:rPr>
        <w:t>3</w:t>
      </w:r>
      <w:r>
        <w:rPr>
          <w:spacing w:val="-2"/>
        </w:rPr>
        <w:t>：肿瘤&gt;4cm，局限于甲状腺内或大体侵犯甲状腺外带状肌 pT</w:t>
      </w:r>
      <w:r>
        <w:rPr>
          <w:spacing w:val="-2"/>
          <w:sz w:val="11"/>
        </w:rPr>
        <w:t>3a</w:t>
      </w:r>
      <w:r>
        <w:rPr>
          <w:spacing w:val="-2"/>
        </w:rPr>
        <w:t>：肿瘤&gt;4cm，局限于甲状腺内</w:t>
      </w:r>
    </w:p>
    <w:p>
      <w:pPr>
        <w:pStyle w:val="BodyText"/>
        <w:spacing w:line="269" w:lineRule="exact"/>
        <w:ind w:left="2904"/>
      </w:pPr>
      <w:r>
        <w:rPr>
          <w:spacing w:val="-2"/>
        </w:rPr>
        <w:t>pT</w:t>
      </w:r>
      <w:r>
        <w:rPr>
          <w:spacing w:val="-2"/>
          <w:sz w:val="11"/>
        </w:rPr>
        <w:t>3b</w:t>
      </w:r>
      <w:r>
        <w:rPr>
          <w:spacing w:val="-3"/>
        </w:rPr>
        <w:t>：大体侵犯甲状腺外带状肌，无论肿瘤大小</w:t>
      </w:r>
    </w:p>
    <w:p>
      <w:pPr>
        <w:pStyle w:val="BodyText"/>
        <w:spacing w:line="278" w:lineRule="auto" w:before="43"/>
        <w:ind w:left="2904" w:right="671" w:firstLine="511"/>
      </w:pPr>
      <w:r>
        <w:rPr>
          <w:spacing w:val="-2"/>
        </w:rPr>
        <w:t>带状肌包括：胸骨舌骨肌、胸骨甲状肌、甲状舌骨肌、肩胛舌骨肌</w:t>
      </w:r>
      <w:r>
        <w:rPr>
          <w:spacing w:val="-2"/>
        </w:rPr>
        <w:t> pT</w:t>
      </w:r>
      <w:r>
        <w:rPr>
          <w:spacing w:val="-2"/>
          <w:sz w:val="11"/>
        </w:rPr>
        <w:t>4</w:t>
      </w:r>
      <w:r>
        <w:rPr>
          <w:spacing w:val="-2"/>
        </w:rPr>
        <w:t>：大体侵犯甲状腺外带状肌外</w:t>
      </w:r>
    </w:p>
    <w:p>
      <w:pPr>
        <w:pStyle w:val="BodyText"/>
        <w:spacing w:line="278" w:lineRule="auto"/>
        <w:ind w:left="2904" w:right="2545"/>
      </w:pPr>
      <w:r>
        <w:rPr>
          <w:spacing w:val="-2"/>
        </w:rPr>
        <w:t>pT</w:t>
      </w:r>
      <w:r>
        <w:rPr>
          <w:spacing w:val="-2"/>
          <w:sz w:val="11"/>
        </w:rPr>
        <w:t>4a</w:t>
      </w:r>
      <w:r>
        <w:rPr>
          <w:spacing w:val="-2"/>
        </w:rPr>
        <w:t>：侵犯喉、气管、食管、喉反神经及皮下软组织</w:t>
      </w:r>
      <w:r>
        <w:rPr>
          <w:spacing w:val="-2"/>
        </w:rPr>
        <w:t> pT</w:t>
      </w:r>
      <w:r>
        <w:rPr>
          <w:spacing w:val="-2"/>
          <w:sz w:val="11"/>
        </w:rPr>
        <w:t>4b</w:t>
      </w:r>
      <w:r>
        <w:rPr>
          <w:spacing w:val="-2"/>
        </w:rPr>
        <w:t>：侵犯椎前筋膜，或包裹颈动脉、纵隔血管</w:t>
      </w:r>
    </w:p>
    <w:p>
      <w:pPr>
        <w:pStyle w:val="BodyText"/>
        <w:spacing w:line="269" w:lineRule="exact"/>
        <w:ind w:left="2904"/>
      </w:pPr>
      <w:r>
        <w:rPr>
          <w:spacing w:val="-4"/>
        </w:rPr>
        <w:t>甲状腺髓样癌</w:t>
      </w:r>
    </w:p>
    <w:p>
      <w:pPr>
        <w:pStyle w:val="BodyText"/>
        <w:spacing w:line="278" w:lineRule="auto" w:before="43"/>
        <w:ind w:left="2904" w:right="5121"/>
      </w:pPr>
      <w:r>
        <w:rPr>
          <w:spacing w:val="-2"/>
        </w:rPr>
        <w:t>pT</w:t>
      </w:r>
      <w:r>
        <w:rPr>
          <w:spacing w:val="-2"/>
          <w:sz w:val="11"/>
        </w:rPr>
        <w:t>X</w:t>
      </w:r>
      <w:r>
        <w:rPr>
          <w:spacing w:val="-2"/>
        </w:rPr>
        <w:t>：原发肿瘤不能评估 pT</w:t>
      </w:r>
      <w:r>
        <w:rPr>
          <w:spacing w:val="-2"/>
          <w:sz w:val="11"/>
        </w:rPr>
        <w:t>0</w:t>
      </w:r>
      <w:r>
        <w:rPr>
          <w:spacing w:val="-2"/>
        </w:rPr>
        <w:t>：无肿瘤证据</w:t>
      </w:r>
    </w:p>
    <w:p>
      <w:pPr>
        <w:pStyle w:val="BodyText"/>
        <w:spacing w:line="278" w:lineRule="auto"/>
        <w:ind w:left="3392" w:right="3409" w:hanging="488"/>
      </w:pPr>
      <w:r>
        <w:rPr>
          <w:spacing w:val="-2"/>
        </w:rPr>
        <w:t>pT</w:t>
      </w:r>
      <w:r>
        <w:rPr>
          <w:spacing w:val="-2"/>
          <w:sz w:val="11"/>
        </w:rPr>
        <w:t>1</w:t>
      </w:r>
      <w:r>
        <w:rPr>
          <w:spacing w:val="-2"/>
        </w:rPr>
        <w:t>：肿瘤局限在甲状腺内，最大径≤2cm T</w:t>
      </w:r>
      <w:r>
        <w:rPr>
          <w:spacing w:val="-2"/>
          <w:sz w:val="11"/>
        </w:rPr>
        <w:t>1a</w:t>
      </w:r>
      <w:r>
        <w:rPr>
          <w:spacing w:val="-2"/>
        </w:rPr>
        <w:t>肿瘤最大径≤1cm</w:t>
      </w:r>
    </w:p>
    <w:p>
      <w:pPr>
        <w:pStyle w:val="BodyText"/>
        <w:spacing w:line="278" w:lineRule="auto"/>
        <w:ind w:left="2904" w:right="3866" w:firstLine="487"/>
      </w:pPr>
      <w:r>
        <w:rPr>
          <w:spacing w:val="-2"/>
        </w:rPr>
        <w:t>T</w:t>
      </w:r>
      <w:r>
        <w:rPr>
          <w:spacing w:val="-2"/>
          <w:sz w:val="11"/>
        </w:rPr>
        <w:t>1b</w:t>
      </w:r>
      <w:r>
        <w:rPr>
          <w:spacing w:val="-2"/>
        </w:rPr>
        <w:t>肿瘤最大径＞1cm，≤2cm pT</w:t>
      </w:r>
      <w:r>
        <w:rPr>
          <w:spacing w:val="-2"/>
          <w:sz w:val="11"/>
        </w:rPr>
        <w:t>2</w:t>
      </w:r>
      <w:r>
        <w:rPr>
          <w:spacing w:val="-2"/>
        </w:rPr>
        <w:t>：肿瘤2～4cm</w:t>
      </w:r>
    </w:p>
    <w:p>
      <w:pPr>
        <w:pStyle w:val="BodyText"/>
        <w:spacing w:line="278" w:lineRule="auto"/>
        <w:ind w:left="2904" w:right="1760"/>
      </w:pPr>
      <w:r>
        <w:rPr>
          <w:spacing w:val="-2"/>
        </w:rPr>
        <w:t>pT</w:t>
      </w:r>
      <w:r>
        <w:rPr>
          <w:spacing w:val="-2"/>
          <w:sz w:val="11"/>
        </w:rPr>
        <w:t>3</w:t>
      </w:r>
      <w:r>
        <w:rPr>
          <w:spacing w:val="-2"/>
        </w:rPr>
        <w:t>：肿瘤&gt;4cm，局限于甲状腺内或大体侵犯甲状腺外带状肌 pT</w:t>
      </w:r>
      <w:r>
        <w:rPr>
          <w:spacing w:val="-2"/>
          <w:sz w:val="11"/>
        </w:rPr>
        <w:t>3a</w:t>
      </w:r>
      <w:r>
        <w:rPr>
          <w:spacing w:val="-2"/>
        </w:rPr>
        <w:t>：肿瘤&gt;4cm，局限于甲状腺内</w:t>
      </w:r>
    </w:p>
    <w:p>
      <w:pPr>
        <w:pStyle w:val="BodyText"/>
        <w:ind w:left="2904"/>
      </w:pPr>
      <w:r>
        <w:rPr>
          <w:spacing w:val="-2"/>
        </w:rPr>
        <w:t>pT</w:t>
      </w:r>
      <w:r>
        <w:rPr>
          <w:spacing w:val="-2"/>
          <w:sz w:val="11"/>
        </w:rPr>
        <w:t>3b</w:t>
      </w:r>
      <w:r>
        <w:rPr>
          <w:spacing w:val="-3"/>
        </w:rPr>
        <w:t>：大体侵犯甲状腺外带状肌，无论肿瘤大小</w:t>
      </w:r>
    </w:p>
    <w:p>
      <w:pPr>
        <w:spacing w:after="0"/>
        <w:sectPr>
          <w:type w:val="continuous"/>
          <w:pgSz w:w="11910" w:h="16840"/>
          <w:pgMar w:top="300" w:bottom="280" w:left="1060" w:right="660"/>
        </w:sectPr>
      </w:pPr>
    </w:p>
    <w:p>
      <w:pPr>
        <w:pStyle w:val="BodyText"/>
        <w:spacing w:line="278" w:lineRule="auto" w:before="61"/>
        <w:ind w:left="2904" w:right="671" w:firstLine="511"/>
      </w:pPr>
      <w:r>
        <w:rPr>
          <w:spacing w:val="-2"/>
        </w:rPr>
        <w:t>带状肌包括：胸骨舌骨肌、胸骨甲状肌、甲状舌骨肌、肩胛舌骨肌</w:t>
      </w:r>
      <w:r>
        <w:rPr>
          <w:spacing w:val="-2"/>
        </w:rPr>
        <w:t> pT</w:t>
      </w:r>
      <w:r>
        <w:rPr>
          <w:spacing w:val="-2"/>
          <w:sz w:val="11"/>
        </w:rPr>
        <w:t>4</w:t>
      </w:r>
      <w:r>
        <w:rPr>
          <w:spacing w:val="-2"/>
        </w:rPr>
        <w:t>：进展期病变</w:t>
      </w:r>
    </w:p>
    <w:p>
      <w:pPr>
        <w:pStyle w:val="BodyText"/>
        <w:spacing w:line="278" w:lineRule="auto"/>
        <w:ind w:left="2904" w:right="260"/>
      </w:pPr>
      <w:r>
        <w:rPr>
          <w:spacing w:val="-2"/>
        </w:rPr>
        <w:t>pT</w:t>
      </w:r>
      <w:r>
        <w:rPr>
          <w:spacing w:val="-2"/>
          <w:sz w:val="11"/>
        </w:rPr>
        <w:t>4a</w:t>
      </w:r>
      <w:r>
        <w:rPr>
          <w:spacing w:val="-2"/>
        </w:rPr>
        <w:t>：中度进展，任何大小的肿瘤，侵犯甲状腺外颈部周围器官和软组织，如</w:t>
      </w:r>
      <w:r>
        <w:rPr>
          <w:spacing w:val="-2"/>
        </w:rPr>
        <w:t>喉、气管、食管、喉反神经及皮下软组织</w:t>
      </w:r>
    </w:p>
    <w:p>
      <w:pPr>
        <w:pStyle w:val="BodyText"/>
        <w:spacing w:line="278" w:lineRule="auto"/>
        <w:ind w:left="2904" w:right="263"/>
      </w:pPr>
      <w:r>
        <w:rPr>
          <w:spacing w:val="-2"/>
        </w:rPr>
        <w:t>pT</w:t>
      </w:r>
      <w:r>
        <w:rPr>
          <w:spacing w:val="-2"/>
          <w:sz w:val="11"/>
        </w:rPr>
        <w:t>4b</w:t>
      </w:r>
      <w:r>
        <w:rPr>
          <w:spacing w:val="-2"/>
        </w:rPr>
        <w:t>：重度进展，任何大小的肿瘤，侵犯椎前筋膜，或包裹颈动脉、纵隔血管</w:t>
      </w:r>
      <w:r>
        <w:rPr>
          <w:spacing w:val="-2"/>
        </w:rPr>
        <w:t>区域淋巴结：适用于所有甲状腺癌</w:t>
      </w:r>
    </w:p>
    <w:p>
      <w:pPr>
        <w:pStyle w:val="BodyText"/>
        <w:spacing w:line="278" w:lineRule="auto"/>
        <w:ind w:left="2904" w:right="4912"/>
      </w:pPr>
      <w:r>
        <w:rPr>
          <w:spacing w:val="-2"/>
        </w:rPr>
        <w:t>pN</w:t>
      </w:r>
      <w:r>
        <w:rPr>
          <w:spacing w:val="-2"/>
          <w:sz w:val="11"/>
        </w:rPr>
        <w:t>x</w:t>
      </w:r>
      <w:r>
        <w:rPr>
          <w:spacing w:val="-2"/>
        </w:rPr>
        <w:t>：区域淋巴结无法评估 pN</w:t>
      </w:r>
      <w:r>
        <w:rPr>
          <w:spacing w:val="-2"/>
          <w:sz w:val="11"/>
        </w:rPr>
        <w:t>0</w:t>
      </w:r>
      <w:r>
        <w:rPr>
          <w:spacing w:val="-2"/>
        </w:rPr>
        <w:t>：无淋巴结转移证据</w:t>
      </w:r>
      <w:r>
        <w:rPr>
          <w:spacing w:val="-2"/>
        </w:rPr>
        <w:t> pN</w:t>
      </w:r>
      <w:r>
        <w:rPr>
          <w:spacing w:val="-2"/>
          <w:sz w:val="11"/>
        </w:rPr>
        <w:t>1</w:t>
      </w:r>
      <w:r>
        <w:rPr>
          <w:spacing w:val="-2"/>
        </w:rPr>
        <w:t>：区域淋巴结转移</w:t>
      </w:r>
    </w:p>
    <w:p>
      <w:pPr>
        <w:pStyle w:val="BodyText"/>
        <w:spacing w:line="278" w:lineRule="auto"/>
        <w:ind w:left="2904" w:right="342"/>
      </w:pPr>
      <w:r>
        <w:rPr>
          <w:spacing w:val="-2"/>
        </w:rPr>
        <w:t>pN</w:t>
      </w:r>
      <w:r>
        <w:rPr>
          <w:spacing w:val="-2"/>
          <w:sz w:val="11"/>
        </w:rPr>
        <w:t>1a</w:t>
      </w:r>
      <w:r>
        <w:rPr>
          <w:spacing w:val="-2"/>
        </w:rPr>
        <w:t>：转移至Ⅵ、Ⅶ区（包括气管旁、气管前、喉前/Delphian或上纵隔）淋</w:t>
      </w:r>
      <w:r>
        <w:rPr>
          <w:spacing w:val="-2"/>
        </w:rPr>
        <w:t>巴结，可以为单侧或双侧。</w:t>
      </w:r>
    </w:p>
    <w:p>
      <w:pPr>
        <w:pStyle w:val="BodyText"/>
        <w:spacing w:line="278" w:lineRule="auto"/>
        <w:ind w:left="2904" w:right="263"/>
      </w:pPr>
      <w:r>
        <w:rPr>
          <w:spacing w:val="-2"/>
        </w:rPr>
        <w:t>pN</w:t>
      </w:r>
      <w:r>
        <w:rPr>
          <w:spacing w:val="-2"/>
          <w:sz w:val="11"/>
        </w:rPr>
        <w:t>1b</w:t>
      </w:r>
      <w:r>
        <w:rPr>
          <w:spacing w:val="-2"/>
        </w:rPr>
        <w:t>：单侧、双侧或对侧颈淋巴结转移（包括Ⅰ、Ⅱ、Ⅲ、Ⅳ或Ⅴ区）淋巴结</w:t>
      </w:r>
      <w:r>
        <w:rPr>
          <w:spacing w:val="-2"/>
        </w:rPr>
        <w:t>或咽后淋巴结转移。</w:t>
      </w:r>
    </w:p>
    <w:p>
      <w:pPr>
        <w:pStyle w:val="BodyText"/>
        <w:spacing w:line="278" w:lineRule="auto"/>
        <w:ind w:left="2904" w:right="4333"/>
      </w:pPr>
      <w:r>
        <w:rPr>
          <w:spacing w:val="-2"/>
        </w:rPr>
        <w:t>远处转移：适用于所有甲状腺癌 M</w:t>
      </w:r>
      <w:r>
        <w:rPr>
          <w:spacing w:val="-2"/>
          <w:sz w:val="11"/>
        </w:rPr>
        <w:t>0</w:t>
      </w:r>
      <w:r>
        <w:rPr>
          <w:spacing w:val="-2"/>
        </w:rPr>
        <w:t>：无远处转移</w:t>
      </w:r>
    </w:p>
    <w:p>
      <w:pPr>
        <w:pStyle w:val="BodyText"/>
        <w:spacing w:after="18"/>
        <w:ind w:left="2904"/>
      </w:pPr>
      <w:r>
        <w:rPr>
          <w:spacing w:val="-2"/>
        </w:rPr>
        <w:t>M</w:t>
      </w:r>
      <w:r>
        <w:rPr>
          <w:spacing w:val="-2"/>
          <w:sz w:val="11"/>
        </w:rPr>
        <w:t>1</w:t>
      </w:r>
      <w:r>
        <w:rPr>
          <w:spacing w:val="-4"/>
        </w:rPr>
        <w:t>：有远处转移</w:t>
      </w:r>
    </w:p>
    <w:tbl>
      <w:tblPr>
        <w:tblW w:w="0" w:type="auto"/>
        <w:jc w:val="left"/>
        <w:tblInd w:w="2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3"/>
        <w:gridCol w:w="1725"/>
        <w:gridCol w:w="1725"/>
        <w:gridCol w:w="1725"/>
      </w:tblGrid>
      <w:tr>
        <w:trPr>
          <w:trHeight w:val="311" w:hRule="atLeast"/>
        </w:trPr>
        <w:tc>
          <w:tcPr>
            <w:tcW w:w="6898" w:type="dxa"/>
            <w:gridSpan w:val="4"/>
          </w:tcPr>
          <w:p>
            <w:pPr>
              <w:pStyle w:val="TableParagraph"/>
              <w:ind w:left="107"/>
              <w:rPr>
                <w:sz w:val="21"/>
              </w:rPr>
            </w:pPr>
            <w:r>
              <w:rPr>
                <w:spacing w:val="-2"/>
                <w:sz w:val="21"/>
              </w:rPr>
              <w:t>乳头状或滤泡状癌（分化型</w:t>
            </w:r>
            <w:r>
              <w:rPr>
                <w:spacing w:val="-10"/>
                <w:sz w:val="21"/>
              </w:rPr>
              <w:t>）</w:t>
            </w:r>
          </w:p>
        </w:tc>
      </w:tr>
      <w:tr>
        <w:trPr>
          <w:trHeight w:val="311" w:hRule="atLeast"/>
        </w:trPr>
        <w:tc>
          <w:tcPr>
            <w:tcW w:w="6898" w:type="dxa"/>
            <w:gridSpan w:val="4"/>
          </w:tcPr>
          <w:p>
            <w:pPr>
              <w:pStyle w:val="TableParagraph"/>
              <w:ind w:left="107"/>
              <w:rPr>
                <w:sz w:val="21"/>
              </w:rPr>
            </w:pPr>
            <w:r>
              <w:rPr>
                <w:spacing w:val="-2"/>
                <w:sz w:val="21"/>
              </w:rPr>
              <w:t>年龄＜55</w:t>
            </w:r>
            <w:r>
              <w:rPr>
                <w:spacing w:val="-10"/>
                <w:sz w:val="21"/>
              </w:rPr>
              <w:t>岁</w:t>
            </w:r>
          </w:p>
        </w:tc>
      </w:tr>
      <w:tr>
        <w:trPr>
          <w:trHeight w:val="311" w:hRule="atLeast"/>
        </w:trPr>
        <w:tc>
          <w:tcPr>
            <w:tcW w:w="1723" w:type="dxa"/>
          </w:tcPr>
          <w:p>
            <w:pPr>
              <w:pStyle w:val="TableParagraph"/>
              <w:spacing w:before="0"/>
              <w:rPr>
                <w:rFonts w:ascii="Times New Roman"/>
                <w:sz w:val="20"/>
              </w:rPr>
            </w:pPr>
          </w:p>
        </w:tc>
        <w:tc>
          <w:tcPr>
            <w:tcW w:w="1725" w:type="dxa"/>
          </w:tcPr>
          <w:p>
            <w:pPr>
              <w:pStyle w:val="TableParagraph"/>
              <w:ind w:left="108"/>
              <w:rPr>
                <w:sz w:val="21"/>
              </w:rPr>
            </w:pPr>
            <w:r>
              <w:rPr>
                <w:w w:val="100"/>
                <w:sz w:val="21"/>
              </w:rPr>
              <w:t>T</w:t>
            </w:r>
          </w:p>
        </w:tc>
        <w:tc>
          <w:tcPr>
            <w:tcW w:w="1725" w:type="dxa"/>
          </w:tcPr>
          <w:p>
            <w:pPr>
              <w:pStyle w:val="TableParagraph"/>
              <w:ind w:left="108"/>
              <w:rPr>
                <w:sz w:val="21"/>
              </w:rPr>
            </w:pPr>
            <w:r>
              <w:rPr>
                <w:w w:val="100"/>
                <w:sz w:val="21"/>
              </w:rPr>
              <w:t>N</w:t>
            </w:r>
          </w:p>
        </w:tc>
        <w:tc>
          <w:tcPr>
            <w:tcW w:w="1725" w:type="dxa"/>
          </w:tcPr>
          <w:p>
            <w:pPr>
              <w:pStyle w:val="TableParagraph"/>
              <w:ind w:left="109"/>
              <w:rPr>
                <w:sz w:val="21"/>
              </w:rPr>
            </w:pPr>
            <w:r>
              <w:rPr>
                <w:w w:val="100"/>
                <w:sz w:val="21"/>
              </w:rPr>
              <w:t>M</w:t>
            </w:r>
          </w:p>
        </w:tc>
      </w:tr>
      <w:tr>
        <w:trPr>
          <w:trHeight w:val="311" w:hRule="atLeast"/>
        </w:trPr>
        <w:tc>
          <w:tcPr>
            <w:tcW w:w="1723" w:type="dxa"/>
          </w:tcPr>
          <w:p>
            <w:pPr>
              <w:pStyle w:val="TableParagraph"/>
              <w:ind w:left="107"/>
              <w:rPr>
                <w:sz w:val="21"/>
              </w:rPr>
            </w:pPr>
            <w:r>
              <w:rPr>
                <w:spacing w:val="-5"/>
                <w:sz w:val="21"/>
              </w:rPr>
              <w:t>Ⅰ期</w:t>
            </w:r>
          </w:p>
        </w:tc>
        <w:tc>
          <w:tcPr>
            <w:tcW w:w="1725" w:type="dxa"/>
          </w:tcPr>
          <w:p>
            <w:pPr>
              <w:pStyle w:val="TableParagraph"/>
              <w:ind w:left="108"/>
              <w:rPr>
                <w:sz w:val="21"/>
              </w:rPr>
            </w:pPr>
            <w:r>
              <w:rPr>
                <w:spacing w:val="-5"/>
                <w:sz w:val="21"/>
              </w:rPr>
              <w:t>任何</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pacing w:val="-5"/>
                <w:sz w:val="21"/>
              </w:rPr>
              <w:t>Ⅱ期</w:t>
            </w:r>
          </w:p>
        </w:tc>
        <w:tc>
          <w:tcPr>
            <w:tcW w:w="1725" w:type="dxa"/>
          </w:tcPr>
          <w:p>
            <w:pPr>
              <w:pStyle w:val="TableParagraph"/>
              <w:ind w:left="108"/>
              <w:rPr>
                <w:sz w:val="21"/>
              </w:rPr>
            </w:pPr>
            <w:r>
              <w:rPr>
                <w:spacing w:val="-5"/>
                <w:sz w:val="21"/>
              </w:rPr>
              <w:t>任何</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1</w:t>
            </w:r>
          </w:p>
        </w:tc>
      </w:tr>
      <w:tr>
        <w:trPr>
          <w:trHeight w:val="314" w:hRule="atLeast"/>
        </w:trPr>
        <w:tc>
          <w:tcPr>
            <w:tcW w:w="6898" w:type="dxa"/>
            <w:gridSpan w:val="4"/>
          </w:tcPr>
          <w:p>
            <w:pPr>
              <w:pStyle w:val="TableParagraph"/>
              <w:spacing w:before="25"/>
              <w:ind w:left="107"/>
              <w:rPr>
                <w:sz w:val="21"/>
              </w:rPr>
            </w:pPr>
            <w:r>
              <w:rPr>
                <w:spacing w:val="-2"/>
                <w:sz w:val="21"/>
              </w:rPr>
              <w:t>年龄≥55</w:t>
            </w:r>
            <w:r>
              <w:rPr>
                <w:spacing w:val="-10"/>
                <w:sz w:val="21"/>
              </w:rPr>
              <w:t>岁</w:t>
            </w:r>
          </w:p>
        </w:tc>
      </w:tr>
      <w:tr>
        <w:trPr>
          <w:trHeight w:val="311" w:hRule="atLeast"/>
        </w:trPr>
        <w:tc>
          <w:tcPr>
            <w:tcW w:w="1723" w:type="dxa"/>
            <w:vMerge w:val="restart"/>
          </w:tcPr>
          <w:p>
            <w:pPr>
              <w:pStyle w:val="TableParagraph"/>
              <w:spacing w:before="4"/>
              <w:rPr>
                <w:sz w:val="14"/>
              </w:rPr>
            </w:pPr>
          </w:p>
          <w:p>
            <w:pPr>
              <w:pStyle w:val="TableParagraph"/>
              <w:spacing w:before="0"/>
              <w:ind w:left="107"/>
              <w:rPr>
                <w:sz w:val="21"/>
              </w:rPr>
            </w:pPr>
            <w:r>
              <w:rPr>
                <w:spacing w:val="-5"/>
                <w:sz w:val="21"/>
              </w:rPr>
              <w:t>Ⅰ期</w:t>
            </w:r>
          </w:p>
        </w:tc>
        <w:tc>
          <w:tcPr>
            <w:tcW w:w="1725" w:type="dxa"/>
          </w:tcPr>
          <w:p>
            <w:pPr>
              <w:pStyle w:val="TableParagraph"/>
              <w:ind w:left="108"/>
              <w:rPr>
                <w:sz w:val="21"/>
              </w:rPr>
            </w:pPr>
            <w:r>
              <w:rPr>
                <w:w w:val="100"/>
                <w:sz w:val="21"/>
              </w:rPr>
              <w:t>1</w:t>
            </w:r>
          </w:p>
        </w:tc>
        <w:tc>
          <w:tcPr>
            <w:tcW w:w="1725" w:type="dxa"/>
          </w:tcPr>
          <w:p>
            <w:pPr>
              <w:pStyle w:val="TableParagraph"/>
              <w:ind w:left="108"/>
              <w:rPr>
                <w:sz w:val="21"/>
              </w:rPr>
            </w:pPr>
            <w:r>
              <w:rPr>
                <w:spacing w:val="-5"/>
                <w:sz w:val="21"/>
              </w:rPr>
              <w:t>0/x</w:t>
            </w:r>
          </w:p>
        </w:tc>
        <w:tc>
          <w:tcPr>
            <w:tcW w:w="1725" w:type="dxa"/>
          </w:tcPr>
          <w:p>
            <w:pPr>
              <w:pStyle w:val="TableParagraph"/>
              <w:ind w:left="109"/>
              <w:rPr>
                <w:sz w:val="21"/>
              </w:rPr>
            </w:pPr>
            <w:r>
              <w:rPr>
                <w:w w:val="100"/>
                <w:sz w:val="21"/>
              </w:rPr>
              <w:t>0</w:t>
            </w:r>
          </w:p>
        </w:tc>
      </w:tr>
      <w:tr>
        <w:trPr>
          <w:trHeight w:val="311" w:hRule="atLeast"/>
        </w:trPr>
        <w:tc>
          <w:tcPr>
            <w:tcW w:w="1723" w:type="dxa"/>
            <w:vMerge/>
            <w:tcBorders>
              <w:top w:val="nil"/>
            </w:tcBorders>
          </w:tcPr>
          <w:p>
            <w:pPr>
              <w:rPr>
                <w:sz w:val="2"/>
                <w:szCs w:val="2"/>
              </w:rPr>
            </w:pPr>
          </w:p>
        </w:tc>
        <w:tc>
          <w:tcPr>
            <w:tcW w:w="1725" w:type="dxa"/>
          </w:tcPr>
          <w:p>
            <w:pPr>
              <w:pStyle w:val="TableParagraph"/>
              <w:ind w:left="108"/>
              <w:rPr>
                <w:sz w:val="21"/>
              </w:rPr>
            </w:pPr>
            <w:r>
              <w:rPr>
                <w:w w:val="100"/>
                <w:sz w:val="21"/>
              </w:rPr>
              <w:t>2</w:t>
            </w:r>
          </w:p>
        </w:tc>
        <w:tc>
          <w:tcPr>
            <w:tcW w:w="1725" w:type="dxa"/>
          </w:tcPr>
          <w:p>
            <w:pPr>
              <w:pStyle w:val="TableParagraph"/>
              <w:ind w:left="108"/>
              <w:rPr>
                <w:sz w:val="21"/>
              </w:rPr>
            </w:pPr>
            <w:r>
              <w:rPr>
                <w:spacing w:val="-5"/>
                <w:sz w:val="21"/>
              </w:rPr>
              <w:t>0/x</w:t>
            </w:r>
          </w:p>
        </w:tc>
        <w:tc>
          <w:tcPr>
            <w:tcW w:w="1725" w:type="dxa"/>
          </w:tcPr>
          <w:p>
            <w:pPr>
              <w:pStyle w:val="TableParagraph"/>
              <w:ind w:left="109"/>
              <w:rPr>
                <w:sz w:val="21"/>
              </w:rPr>
            </w:pPr>
            <w:r>
              <w:rPr>
                <w:w w:val="100"/>
                <w:sz w:val="21"/>
              </w:rPr>
              <w:t>0</w:t>
            </w:r>
          </w:p>
        </w:tc>
      </w:tr>
      <w:tr>
        <w:trPr>
          <w:trHeight w:val="311" w:hRule="atLeast"/>
        </w:trPr>
        <w:tc>
          <w:tcPr>
            <w:tcW w:w="1723" w:type="dxa"/>
            <w:vMerge w:val="restart"/>
          </w:tcPr>
          <w:p>
            <w:pPr>
              <w:pStyle w:val="TableParagraph"/>
              <w:spacing w:before="4"/>
              <w:rPr>
                <w:sz w:val="14"/>
              </w:rPr>
            </w:pPr>
          </w:p>
          <w:p>
            <w:pPr>
              <w:pStyle w:val="TableParagraph"/>
              <w:spacing w:before="0"/>
              <w:ind w:left="107"/>
              <w:rPr>
                <w:sz w:val="21"/>
              </w:rPr>
            </w:pPr>
            <w:r>
              <w:rPr>
                <w:spacing w:val="-5"/>
                <w:sz w:val="21"/>
              </w:rPr>
              <w:t>Ⅱ期</w:t>
            </w:r>
          </w:p>
        </w:tc>
        <w:tc>
          <w:tcPr>
            <w:tcW w:w="1725" w:type="dxa"/>
          </w:tcPr>
          <w:p>
            <w:pPr>
              <w:pStyle w:val="TableParagraph"/>
              <w:ind w:left="108"/>
              <w:rPr>
                <w:sz w:val="21"/>
              </w:rPr>
            </w:pPr>
            <w:r>
              <w:rPr>
                <w:spacing w:val="-5"/>
                <w:sz w:val="21"/>
              </w:rPr>
              <w:t>1～2</w:t>
            </w:r>
          </w:p>
        </w:tc>
        <w:tc>
          <w:tcPr>
            <w:tcW w:w="1725" w:type="dxa"/>
          </w:tcPr>
          <w:p>
            <w:pPr>
              <w:pStyle w:val="TableParagraph"/>
              <w:ind w:left="108"/>
              <w:rPr>
                <w:sz w:val="21"/>
              </w:rPr>
            </w:pPr>
            <w:r>
              <w:rPr>
                <w:w w:val="100"/>
                <w:sz w:val="21"/>
              </w:rPr>
              <w:t>1</w:t>
            </w:r>
          </w:p>
        </w:tc>
        <w:tc>
          <w:tcPr>
            <w:tcW w:w="1725" w:type="dxa"/>
          </w:tcPr>
          <w:p>
            <w:pPr>
              <w:pStyle w:val="TableParagraph"/>
              <w:ind w:left="109"/>
              <w:rPr>
                <w:sz w:val="21"/>
              </w:rPr>
            </w:pPr>
            <w:r>
              <w:rPr>
                <w:w w:val="100"/>
                <w:sz w:val="21"/>
              </w:rPr>
              <w:t>0</w:t>
            </w:r>
          </w:p>
        </w:tc>
      </w:tr>
      <w:tr>
        <w:trPr>
          <w:trHeight w:val="311" w:hRule="atLeast"/>
        </w:trPr>
        <w:tc>
          <w:tcPr>
            <w:tcW w:w="1723" w:type="dxa"/>
            <w:vMerge/>
            <w:tcBorders>
              <w:top w:val="nil"/>
            </w:tcBorders>
          </w:tcPr>
          <w:p>
            <w:pPr>
              <w:rPr>
                <w:sz w:val="2"/>
                <w:szCs w:val="2"/>
              </w:rPr>
            </w:pPr>
          </w:p>
        </w:tc>
        <w:tc>
          <w:tcPr>
            <w:tcW w:w="1725" w:type="dxa"/>
          </w:tcPr>
          <w:p>
            <w:pPr>
              <w:pStyle w:val="TableParagraph"/>
              <w:ind w:left="108"/>
              <w:rPr>
                <w:sz w:val="21"/>
              </w:rPr>
            </w:pPr>
            <w:r>
              <w:rPr>
                <w:spacing w:val="-2"/>
                <w:sz w:val="21"/>
              </w:rPr>
              <w:t>3a～3b</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pacing w:val="-5"/>
                <w:sz w:val="21"/>
              </w:rPr>
              <w:t>Ⅲ期</w:t>
            </w:r>
          </w:p>
        </w:tc>
        <w:tc>
          <w:tcPr>
            <w:tcW w:w="1725" w:type="dxa"/>
          </w:tcPr>
          <w:p>
            <w:pPr>
              <w:pStyle w:val="TableParagraph"/>
              <w:ind w:left="108"/>
              <w:rPr>
                <w:sz w:val="21"/>
              </w:rPr>
            </w:pPr>
            <w:r>
              <w:rPr>
                <w:spacing w:val="-5"/>
                <w:sz w:val="21"/>
              </w:rPr>
              <w:t>4a</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0</w:t>
            </w:r>
          </w:p>
        </w:tc>
      </w:tr>
      <w:tr>
        <w:trPr>
          <w:trHeight w:val="313" w:hRule="atLeast"/>
        </w:trPr>
        <w:tc>
          <w:tcPr>
            <w:tcW w:w="1723" w:type="dxa"/>
          </w:tcPr>
          <w:p>
            <w:pPr>
              <w:pStyle w:val="TableParagraph"/>
              <w:spacing w:before="25"/>
              <w:ind w:left="107"/>
              <w:rPr>
                <w:sz w:val="21"/>
              </w:rPr>
            </w:pPr>
            <w:r>
              <w:rPr>
                <w:sz w:val="21"/>
              </w:rPr>
              <w:t>ⅣA</w:t>
            </w:r>
            <w:r>
              <w:rPr>
                <w:spacing w:val="-10"/>
                <w:sz w:val="21"/>
              </w:rPr>
              <w:t>期</w:t>
            </w:r>
          </w:p>
        </w:tc>
        <w:tc>
          <w:tcPr>
            <w:tcW w:w="1725" w:type="dxa"/>
          </w:tcPr>
          <w:p>
            <w:pPr>
              <w:pStyle w:val="TableParagraph"/>
              <w:spacing w:before="25"/>
              <w:ind w:left="108"/>
              <w:rPr>
                <w:sz w:val="21"/>
              </w:rPr>
            </w:pPr>
            <w:r>
              <w:rPr>
                <w:spacing w:val="-5"/>
                <w:sz w:val="21"/>
              </w:rPr>
              <w:t>4b</w:t>
            </w:r>
          </w:p>
        </w:tc>
        <w:tc>
          <w:tcPr>
            <w:tcW w:w="1725" w:type="dxa"/>
          </w:tcPr>
          <w:p>
            <w:pPr>
              <w:pStyle w:val="TableParagraph"/>
              <w:spacing w:before="25"/>
              <w:ind w:left="108"/>
              <w:rPr>
                <w:sz w:val="21"/>
              </w:rPr>
            </w:pPr>
            <w:r>
              <w:rPr>
                <w:spacing w:val="-5"/>
                <w:sz w:val="21"/>
              </w:rPr>
              <w:t>任何</w:t>
            </w:r>
          </w:p>
        </w:tc>
        <w:tc>
          <w:tcPr>
            <w:tcW w:w="1725" w:type="dxa"/>
          </w:tcPr>
          <w:p>
            <w:pPr>
              <w:pStyle w:val="TableParagraph"/>
              <w:spacing w:before="25"/>
              <w:ind w:left="109"/>
              <w:rPr>
                <w:sz w:val="21"/>
              </w:rPr>
            </w:pPr>
            <w:r>
              <w:rPr>
                <w:w w:val="100"/>
                <w:sz w:val="21"/>
              </w:rPr>
              <w:t>0</w:t>
            </w:r>
          </w:p>
        </w:tc>
      </w:tr>
      <w:tr>
        <w:trPr>
          <w:trHeight w:val="311" w:hRule="atLeast"/>
        </w:trPr>
        <w:tc>
          <w:tcPr>
            <w:tcW w:w="1723" w:type="dxa"/>
          </w:tcPr>
          <w:p>
            <w:pPr>
              <w:pStyle w:val="TableParagraph"/>
              <w:ind w:left="107"/>
              <w:rPr>
                <w:sz w:val="21"/>
              </w:rPr>
            </w:pPr>
            <w:r>
              <w:rPr>
                <w:sz w:val="21"/>
              </w:rPr>
              <w:t>ⅣB</w:t>
            </w:r>
            <w:r>
              <w:rPr>
                <w:spacing w:val="-10"/>
                <w:sz w:val="21"/>
              </w:rPr>
              <w:t>期</w:t>
            </w:r>
          </w:p>
        </w:tc>
        <w:tc>
          <w:tcPr>
            <w:tcW w:w="1725" w:type="dxa"/>
          </w:tcPr>
          <w:p>
            <w:pPr>
              <w:pStyle w:val="TableParagraph"/>
              <w:ind w:left="108"/>
              <w:rPr>
                <w:sz w:val="21"/>
              </w:rPr>
            </w:pPr>
            <w:r>
              <w:rPr>
                <w:spacing w:val="-5"/>
                <w:sz w:val="21"/>
              </w:rPr>
              <w:t>任何</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1</w:t>
            </w:r>
          </w:p>
        </w:tc>
      </w:tr>
      <w:tr>
        <w:trPr>
          <w:trHeight w:val="311" w:hRule="atLeast"/>
        </w:trPr>
        <w:tc>
          <w:tcPr>
            <w:tcW w:w="6898" w:type="dxa"/>
            <w:gridSpan w:val="4"/>
          </w:tcPr>
          <w:p>
            <w:pPr>
              <w:pStyle w:val="TableParagraph"/>
              <w:ind w:left="107"/>
              <w:rPr>
                <w:sz w:val="21"/>
              </w:rPr>
            </w:pPr>
            <w:r>
              <w:rPr>
                <w:spacing w:val="-2"/>
                <w:sz w:val="21"/>
              </w:rPr>
              <w:t>髓样癌（所有年龄组</w:t>
            </w:r>
            <w:r>
              <w:rPr>
                <w:spacing w:val="-10"/>
                <w:sz w:val="21"/>
              </w:rPr>
              <w:t>）</w:t>
            </w:r>
          </w:p>
        </w:tc>
      </w:tr>
      <w:tr>
        <w:trPr>
          <w:trHeight w:val="311" w:hRule="atLeast"/>
        </w:trPr>
        <w:tc>
          <w:tcPr>
            <w:tcW w:w="1723" w:type="dxa"/>
          </w:tcPr>
          <w:p>
            <w:pPr>
              <w:pStyle w:val="TableParagraph"/>
              <w:ind w:left="107"/>
              <w:rPr>
                <w:sz w:val="21"/>
              </w:rPr>
            </w:pPr>
            <w:r>
              <w:rPr>
                <w:spacing w:val="-5"/>
                <w:sz w:val="21"/>
              </w:rPr>
              <w:t>Ⅰ期</w:t>
            </w:r>
          </w:p>
        </w:tc>
        <w:tc>
          <w:tcPr>
            <w:tcW w:w="1725" w:type="dxa"/>
          </w:tcPr>
          <w:p>
            <w:pPr>
              <w:pStyle w:val="TableParagraph"/>
              <w:ind w:left="108"/>
              <w:rPr>
                <w:sz w:val="21"/>
              </w:rPr>
            </w:pPr>
            <w:r>
              <w:rPr>
                <w:w w:val="100"/>
                <w:sz w:val="21"/>
              </w:rPr>
              <w:t>1</w:t>
            </w:r>
          </w:p>
        </w:tc>
        <w:tc>
          <w:tcPr>
            <w:tcW w:w="1725" w:type="dxa"/>
          </w:tcPr>
          <w:p>
            <w:pPr>
              <w:pStyle w:val="TableParagraph"/>
              <w:ind w:left="108"/>
              <w:rPr>
                <w:sz w:val="21"/>
              </w:rPr>
            </w:pPr>
            <w:r>
              <w:rPr>
                <w:w w:val="100"/>
                <w:sz w:val="21"/>
              </w:rPr>
              <w:t>0</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pacing w:val="-5"/>
                <w:sz w:val="21"/>
              </w:rPr>
              <w:t>Ⅱ期</w:t>
            </w:r>
          </w:p>
        </w:tc>
        <w:tc>
          <w:tcPr>
            <w:tcW w:w="1725" w:type="dxa"/>
          </w:tcPr>
          <w:p>
            <w:pPr>
              <w:pStyle w:val="TableParagraph"/>
              <w:ind w:left="108"/>
              <w:rPr>
                <w:sz w:val="21"/>
              </w:rPr>
            </w:pPr>
            <w:r>
              <w:rPr>
                <w:spacing w:val="-5"/>
                <w:sz w:val="21"/>
              </w:rPr>
              <w:t>2～3</w:t>
            </w:r>
          </w:p>
        </w:tc>
        <w:tc>
          <w:tcPr>
            <w:tcW w:w="1725" w:type="dxa"/>
          </w:tcPr>
          <w:p>
            <w:pPr>
              <w:pStyle w:val="TableParagraph"/>
              <w:ind w:left="108"/>
              <w:rPr>
                <w:sz w:val="21"/>
              </w:rPr>
            </w:pPr>
            <w:r>
              <w:rPr>
                <w:w w:val="100"/>
                <w:sz w:val="21"/>
              </w:rPr>
              <w:t>0</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pacing w:val="-5"/>
                <w:sz w:val="21"/>
              </w:rPr>
              <w:t>Ⅲ期</w:t>
            </w:r>
          </w:p>
        </w:tc>
        <w:tc>
          <w:tcPr>
            <w:tcW w:w="1725" w:type="dxa"/>
          </w:tcPr>
          <w:p>
            <w:pPr>
              <w:pStyle w:val="TableParagraph"/>
              <w:ind w:left="108"/>
              <w:rPr>
                <w:sz w:val="21"/>
              </w:rPr>
            </w:pPr>
            <w:r>
              <w:rPr>
                <w:spacing w:val="-5"/>
                <w:sz w:val="21"/>
              </w:rPr>
              <w:t>1～3</w:t>
            </w:r>
          </w:p>
        </w:tc>
        <w:tc>
          <w:tcPr>
            <w:tcW w:w="1725" w:type="dxa"/>
          </w:tcPr>
          <w:p>
            <w:pPr>
              <w:pStyle w:val="TableParagraph"/>
              <w:ind w:left="108"/>
              <w:rPr>
                <w:sz w:val="21"/>
              </w:rPr>
            </w:pPr>
            <w:r>
              <w:rPr>
                <w:spacing w:val="-5"/>
                <w:sz w:val="21"/>
              </w:rPr>
              <w:t>1a</w:t>
            </w:r>
          </w:p>
        </w:tc>
        <w:tc>
          <w:tcPr>
            <w:tcW w:w="1725" w:type="dxa"/>
          </w:tcPr>
          <w:p>
            <w:pPr>
              <w:pStyle w:val="TableParagraph"/>
              <w:ind w:left="109"/>
              <w:rPr>
                <w:sz w:val="21"/>
              </w:rPr>
            </w:pPr>
            <w:r>
              <w:rPr>
                <w:w w:val="100"/>
                <w:sz w:val="21"/>
              </w:rPr>
              <w:t>0</w:t>
            </w:r>
          </w:p>
        </w:tc>
      </w:tr>
      <w:tr>
        <w:trPr>
          <w:trHeight w:val="313" w:hRule="atLeast"/>
        </w:trPr>
        <w:tc>
          <w:tcPr>
            <w:tcW w:w="1723" w:type="dxa"/>
            <w:vMerge w:val="restart"/>
          </w:tcPr>
          <w:p>
            <w:pPr>
              <w:pStyle w:val="TableParagraph"/>
              <w:spacing w:before="6"/>
              <w:rPr>
                <w:sz w:val="14"/>
              </w:rPr>
            </w:pPr>
          </w:p>
          <w:p>
            <w:pPr>
              <w:pStyle w:val="TableParagraph"/>
              <w:spacing w:before="0"/>
              <w:ind w:left="107"/>
              <w:rPr>
                <w:sz w:val="21"/>
              </w:rPr>
            </w:pPr>
            <w:r>
              <w:rPr>
                <w:sz w:val="21"/>
              </w:rPr>
              <w:t>ⅣA</w:t>
            </w:r>
            <w:r>
              <w:rPr>
                <w:spacing w:val="-10"/>
                <w:sz w:val="21"/>
              </w:rPr>
              <w:t>期</w:t>
            </w:r>
          </w:p>
        </w:tc>
        <w:tc>
          <w:tcPr>
            <w:tcW w:w="1725" w:type="dxa"/>
          </w:tcPr>
          <w:p>
            <w:pPr>
              <w:pStyle w:val="TableParagraph"/>
              <w:spacing w:before="25"/>
              <w:ind w:left="108"/>
              <w:rPr>
                <w:sz w:val="21"/>
              </w:rPr>
            </w:pPr>
            <w:r>
              <w:rPr>
                <w:spacing w:val="-5"/>
                <w:sz w:val="21"/>
              </w:rPr>
              <w:t>4a</w:t>
            </w:r>
          </w:p>
        </w:tc>
        <w:tc>
          <w:tcPr>
            <w:tcW w:w="1725" w:type="dxa"/>
          </w:tcPr>
          <w:p>
            <w:pPr>
              <w:pStyle w:val="TableParagraph"/>
              <w:spacing w:before="25"/>
              <w:ind w:left="108"/>
              <w:rPr>
                <w:sz w:val="21"/>
              </w:rPr>
            </w:pPr>
            <w:r>
              <w:rPr>
                <w:spacing w:val="-5"/>
                <w:sz w:val="21"/>
              </w:rPr>
              <w:t>任何</w:t>
            </w:r>
          </w:p>
        </w:tc>
        <w:tc>
          <w:tcPr>
            <w:tcW w:w="1725" w:type="dxa"/>
          </w:tcPr>
          <w:p>
            <w:pPr>
              <w:pStyle w:val="TableParagraph"/>
              <w:spacing w:before="25"/>
              <w:ind w:left="109"/>
              <w:rPr>
                <w:sz w:val="21"/>
              </w:rPr>
            </w:pPr>
            <w:r>
              <w:rPr>
                <w:w w:val="100"/>
                <w:sz w:val="21"/>
              </w:rPr>
              <w:t>0</w:t>
            </w:r>
          </w:p>
        </w:tc>
      </w:tr>
      <w:tr>
        <w:trPr>
          <w:trHeight w:val="311" w:hRule="atLeast"/>
        </w:trPr>
        <w:tc>
          <w:tcPr>
            <w:tcW w:w="1723" w:type="dxa"/>
            <w:vMerge/>
            <w:tcBorders>
              <w:top w:val="nil"/>
            </w:tcBorders>
          </w:tcPr>
          <w:p>
            <w:pPr>
              <w:rPr>
                <w:sz w:val="2"/>
                <w:szCs w:val="2"/>
              </w:rPr>
            </w:pPr>
          </w:p>
        </w:tc>
        <w:tc>
          <w:tcPr>
            <w:tcW w:w="1725" w:type="dxa"/>
          </w:tcPr>
          <w:p>
            <w:pPr>
              <w:pStyle w:val="TableParagraph"/>
              <w:ind w:left="108"/>
              <w:rPr>
                <w:sz w:val="21"/>
              </w:rPr>
            </w:pPr>
            <w:r>
              <w:rPr>
                <w:spacing w:val="-5"/>
                <w:sz w:val="21"/>
              </w:rPr>
              <w:t>1～3</w:t>
            </w:r>
          </w:p>
        </w:tc>
        <w:tc>
          <w:tcPr>
            <w:tcW w:w="1725" w:type="dxa"/>
          </w:tcPr>
          <w:p>
            <w:pPr>
              <w:pStyle w:val="TableParagraph"/>
              <w:ind w:left="108"/>
              <w:rPr>
                <w:sz w:val="21"/>
              </w:rPr>
            </w:pPr>
            <w:r>
              <w:rPr>
                <w:spacing w:val="-5"/>
                <w:sz w:val="21"/>
              </w:rPr>
              <w:t>1b</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z w:val="21"/>
              </w:rPr>
              <w:t>ⅣB</w:t>
            </w:r>
            <w:r>
              <w:rPr>
                <w:spacing w:val="-10"/>
                <w:sz w:val="21"/>
              </w:rPr>
              <w:t>期</w:t>
            </w:r>
          </w:p>
        </w:tc>
        <w:tc>
          <w:tcPr>
            <w:tcW w:w="1725" w:type="dxa"/>
          </w:tcPr>
          <w:p>
            <w:pPr>
              <w:pStyle w:val="TableParagraph"/>
              <w:ind w:left="108"/>
              <w:rPr>
                <w:sz w:val="21"/>
              </w:rPr>
            </w:pPr>
            <w:r>
              <w:rPr>
                <w:spacing w:val="-5"/>
                <w:sz w:val="21"/>
              </w:rPr>
              <w:t>4b</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z w:val="21"/>
              </w:rPr>
              <w:t>ⅣC</w:t>
            </w:r>
            <w:r>
              <w:rPr>
                <w:spacing w:val="-10"/>
                <w:sz w:val="21"/>
              </w:rPr>
              <w:t>期</w:t>
            </w:r>
          </w:p>
        </w:tc>
        <w:tc>
          <w:tcPr>
            <w:tcW w:w="1725" w:type="dxa"/>
          </w:tcPr>
          <w:p>
            <w:pPr>
              <w:pStyle w:val="TableParagraph"/>
              <w:ind w:left="108"/>
              <w:rPr>
                <w:sz w:val="21"/>
              </w:rPr>
            </w:pPr>
            <w:r>
              <w:rPr>
                <w:spacing w:val="-5"/>
                <w:sz w:val="21"/>
              </w:rPr>
              <w:t>任何</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1</w:t>
            </w:r>
          </w:p>
        </w:tc>
      </w:tr>
      <w:tr>
        <w:trPr>
          <w:trHeight w:val="311" w:hRule="atLeast"/>
        </w:trPr>
        <w:tc>
          <w:tcPr>
            <w:tcW w:w="6898" w:type="dxa"/>
            <w:gridSpan w:val="4"/>
          </w:tcPr>
          <w:p>
            <w:pPr>
              <w:pStyle w:val="TableParagraph"/>
              <w:ind w:left="107"/>
              <w:rPr>
                <w:sz w:val="21"/>
              </w:rPr>
            </w:pPr>
            <w:r>
              <w:rPr>
                <w:spacing w:val="-2"/>
                <w:sz w:val="21"/>
              </w:rPr>
              <w:t>未分化癌（所有年龄组</w:t>
            </w:r>
            <w:r>
              <w:rPr>
                <w:spacing w:val="-10"/>
                <w:sz w:val="21"/>
              </w:rPr>
              <w:t>）</w:t>
            </w:r>
          </w:p>
        </w:tc>
      </w:tr>
      <w:tr>
        <w:trPr>
          <w:trHeight w:val="311" w:hRule="atLeast"/>
        </w:trPr>
        <w:tc>
          <w:tcPr>
            <w:tcW w:w="1723" w:type="dxa"/>
          </w:tcPr>
          <w:p>
            <w:pPr>
              <w:pStyle w:val="TableParagraph"/>
              <w:ind w:left="107"/>
              <w:rPr>
                <w:sz w:val="21"/>
              </w:rPr>
            </w:pPr>
            <w:r>
              <w:rPr>
                <w:sz w:val="21"/>
              </w:rPr>
              <w:t>ⅣA</w:t>
            </w:r>
            <w:r>
              <w:rPr>
                <w:spacing w:val="-10"/>
                <w:sz w:val="21"/>
              </w:rPr>
              <w:t>期</w:t>
            </w:r>
          </w:p>
        </w:tc>
        <w:tc>
          <w:tcPr>
            <w:tcW w:w="1725" w:type="dxa"/>
          </w:tcPr>
          <w:p>
            <w:pPr>
              <w:pStyle w:val="TableParagraph"/>
              <w:ind w:left="108"/>
              <w:rPr>
                <w:sz w:val="21"/>
              </w:rPr>
            </w:pPr>
            <w:r>
              <w:rPr>
                <w:spacing w:val="-4"/>
                <w:sz w:val="21"/>
              </w:rPr>
              <w:t>1～3a</w:t>
            </w:r>
          </w:p>
        </w:tc>
        <w:tc>
          <w:tcPr>
            <w:tcW w:w="1725" w:type="dxa"/>
          </w:tcPr>
          <w:p>
            <w:pPr>
              <w:pStyle w:val="TableParagraph"/>
              <w:ind w:left="108"/>
              <w:rPr>
                <w:sz w:val="21"/>
              </w:rPr>
            </w:pPr>
            <w:r>
              <w:rPr>
                <w:spacing w:val="-5"/>
                <w:sz w:val="21"/>
              </w:rPr>
              <w:t>0/x</w:t>
            </w:r>
          </w:p>
        </w:tc>
        <w:tc>
          <w:tcPr>
            <w:tcW w:w="1725" w:type="dxa"/>
          </w:tcPr>
          <w:p>
            <w:pPr>
              <w:pStyle w:val="TableParagraph"/>
              <w:ind w:left="109"/>
              <w:rPr>
                <w:sz w:val="21"/>
              </w:rPr>
            </w:pPr>
            <w:r>
              <w:rPr>
                <w:w w:val="100"/>
                <w:sz w:val="21"/>
              </w:rPr>
              <w:t>0</w:t>
            </w:r>
          </w:p>
        </w:tc>
      </w:tr>
      <w:tr>
        <w:trPr>
          <w:trHeight w:val="313" w:hRule="atLeast"/>
        </w:trPr>
        <w:tc>
          <w:tcPr>
            <w:tcW w:w="1723" w:type="dxa"/>
            <w:vMerge w:val="restart"/>
          </w:tcPr>
          <w:p>
            <w:pPr>
              <w:pStyle w:val="TableParagraph"/>
              <w:spacing w:before="6"/>
              <w:rPr>
                <w:sz w:val="14"/>
              </w:rPr>
            </w:pPr>
          </w:p>
          <w:p>
            <w:pPr>
              <w:pStyle w:val="TableParagraph"/>
              <w:spacing w:before="0"/>
              <w:ind w:left="107"/>
              <w:rPr>
                <w:sz w:val="21"/>
              </w:rPr>
            </w:pPr>
            <w:r>
              <w:rPr>
                <w:sz w:val="21"/>
              </w:rPr>
              <w:t>ⅣB</w:t>
            </w:r>
            <w:r>
              <w:rPr>
                <w:spacing w:val="-10"/>
                <w:sz w:val="21"/>
              </w:rPr>
              <w:t>期</w:t>
            </w:r>
          </w:p>
        </w:tc>
        <w:tc>
          <w:tcPr>
            <w:tcW w:w="1725" w:type="dxa"/>
          </w:tcPr>
          <w:p>
            <w:pPr>
              <w:pStyle w:val="TableParagraph"/>
              <w:spacing w:before="25"/>
              <w:ind w:left="108"/>
              <w:rPr>
                <w:sz w:val="21"/>
              </w:rPr>
            </w:pPr>
            <w:r>
              <w:rPr>
                <w:spacing w:val="-4"/>
                <w:sz w:val="21"/>
              </w:rPr>
              <w:t>1～3a</w:t>
            </w:r>
          </w:p>
        </w:tc>
        <w:tc>
          <w:tcPr>
            <w:tcW w:w="1725" w:type="dxa"/>
          </w:tcPr>
          <w:p>
            <w:pPr>
              <w:pStyle w:val="TableParagraph"/>
              <w:spacing w:before="25"/>
              <w:ind w:left="108"/>
              <w:rPr>
                <w:sz w:val="21"/>
              </w:rPr>
            </w:pPr>
            <w:r>
              <w:rPr>
                <w:w w:val="100"/>
                <w:sz w:val="21"/>
              </w:rPr>
              <w:t>1</w:t>
            </w:r>
          </w:p>
        </w:tc>
        <w:tc>
          <w:tcPr>
            <w:tcW w:w="1725" w:type="dxa"/>
          </w:tcPr>
          <w:p>
            <w:pPr>
              <w:pStyle w:val="TableParagraph"/>
              <w:spacing w:before="25"/>
              <w:ind w:left="109"/>
              <w:rPr>
                <w:sz w:val="21"/>
              </w:rPr>
            </w:pPr>
            <w:r>
              <w:rPr>
                <w:w w:val="100"/>
                <w:sz w:val="21"/>
              </w:rPr>
              <w:t>0</w:t>
            </w:r>
          </w:p>
        </w:tc>
      </w:tr>
      <w:tr>
        <w:trPr>
          <w:trHeight w:val="311" w:hRule="atLeast"/>
        </w:trPr>
        <w:tc>
          <w:tcPr>
            <w:tcW w:w="1723" w:type="dxa"/>
            <w:vMerge/>
            <w:tcBorders>
              <w:top w:val="nil"/>
            </w:tcBorders>
          </w:tcPr>
          <w:p>
            <w:pPr>
              <w:rPr>
                <w:sz w:val="2"/>
                <w:szCs w:val="2"/>
              </w:rPr>
            </w:pPr>
          </w:p>
        </w:tc>
        <w:tc>
          <w:tcPr>
            <w:tcW w:w="1725" w:type="dxa"/>
          </w:tcPr>
          <w:p>
            <w:pPr>
              <w:pStyle w:val="TableParagraph"/>
              <w:ind w:left="108"/>
              <w:rPr>
                <w:sz w:val="21"/>
              </w:rPr>
            </w:pPr>
            <w:r>
              <w:rPr>
                <w:spacing w:val="-4"/>
                <w:sz w:val="21"/>
              </w:rPr>
              <w:t>3b～4</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0</w:t>
            </w:r>
          </w:p>
        </w:tc>
      </w:tr>
      <w:tr>
        <w:trPr>
          <w:trHeight w:val="311" w:hRule="atLeast"/>
        </w:trPr>
        <w:tc>
          <w:tcPr>
            <w:tcW w:w="1723" w:type="dxa"/>
          </w:tcPr>
          <w:p>
            <w:pPr>
              <w:pStyle w:val="TableParagraph"/>
              <w:ind w:left="107"/>
              <w:rPr>
                <w:sz w:val="21"/>
              </w:rPr>
            </w:pPr>
            <w:r>
              <w:rPr>
                <w:sz w:val="21"/>
              </w:rPr>
              <w:t>ⅣC</w:t>
            </w:r>
            <w:r>
              <w:rPr>
                <w:spacing w:val="-10"/>
                <w:sz w:val="21"/>
              </w:rPr>
              <w:t>期</w:t>
            </w:r>
          </w:p>
        </w:tc>
        <w:tc>
          <w:tcPr>
            <w:tcW w:w="1725" w:type="dxa"/>
          </w:tcPr>
          <w:p>
            <w:pPr>
              <w:pStyle w:val="TableParagraph"/>
              <w:ind w:left="108"/>
              <w:rPr>
                <w:sz w:val="21"/>
              </w:rPr>
            </w:pPr>
            <w:r>
              <w:rPr>
                <w:spacing w:val="-5"/>
                <w:sz w:val="21"/>
              </w:rPr>
              <w:t>任何</w:t>
            </w:r>
          </w:p>
        </w:tc>
        <w:tc>
          <w:tcPr>
            <w:tcW w:w="1725" w:type="dxa"/>
          </w:tcPr>
          <w:p>
            <w:pPr>
              <w:pStyle w:val="TableParagraph"/>
              <w:ind w:left="108"/>
              <w:rPr>
                <w:sz w:val="21"/>
              </w:rPr>
            </w:pPr>
            <w:r>
              <w:rPr>
                <w:spacing w:val="-5"/>
                <w:sz w:val="21"/>
              </w:rPr>
              <w:t>任何</w:t>
            </w:r>
          </w:p>
        </w:tc>
        <w:tc>
          <w:tcPr>
            <w:tcW w:w="1725" w:type="dxa"/>
          </w:tcPr>
          <w:p>
            <w:pPr>
              <w:pStyle w:val="TableParagraph"/>
              <w:ind w:left="109"/>
              <w:rPr>
                <w:sz w:val="21"/>
              </w:rPr>
            </w:pPr>
            <w:r>
              <w:rPr>
                <w:w w:val="100"/>
                <w:sz w:val="21"/>
              </w:rPr>
              <w:t>1</w:t>
            </w:r>
          </w:p>
        </w:tc>
      </w:tr>
    </w:tbl>
    <w:p>
      <w:pPr>
        <w:pStyle w:val="BodyText"/>
        <w:spacing w:before="38"/>
        <w:ind w:left="2904"/>
      </w:pPr>
      <w:r>
        <w:rPr>
          <w:spacing w:val="-3"/>
        </w:rPr>
        <w:t>注：以上表格中“年龄”指患者病理组织标本获取日期时的年龄。</w:t>
      </w:r>
    </w:p>
    <w:sectPr>
      <w:pgSz w:w="11910" w:h="16840"/>
      <w:pgMar w:top="880" w:bottom="280" w:left="106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0">
    <w:multiLevelType w:val="hybridMultilevel"/>
    <w:lvl w:ilvl="0">
      <w:start w:val="1"/>
      <w:numFmt w:val="decimal"/>
      <w:lvlText w:val="（%1）"/>
      <w:lvlJc w:val="left"/>
      <w:pPr>
        <w:ind w:left="7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5" w:hanging="529"/>
      </w:pPr>
      <w:rPr>
        <w:rFonts w:hint="default"/>
        <w:lang w:val="en-US" w:eastAsia="zh-CN" w:bidi="ar-SA"/>
      </w:rPr>
    </w:lvl>
    <w:lvl w:ilvl="2">
      <w:start w:val="0"/>
      <w:numFmt w:val="bullet"/>
      <w:lvlText w:val="•"/>
      <w:lvlJc w:val="left"/>
      <w:pPr>
        <w:ind w:left="2090" w:hanging="529"/>
      </w:pPr>
      <w:rPr>
        <w:rFonts w:hint="default"/>
        <w:lang w:val="en-US" w:eastAsia="zh-CN" w:bidi="ar-SA"/>
      </w:rPr>
    </w:lvl>
    <w:lvl w:ilvl="3">
      <w:start w:val="0"/>
      <w:numFmt w:val="bullet"/>
      <w:lvlText w:val="•"/>
      <w:lvlJc w:val="left"/>
      <w:pPr>
        <w:ind w:left="2765" w:hanging="529"/>
      </w:pPr>
      <w:rPr>
        <w:rFonts w:hint="default"/>
        <w:lang w:val="en-US" w:eastAsia="zh-CN" w:bidi="ar-SA"/>
      </w:rPr>
    </w:lvl>
    <w:lvl w:ilvl="4">
      <w:start w:val="0"/>
      <w:numFmt w:val="bullet"/>
      <w:lvlText w:val="•"/>
      <w:lvlJc w:val="left"/>
      <w:pPr>
        <w:ind w:left="3440" w:hanging="529"/>
      </w:pPr>
      <w:rPr>
        <w:rFonts w:hint="default"/>
        <w:lang w:val="en-US" w:eastAsia="zh-CN" w:bidi="ar-SA"/>
      </w:rPr>
    </w:lvl>
    <w:lvl w:ilvl="5">
      <w:start w:val="0"/>
      <w:numFmt w:val="bullet"/>
      <w:lvlText w:val="•"/>
      <w:lvlJc w:val="left"/>
      <w:pPr>
        <w:ind w:left="4115" w:hanging="529"/>
      </w:pPr>
      <w:rPr>
        <w:rFonts w:hint="default"/>
        <w:lang w:val="en-US" w:eastAsia="zh-CN" w:bidi="ar-SA"/>
      </w:rPr>
    </w:lvl>
    <w:lvl w:ilvl="6">
      <w:start w:val="0"/>
      <w:numFmt w:val="bullet"/>
      <w:lvlText w:val="•"/>
      <w:lvlJc w:val="left"/>
      <w:pPr>
        <w:ind w:left="4790"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40" w:hanging="529"/>
      </w:pPr>
      <w:rPr>
        <w:rFonts w:hint="default"/>
        <w:lang w:val="en-US" w:eastAsia="zh-CN" w:bidi="ar-SA"/>
      </w:rPr>
    </w:lvl>
  </w:abstractNum>
  <w:abstractNum w:abstractNumId="19">
    <w:multiLevelType w:val="hybridMultilevel"/>
    <w:lvl w:ilvl="0">
      <w:start w:val="1"/>
      <w:numFmt w:val="decimal"/>
      <w:lvlText w:val="（%1）"/>
      <w:lvlJc w:val="left"/>
      <w:pPr>
        <w:ind w:left="7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5" w:hanging="529"/>
      </w:pPr>
      <w:rPr>
        <w:rFonts w:hint="default"/>
        <w:lang w:val="en-US" w:eastAsia="zh-CN" w:bidi="ar-SA"/>
      </w:rPr>
    </w:lvl>
    <w:lvl w:ilvl="2">
      <w:start w:val="0"/>
      <w:numFmt w:val="bullet"/>
      <w:lvlText w:val="•"/>
      <w:lvlJc w:val="left"/>
      <w:pPr>
        <w:ind w:left="2090" w:hanging="529"/>
      </w:pPr>
      <w:rPr>
        <w:rFonts w:hint="default"/>
        <w:lang w:val="en-US" w:eastAsia="zh-CN" w:bidi="ar-SA"/>
      </w:rPr>
    </w:lvl>
    <w:lvl w:ilvl="3">
      <w:start w:val="0"/>
      <w:numFmt w:val="bullet"/>
      <w:lvlText w:val="•"/>
      <w:lvlJc w:val="left"/>
      <w:pPr>
        <w:ind w:left="2765" w:hanging="529"/>
      </w:pPr>
      <w:rPr>
        <w:rFonts w:hint="default"/>
        <w:lang w:val="en-US" w:eastAsia="zh-CN" w:bidi="ar-SA"/>
      </w:rPr>
    </w:lvl>
    <w:lvl w:ilvl="4">
      <w:start w:val="0"/>
      <w:numFmt w:val="bullet"/>
      <w:lvlText w:val="•"/>
      <w:lvlJc w:val="left"/>
      <w:pPr>
        <w:ind w:left="3440" w:hanging="529"/>
      </w:pPr>
      <w:rPr>
        <w:rFonts w:hint="default"/>
        <w:lang w:val="en-US" w:eastAsia="zh-CN" w:bidi="ar-SA"/>
      </w:rPr>
    </w:lvl>
    <w:lvl w:ilvl="5">
      <w:start w:val="0"/>
      <w:numFmt w:val="bullet"/>
      <w:lvlText w:val="•"/>
      <w:lvlJc w:val="left"/>
      <w:pPr>
        <w:ind w:left="4115" w:hanging="529"/>
      </w:pPr>
      <w:rPr>
        <w:rFonts w:hint="default"/>
        <w:lang w:val="en-US" w:eastAsia="zh-CN" w:bidi="ar-SA"/>
      </w:rPr>
    </w:lvl>
    <w:lvl w:ilvl="6">
      <w:start w:val="0"/>
      <w:numFmt w:val="bullet"/>
      <w:lvlText w:val="•"/>
      <w:lvlJc w:val="left"/>
      <w:pPr>
        <w:ind w:left="4790"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40" w:hanging="529"/>
      </w:pPr>
      <w:rPr>
        <w:rFonts w:hint="default"/>
        <w:lang w:val="en-US" w:eastAsia="zh-CN" w:bidi="ar-SA"/>
      </w:rPr>
    </w:lvl>
  </w:abstractNum>
  <w:abstractNum w:abstractNumId="18">
    <w:multiLevelType w:val="hybridMultilevel"/>
    <w:lvl w:ilvl="0">
      <w:start w:val="9"/>
      <w:numFmt w:val="decimal"/>
      <w:lvlText w:val="%1"/>
      <w:lvlJc w:val="left"/>
      <w:pPr>
        <w:ind w:left="2904" w:hanging="1136"/>
        <w:jc w:val="left"/>
      </w:pPr>
      <w:rPr>
        <w:rFonts w:hint="default"/>
        <w:lang w:val="en-US" w:eastAsia="zh-CN" w:bidi="ar-SA"/>
      </w:rPr>
    </w:lvl>
    <w:lvl w:ilvl="1">
      <w:start w:val="16"/>
      <w:numFmt w:val="decimal"/>
      <w:lvlText w:val="%1.%2"/>
      <w:lvlJc w:val="left"/>
      <w:pPr>
        <w:ind w:left="2904" w:hanging="1136"/>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33"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939" w:hanging="529"/>
      </w:pPr>
      <w:rPr>
        <w:rFonts w:hint="default"/>
        <w:lang w:val="en-US" w:eastAsia="zh-CN" w:bidi="ar-SA"/>
      </w:rPr>
    </w:lvl>
    <w:lvl w:ilvl="4">
      <w:start w:val="0"/>
      <w:numFmt w:val="bullet"/>
      <w:lvlText w:val="•"/>
      <w:lvlJc w:val="left"/>
      <w:pPr>
        <w:ind w:left="5688" w:hanging="529"/>
      </w:pPr>
      <w:rPr>
        <w:rFonts w:hint="default"/>
        <w:lang w:val="en-US" w:eastAsia="zh-CN" w:bidi="ar-SA"/>
      </w:rPr>
    </w:lvl>
    <w:lvl w:ilvl="5">
      <w:start w:val="0"/>
      <w:numFmt w:val="bullet"/>
      <w:lvlText w:val="•"/>
      <w:lvlJc w:val="left"/>
      <w:pPr>
        <w:ind w:left="6438" w:hanging="529"/>
      </w:pPr>
      <w:rPr>
        <w:rFonts w:hint="default"/>
        <w:lang w:val="en-US" w:eastAsia="zh-CN" w:bidi="ar-SA"/>
      </w:rPr>
    </w:lvl>
    <w:lvl w:ilvl="6">
      <w:start w:val="0"/>
      <w:numFmt w:val="bullet"/>
      <w:lvlText w:val="•"/>
      <w:lvlJc w:val="left"/>
      <w:pPr>
        <w:ind w:left="7187" w:hanging="529"/>
      </w:pPr>
      <w:rPr>
        <w:rFonts w:hint="default"/>
        <w:lang w:val="en-US" w:eastAsia="zh-CN" w:bidi="ar-SA"/>
      </w:rPr>
    </w:lvl>
    <w:lvl w:ilvl="7">
      <w:start w:val="0"/>
      <w:numFmt w:val="bullet"/>
      <w:lvlText w:val="•"/>
      <w:lvlJc w:val="left"/>
      <w:pPr>
        <w:ind w:left="7937" w:hanging="529"/>
      </w:pPr>
      <w:rPr>
        <w:rFonts w:hint="default"/>
        <w:lang w:val="en-US" w:eastAsia="zh-CN" w:bidi="ar-SA"/>
      </w:rPr>
    </w:lvl>
    <w:lvl w:ilvl="8">
      <w:start w:val="0"/>
      <w:numFmt w:val="bullet"/>
      <w:lvlText w:val="•"/>
      <w:lvlJc w:val="left"/>
      <w:pPr>
        <w:ind w:left="8686" w:hanging="529"/>
      </w:pPr>
      <w:rPr>
        <w:rFonts w:hint="default"/>
        <w:lang w:val="en-US" w:eastAsia="zh-CN" w:bidi="ar-SA"/>
      </w:rPr>
    </w:lvl>
  </w:abstractNum>
  <w:abstractNum w:abstractNumId="17">
    <w:multiLevelType w:val="hybridMultilevel"/>
    <w:lvl w:ilvl="0">
      <w:start w:val="1"/>
      <w:numFmt w:val="lowerLetter"/>
      <w:lvlText w:val="%1."/>
      <w:lvlJc w:val="left"/>
      <w:pPr>
        <w:ind w:left="146" w:hanging="213"/>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858" w:hanging="213"/>
      </w:pPr>
      <w:rPr>
        <w:rFonts w:hint="default"/>
        <w:lang w:val="en-US" w:eastAsia="zh-CN" w:bidi="ar-SA"/>
      </w:rPr>
    </w:lvl>
    <w:lvl w:ilvl="2">
      <w:start w:val="0"/>
      <w:numFmt w:val="bullet"/>
      <w:lvlText w:val="•"/>
      <w:lvlJc w:val="left"/>
      <w:pPr>
        <w:ind w:left="1576" w:hanging="213"/>
      </w:pPr>
      <w:rPr>
        <w:rFonts w:hint="default"/>
        <w:lang w:val="en-US" w:eastAsia="zh-CN" w:bidi="ar-SA"/>
      </w:rPr>
    </w:lvl>
    <w:lvl w:ilvl="3">
      <w:start w:val="0"/>
      <w:numFmt w:val="bullet"/>
      <w:lvlText w:val="•"/>
      <w:lvlJc w:val="left"/>
      <w:pPr>
        <w:ind w:left="2294" w:hanging="213"/>
      </w:pPr>
      <w:rPr>
        <w:rFonts w:hint="default"/>
        <w:lang w:val="en-US" w:eastAsia="zh-CN" w:bidi="ar-SA"/>
      </w:rPr>
    </w:lvl>
    <w:lvl w:ilvl="4">
      <w:start w:val="0"/>
      <w:numFmt w:val="bullet"/>
      <w:lvlText w:val="•"/>
      <w:lvlJc w:val="left"/>
      <w:pPr>
        <w:ind w:left="3012" w:hanging="213"/>
      </w:pPr>
      <w:rPr>
        <w:rFonts w:hint="default"/>
        <w:lang w:val="en-US" w:eastAsia="zh-CN" w:bidi="ar-SA"/>
      </w:rPr>
    </w:lvl>
    <w:lvl w:ilvl="5">
      <w:start w:val="0"/>
      <w:numFmt w:val="bullet"/>
      <w:lvlText w:val="•"/>
      <w:lvlJc w:val="left"/>
      <w:pPr>
        <w:ind w:left="3730" w:hanging="213"/>
      </w:pPr>
      <w:rPr>
        <w:rFonts w:hint="default"/>
        <w:lang w:val="en-US" w:eastAsia="zh-CN" w:bidi="ar-SA"/>
      </w:rPr>
    </w:lvl>
    <w:lvl w:ilvl="6">
      <w:start w:val="0"/>
      <w:numFmt w:val="bullet"/>
      <w:lvlText w:val="•"/>
      <w:lvlJc w:val="left"/>
      <w:pPr>
        <w:ind w:left="4448" w:hanging="213"/>
      </w:pPr>
      <w:rPr>
        <w:rFonts w:hint="default"/>
        <w:lang w:val="en-US" w:eastAsia="zh-CN" w:bidi="ar-SA"/>
      </w:rPr>
    </w:lvl>
    <w:lvl w:ilvl="7">
      <w:start w:val="0"/>
      <w:numFmt w:val="bullet"/>
      <w:lvlText w:val="•"/>
      <w:lvlJc w:val="left"/>
      <w:pPr>
        <w:ind w:left="5166" w:hanging="213"/>
      </w:pPr>
      <w:rPr>
        <w:rFonts w:hint="default"/>
        <w:lang w:val="en-US" w:eastAsia="zh-CN" w:bidi="ar-SA"/>
      </w:rPr>
    </w:lvl>
    <w:lvl w:ilvl="8">
      <w:start w:val="0"/>
      <w:numFmt w:val="bullet"/>
      <w:lvlText w:val="•"/>
      <w:lvlJc w:val="left"/>
      <w:pPr>
        <w:ind w:left="5884" w:hanging="213"/>
      </w:pPr>
      <w:rPr>
        <w:rFonts w:hint="default"/>
        <w:lang w:val="en-US" w:eastAsia="zh-CN" w:bidi="ar-SA"/>
      </w:rPr>
    </w:lvl>
  </w:abstractNum>
  <w:abstractNum w:abstractNumId="16">
    <w:multiLevelType w:val="hybridMultilevel"/>
    <w:lvl w:ilvl="0">
      <w:start w:val="2"/>
      <w:numFmt w:val="decimal"/>
      <w:lvlText w:val="（%1）"/>
      <w:lvlJc w:val="left"/>
      <w:pPr>
        <w:ind w:left="674"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344" w:hanging="529"/>
      </w:pPr>
      <w:rPr>
        <w:rFonts w:hint="default"/>
        <w:lang w:val="en-US" w:eastAsia="zh-CN" w:bidi="ar-SA"/>
      </w:rPr>
    </w:lvl>
    <w:lvl w:ilvl="2">
      <w:start w:val="0"/>
      <w:numFmt w:val="bullet"/>
      <w:lvlText w:val="•"/>
      <w:lvlJc w:val="left"/>
      <w:pPr>
        <w:ind w:left="2008" w:hanging="529"/>
      </w:pPr>
      <w:rPr>
        <w:rFonts w:hint="default"/>
        <w:lang w:val="en-US" w:eastAsia="zh-CN" w:bidi="ar-SA"/>
      </w:rPr>
    </w:lvl>
    <w:lvl w:ilvl="3">
      <w:start w:val="0"/>
      <w:numFmt w:val="bullet"/>
      <w:lvlText w:val="•"/>
      <w:lvlJc w:val="left"/>
      <w:pPr>
        <w:ind w:left="2672" w:hanging="529"/>
      </w:pPr>
      <w:rPr>
        <w:rFonts w:hint="default"/>
        <w:lang w:val="en-US" w:eastAsia="zh-CN" w:bidi="ar-SA"/>
      </w:rPr>
    </w:lvl>
    <w:lvl w:ilvl="4">
      <w:start w:val="0"/>
      <w:numFmt w:val="bullet"/>
      <w:lvlText w:val="•"/>
      <w:lvlJc w:val="left"/>
      <w:pPr>
        <w:ind w:left="3336" w:hanging="529"/>
      </w:pPr>
      <w:rPr>
        <w:rFonts w:hint="default"/>
        <w:lang w:val="en-US" w:eastAsia="zh-CN" w:bidi="ar-SA"/>
      </w:rPr>
    </w:lvl>
    <w:lvl w:ilvl="5">
      <w:start w:val="0"/>
      <w:numFmt w:val="bullet"/>
      <w:lvlText w:val="•"/>
      <w:lvlJc w:val="left"/>
      <w:pPr>
        <w:ind w:left="4000" w:hanging="529"/>
      </w:pPr>
      <w:rPr>
        <w:rFonts w:hint="default"/>
        <w:lang w:val="en-US" w:eastAsia="zh-CN" w:bidi="ar-SA"/>
      </w:rPr>
    </w:lvl>
    <w:lvl w:ilvl="6">
      <w:start w:val="0"/>
      <w:numFmt w:val="bullet"/>
      <w:lvlText w:val="•"/>
      <w:lvlJc w:val="left"/>
      <w:pPr>
        <w:ind w:left="4664" w:hanging="529"/>
      </w:pPr>
      <w:rPr>
        <w:rFonts w:hint="default"/>
        <w:lang w:val="en-US" w:eastAsia="zh-CN" w:bidi="ar-SA"/>
      </w:rPr>
    </w:lvl>
    <w:lvl w:ilvl="7">
      <w:start w:val="0"/>
      <w:numFmt w:val="bullet"/>
      <w:lvlText w:val="•"/>
      <w:lvlJc w:val="left"/>
      <w:pPr>
        <w:ind w:left="5328" w:hanging="529"/>
      </w:pPr>
      <w:rPr>
        <w:rFonts w:hint="default"/>
        <w:lang w:val="en-US" w:eastAsia="zh-CN" w:bidi="ar-SA"/>
      </w:rPr>
    </w:lvl>
    <w:lvl w:ilvl="8">
      <w:start w:val="0"/>
      <w:numFmt w:val="bullet"/>
      <w:lvlText w:val="•"/>
      <w:lvlJc w:val="left"/>
      <w:pPr>
        <w:ind w:left="5992" w:hanging="529"/>
      </w:pPr>
      <w:rPr>
        <w:rFonts w:hint="default"/>
        <w:lang w:val="en-US" w:eastAsia="zh-CN" w:bidi="ar-SA"/>
      </w:rPr>
    </w:lvl>
  </w:abstractNum>
  <w:abstractNum w:abstractNumId="15">
    <w:multiLevelType w:val="hybridMultilevel"/>
    <w:lvl w:ilvl="0">
      <w:start w:val="1"/>
      <w:numFmt w:val="lowerLetter"/>
      <w:lvlText w:val="%1."/>
      <w:lvlJc w:val="left"/>
      <w:pPr>
        <w:ind w:left="145" w:hanging="213"/>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858" w:hanging="213"/>
      </w:pPr>
      <w:rPr>
        <w:rFonts w:hint="default"/>
        <w:lang w:val="en-US" w:eastAsia="zh-CN" w:bidi="ar-SA"/>
      </w:rPr>
    </w:lvl>
    <w:lvl w:ilvl="2">
      <w:start w:val="0"/>
      <w:numFmt w:val="bullet"/>
      <w:lvlText w:val="•"/>
      <w:lvlJc w:val="left"/>
      <w:pPr>
        <w:ind w:left="1576" w:hanging="213"/>
      </w:pPr>
      <w:rPr>
        <w:rFonts w:hint="default"/>
        <w:lang w:val="en-US" w:eastAsia="zh-CN" w:bidi="ar-SA"/>
      </w:rPr>
    </w:lvl>
    <w:lvl w:ilvl="3">
      <w:start w:val="0"/>
      <w:numFmt w:val="bullet"/>
      <w:lvlText w:val="•"/>
      <w:lvlJc w:val="left"/>
      <w:pPr>
        <w:ind w:left="2294" w:hanging="213"/>
      </w:pPr>
      <w:rPr>
        <w:rFonts w:hint="default"/>
        <w:lang w:val="en-US" w:eastAsia="zh-CN" w:bidi="ar-SA"/>
      </w:rPr>
    </w:lvl>
    <w:lvl w:ilvl="4">
      <w:start w:val="0"/>
      <w:numFmt w:val="bullet"/>
      <w:lvlText w:val="•"/>
      <w:lvlJc w:val="left"/>
      <w:pPr>
        <w:ind w:left="3012" w:hanging="213"/>
      </w:pPr>
      <w:rPr>
        <w:rFonts w:hint="default"/>
        <w:lang w:val="en-US" w:eastAsia="zh-CN" w:bidi="ar-SA"/>
      </w:rPr>
    </w:lvl>
    <w:lvl w:ilvl="5">
      <w:start w:val="0"/>
      <w:numFmt w:val="bullet"/>
      <w:lvlText w:val="•"/>
      <w:lvlJc w:val="left"/>
      <w:pPr>
        <w:ind w:left="3730" w:hanging="213"/>
      </w:pPr>
      <w:rPr>
        <w:rFonts w:hint="default"/>
        <w:lang w:val="en-US" w:eastAsia="zh-CN" w:bidi="ar-SA"/>
      </w:rPr>
    </w:lvl>
    <w:lvl w:ilvl="6">
      <w:start w:val="0"/>
      <w:numFmt w:val="bullet"/>
      <w:lvlText w:val="•"/>
      <w:lvlJc w:val="left"/>
      <w:pPr>
        <w:ind w:left="4448" w:hanging="213"/>
      </w:pPr>
      <w:rPr>
        <w:rFonts w:hint="default"/>
        <w:lang w:val="en-US" w:eastAsia="zh-CN" w:bidi="ar-SA"/>
      </w:rPr>
    </w:lvl>
    <w:lvl w:ilvl="7">
      <w:start w:val="0"/>
      <w:numFmt w:val="bullet"/>
      <w:lvlText w:val="•"/>
      <w:lvlJc w:val="left"/>
      <w:pPr>
        <w:ind w:left="5166" w:hanging="213"/>
      </w:pPr>
      <w:rPr>
        <w:rFonts w:hint="default"/>
        <w:lang w:val="en-US" w:eastAsia="zh-CN" w:bidi="ar-SA"/>
      </w:rPr>
    </w:lvl>
    <w:lvl w:ilvl="8">
      <w:start w:val="0"/>
      <w:numFmt w:val="bullet"/>
      <w:lvlText w:val="•"/>
      <w:lvlJc w:val="left"/>
      <w:pPr>
        <w:ind w:left="5884" w:hanging="213"/>
      </w:pPr>
      <w:rPr>
        <w:rFonts w:hint="default"/>
        <w:lang w:val="en-US" w:eastAsia="zh-CN" w:bidi="ar-SA"/>
      </w:rPr>
    </w:lvl>
  </w:abstractNum>
  <w:abstractNum w:abstractNumId="14">
    <w:multiLevelType w:val="hybridMultilevel"/>
    <w:lvl w:ilvl="0">
      <w:start w:val="1"/>
      <w:numFmt w:val="decimal"/>
      <w:lvlText w:val="（%1）"/>
      <w:lvlJc w:val="left"/>
      <w:pPr>
        <w:ind w:left="4044"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654" w:hanging="720"/>
      </w:pPr>
      <w:rPr>
        <w:rFonts w:hint="default"/>
        <w:lang w:val="en-US" w:eastAsia="zh-CN" w:bidi="ar-SA"/>
      </w:rPr>
    </w:lvl>
    <w:lvl w:ilvl="2">
      <w:start w:val="0"/>
      <w:numFmt w:val="bullet"/>
      <w:lvlText w:val="•"/>
      <w:lvlJc w:val="left"/>
      <w:pPr>
        <w:ind w:left="5269" w:hanging="720"/>
      </w:pPr>
      <w:rPr>
        <w:rFonts w:hint="default"/>
        <w:lang w:val="en-US" w:eastAsia="zh-CN" w:bidi="ar-SA"/>
      </w:rPr>
    </w:lvl>
    <w:lvl w:ilvl="3">
      <w:start w:val="0"/>
      <w:numFmt w:val="bullet"/>
      <w:lvlText w:val="•"/>
      <w:lvlJc w:val="left"/>
      <w:pPr>
        <w:ind w:left="5883" w:hanging="720"/>
      </w:pPr>
      <w:rPr>
        <w:rFonts w:hint="default"/>
        <w:lang w:val="en-US" w:eastAsia="zh-CN" w:bidi="ar-SA"/>
      </w:rPr>
    </w:lvl>
    <w:lvl w:ilvl="4">
      <w:start w:val="0"/>
      <w:numFmt w:val="bullet"/>
      <w:lvlText w:val="•"/>
      <w:lvlJc w:val="left"/>
      <w:pPr>
        <w:ind w:left="6498" w:hanging="720"/>
      </w:pPr>
      <w:rPr>
        <w:rFonts w:hint="default"/>
        <w:lang w:val="en-US" w:eastAsia="zh-CN" w:bidi="ar-SA"/>
      </w:rPr>
    </w:lvl>
    <w:lvl w:ilvl="5">
      <w:start w:val="0"/>
      <w:numFmt w:val="bullet"/>
      <w:lvlText w:val="•"/>
      <w:lvlJc w:val="left"/>
      <w:pPr>
        <w:ind w:left="7112" w:hanging="720"/>
      </w:pPr>
      <w:rPr>
        <w:rFonts w:hint="default"/>
        <w:lang w:val="en-US" w:eastAsia="zh-CN" w:bidi="ar-SA"/>
      </w:rPr>
    </w:lvl>
    <w:lvl w:ilvl="6">
      <w:start w:val="0"/>
      <w:numFmt w:val="bullet"/>
      <w:lvlText w:val="•"/>
      <w:lvlJc w:val="left"/>
      <w:pPr>
        <w:ind w:left="7727" w:hanging="720"/>
      </w:pPr>
      <w:rPr>
        <w:rFonts w:hint="default"/>
        <w:lang w:val="en-US" w:eastAsia="zh-CN" w:bidi="ar-SA"/>
      </w:rPr>
    </w:lvl>
    <w:lvl w:ilvl="7">
      <w:start w:val="0"/>
      <w:numFmt w:val="bullet"/>
      <w:lvlText w:val="•"/>
      <w:lvlJc w:val="left"/>
      <w:pPr>
        <w:ind w:left="8341" w:hanging="720"/>
      </w:pPr>
      <w:rPr>
        <w:rFonts w:hint="default"/>
        <w:lang w:val="en-US" w:eastAsia="zh-CN" w:bidi="ar-SA"/>
      </w:rPr>
    </w:lvl>
    <w:lvl w:ilvl="8">
      <w:start w:val="0"/>
      <w:numFmt w:val="bullet"/>
      <w:lvlText w:val="•"/>
      <w:lvlJc w:val="left"/>
      <w:pPr>
        <w:ind w:left="8956" w:hanging="720"/>
      </w:pPr>
      <w:rPr>
        <w:rFonts w:hint="default"/>
        <w:lang w:val="en-US" w:eastAsia="zh-CN" w:bidi="ar-SA"/>
      </w:rPr>
    </w:lvl>
  </w:abstractNum>
  <w:abstractNum w:abstractNumId="13">
    <w:multiLevelType w:val="hybridMultilevel"/>
    <w:lvl w:ilvl="0">
      <w:start w:val="1"/>
      <w:numFmt w:val="decimal"/>
      <w:lvlText w:val="%1."/>
      <w:lvlJc w:val="left"/>
      <w:pPr>
        <w:ind w:left="3288" w:hanging="36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4044"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722" w:hanging="720"/>
      </w:pPr>
      <w:rPr>
        <w:rFonts w:hint="default"/>
        <w:lang w:val="en-US" w:eastAsia="zh-CN" w:bidi="ar-SA"/>
      </w:rPr>
    </w:lvl>
    <w:lvl w:ilvl="3">
      <w:start w:val="0"/>
      <w:numFmt w:val="bullet"/>
      <w:lvlText w:val="•"/>
      <w:lvlJc w:val="left"/>
      <w:pPr>
        <w:ind w:left="5405" w:hanging="720"/>
      </w:pPr>
      <w:rPr>
        <w:rFonts w:hint="default"/>
        <w:lang w:val="en-US" w:eastAsia="zh-CN" w:bidi="ar-SA"/>
      </w:rPr>
    </w:lvl>
    <w:lvl w:ilvl="4">
      <w:start w:val="0"/>
      <w:numFmt w:val="bullet"/>
      <w:lvlText w:val="•"/>
      <w:lvlJc w:val="left"/>
      <w:pPr>
        <w:ind w:left="6088" w:hanging="720"/>
      </w:pPr>
      <w:rPr>
        <w:rFonts w:hint="default"/>
        <w:lang w:val="en-US" w:eastAsia="zh-CN" w:bidi="ar-SA"/>
      </w:rPr>
    </w:lvl>
    <w:lvl w:ilvl="5">
      <w:start w:val="0"/>
      <w:numFmt w:val="bullet"/>
      <w:lvlText w:val="•"/>
      <w:lvlJc w:val="left"/>
      <w:pPr>
        <w:ind w:left="6771" w:hanging="720"/>
      </w:pPr>
      <w:rPr>
        <w:rFonts w:hint="default"/>
        <w:lang w:val="en-US" w:eastAsia="zh-CN" w:bidi="ar-SA"/>
      </w:rPr>
    </w:lvl>
    <w:lvl w:ilvl="6">
      <w:start w:val="0"/>
      <w:numFmt w:val="bullet"/>
      <w:lvlText w:val="•"/>
      <w:lvlJc w:val="left"/>
      <w:pPr>
        <w:ind w:left="7454" w:hanging="720"/>
      </w:pPr>
      <w:rPr>
        <w:rFonts w:hint="default"/>
        <w:lang w:val="en-US" w:eastAsia="zh-CN" w:bidi="ar-SA"/>
      </w:rPr>
    </w:lvl>
    <w:lvl w:ilvl="7">
      <w:start w:val="0"/>
      <w:numFmt w:val="bullet"/>
      <w:lvlText w:val="•"/>
      <w:lvlJc w:val="left"/>
      <w:pPr>
        <w:ind w:left="8137" w:hanging="720"/>
      </w:pPr>
      <w:rPr>
        <w:rFonts w:hint="default"/>
        <w:lang w:val="en-US" w:eastAsia="zh-CN" w:bidi="ar-SA"/>
      </w:rPr>
    </w:lvl>
    <w:lvl w:ilvl="8">
      <w:start w:val="0"/>
      <w:numFmt w:val="bullet"/>
      <w:lvlText w:val="•"/>
      <w:lvlJc w:val="left"/>
      <w:pPr>
        <w:ind w:left="8819" w:hanging="720"/>
      </w:pPr>
      <w:rPr>
        <w:rFonts w:hint="default"/>
        <w:lang w:val="en-US" w:eastAsia="zh-CN" w:bidi="ar-SA"/>
      </w:rPr>
    </w:lvl>
  </w:abstractNum>
  <w:abstractNum w:abstractNumId="12">
    <w:multiLevelType w:val="hybridMultilevel"/>
    <w:lvl w:ilvl="0">
      <w:start w:val="1"/>
      <w:numFmt w:val="decimal"/>
      <w:lvlText w:val="（%1）"/>
      <w:lvlJc w:val="left"/>
      <w:pPr>
        <w:ind w:left="343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14" w:hanging="529"/>
      </w:pPr>
      <w:rPr>
        <w:rFonts w:hint="default"/>
        <w:lang w:val="en-US" w:eastAsia="zh-CN" w:bidi="ar-SA"/>
      </w:rPr>
    </w:lvl>
    <w:lvl w:ilvl="2">
      <w:start w:val="0"/>
      <w:numFmt w:val="bullet"/>
      <w:lvlText w:val="•"/>
      <w:lvlJc w:val="left"/>
      <w:pPr>
        <w:ind w:left="4789" w:hanging="529"/>
      </w:pPr>
      <w:rPr>
        <w:rFonts w:hint="default"/>
        <w:lang w:val="en-US" w:eastAsia="zh-CN" w:bidi="ar-SA"/>
      </w:rPr>
    </w:lvl>
    <w:lvl w:ilvl="3">
      <w:start w:val="0"/>
      <w:numFmt w:val="bullet"/>
      <w:lvlText w:val="•"/>
      <w:lvlJc w:val="left"/>
      <w:pPr>
        <w:ind w:left="5463" w:hanging="529"/>
      </w:pPr>
      <w:rPr>
        <w:rFonts w:hint="default"/>
        <w:lang w:val="en-US" w:eastAsia="zh-CN" w:bidi="ar-SA"/>
      </w:rPr>
    </w:lvl>
    <w:lvl w:ilvl="4">
      <w:start w:val="0"/>
      <w:numFmt w:val="bullet"/>
      <w:lvlText w:val="•"/>
      <w:lvlJc w:val="left"/>
      <w:pPr>
        <w:ind w:left="6138" w:hanging="529"/>
      </w:pPr>
      <w:rPr>
        <w:rFonts w:hint="default"/>
        <w:lang w:val="en-US" w:eastAsia="zh-CN" w:bidi="ar-SA"/>
      </w:rPr>
    </w:lvl>
    <w:lvl w:ilvl="5">
      <w:start w:val="0"/>
      <w:numFmt w:val="bullet"/>
      <w:lvlText w:val="•"/>
      <w:lvlJc w:val="left"/>
      <w:pPr>
        <w:ind w:left="6812" w:hanging="529"/>
      </w:pPr>
      <w:rPr>
        <w:rFonts w:hint="default"/>
        <w:lang w:val="en-US" w:eastAsia="zh-CN" w:bidi="ar-SA"/>
      </w:rPr>
    </w:lvl>
    <w:lvl w:ilvl="6">
      <w:start w:val="0"/>
      <w:numFmt w:val="bullet"/>
      <w:lvlText w:val="•"/>
      <w:lvlJc w:val="left"/>
      <w:pPr>
        <w:ind w:left="7487" w:hanging="529"/>
      </w:pPr>
      <w:rPr>
        <w:rFonts w:hint="default"/>
        <w:lang w:val="en-US" w:eastAsia="zh-CN" w:bidi="ar-SA"/>
      </w:rPr>
    </w:lvl>
    <w:lvl w:ilvl="7">
      <w:start w:val="0"/>
      <w:numFmt w:val="bullet"/>
      <w:lvlText w:val="•"/>
      <w:lvlJc w:val="left"/>
      <w:pPr>
        <w:ind w:left="8161" w:hanging="529"/>
      </w:pPr>
      <w:rPr>
        <w:rFonts w:hint="default"/>
        <w:lang w:val="en-US" w:eastAsia="zh-CN" w:bidi="ar-SA"/>
      </w:rPr>
    </w:lvl>
    <w:lvl w:ilvl="8">
      <w:start w:val="0"/>
      <w:numFmt w:val="bullet"/>
      <w:lvlText w:val="•"/>
      <w:lvlJc w:val="left"/>
      <w:pPr>
        <w:ind w:left="8836" w:hanging="529"/>
      </w:pPr>
      <w:rPr>
        <w:rFonts w:hint="default"/>
        <w:lang w:val="en-US" w:eastAsia="zh-CN" w:bidi="ar-SA"/>
      </w:rPr>
    </w:lvl>
  </w:abstractNum>
  <w:abstractNum w:abstractNumId="11">
    <w:multiLevelType w:val="hybridMultilevel"/>
    <w:lvl w:ilvl="0">
      <w:start w:val="1"/>
      <w:numFmt w:val="decimal"/>
      <w:lvlText w:val="（%1）"/>
      <w:lvlJc w:val="left"/>
      <w:pPr>
        <w:ind w:left="3430" w:hanging="529"/>
        <w:jc w:val="left"/>
      </w:pPr>
      <w:rPr>
        <w:rFonts w:hint="default" w:ascii="宋体" w:hAnsi="宋体" w:eastAsia="宋体" w:cs="宋体"/>
        <w:b w:val="0"/>
        <w:bCs w:val="0"/>
        <w:i w:val="0"/>
        <w:iCs w:val="0"/>
        <w:spacing w:val="-13"/>
        <w:w w:val="100"/>
        <w:sz w:val="19"/>
        <w:szCs w:val="19"/>
        <w:lang w:val="en-US" w:eastAsia="zh-CN" w:bidi="ar-SA"/>
      </w:rPr>
    </w:lvl>
    <w:lvl w:ilvl="1">
      <w:start w:val="0"/>
      <w:numFmt w:val="bullet"/>
      <w:lvlText w:val="•"/>
      <w:lvlJc w:val="left"/>
      <w:pPr>
        <w:ind w:left="4114" w:hanging="529"/>
      </w:pPr>
      <w:rPr>
        <w:rFonts w:hint="default"/>
        <w:lang w:val="en-US" w:eastAsia="zh-CN" w:bidi="ar-SA"/>
      </w:rPr>
    </w:lvl>
    <w:lvl w:ilvl="2">
      <w:start w:val="0"/>
      <w:numFmt w:val="bullet"/>
      <w:lvlText w:val="•"/>
      <w:lvlJc w:val="left"/>
      <w:pPr>
        <w:ind w:left="4789" w:hanging="529"/>
      </w:pPr>
      <w:rPr>
        <w:rFonts w:hint="default"/>
        <w:lang w:val="en-US" w:eastAsia="zh-CN" w:bidi="ar-SA"/>
      </w:rPr>
    </w:lvl>
    <w:lvl w:ilvl="3">
      <w:start w:val="0"/>
      <w:numFmt w:val="bullet"/>
      <w:lvlText w:val="•"/>
      <w:lvlJc w:val="left"/>
      <w:pPr>
        <w:ind w:left="5463" w:hanging="529"/>
      </w:pPr>
      <w:rPr>
        <w:rFonts w:hint="default"/>
        <w:lang w:val="en-US" w:eastAsia="zh-CN" w:bidi="ar-SA"/>
      </w:rPr>
    </w:lvl>
    <w:lvl w:ilvl="4">
      <w:start w:val="0"/>
      <w:numFmt w:val="bullet"/>
      <w:lvlText w:val="•"/>
      <w:lvlJc w:val="left"/>
      <w:pPr>
        <w:ind w:left="6138" w:hanging="529"/>
      </w:pPr>
      <w:rPr>
        <w:rFonts w:hint="default"/>
        <w:lang w:val="en-US" w:eastAsia="zh-CN" w:bidi="ar-SA"/>
      </w:rPr>
    </w:lvl>
    <w:lvl w:ilvl="5">
      <w:start w:val="0"/>
      <w:numFmt w:val="bullet"/>
      <w:lvlText w:val="•"/>
      <w:lvlJc w:val="left"/>
      <w:pPr>
        <w:ind w:left="6812" w:hanging="529"/>
      </w:pPr>
      <w:rPr>
        <w:rFonts w:hint="default"/>
        <w:lang w:val="en-US" w:eastAsia="zh-CN" w:bidi="ar-SA"/>
      </w:rPr>
    </w:lvl>
    <w:lvl w:ilvl="6">
      <w:start w:val="0"/>
      <w:numFmt w:val="bullet"/>
      <w:lvlText w:val="•"/>
      <w:lvlJc w:val="left"/>
      <w:pPr>
        <w:ind w:left="7487" w:hanging="529"/>
      </w:pPr>
      <w:rPr>
        <w:rFonts w:hint="default"/>
        <w:lang w:val="en-US" w:eastAsia="zh-CN" w:bidi="ar-SA"/>
      </w:rPr>
    </w:lvl>
    <w:lvl w:ilvl="7">
      <w:start w:val="0"/>
      <w:numFmt w:val="bullet"/>
      <w:lvlText w:val="•"/>
      <w:lvlJc w:val="left"/>
      <w:pPr>
        <w:ind w:left="8161" w:hanging="529"/>
      </w:pPr>
      <w:rPr>
        <w:rFonts w:hint="default"/>
        <w:lang w:val="en-US" w:eastAsia="zh-CN" w:bidi="ar-SA"/>
      </w:rPr>
    </w:lvl>
    <w:lvl w:ilvl="8">
      <w:start w:val="0"/>
      <w:numFmt w:val="bullet"/>
      <w:lvlText w:val="•"/>
      <w:lvlJc w:val="left"/>
      <w:pPr>
        <w:ind w:left="8836" w:hanging="529"/>
      </w:pPr>
      <w:rPr>
        <w:rFonts w:hint="default"/>
        <w:lang w:val="en-US" w:eastAsia="zh-CN" w:bidi="ar-SA"/>
      </w:rPr>
    </w:lvl>
  </w:abstractNum>
  <w:abstractNum w:abstractNumId="10">
    <w:multiLevelType w:val="hybridMultilevel"/>
    <w:lvl w:ilvl="0">
      <w:start w:val="9"/>
      <w:numFmt w:val="decimal"/>
      <w:lvlText w:val="%1"/>
      <w:lvlJc w:val="left"/>
      <w:pPr>
        <w:ind w:left="1344" w:hanging="1136"/>
        <w:jc w:val="left"/>
      </w:pPr>
      <w:rPr>
        <w:rFonts w:hint="default"/>
        <w:lang w:val="en-US" w:eastAsia="zh-CN" w:bidi="ar-SA"/>
      </w:rPr>
    </w:lvl>
    <w:lvl w:ilvl="1">
      <w:start w:val="9"/>
      <w:numFmt w:val="decimal"/>
      <w:lvlText w:val="%1.%2"/>
      <w:lvlJc w:val="left"/>
      <w:pPr>
        <w:ind w:left="1344" w:hanging="1136"/>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33" w:hanging="529"/>
        <w:jc w:val="left"/>
      </w:pPr>
      <w:rPr>
        <w:rFonts w:hint="default" w:ascii="宋体" w:hAnsi="宋体" w:eastAsia="宋体" w:cs="宋体"/>
        <w:b/>
        <w:bCs/>
        <w:i/>
        <w:iCs/>
        <w:w w:val="95"/>
        <w:sz w:val="20"/>
        <w:szCs w:val="20"/>
        <w:lang w:val="en-US" w:eastAsia="zh-CN" w:bidi="ar-SA"/>
      </w:rPr>
    </w:lvl>
    <w:lvl w:ilvl="3">
      <w:start w:val="0"/>
      <w:numFmt w:val="bullet"/>
      <w:lvlText w:val="•"/>
      <w:lvlJc w:val="left"/>
      <w:pPr>
        <w:ind w:left="4939" w:hanging="529"/>
      </w:pPr>
      <w:rPr>
        <w:rFonts w:hint="default"/>
        <w:lang w:val="en-US" w:eastAsia="zh-CN" w:bidi="ar-SA"/>
      </w:rPr>
    </w:lvl>
    <w:lvl w:ilvl="4">
      <w:start w:val="0"/>
      <w:numFmt w:val="bullet"/>
      <w:lvlText w:val="•"/>
      <w:lvlJc w:val="left"/>
      <w:pPr>
        <w:ind w:left="5688" w:hanging="529"/>
      </w:pPr>
      <w:rPr>
        <w:rFonts w:hint="default"/>
        <w:lang w:val="en-US" w:eastAsia="zh-CN" w:bidi="ar-SA"/>
      </w:rPr>
    </w:lvl>
    <w:lvl w:ilvl="5">
      <w:start w:val="0"/>
      <w:numFmt w:val="bullet"/>
      <w:lvlText w:val="•"/>
      <w:lvlJc w:val="left"/>
      <w:pPr>
        <w:ind w:left="6438" w:hanging="529"/>
      </w:pPr>
      <w:rPr>
        <w:rFonts w:hint="default"/>
        <w:lang w:val="en-US" w:eastAsia="zh-CN" w:bidi="ar-SA"/>
      </w:rPr>
    </w:lvl>
    <w:lvl w:ilvl="6">
      <w:start w:val="0"/>
      <w:numFmt w:val="bullet"/>
      <w:lvlText w:val="•"/>
      <w:lvlJc w:val="left"/>
      <w:pPr>
        <w:ind w:left="7187" w:hanging="529"/>
      </w:pPr>
      <w:rPr>
        <w:rFonts w:hint="default"/>
        <w:lang w:val="en-US" w:eastAsia="zh-CN" w:bidi="ar-SA"/>
      </w:rPr>
    </w:lvl>
    <w:lvl w:ilvl="7">
      <w:start w:val="0"/>
      <w:numFmt w:val="bullet"/>
      <w:lvlText w:val="•"/>
      <w:lvlJc w:val="left"/>
      <w:pPr>
        <w:ind w:left="7937" w:hanging="529"/>
      </w:pPr>
      <w:rPr>
        <w:rFonts w:hint="default"/>
        <w:lang w:val="en-US" w:eastAsia="zh-CN" w:bidi="ar-SA"/>
      </w:rPr>
    </w:lvl>
    <w:lvl w:ilvl="8">
      <w:start w:val="0"/>
      <w:numFmt w:val="bullet"/>
      <w:lvlText w:val="•"/>
      <w:lvlJc w:val="left"/>
      <w:pPr>
        <w:ind w:left="8686" w:hanging="529"/>
      </w:pPr>
      <w:rPr>
        <w:rFonts w:hint="default"/>
        <w:lang w:val="en-US" w:eastAsia="zh-CN" w:bidi="ar-SA"/>
      </w:rPr>
    </w:lvl>
  </w:abstractNum>
  <w:abstractNum w:abstractNumId="9">
    <w:multiLevelType w:val="hybridMultilevel"/>
    <w:lvl w:ilvl="0">
      <w:start w:val="8"/>
      <w:numFmt w:val="decimal"/>
      <w:lvlText w:val="%1"/>
      <w:lvlJc w:val="left"/>
      <w:pPr>
        <w:ind w:left="1344" w:hanging="1136"/>
        <w:jc w:val="left"/>
      </w:pPr>
      <w:rPr>
        <w:rFonts w:hint="default"/>
        <w:lang w:val="en-US" w:eastAsia="zh-CN" w:bidi="ar-SA"/>
      </w:rPr>
    </w:lvl>
    <w:lvl w:ilvl="1">
      <w:start w:val="1"/>
      <w:numFmt w:val="decimal"/>
      <w:lvlText w:val="%1.%2"/>
      <w:lvlJc w:val="left"/>
      <w:pPr>
        <w:ind w:left="1344" w:hanging="113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602" w:hanging="1136"/>
      </w:pPr>
      <w:rPr>
        <w:rFonts w:hint="default"/>
        <w:lang w:val="en-US" w:eastAsia="zh-CN" w:bidi="ar-SA"/>
      </w:rPr>
    </w:lvl>
    <w:lvl w:ilvl="3">
      <w:start w:val="0"/>
      <w:numFmt w:val="bullet"/>
      <w:lvlText w:val="•"/>
      <w:lvlJc w:val="left"/>
      <w:pPr>
        <w:ind w:left="1733" w:hanging="1136"/>
      </w:pPr>
      <w:rPr>
        <w:rFonts w:hint="default"/>
        <w:lang w:val="en-US" w:eastAsia="zh-CN" w:bidi="ar-SA"/>
      </w:rPr>
    </w:lvl>
    <w:lvl w:ilvl="4">
      <w:start w:val="0"/>
      <w:numFmt w:val="bullet"/>
      <w:lvlText w:val="•"/>
      <w:lvlJc w:val="left"/>
      <w:pPr>
        <w:ind w:left="1864" w:hanging="1136"/>
      </w:pPr>
      <w:rPr>
        <w:rFonts w:hint="default"/>
        <w:lang w:val="en-US" w:eastAsia="zh-CN" w:bidi="ar-SA"/>
      </w:rPr>
    </w:lvl>
    <w:lvl w:ilvl="5">
      <w:start w:val="0"/>
      <w:numFmt w:val="bullet"/>
      <w:lvlText w:val="•"/>
      <w:lvlJc w:val="left"/>
      <w:pPr>
        <w:ind w:left="1996" w:hanging="1136"/>
      </w:pPr>
      <w:rPr>
        <w:rFonts w:hint="default"/>
        <w:lang w:val="en-US" w:eastAsia="zh-CN" w:bidi="ar-SA"/>
      </w:rPr>
    </w:lvl>
    <w:lvl w:ilvl="6">
      <w:start w:val="0"/>
      <w:numFmt w:val="bullet"/>
      <w:lvlText w:val="•"/>
      <w:lvlJc w:val="left"/>
      <w:pPr>
        <w:ind w:left="2127" w:hanging="1136"/>
      </w:pPr>
      <w:rPr>
        <w:rFonts w:hint="default"/>
        <w:lang w:val="en-US" w:eastAsia="zh-CN" w:bidi="ar-SA"/>
      </w:rPr>
    </w:lvl>
    <w:lvl w:ilvl="7">
      <w:start w:val="0"/>
      <w:numFmt w:val="bullet"/>
      <w:lvlText w:val="•"/>
      <w:lvlJc w:val="left"/>
      <w:pPr>
        <w:ind w:left="2258" w:hanging="1136"/>
      </w:pPr>
      <w:rPr>
        <w:rFonts w:hint="default"/>
        <w:lang w:val="en-US" w:eastAsia="zh-CN" w:bidi="ar-SA"/>
      </w:rPr>
    </w:lvl>
    <w:lvl w:ilvl="8">
      <w:start w:val="0"/>
      <w:numFmt w:val="bullet"/>
      <w:lvlText w:val="•"/>
      <w:lvlJc w:val="left"/>
      <w:pPr>
        <w:ind w:left="2389" w:hanging="1136"/>
      </w:pPr>
      <w:rPr>
        <w:rFonts w:hint="default"/>
        <w:lang w:val="en-US" w:eastAsia="zh-CN" w:bidi="ar-SA"/>
      </w:rPr>
    </w:lvl>
  </w:abstractNum>
  <w:abstractNum w:abstractNumId="8">
    <w:multiLevelType w:val="hybridMultilevel"/>
    <w:lvl w:ilvl="0">
      <w:start w:val="6"/>
      <w:numFmt w:val="decimal"/>
      <w:lvlText w:val="%1"/>
      <w:lvlJc w:val="left"/>
      <w:pPr>
        <w:ind w:left="1344" w:hanging="1136"/>
        <w:jc w:val="left"/>
      </w:pPr>
      <w:rPr>
        <w:rFonts w:hint="default"/>
        <w:lang w:val="en-US" w:eastAsia="zh-CN" w:bidi="ar-SA"/>
      </w:rPr>
    </w:lvl>
    <w:lvl w:ilvl="1">
      <w:start w:val="1"/>
      <w:numFmt w:val="decimal"/>
      <w:lvlText w:val="%1.%2"/>
      <w:lvlJc w:val="left"/>
      <w:pPr>
        <w:ind w:left="1344" w:hanging="113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09" w:hanging="1136"/>
      </w:pPr>
      <w:rPr>
        <w:rFonts w:hint="default"/>
        <w:lang w:val="en-US" w:eastAsia="zh-CN" w:bidi="ar-SA"/>
      </w:rPr>
    </w:lvl>
    <w:lvl w:ilvl="3">
      <w:start w:val="0"/>
      <w:numFmt w:val="bullet"/>
      <w:lvlText w:val="•"/>
      <w:lvlJc w:val="left"/>
      <w:pPr>
        <w:ind w:left="3993" w:hanging="1136"/>
      </w:pPr>
      <w:rPr>
        <w:rFonts w:hint="default"/>
        <w:lang w:val="en-US" w:eastAsia="zh-CN" w:bidi="ar-SA"/>
      </w:rPr>
    </w:lvl>
    <w:lvl w:ilvl="4">
      <w:start w:val="0"/>
      <w:numFmt w:val="bullet"/>
      <w:lvlText w:val="•"/>
      <w:lvlJc w:val="left"/>
      <w:pPr>
        <w:ind w:left="4878" w:hanging="1136"/>
      </w:pPr>
      <w:rPr>
        <w:rFonts w:hint="default"/>
        <w:lang w:val="en-US" w:eastAsia="zh-CN" w:bidi="ar-SA"/>
      </w:rPr>
    </w:lvl>
    <w:lvl w:ilvl="5">
      <w:start w:val="0"/>
      <w:numFmt w:val="bullet"/>
      <w:lvlText w:val="•"/>
      <w:lvlJc w:val="left"/>
      <w:pPr>
        <w:ind w:left="5762" w:hanging="1136"/>
      </w:pPr>
      <w:rPr>
        <w:rFonts w:hint="default"/>
        <w:lang w:val="en-US" w:eastAsia="zh-CN" w:bidi="ar-SA"/>
      </w:rPr>
    </w:lvl>
    <w:lvl w:ilvl="6">
      <w:start w:val="0"/>
      <w:numFmt w:val="bullet"/>
      <w:lvlText w:val="•"/>
      <w:lvlJc w:val="left"/>
      <w:pPr>
        <w:ind w:left="6647" w:hanging="1136"/>
      </w:pPr>
      <w:rPr>
        <w:rFonts w:hint="default"/>
        <w:lang w:val="en-US" w:eastAsia="zh-CN" w:bidi="ar-SA"/>
      </w:rPr>
    </w:lvl>
    <w:lvl w:ilvl="7">
      <w:start w:val="0"/>
      <w:numFmt w:val="bullet"/>
      <w:lvlText w:val="•"/>
      <w:lvlJc w:val="left"/>
      <w:pPr>
        <w:ind w:left="7531" w:hanging="1136"/>
      </w:pPr>
      <w:rPr>
        <w:rFonts w:hint="default"/>
        <w:lang w:val="en-US" w:eastAsia="zh-CN" w:bidi="ar-SA"/>
      </w:rPr>
    </w:lvl>
    <w:lvl w:ilvl="8">
      <w:start w:val="0"/>
      <w:numFmt w:val="bullet"/>
      <w:lvlText w:val="•"/>
      <w:lvlJc w:val="left"/>
      <w:pPr>
        <w:ind w:left="8416" w:hanging="1136"/>
      </w:pPr>
      <w:rPr>
        <w:rFonts w:hint="default"/>
        <w:lang w:val="en-US" w:eastAsia="zh-CN" w:bidi="ar-SA"/>
      </w:rPr>
    </w:lvl>
  </w:abstractNum>
  <w:abstractNum w:abstractNumId="7">
    <w:multiLevelType w:val="hybridMultilevel"/>
    <w:lvl w:ilvl="0">
      <w:start w:val="4"/>
      <w:numFmt w:val="decimal"/>
      <w:lvlText w:val="%1"/>
      <w:lvlJc w:val="left"/>
      <w:pPr>
        <w:ind w:left="2904" w:hanging="1136"/>
        <w:jc w:val="left"/>
      </w:pPr>
      <w:rPr>
        <w:rFonts w:hint="default"/>
        <w:lang w:val="en-US" w:eastAsia="zh-CN" w:bidi="ar-SA"/>
      </w:rPr>
    </w:lvl>
    <w:lvl w:ilvl="1">
      <w:start w:val="1"/>
      <w:numFmt w:val="decimal"/>
      <w:lvlText w:val="%1.%2"/>
      <w:lvlJc w:val="left"/>
      <w:pPr>
        <w:ind w:left="2904" w:hanging="113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57" w:hanging="1136"/>
      </w:pPr>
      <w:rPr>
        <w:rFonts w:hint="default"/>
        <w:lang w:val="en-US" w:eastAsia="zh-CN" w:bidi="ar-SA"/>
      </w:rPr>
    </w:lvl>
    <w:lvl w:ilvl="3">
      <w:start w:val="0"/>
      <w:numFmt w:val="bullet"/>
      <w:lvlText w:val="•"/>
      <w:lvlJc w:val="left"/>
      <w:pPr>
        <w:ind w:left="5085" w:hanging="1136"/>
      </w:pPr>
      <w:rPr>
        <w:rFonts w:hint="default"/>
        <w:lang w:val="en-US" w:eastAsia="zh-CN" w:bidi="ar-SA"/>
      </w:rPr>
    </w:lvl>
    <w:lvl w:ilvl="4">
      <w:start w:val="0"/>
      <w:numFmt w:val="bullet"/>
      <w:lvlText w:val="•"/>
      <w:lvlJc w:val="left"/>
      <w:pPr>
        <w:ind w:left="5814" w:hanging="1136"/>
      </w:pPr>
      <w:rPr>
        <w:rFonts w:hint="default"/>
        <w:lang w:val="en-US" w:eastAsia="zh-CN" w:bidi="ar-SA"/>
      </w:rPr>
    </w:lvl>
    <w:lvl w:ilvl="5">
      <w:start w:val="0"/>
      <w:numFmt w:val="bullet"/>
      <w:lvlText w:val="•"/>
      <w:lvlJc w:val="left"/>
      <w:pPr>
        <w:ind w:left="6542" w:hanging="1136"/>
      </w:pPr>
      <w:rPr>
        <w:rFonts w:hint="default"/>
        <w:lang w:val="en-US" w:eastAsia="zh-CN" w:bidi="ar-SA"/>
      </w:rPr>
    </w:lvl>
    <w:lvl w:ilvl="6">
      <w:start w:val="0"/>
      <w:numFmt w:val="bullet"/>
      <w:lvlText w:val="•"/>
      <w:lvlJc w:val="left"/>
      <w:pPr>
        <w:ind w:left="7271" w:hanging="1136"/>
      </w:pPr>
      <w:rPr>
        <w:rFonts w:hint="default"/>
        <w:lang w:val="en-US" w:eastAsia="zh-CN" w:bidi="ar-SA"/>
      </w:rPr>
    </w:lvl>
    <w:lvl w:ilvl="7">
      <w:start w:val="0"/>
      <w:numFmt w:val="bullet"/>
      <w:lvlText w:val="•"/>
      <w:lvlJc w:val="left"/>
      <w:pPr>
        <w:ind w:left="7999" w:hanging="1136"/>
      </w:pPr>
      <w:rPr>
        <w:rFonts w:hint="default"/>
        <w:lang w:val="en-US" w:eastAsia="zh-CN" w:bidi="ar-SA"/>
      </w:rPr>
    </w:lvl>
    <w:lvl w:ilvl="8">
      <w:start w:val="0"/>
      <w:numFmt w:val="bullet"/>
      <w:lvlText w:val="•"/>
      <w:lvlJc w:val="left"/>
      <w:pPr>
        <w:ind w:left="8728" w:hanging="1136"/>
      </w:pPr>
      <w:rPr>
        <w:rFonts w:hint="default"/>
        <w:lang w:val="en-US" w:eastAsia="zh-CN" w:bidi="ar-SA"/>
      </w:rPr>
    </w:lvl>
  </w:abstractNum>
  <w:abstractNum w:abstractNumId="6">
    <w:multiLevelType w:val="hybridMultilevel"/>
    <w:lvl w:ilvl="0">
      <w:start w:val="3"/>
      <w:numFmt w:val="decimal"/>
      <w:lvlText w:val="%1"/>
      <w:lvlJc w:val="left"/>
      <w:pPr>
        <w:ind w:left="1344" w:hanging="1136"/>
        <w:jc w:val="left"/>
      </w:pPr>
      <w:rPr>
        <w:rFonts w:hint="default"/>
        <w:lang w:val="en-US" w:eastAsia="zh-CN" w:bidi="ar-SA"/>
      </w:rPr>
    </w:lvl>
    <w:lvl w:ilvl="1">
      <w:start w:val="1"/>
      <w:numFmt w:val="decimal"/>
      <w:lvlText w:val="%1.%2"/>
      <w:lvlJc w:val="left"/>
      <w:pPr>
        <w:ind w:left="1344" w:hanging="113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09" w:hanging="1136"/>
      </w:pPr>
      <w:rPr>
        <w:rFonts w:hint="default"/>
        <w:lang w:val="en-US" w:eastAsia="zh-CN" w:bidi="ar-SA"/>
      </w:rPr>
    </w:lvl>
    <w:lvl w:ilvl="3">
      <w:start w:val="0"/>
      <w:numFmt w:val="bullet"/>
      <w:lvlText w:val="•"/>
      <w:lvlJc w:val="left"/>
      <w:pPr>
        <w:ind w:left="3993" w:hanging="1136"/>
      </w:pPr>
      <w:rPr>
        <w:rFonts w:hint="default"/>
        <w:lang w:val="en-US" w:eastAsia="zh-CN" w:bidi="ar-SA"/>
      </w:rPr>
    </w:lvl>
    <w:lvl w:ilvl="4">
      <w:start w:val="0"/>
      <w:numFmt w:val="bullet"/>
      <w:lvlText w:val="•"/>
      <w:lvlJc w:val="left"/>
      <w:pPr>
        <w:ind w:left="4878" w:hanging="1136"/>
      </w:pPr>
      <w:rPr>
        <w:rFonts w:hint="default"/>
        <w:lang w:val="en-US" w:eastAsia="zh-CN" w:bidi="ar-SA"/>
      </w:rPr>
    </w:lvl>
    <w:lvl w:ilvl="5">
      <w:start w:val="0"/>
      <w:numFmt w:val="bullet"/>
      <w:lvlText w:val="•"/>
      <w:lvlJc w:val="left"/>
      <w:pPr>
        <w:ind w:left="5762" w:hanging="1136"/>
      </w:pPr>
      <w:rPr>
        <w:rFonts w:hint="default"/>
        <w:lang w:val="en-US" w:eastAsia="zh-CN" w:bidi="ar-SA"/>
      </w:rPr>
    </w:lvl>
    <w:lvl w:ilvl="6">
      <w:start w:val="0"/>
      <w:numFmt w:val="bullet"/>
      <w:lvlText w:val="•"/>
      <w:lvlJc w:val="left"/>
      <w:pPr>
        <w:ind w:left="6647" w:hanging="1136"/>
      </w:pPr>
      <w:rPr>
        <w:rFonts w:hint="default"/>
        <w:lang w:val="en-US" w:eastAsia="zh-CN" w:bidi="ar-SA"/>
      </w:rPr>
    </w:lvl>
    <w:lvl w:ilvl="7">
      <w:start w:val="0"/>
      <w:numFmt w:val="bullet"/>
      <w:lvlText w:val="•"/>
      <w:lvlJc w:val="left"/>
      <w:pPr>
        <w:ind w:left="7531" w:hanging="1136"/>
      </w:pPr>
      <w:rPr>
        <w:rFonts w:hint="default"/>
        <w:lang w:val="en-US" w:eastAsia="zh-CN" w:bidi="ar-SA"/>
      </w:rPr>
    </w:lvl>
    <w:lvl w:ilvl="8">
      <w:start w:val="0"/>
      <w:numFmt w:val="bullet"/>
      <w:lvlText w:val="•"/>
      <w:lvlJc w:val="left"/>
      <w:pPr>
        <w:ind w:left="8416" w:hanging="1136"/>
      </w:pPr>
      <w:rPr>
        <w:rFonts w:hint="default"/>
        <w:lang w:val="en-US" w:eastAsia="zh-CN" w:bidi="ar-SA"/>
      </w:rPr>
    </w:lvl>
  </w:abstractNum>
  <w:abstractNum w:abstractNumId="5">
    <w:multiLevelType w:val="hybridMultilevel"/>
    <w:lvl w:ilvl="0">
      <w:start w:val="2"/>
      <w:numFmt w:val="decimal"/>
      <w:lvlText w:val="（%1）"/>
      <w:lvlJc w:val="left"/>
      <w:pPr>
        <w:ind w:left="781" w:hanging="529"/>
        <w:jc w:val="left"/>
      </w:pPr>
      <w:rPr>
        <w:rFonts w:hint="default" w:ascii="宋体" w:hAnsi="宋体" w:eastAsia="宋体" w:cs="宋体"/>
        <w:b w:val="0"/>
        <w:bCs w:val="0"/>
        <w:i w:val="0"/>
        <w:iCs w:val="0"/>
        <w:spacing w:val="-3"/>
        <w:w w:val="100"/>
        <w:sz w:val="19"/>
        <w:szCs w:val="19"/>
        <w:lang w:val="en-US" w:eastAsia="zh-CN" w:bidi="ar-SA"/>
      </w:rPr>
    </w:lvl>
    <w:lvl w:ilvl="1">
      <w:start w:val="3"/>
      <w:numFmt w:val="decimal"/>
      <w:lvlText w:val="（%2）"/>
      <w:lvlJc w:val="left"/>
      <w:pPr>
        <w:ind w:left="3430" w:hanging="529"/>
        <w:jc w:val="left"/>
      </w:pPr>
      <w:rPr>
        <w:rFonts w:hint="default" w:ascii="宋体" w:hAnsi="宋体" w:eastAsia="宋体" w:cs="宋体"/>
        <w:b w:val="0"/>
        <w:bCs w:val="0"/>
        <w:i w:val="0"/>
        <w:iCs w:val="0"/>
        <w:spacing w:val="-13"/>
        <w:w w:val="100"/>
        <w:sz w:val="19"/>
        <w:szCs w:val="19"/>
        <w:lang w:val="en-US" w:eastAsia="zh-CN" w:bidi="ar-SA"/>
      </w:rPr>
    </w:lvl>
    <w:lvl w:ilvl="2">
      <w:start w:val="0"/>
      <w:numFmt w:val="bullet"/>
      <w:lvlText w:val="•"/>
      <w:lvlJc w:val="left"/>
      <w:pPr>
        <w:ind w:left="3894" w:hanging="529"/>
      </w:pPr>
      <w:rPr>
        <w:rFonts w:hint="default"/>
        <w:lang w:val="en-US" w:eastAsia="zh-CN" w:bidi="ar-SA"/>
      </w:rPr>
    </w:lvl>
    <w:lvl w:ilvl="3">
      <w:start w:val="0"/>
      <w:numFmt w:val="bullet"/>
      <w:lvlText w:val="•"/>
      <w:lvlJc w:val="left"/>
      <w:pPr>
        <w:ind w:left="4349" w:hanging="529"/>
      </w:pPr>
      <w:rPr>
        <w:rFonts w:hint="default"/>
        <w:lang w:val="en-US" w:eastAsia="zh-CN" w:bidi="ar-SA"/>
      </w:rPr>
    </w:lvl>
    <w:lvl w:ilvl="4">
      <w:start w:val="0"/>
      <w:numFmt w:val="bullet"/>
      <w:lvlText w:val="•"/>
      <w:lvlJc w:val="left"/>
      <w:pPr>
        <w:ind w:left="4804" w:hanging="529"/>
      </w:pPr>
      <w:rPr>
        <w:rFonts w:hint="default"/>
        <w:lang w:val="en-US" w:eastAsia="zh-CN" w:bidi="ar-SA"/>
      </w:rPr>
    </w:lvl>
    <w:lvl w:ilvl="5">
      <w:start w:val="0"/>
      <w:numFmt w:val="bullet"/>
      <w:lvlText w:val="•"/>
      <w:lvlJc w:val="left"/>
      <w:pPr>
        <w:ind w:left="5259" w:hanging="529"/>
      </w:pPr>
      <w:rPr>
        <w:rFonts w:hint="default"/>
        <w:lang w:val="en-US" w:eastAsia="zh-CN" w:bidi="ar-SA"/>
      </w:rPr>
    </w:lvl>
    <w:lvl w:ilvl="6">
      <w:start w:val="0"/>
      <w:numFmt w:val="bullet"/>
      <w:lvlText w:val="•"/>
      <w:lvlJc w:val="left"/>
      <w:pPr>
        <w:ind w:left="5714" w:hanging="529"/>
      </w:pPr>
      <w:rPr>
        <w:rFonts w:hint="default"/>
        <w:lang w:val="en-US" w:eastAsia="zh-CN" w:bidi="ar-SA"/>
      </w:rPr>
    </w:lvl>
    <w:lvl w:ilvl="7">
      <w:start w:val="0"/>
      <w:numFmt w:val="bullet"/>
      <w:lvlText w:val="•"/>
      <w:lvlJc w:val="left"/>
      <w:pPr>
        <w:ind w:left="6168" w:hanging="529"/>
      </w:pPr>
      <w:rPr>
        <w:rFonts w:hint="default"/>
        <w:lang w:val="en-US" w:eastAsia="zh-CN" w:bidi="ar-SA"/>
      </w:rPr>
    </w:lvl>
    <w:lvl w:ilvl="8">
      <w:start w:val="0"/>
      <w:numFmt w:val="bullet"/>
      <w:lvlText w:val="•"/>
      <w:lvlJc w:val="left"/>
      <w:pPr>
        <w:ind w:left="6623" w:hanging="529"/>
      </w:pPr>
      <w:rPr>
        <w:rFonts w:hint="default"/>
        <w:lang w:val="en-US" w:eastAsia="zh-CN" w:bidi="ar-SA"/>
      </w:rPr>
    </w:lvl>
  </w:abstractNum>
  <w:abstractNum w:abstractNumId="4">
    <w:multiLevelType w:val="hybridMultilevel"/>
    <w:lvl w:ilvl="0">
      <w:start w:val="2"/>
      <w:numFmt w:val="decimal"/>
      <w:lvlText w:val="%1."/>
      <w:lvlJc w:val="left"/>
      <w:pPr>
        <w:ind w:left="464" w:hanging="213"/>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67" w:hanging="213"/>
      </w:pPr>
      <w:rPr>
        <w:rFonts w:hint="default"/>
        <w:lang w:val="en-US" w:eastAsia="zh-CN" w:bidi="ar-SA"/>
      </w:rPr>
    </w:lvl>
    <w:lvl w:ilvl="2">
      <w:start w:val="0"/>
      <w:numFmt w:val="bullet"/>
      <w:lvlText w:val="•"/>
      <w:lvlJc w:val="left"/>
      <w:pPr>
        <w:ind w:left="1874" w:hanging="213"/>
      </w:pPr>
      <w:rPr>
        <w:rFonts w:hint="default"/>
        <w:lang w:val="en-US" w:eastAsia="zh-CN" w:bidi="ar-SA"/>
      </w:rPr>
    </w:lvl>
    <w:lvl w:ilvl="3">
      <w:start w:val="0"/>
      <w:numFmt w:val="bullet"/>
      <w:lvlText w:val="•"/>
      <w:lvlJc w:val="left"/>
      <w:pPr>
        <w:ind w:left="2582" w:hanging="213"/>
      </w:pPr>
      <w:rPr>
        <w:rFonts w:hint="default"/>
        <w:lang w:val="en-US" w:eastAsia="zh-CN" w:bidi="ar-SA"/>
      </w:rPr>
    </w:lvl>
    <w:lvl w:ilvl="4">
      <w:start w:val="0"/>
      <w:numFmt w:val="bullet"/>
      <w:lvlText w:val="•"/>
      <w:lvlJc w:val="left"/>
      <w:pPr>
        <w:ind w:left="3289" w:hanging="213"/>
      </w:pPr>
      <w:rPr>
        <w:rFonts w:hint="default"/>
        <w:lang w:val="en-US" w:eastAsia="zh-CN" w:bidi="ar-SA"/>
      </w:rPr>
    </w:lvl>
    <w:lvl w:ilvl="5">
      <w:start w:val="0"/>
      <w:numFmt w:val="bullet"/>
      <w:lvlText w:val="•"/>
      <w:lvlJc w:val="left"/>
      <w:pPr>
        <w:ind w:left="3996" w:hanging="213"/>
      </w:pPr>
      <w:rPr>
        <w:rFonts w:hint="default"/>
        <w:lang w:val="en-US" w:eastAsia="zh-CN" w:bidi="ar-SA"/>
      </w:rPr>
    </w:lvl>
    <w:lvl w:ilvl="6">
      <w:start w:val="0"/>
      <w:numFmt w:val="bullet"/>
      <w:lvlText w:val="•"/>
      <w:lvlJc w:val="left"/>
      <w:pPr>
        <w:ind w:left="4704" w:hanging="213"/>
      </w:pPr>
      <w:rPr>
        <w:rFonts w:hint="default"/>
        <w:lang w:val="en-US" w:eastAsia="zh-CN" w:bidi="ar-SA"/>
      </w:rPr>
    </w:lvl>
    <w:lvl w:ilvl="7">
      <w:start w:val="0"/>
      <w:numFmt w:val="bullet"/>
      <w:lvlText w:val="•"/>
      <w:lvlJc w:val="left"/>
      <w:pPr>
        <w:ind w:left="5411" w:hanging="213"/>
      </w:pPr>
      <w:rPr>
        <w:rFonts w:hint="default"/>
        <w:lang w:val="en-US" w:eastAsia="zh-CN" w:bidi="ar-SA"/>
      </w:rPr>
    </w:lvl>
    <w:lvl w:ilvl="8">
      <w:start w:val="0"/>
      <w:numFmt w:val="bullet"/>
      <w:lvlText w:val="•"/>
      <w:lvlJc w:val="left"/>
      <w:pPr>
        <w:ind w:left="6118" w:hanging="213"/>
      </w:pPr>
      <w:rPr>
        <w:rFonts w:hint="default"/>
        <w:lang w:val="en-US" w:eastAsia="zh-CN" w:bidi="ar-SA"/>
      </w:rPr>
    </w:lvl>
  </w:abstractNum>
  <w:abstractNum w:abstractNumId="3">
    <w:multiLevelType w:val="hybridMultilevel"/>
    <w:lvl w:ilvl="0">
      <w:start w:val="1"/>
      <w:numFmt w:val="decimal"/>
      <w:lvlText w:val="%1."/>
      <w:lvlJc w:val="left"/>
      <w:pPr>
        <w:ind w:left="252"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87" w:hanging="213"/>
      </w:pPr>
      <w:rPr>
        <w:rFonts w:hint="default"/>
        <w:lang w:val="en-US" w:eastAsia="zh-CN" w:bidi="ar-SA"/>
      </w:rPr>
    </w:lvl>
    <w:lvl w:ilvl="2">
      <w:start w:val="0"/>
      <w:numFmt w:val="bullet"/>
      <w:lvlText w:val="•"/>
      <w:lvlJc w:val="left"/>
      <w:pPr>
        <w:ind w:left="1714" w:hanging="213"/>
      </w:pPr>
      <w:rPr>
        <w:rFonts w:hint="default"/>
        <w:lang w:val="en-US" w:eastAsia="zh-CN" w:bidi="ar-SA"/>
      </w:rPr>
    </w:lvl>
    <w:lvl w:ilvl="3">
      <w:start w:val="0"/>
      <w:numFmt w:val="bullet"/>
      <w:lvlText w:val="•"/>
      <w:lvlJc w:val="left"/>
      <w:pPr>
        <w:ind w:left="2442" w:hanging="213"/>
      </w:pPr>
      <w:rPr>
        <w:rFonts w:hint="default"/>
        <w:lang w:val="en-US" w:eastAsia="zh-CN" w:bidi="ar-SA"/>
      </w:rPr>
    </w:lvl>
    <w:lvl w:ilvl="4">
      <w:start w:val="0"/>
      <w:numFmt w:val="bullet"/>
      <w:lvlText w:val="•"/>
      <w:lvlJc w:val="left"/>
      <w:pPr>
        <w:ind w:left="3169" w:hanging="213"/>
      </w:pPr>
      <w:rPr>
        <w:rFonts w:hint="default"/>
        <w:lang w:val="en-US" w:eastAsia="zh-CN" w:bidi="ar-SA"/>
      </w:rPr>
    </w:lvl>
    <w:lvl w:ilvl="5">
      <w:start w:val="0"/>
      <w:numFmt w:val="bullet"/>
      <w:lvlText w:val="•"/>
      <w:lvlJc w:val="left"/>
      <w:pPr>
        <w:ind w:left="3896" w:hanging="213"/>
      </w:pPr>
      <w:rPr>
        <w:rFonts w:hint="default"/>
        <w:lang w:val="en-US" w:eastAsia="zh-CN" w:bidi="ar-SA"/>
      </w:rPr>
    </w:lvl>
    <w:lvl w:ilvl="6">
      <w:start w:val="0"/>
      <w:numFmt w:val="bullet"/>
      <w:lvlText w:val="•"/>
      <w:lvlJc w:val="left"/>
      <w:pPr>
        <w:ind w:left="4624" w:hanging="213"/>
      </w:pPr>
      <w:rPr>
        <w:rFonts w:hint="default"/>
        <w:lang w:val="en-US" w:eastAsia="zh-CN" w:bidi="ar-SA"/>
      </w:rPr>
    </w:lvl>
    <w:lvl w:ilvl="7">
      <w:start w:val="0"/>
      <w:numFmt w:val="bullet"/>
      <w:lvlText w:val="•"/>
      <w:lvlJc w:val="left"/>
      <w:pPr>
        <w:ind w:left="5351" w:hanging="213"/>
      </w:pPr>
      <w:rPr>
        <w:rFonts w:hint="default"/>
        <w:lang w:val="en-US" w:eastAsia="zh-CN" w:bidi="ar-SA"/>
      </w:rPr>
    </w:lvl>
    <w:lvl w:ilvl="8">
      <w:start w:val="0"/>
      <w:numFmt w:val="bullet"/>
      <w:lvlText w:val="•"/>
      <w:lvlJc w:val="left"/>
      <w:pPr>
        <w:ind w:left="6078" w:hanging="213"/>
      </w:pPr>
      <w:rPr>
        <w:rFonts w:hint="default"/>
        <w:lang w:val="en-US" w:eastAsia="zh-CN" w:bidi="ar-SA"/>
      </w:rPr>
    </w:lvl>
  </w:abstractNum>
  <w:abstractNum w:abstractNumId="2">
    <w:multiLevelType w:val="hybridMultilevel"/>
    <w:lvl w:ilvl="0">
      <w:start w:val="2"/>
      <w:numFmt w:val="decimal"/>
      <w:lvlText w:val="%1"/>
      <w:lvlJc w:val="left"/>
      <w:pPr>
        <w:ind w:left="1344" w:hanging="1136"/>
        <w:jc w:val="left"/>
      </w:pPr>
      <w:rPr>
        <w:rFonts w:hint="default"/>
        <w:lang w:val="en-US" w:eastAsia="zh-CN" w:bidi="ar-SA"/>
      </w:rPr>
    </w:lvl>
    <w:lvl w:ilvl="1">
      <w:start w:val="1"/>
      <w:numFmt w:val="decimal"/>
      <w:lvlText w:val="%1.%2"/>
      <w:lvlJc w:val="left"/>
      <w:pPr>
        <w:ind w:left="1344" w:hanging="113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09" w:hanging="1136"/>
      </w:pPr>
      <w:rPr>
        <w:rFonts w:hint="default"/>
        <w:lang w:val="en-US" w:eastAsia="zh-CN" w:bidi="ar-SA"/>
      </w:rPr>
    </w:lvl>
    <w:lvl w:ilvl="3">
      <w:start w:val="0"/>
      <w:numFmt w:val="bullet"/>
      <w:lvlText w:val="•"/>
      <w:lvlJc w:val="left"/>
      <w:pPr>
        <w:ind w:left="3993" w:hanging="1136"/>
      </w:pPr>
      <w:rPr>
        <w:rFonts w:hint="default"/>
        <w:lang w:val="en-US" w:eastAsia="zh-CN" w:bidi="ar-SA"/>
      </w:rPr>
    </w:lvl>
    <w:lvl w:ilvl="4">
      <w:start w:val="0"/>
      <w:numFmt w:val="bullet"/>
      <w:lvlText w:val="•"/>
      <w:lvlJc w:val="left"/>
      <w:pPr>
        <w:ind w:left="4878" w:hanging="1136"/>
      </w:pPr>
      <w:rPr>
        <w:rFonts w:hint="default"/>
        <w:lang w:val="en-US" w:eastAsia="zh-CN" w:bidi="ar-SA"/>
      </w:rPr>
    </w:lvl>
    <w:lvl w:ilvl="5">
      <w:start w:val="0"/>
      <w:numFmt w:val="bullet"/>
      <w:lvlText w:val="•"/>
      <w:lvlJc w:val="left"/>
      <w:pPr>
        <w:ind w:left="5762" w:hanging="1136"/>
      </w:pPr>
      <w:rPr>
        <w:rFonts w:hint="default"/>
        <w:lang w:val="en-US" w:eastAsia="zh-CN" w:bidi="ar-SA"/>
      </w:rPr>
    </w:lvl>
    <w:lvl w:ilvl="6">
      <w:start w:val="0"/>
      <w:numFmt w:val="bullet"/>
      <w:lvlText w:val="•"/>
      <w:lvlJc w:val="left"/>
      <w:pPr>
        <w:ind w:left="6647" w:hanging="1136"/>
      </w:pPr>
      <w:rPr>
        <w:rFonts w:hint="default"/>
        <w:lang w:val="en-US" w:eastAsia="zh-CN" w:bidi="ar-SA"/>
      </w:rPr>
    </w:lvl>
    <w:lvl w:ilvl="7">
      <w:start w:val="0"/>
      <w:numFmt w:val="bullet"/>
      <w:lvlText w:val="•"/>
      <w:lvlJc w:val="left"/>
      <w:pPr>
        <w:ind w:left="7531" w:hanging="1136"/>
      </w:pPr>
      <w:rPr>
        <w:rFonts w:hint="default"/>
        <w:lang w:val="en-US" w:eastAsia="zh-CN" w:bidi="ar-SA"/>
      </w:rPr>
    </w:lvl>
    <w:lvl w:ilvl="8">
      <w:start w:val="0"/>
      <w:numFmt w:val="bullet"/>
      <w:lvlText w:val="•"/>
      <w:lvlJc w:val="left"/>
      <w:pPr>
        <w:ind w:left="8416" w:hanging="1136"/>
      </w:pPr>
      <w:rPr>
        <w:rFonts w:hint="default"/>
        <w:lang w:val="en-US" w:eastAsia="zh-CN" w:bidi="ar-SA"/>
      </w:rPr>
    </w:lvl>
  </w:abstractNum>
  <w:abstractNum w:abstractNumId="1">
    <w:multiLevelType w:val="hybridMultilevel"/>
    <w:lvl w:ilvl="0">
      <w:start w:val="1"/>
      <w:numFmt w:val="decimal"/>
      <w:lvlText w:val="%1"/>
      <w:lvlJc w:val="left"/>
      <w:pPr>
        <w:ind w:left="2904" w:hanging="1136"/>
        <w:jc w:val="left"/>
      </w:pPr>
      <w:rPr>
        <w:rFonts w:hint="default"/>
        <w:lang w:val="en-US" w:eastAsia="zh-CN" w:bidi="ar-SA"/>
      </w:rPr>
    </w:lvl>
    <w:lvl w:ilvl="1">
      <w:start w:val="1"/>
      <w:numFmt w:val="decimal"/>
      <w:lvlText w:val="%1.%2"/>
      <w:lvlJc w:val="left"/>
      <w:pPr>
        <w:ind w:left="2904" w:hanging="1136"/>
        <w:jc w:val="left"/>
      </w:pPr>
      <w:rPr>
        <w:rFonts w:hint="default" w:ascii="宋体" w:hAnsi="宋体" w:eastAsia="宋体" w:cs="宋体"/>
        <w:b/>
        <w:bCs/>
        <w:i w:val="0"/>
        <w:iCs w:val="0"/>
        <w:w w:val="99"/>
        <w:position w:val="-1"/>
        <w:sz w:val="21"/>
        <w:szCs w:val="21"/>
        <w:lang w:val="en-US" w:eastAsia="zh-CN" w:bidi="ar-SA"/>
      </w:rPr>
    </w:lvl>
    <w:lvl w:ilvl="2">
      <w:start w:val="0"/>
      <w:numFmt w:val="bullet"/>
      <w:lvlText w:val="•"/>
      <w:lvlJc w:val="left"/>
      <w:pPr>
        <w:ind w:left="4357" w:hanging="1136"/>
      </w:pPr>
      <w:rPr>
        <w:rFonts w:hint="default"/>
        <w:lang w:val="en-US" w:eastAsia="zh-CN" w:bidi="ar-SA"/>
      </w:rPr>
    </w:lvl>
    <w:lvl w:ilvl="3">
      <w:start w:val="0"/>
      <w:numFmt w:val="bullet"/>
      <w:lvlText w:val="•"/>
      <w:lvlJc w:val="left"/>
      <w:pPr>
        <w:ind w:left="5085" w:hanging="1136"/>
      </w:pPr>
      <w:rPr>
        <w:rFonts w:hint="default"/>
        <w:lang w:val="en-US" w:eastAsia="zh-CN" w:bidi="ar-SA"/>
      </w:rPr>
    </w:lvl>
    <w:lvl w:ilvl="4">
      <w:start w:val="0"/>
      <w:numFmt w:val="bullet"/>
      <w:lvlText w:val="•"/>
      <w:lvlJc w:val="left"/>
      <w:pPr>
        <w:ind w:left="5814" w:hanging="1136"/>
      </w:pPr>
      <w:rPr>
        <w:rFonts w:hint="default"/>
        <w:lang w:val="en-US" w:eastAsia="zh-CN" w:bidi="ar-SA"/>
      </w:rPr>
    </w:lvl>
    <w:lvl w:ilvl="5">
      <w:start w:val="0"/>
      <w:numFmt w:val="bullet"/>
      <w:lvlText w:val="•"/>
      <w:lvlJc w:val="left"/>
      <w:pPr>
        <w:ind w:left="6542" w:hanging="1136"/>
      </w:pPr>
      <w:rPr>
        <w:rFonts w:hint="default"/>
        <w:lang w:val="en-US" w:eastAsia="zh-CN" w:bidi="ar-SA"/>
      </w:rPr>
    </w:lvl>
    <w:lvl w:ilvl="6">
      <w:start w:val="0"/>
      <w:numFmt w:val="bullet"/>
      <w:lvlText w:val="•"/>
      <w:lvlJc w:val="left"/>
      <w:pPr>
        <w:ind w:left="7271" w:hanging="1136"/>
      </w:pPr>
      <w:rPr>
        <w:rFonts w:hint="default"/>
        <w:lang w:val="en-US" w:eastAsia="zh-CN" w:bidi="ar-SA"/>
      </w:rPr>
    </w:lvl>
    <w:lvl w:ilvl="7">
      <w:start w:val="0"/>
      <w:numFmt w:val="bullet"/>
      <w:lvlText w:val="•"/>
      <w:lvlJc w:val="left"/>
      <w:pPr>
        <w:ind w:left="7999" w:hanging="1136"/>
      </w:pPr>
      <w:rPr>
        <w:rFonts w:hint="default"/>
        <w:lang w:val="en-US" w:eastAsia="zh-CN" w:bidi="ar-SA"/>
      </w:rPr>
    </w:lvl>
    <w:lvl w:ilvl="8">
      <w:start w:val="0"/>
      <w:numFmt w:val="bullet"/>
      <w:lvlText w:val="•"/>
      <w:lvlJc w:val="left"/>
      <w:pPr>
        <w:ind w:left="8728" w:hanging="1136"/>
      </w:pPr>
      <w:rPr>
        <w:rFonts w:hint="default"/>
        <w:lang w:val="en-US" w:eastAsia="zh-CN" w:bidi="ar-SA"/>
      </w:rPr>
    </w:lvl>
  </w:abstractNum>
  <w:abstractNum w:abstractNumId="0">
    <w:multiLevelType w:val="hybridMultilevel"/>
    <w:lvl w:ilvl="0">
      <w:start w:val="0"/>
      <w:numFmt w:val="bullet"/>
      <w:lvlText w:val=""/>
      <w:lvlJc w:val="left"/>
      <w:pPr>
        <w:ind w:left="545" w:hanging="303"/>
      </w:pPr>
      <w:rPr>
        <w:rFonts w:hint="default" w:ascii="Wingdings" w:hAnsi="Wingdings" w:eastAsia="Wingdings" w:cs="Wingdings"/>
        <w:b/>
        <w:bCs/>
        <w:i w:val="0"/>
        <w:iCs w:val="0"/>
        <w:spacing w:val="1"/>
        <w:w w:val="99"/>
        <w:sz w:val="30"/>
        <w:szCs w:val="30"/>
        <w:lang w:val="en-US" w:eastAsia="zh-CN" w:bidi="ar-SA"/>
      </w:rPr>
    </w:lvl>
    <w:lvl w:ilvl="1">
      <w:start w:val="0"/>
      <w:numFmt w:val="bullet"/>
      <w:lvlText w:val=""/>
      <w:lvlJc w:val="left"/>
      <w:pPr>
        <w:ind w:left="1085" w:hanging="420"/>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2091" w:hanging="420"/>
      </w:pPr>
      <w:rPr>
        <w:rFonts w:hint="default"/>
        <w:lang w:val="en-US" w:eastAsia="zh-CN" w:bidi="ar-SA"/>
      </w:rPr>
    </w:lvl>
    <w:lvl w:ilvl="3">
      <w:start w:val="0"/>
      <w:numFmt w:val="bullet"/>
      <w:lvlText w:val="•"/>
      <w:lvlJc w:val="left"/>
      <w:pPr>
        <w:ind w:left="3103" w:hanging="420"/>
      </w:pPr>
      <w:rPr>
        <w:rFonts w:hint="default"/>
        <w:lang w:val="en-US" w:eastAsia="zh-CN" w:bidi="ar-SA"/>
      </w:rPr>
    </w:lvl>
    <w:lvl w:ilvl="4">
      <w:start w:val="0"/>
      <w:numFmt w:val="bullet"/>
      <w:lvlText w:val="•"/>
      <w:lvlJc w:val="left"/>
      <w:pPr>
        <w:ind w:left="4115" w:hanging="420"/>
      </w:pPr>
      <w:rPr>
        <w:rFonts w:hint="default"/>
        <w:lang w:val="en-US" w:eastAsia="zh-CN" w:bidi="ar-SA"/>
      </w:rPr>
    </w:lvl>
    <w:lvl w:ilvl="5">
      <w:start w:val="0"/>
      <w:numFmt w:val="bullet"/>
      <w:lvlText w:val="•"/>
      <w:lvlJc w:val="left"/>
      <w:pPr>
        <w:ind w:left="5126" w:hanging="420"/>
      </w:pPr>
      <w:rPr>
        <w:rFonts w:hint="default"/>
        <w:lang w:val="en-US" w:eastAsia="zh-CN" w:bidi="ar-SA"/>
      </w:rPr>
    </w:lvl>
    <w:lvl w:ilvl="6">
      <w:start w:val="0"/>
      <w:numFmt w:val="bullet"/>
      <w:lvlText w:val="•"/>
      <w:lvlJc w:val="left"/>
      <w:pPr>
        <w:ind w:left="6138" w:hanging="420"/>
      </w:pPr>
      <w:rPr>
        <w:rFonts w:hint="default"/>
        <w:lang w:val="en-US" w:eastAsia="zh-CN" w:bidi="ar-SA"/>
      </w:rPr>
    </w:lvl>
    <w:lvl w:ilvl="7">
      <w:start w:val="0"/>
      <w:numFmt w:val="bullet"/>
      <w:lvlText w:val="•"/>
      <w:lvlJc w:val="left"/>
      <w:pPr>
        <w:ind w:left="7150" w:hanging="420"/>
      </w:pPr>
      <w:rPr>
        <w:rFonts w:hint="default"/>
        <w:lang w:val="en-US" w:eastAsia="zh-CN" w:bidi="ar-SA"/>
      </w:rPr>
    </w:lvl>
    <w:lvl w:ilvl="8">
      <w:start w:val="0"/>
      <w:numFmt w:val="bullet"/>
      <w:lvlText w:val="•"/>
      <w:lvlJc w:val="left"/>
      <w:pPr>
        <w:ind w:left="8162" w:hanging="420"/>
      </w:pPr>
      <w:rPr>
        <w:rFonts w:hint="default"/>
        <w:lang w:val="en-US" w:eastAsia="zh-CN" w:bidi="ar-SA"/>
      </w:rPr>
    </w:lvl>
  </w:abstract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09"/>
      <w:outlineLvl w:val="1"/>
    </w:pPr>
    <w:rPr>
      <w:rFonts w:ascii="宋体" w:hAnsi="宋体" w:eastAsia="宋体" w:cs="宋体"/>
      <w:b/>
      <w:bCs/>
      <w:sz w:val="28"/>
      <w:szCs w:val="28"/>
      <w:lang w:val="en-US" w:eastAsia="zh-CN" w:bidi="ar-SA"/>
    </w:rPr>
  </w:style>
  <w:style w:styleId="ListParagraph" w:type="paragraph">
    <w:name w:val="List Paragraph"/>
    <w:basedOn w:val="Normal"/>
    <w:uiPriority w:val="1"/>
    <w:qFormat/>
    <w:pPr>
      <w:ind w:left="1344" w:hanging="1136"/>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2023-06-05T06:38:33Z</dcterms:created>
  <dcterms:modified xsi:type="dcterms:W3CDTF">2023-06-05T06:38:33Z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