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before="47"/>
        <w:ind w:left="5627" w:right="0" w:firstLine="0"/>
        <w:jc w:val="left"/>
        <w:rPr>
          <w:sz w:val="20"/>
        </w:rPr>
      </w:pPr>
      <w:r>
        <w:rPr>
          <w:w w:val="95"/>
          <w:sz w:val="20"/>
        </w:rPr>
        <w:t>长</w:t>
      </w:r>
      <w:r>
        <w:rPr>
          <w:w w:val="95"/>
          <w:sz w:val="20"/>
        </w:rPr>
        <w:t>生</w:t>
      </w:r>
      <w:r>
        <w:rPr>
          <w:w w:val="95"/>
          <w:sz w:val="20"/>
        </w:rPr>
        <w:t>人</w:t>
      </w:r>
      <w:r>
        <w:rPr>
          <w:w w:val="95"/>
          <w:sz w:val="20"/>
        </w:rPr>
        <w:t>寿</w:t>
      </w:r>
      <w:r>
        <w:rPr>
          <w:w w:val="95"/>
          <w:sz w:val="20"/>
        </w:rPr>
        <w:t>[2017]</w:t>
      </w:r>
      <w:r>
        <w:rPr>
          <w:w w:val="95"/>
          <w:sz w:val="20"/>
        </w:rPr>
        <w:t>两</w:t>
      </w:r>
      <w:r>
        <w:rPr>
          <w:w w:val="95"/>
          <w:sz w:val="20"/>
        </w:rPr>
        <w:t>全</w:t>
      </w:r>
      <w:r>
        <w:rPr>
          <w:w w:val="95"/>
          <w:sz w:val="20"/>
        </w:rPr>
        <w:t>保</w:t>
      </w:r>
      <w:r>
        <w:rPr>
          <w:w w:val="95"/>
          <w:sz w:val="20"/>
        </w:rPr>
        <w:t>险</w:t>
      </w:r>
      <w:r>
        <w:rPr>
          <w:spacing w:val="5"/>
          <w:sz w:val="20"/>
        </w:rPr>
        <w:t> </w:t>
      </w:r>
      <w:r>
        <w:rPr>
          <w:w w:val="95"/>
          <w:sz w:val="20"/>
        </w:rPr>
        <w:t>009</w:t>
      </w:r>
      <w:r>
        <w:rPr>
          <w:spacing w:val="5"/>
          <w:sz w:val="20"/>
        </w:rPr>
        <w:t> </w:t>
      </w:r>
      <w:r>
        <w:rPr>
          <w:spacing w:val="-10"/>
          <w:w w:val="95"/>
          <w:sz w:val="20"/>
        </w:rPr>
        <w:t>号</w:t>
      </w:r>
    </w:p>
    <w:p>
      <w:pPr>
        <w:pStyle w:val="BodyText"/>
        <w:spacing w:before="8"/>
        <w:ind w:left="0"/>
        <w:rPr>
          <w:sz w:val="4"/>
        </w:rPr>
      </w:pPr>
      <w:r>
        <w:rPr/>
        <w:drawing>
          <wp:anchor distT="0" distB="0" distL="0" distR="0" allowOverlap="1" layoutInCell="1" locked="0" behindDoc="0" simplePos="0" relativeHeight="0">
            <wp:simplePos x="0" y="0"/>
            <wp:positionH relativeFrom="page">
              <wp:posOffset>5693409</wp:posOffset>
            </wp:positionH>
            <wp:positionV relativeFrom="paragraph">
              <wp:posOffset>52927</wp:posOffset>
            </wp:positionV>
            <wp:extent cx="723900" cy="723900"/>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6" cstate="print"/>
                    <a:stretch>
                      <a:fillRect/>
                    </a:stretch>
                  </pic:blipFill>
                  <pic:spPr>
                    <a:xfrm>
                      <a:off x="0" y="0"/>
                      <a:ext cx="723900" cy="723900"/>
                    </a:xfrm>
                    <a:prstGeom prst="rect">
                      <a:avLst/>
                    </a:prstGeom>
                  </pic:spPr>
                </pic:pic>
              </a:graphicData>
            </a:graphic>
          </wp:anchor>
        </w:drawing>
      </w:r>
    </w:p>
    <w:p>
      <w:pPr>
        <w:spacing w:before="81"/>
        <w:ind w:left="0" w:right="219" w:firstLine="0"/>
        <w:jc w:val="right"/>
        <w:rPr>
          <w:sz w:val="20"/>
        </w:rPr>
      </w:pPr>
      <w:r>
        <w:rPr>
          <w:w w:val="95"/>
          <w:sz w:val="20"/>
        </w:rPr>
        <w:t>请</w:t>
      </w:r>
      <w:r>
        <w:rPr>
          <w:w w:val="95"/>
          <w:sz w:val="20"/>
        </w:rPr>
        <w:t>扫</w:t>
      </w:r>
      <w:r>
        <w:rPr>
          <w:w w:val="95"/>
          <w:sz w:val="20"/>
        </w:rPr>
        <w:t>描</w:t>
      </w:r>
      <w:r>
        <w:rPr>
          <w:w w:val="95"/>
          <w:sz w:val="20"/>
        </w:rPr>
        <w:t>以</w:t>
      </w:r>
      <w:r>
        <w:rPr>
          <w:w w:val="95"/>
          <w:sz w:val="20"/>
        </w:rPr>
        <w:t>查</w:t>
      </w:r>
      <w:r>
        <w:rPr>
          <w:w w:val="95"/>
          <w:sz w:val="20"/>
        </w:rPr>
        <w:t>询</w:t>
      </w:r>
      <w:r>
        <w:rPr>
          <w:w w:val="95"/>
          <w:sz w:val="20"/>
        </w:rPr>
        <w:t>验</w:t>
      </w:r>
      <w:r>
        <w:rPr>
          <w:w w:val="95"/>
          <w:sz w:val="20"/>
        </w:rPr>
        <w:t>证</w:t>
      </w:r>
      <w:r>
        <w:rPr>
          <w:w w:val="95"/>
          <w:sz w:val="20"/>
        </w:rPr>
        <w:t>条</w:t>
      </w:r>
      <w:r>
        <w:rPr>
          <w:spacing w:val="-10"/>
          <w:w w:val="95"/>
          <w:sz w:val="20"/>
        </w:rPr>
        <w:t>款</w:t>
      </w:r>
    </w:p>
    <w:p>
      <w:pPr>
        <w:pStyle w:val="Title"/>
      </w:pPr>
      <w:r>
        <w:rPr>
          <w:w w:val="95"/>
        </w:rPr>
        <w:t>长</w:t>
      </w:r>
      <w:r>
        <w:rPr>
          <w:w w:val="95"/>
        </w:rPr>
        <w:t>生</w:t>
      </w:r>
      <w:r>
        <w:rPr>
          <w:w w:val="95"/>
        </w:rPr>
        <w:t>人</w:t>
      </w:r>
      <w:r>
        <w:rPr>
          <w:w w:val="95"/>
        </w:rPr>
        <w:t>寿</w:t>
      </w:r>
      <w:r>
        <w:rPr>
          <w:w w:val="95"/>
        </w:rPr>
        <w:t>保</w:t>
      </w:r>
      <w:r>
        <w:rPr>
          <w:w w:val="95"/>
        </w:rPr>
        <w:t>险</w:t>
      </w:r>
      <w:r>
        <w:rPr>
          <w:w w:val="95"/>
        </w:rPr>
        <w:t>有</w:t>
      </w:r>
      <w:r>
        <w:rPr>
          <w:w w:val="95"/>
        </w:rPr>
        <w:t>限</w:t>
      </w:r>
      <w:r>
        <w:rPr>
          <w:w w:val="95"/>
        </w:rPr>
        <w:t>公</w:t>
      </w:r>
      <w:r>
        <w:rPr>
          <w:spacing w:val="-10"/>
          <w:w w:val="95"/>
        </w:rPr>
        <w:t>司</w:t>
      </w:r>
    </w:p>
    <w:p>
      <w:pPr>
        <w:spacing w:line="487" w:lineRule="auto" w:before="109"/>
        <w:ind w:left="2585" w:right="2683" w:firstLine="0"/>
        <w:jc w:val="center"/>
        <w:rPr>
          <w:b/>
          <w:sz w:val="24"/>
        </w:rPr>
      </w:pPr>
      <w:r>
        <w:rPr>
          <w:b/>
          <w:spacing w:val="-2"/>
          <w:sz w:val="24"/>
        </w:rPr>
        <w:t>长生吉</w:t>
      </w:r>
      <w:r>
        <w:rPr>
          <w:b/>
          <w:spacing w:val="-2"/>
          <w:sz w:val="24"/>
        </w:rPr>
        <w:t>星</w:t>
      </w:r>
      <w:r>
        <w:rPr>
          <w:b/>
          <w:spacing w:val="-2"/>
          <w:sz w:val="24"/>
        </w:rPr>
        <w:t>普</w:t>
      </w:r>
      <w:r>
        <w:rPr>
          <w:b/>
          <w:spacing w:val="-2"/>
          <w:sz w:val="24"/>
        </w:rPr>
        <w:t>照两全</w:t>
      </w:r>
      <w:r>
        <w:rPr>
          <w:b/>
          <w:spacing w:val="-2"/>
          <w:sz w:val="24"/>
        </w:rPr>
        <w:t>保</w:t>
      </w:r>
      <w:r>
        <w:rPr>
          <w:b/>
          <w:spacing w:val="-2"/>
          <w:sz w:val="24"/>
        </w:rPr>
        <w:t>险</w:t>
      </w:r>
      <w:r>
        <w:rPr>
          <w:b/>
          <w:spacing w:val="-58"/>
          <w:sz w:val="24"/>
        </w:rPr>
        <w:t> </w:t>
      </w:r>
      <w:r>
        <w:rPr>
          <w:b/>
          <w:spacing w:val="-2"/>
          <w:sz w:val="24"/>
        </w:rPr>
        <w:t>B</w:t>
      </w:r>
      <w:r>
        <w:rPr>
          <w:b/>
          <w:spacing w:val="-17"/>
          <w:sz w:val="24"/>
        </w:rPr>
        <w:t> 款条款</w:t>
      </w:r>
      <w:r>
        <w:rPr>
          <w:b/>
          <w:spacing w:val="13"/>
          <w:sz w:val="24"/>
        </w:rPr>
        <w:t>目 录</w:t>
      </w:r>
    </w:p>
    <w:sdt>
      <w:sdtPr>
        <w:docPartObj>
          <w:docPartGallery w:val="Table of Contents"/>
          <w:docPartUnique/>
        </w:docPartObj>
      </w:sdtPr>
      <w:sdtEndPr/>
      <w:sdtContent>
        <w:p>
          <w:pPr>
            <w:pStyle w:val="TOC1"/>
            <w:tabs>
              <w:tab w:pos="1171" w:val="left" w:leader="none"/>
              <w:tab w:pos="8418" w:val="right" w:leader="dot"/>
            </w:tabs>
            <w:spacing w:before="22"/>
            <w:rPr>
              <w:rFonts w:ascii="Times New Roman" w:eastAsia="Times New Roman"/>
            </w:rPr>
          </w:pPr>
          <w:hyperlink w:history="true" w:anchor="_bookmark0">
            <w:r>
              <w:rPr/>
              <w:t>第一</w:t>
            </w:r>
            <w:r>
              <w:rPr>
                <w:spacing w:val="-10"/>
              </w:rPr>
              <w:t>章</w:t>
            </w:r>
            <w:r>
              <w:rPr/>
              <w:tab/>
            </w:r>
            <w:r>
              <w:rPr>
                <w:spacing w:val="-2"/>
              </w:rPr>
              <w:t>保</w:t>
            </w:r>
            <w:r>
              <w:rPr>
                <w:spacing w:val="-2"/>
              </w:rPr>
              <w:t>险</w:t>
            </w:r>
            <w:r>
              <w:rPr>
                <w:spacing w:val="-2"/>
              </w:rPr>
              <w:t>合</w:t>
            </w:r>
            <w:r>
              <w:rPr>
                <w:spacing w:val="-2"/>
              </w:rPr>
              <w:t>同</w:t>
            </w:r>
            <w:r>
              <w:rPr>
                <w:spacing w:val="-2"/>
              </w:rPr>
              <w:t>构</w:t>
            </w:r>
            <w:r>
              <w:rPr>
                <w:spacing w:val="-2"/>
              </w:rPr>
              <w:t>成</w:t>
            </w:r>
            <w:r>
              <w:rPr>
                <w:spacing w:val="-2"/>
              </w:rPr>
              <w:t>及</w:t>
            </w:r>
            <w:r>
              <w:rPr>
                <w:spacing w:val="-2"/>
              </w:rPr>
              <w:t>投</w:t>
            </w:r>
            <w:r>
              <w:rPr>
                <w:spacing w:val="-2"/>
              </w:rPr>
              <w:t>保</w:t>
            </w:r>
            <w:r>
              <w:rPr>
                <w:spacing w:val="-2"/>
              </w:rPr>
              <w:t>范</w:t>
            </w:r>
            <w:r>
              <w:rPr>
                <w:spacing w:val="-10"/>
              </w:rPr>
              <w:t>围</w:t>
            </w:r>
            <w:r>
              <w:rPr>
                <w:rFonts w:ascii="Times New Roman" w:eastAsia="Times New Roman"/>
                <w:b w:val="0"/>
              </w:rPr>
              <w:tab/>
            </w:r>
            <w:r>
              <w:rPr>
                <w:rFonts w:ascii="Times New Roman" w:eastAsia="Times New Roman"/>
                <w:spacing w:val="-10"/>
              </w:rPr>
              <w:t>2</w:t>
            </w:r>
          </w:hyperlink>
        </w:p>
        <w:p>
          <w:pPr>
            <w:pStyle w:val="TOC2"/>
            <w:tabs>
              <w:tab w:pos="1740" w:val="left" w:leader="none"/>
              <w:tab w:pos="8418" w:val="right" w:leader="dot"/>
            </w:tabs>
            <w:spacing w:before="44"/>
            <w:rPr>
              <w:rFonts w:ascii="Times New Roman" w:eastAsia="Times New Roman"/>
            </w:rPr>
          </w:pPr>
          <w:hyperlink w:history="true" w:anchor="_bookmark1">
            <w:r>
              <w:rPr/>
              <w:t>第一</w:t>
            </w:r>
            <w:r>
              <w:rPr>
                <w:spacing w:val="-10"/>
              </w:rPr>
              <w:t>条</w:t>
            </w:r>
            <w:r>
              <w:rPr/>
              <w:tab/>
            </w:r>
            <w:r>
              <w:rPr>
                <w:spacing w:val="-2"/>
              </w:rPr>
              <w:t>保</w:t>
            </w:r>
            <w:r>
              <w:rPr>
                <w:spacing w:val="-2"/>
              </w:rPr>
              <w:t>险</w:t>
            </w:r>
            <w:r>
              <w:rPr>
                <w:spacing w:val="-2"/>
              </w:rPr>
              <w:t>合同构</w:t>
            </w:r>
            <w:r>
              <w:rPr>
                <w:spacing w:val="-10"/>
              </w:rPr>
              <w:t>成</w:t>
            </w:r>
            <w:r>
              <w:rPr>
                <w:rFonts w:ascii="Times New Roman" w:eastAsia="Times New Roman"/>
              </w:rPr>
              <w:tab/>
            </w:r>
            <w:r>
              <w:rPr>
                <w:rFonts w:ascii="Times New Roman" w:eastAsia="Times New Roman"/>
                <w:spacing w:val="-10"/>
              </w:rPr>
              <w:t>2</w:t>
            </w:r>
          </w:hyperlink>
        </w:p>
        <w:p>
          <w:pPr>
            <w:pStyle w:val="TOC2"/>
            <w:tabs>
              <w:tab w:pos="1740" w:val="left" w:leader="none"/>
              <w:tab w:pos="8418" w:val="right" w:leader="dot"/>
            </w:tabs>
            <w:rPr>
              <w:rFonts w:ascii="Times New Roman" w:eastAsia="Times New Roman"/>
            </w:rPr>
          </w:pPr>
          <w:hyperlink w:history="true" w:anchor="_bookmark2">
            <w:r>
              <w:rPr/>
              <w:t>第二</w:t>
            </w:r>
            <w:r>
              <w:rPr>
                <w:spacing w:val="-10"/>
              </w:rPr>
              <w:t>条</w:t>
            </w:r>
            <w:r>
              <w:rPr/>
              <w:tab/>
            </w:r>
            <w:r>
              <w:rPr>
                <w:spacing w:val="-2"/>
              </w:rPr>
              <w:t>投</w:t>
            </w:r>
            <w:r>
              <w:rPr>
                <w:spacing w:val="-2"/>
              </w:rPr>
              <w:t>保</w:t>
            </w:r>
            <w:r>
              <w:rPr>
                <w:spacing w:val="-2"/>
              </w:rPr>
              <w:t>范</w:t>
            </w:r>
            <w:r>
              <w:rPr>
                <w:spacing w:val="-10"/>
              </w:rPr>
              <w:t>围</w:t>
            </w:r>
            <w:r>
              <w:rPr>
                <w:rFonts w:ascii="Times New Roman" w:eastAsia="Times New Roman"/>
              </w:rPr>
              <w:tab/>
            </w:r>
            <w:r>
              <w:rPr>
                <w:rFonts w:ascii="Times New Roman" w:eastAsia="Times New Roman"/>
                <w:spacing w:val="-10"/>
              </w:rPr>
              <w:t>2</w:t>
            </w:r>
          </w:hyperlink>
        </w:p>
        <w:p>
          <w:pPr>
            <w:pStyle w:val="TOC1"/>
            <w:tabs>
              <w:tab w:pos="1171" w:val="left" w:leader="none"/>
              <w:tab w:pos="8418" w:val="right" w:leader="dot"/>
            </w:tabs>
            <w:rPr>
              <w:rFonts w:ascii="Times New Roman" w:eastAsia="Times New Roman"/>
            </w:rPr>
          </w:pPr>
          <w:hyperlink w:history="true" w:anchor="_bookmark3">
            <w:r>
              <w:rPr/>
              <w:t>第二</w:t>
            </w:r>
            <w:r>
              <w:rPr>
                <w:spacing w:val="-10"/>
              </w:rPr>
              <w:t>章</w:t>
            </w:r>
            <w:r>
              <w:rPr/>
              <w:tab/>
              <w:t>保险责任及责任免</w:t>
            </w:r>
            <w:r>
              <w:rPr>
                <w:spacing w:val="-10"/>
              </w:rPr>
              <w:t>除</w:t>
            </w:r>
            <w:r>
              <w:rPr>
                <w:rFonts w:ascii="Times New Roman" w:eastAsia="Times New Roman"/>
                <w:b w:val="0"/>
              </w:rPr>
              <w:tab/>
            </w:r>
            <w:r>
              <w:rPr>
                <w:rFonts w:ascii="Times New Roman" w:eastAsia="Times New Roman"/>
                <w:spacing w:val="-10"/>
              </w:rPr>
              <w:t>2</w:t>
            </w:r>
          </w:hyperlink>
        </w:p>
        <w:p>
          <w:pPr>
            <w:pStyle w:val="TOC2"/>
            <w:tabs>
              <w:tab w:pos="1740" w:val="left" w:leader="none"/>
              <w:tab w:pos="8418" w:val="right" w:leader="dot"/>
            </w:tabs>
            <w:rPr>
              <w:rFonts w:ascii="Times New Roman" w:eastAsia="Times New Roman"/>
            </w:rPr>
          </w:pPr>
          <w:hyperlink w:history="true" w:anchor="_bookmark4">
            <w:r>
              <w:rPr/>
              <w:t>第三</w:t>
            </w:r>
            <w:r>
              <w:rPr>
                <w:spacing w:val="-10"/>
              </w:rPr>
              <w:t>条</w:t>
            </w:r>
            <w:r>
              <w:rPr/>
              <w:tab/>
            </w:r>
            <w:r>
              <w:rPr>
                <w:spacing w:val="-2"/>
              </w:rPr>
              <w:t>保</w:t>
            </w:r>
            <w:r>
              <w:rPr>
                <w:spacing w:val="-2"/>
              </w:rPr>
              <w:t>险</w:t>
            </w:r>
            <w:r>
              <w:rPr>
                <w:spacing w:val="-2"/>
              </w:rPr>
              <w:t>责</w:t>
            </w:r>
            <w:r>
              <w:rPr>
                <w:spacing w:val="-10"/>
              </w:rPr>
              <w:t>任</w:t>
            </w:r>
            <w:r>
              <w:rPr>
                <w:rFonts w:ascii="Times New Roman" w:eastAsia="Times New Roman"/>
              </w:rPr>
              <w:tab/>
            </w:r>
            <w:r>
              <w:rPr>
                <w:rFonts w:ascii="Times New Roman" w:eastAsia="Times New Roman"/>
                <w:spacing w:val="-10"/>
              </w:rPr>
              <w:t>2</w:t>
            </w:r>
          </w:hyperlink>
        </w:p>
        <w:p>
          <w:pPr>
            <w:pStyle w:val="TOC2"/>
            <w:tabs>
              <w:tab w:pos="1740" w:val="left" w:leader="none"/>
              <w:tab w:pos="8418" w:val="right" w:leader="dot"/>
            </w:tabs>
            <w:spacing w:before="42"/>
            <w:rPr>
              <w:rFonts w:ascii="Times New Roman" w:eastAsia="Times New Roman"/>
            </w:rPr>
          </w:pPr>
          <w:hyperlink w:history="true" w:anchor="_bookmark5">
            <w:r>
              <w:rPr/>
              <w:t>第四</w:t>
            </w:r>
            <w:r>
              <w:rPr>
                <w:spacing w:val="-10"/>
              </w:rPr>
              <w:t>条</w:t>
            </w:r>
            <w:r>
              <w:rPr/>
              <w:tab/>
            </w:r>
            <w:r>
              <w:rPr>
                <w:spacing w:val="-2"/>
              </w:rPr>
              <w:t>责</w:t>
            </w:r>
            <w:r>
              <w:rPr>
                <w:spacing w:val="-2"/>
              </w:rPr>
              <w:t>任</w:t>
            </w:r>
            <w:r>
              <w:rPr>
                <w:spacing w:val="-2"/>
              </w:rPr>
              <w:t>免</w:t>
            </w:r>
            <w:r>
              <w:rPr>
                <w:spacing w:val="-10"/>
              </w:rPr>
              <w:t>除</w:t>
            </w:r>
            <w:r>
              <w:rPr>
                <w:rFonts w:ascii="Times New Roman" w:eastAsia="Times New Roman"/>
              </w:rPr>
              <w:tab/>
            </w:r>
            <w:r>
              <w:rPr>
                <w:rFonts w:ascii="Times New Roman" w:eastAsia="Times New Roman"/>
                <w:spacing w:val="-10"/>
              </w:rPr>
              <w:t>4</w:t>
            </w:r>
          </w:hyperlink>
        </w:p>
        <w:p>
          <w:pPr>
            <w:pStyle w:val="TOC1"/>
            <w:tabs>
              <w:tab w:pos="1171" w:val="left" w:leader="none"/>
              <w:tab w:pos="8418" w:val="right" w:leader="dot"/>
            </w:tabs>
            <w:rPr>
              <w:rFonts w:ascii="Times New Roman" w:eastAsia="Times New Roman"/>
            </w:rPr>
          </w:pPr>
          <w:hyperlink w:history="true" w:anchor="_bookmark6">
            <w:r>
              <w:rPr/>
              <w:t>第三</w:t>
            </w:r>
            <w:r>
              <w:rPr>
                <w:spacing w:val="-10"/>
              </w:rPr>
              <w:t>章</w:t>
            </w:r>
            <w:r>
              <w:rPr/>
              <w:tab/>
            </w:r>
            <w:r>
              <w:rPr>
                <w:spacing w:val="-2"/>
              </w:rPr>
              <w:t>基</w:t>
            </w:r>
            <w:r>
              <w:rPr>
                <w:spacing w:val="-2"/>
              </w:rPr>
              <w:t>本</w:t>
            </w:r>
            <w:r>
              <w:rPr>
                <w:spacing w:val="-2"/>
              </w:rPr>
              <w:t>保</w:t>
            </w:r>
            <w:r>
              <w:rPr>
                <w:spacing w:val="-2"/>
              </w:rPr>
              <w:t>险</w:t>
            </w:r>
            <w:r>
              <w:rPr>
                <w:spacing w:val="-2"/>
              </w:rPr>
              <w:t>金</w:t>
            </w:r>
            <w:r>
              <w:rPr>
                <w:spacing w:val="-2"/>
              </w:rPr>
              <w:t>额</w:t>
            </w:r>
            <w:r>
              <w:rPr>
                <w:spacing w:val="-2"/>
              </w:rPr>
              <w:t>、</w:t>
            </w:r>
            <w:r>
              <w:rPr>
                <w:spacing w:val="-2"/>
              </w:rPr>
              <w:t>保</w:t>
            </w:r>
            <w:r>
              <w:rPr>
                <w:spacing w:val="-2"/>
              </w:rPr>
              <w:t>险费及</w:t>
            </w:r>
            <w:r>
              <w:rPr>
                <w:spacing w:val="-2"/>
              </w:rPr>
              <w:t>宽</w:t>
            </w:r>
            <w:r>
              <w:rPr>
                <w:spacing w:val="-2"/>
              </w:rPr>
              <w:t>限</w:t>
            </w:r>
            <w:r>
              <w:rPr>
                <w:spacing w:val="-10"/>
              </w:rPr>
              <w:t>期</w:t>
            </w:r>
            <w:r>
              <w:rPr>
                <w:rFonts w:ascii="Times New Roman" w:eastAsia="Times New Roman"/>
                <w:b w:val="0"/>
              </w:rPr>
              <w:tab/>
            </w:r>
            <w:r>
              <w:rPr>
                <w:rFonts w:ascii="Times New Roman" w:eastAsia="Times New Roman"/>
                <w:spacing w:val="-10"/>
              </w:rPr>
              <w:t>6</w:t>
            </w:r>
          </w:hyperlink>
        </w:p>
        <w:p>
          <w:pPr>
            <w:pStyle w:val="TOC2"/>
            <w:tabs>
              <w:tab w:pos="1740" w:val="left" w:leader="none"/>
              <w:tab w:pos="8418" w:val="right" w:leader="dot"/>
            </w:tabs>
            <w:rPr>
              <w:rFonts w:ascii="Times New Roman" w:eastAsia="Times New Roman"/>
            </w:rPr>
          </w:pPr>
          <w:hyperlink w:history="true" w:anchor="_bookmark7">
            <w:r>
              <w:rPr/>
              <w:t>第五</w:t>
            </w:r>
            <w:r>
              <w:rPr>
                <w:spacing w:val="-10"/>
              </w:rPr>
              <w:t>条</w:t>
            </w:r>
            <w:r>
              <w:rPr/>
              <w:tab/>
            </w:r>
            <w:r>
              <w:rPr>
                <w:spacing w:val="-2"/>
              </w:rPr>
              <w:t>基</w:t>
            </w:r>
            <w:r>
              <w:rPr>
                <w:spacing w:val="-2"/>
              </w:rPr>
              <w:t>本</w:t>
            </w:r>
            <w:r>
              <w:rPr>
                <w:spacing w:val="-2"/>
              </w:rPr>
              <w:t>保险金</w:t>
            </w:r>
            <w:r>
              <w:rPr>
                <w:spacing w:val="-10"/>
              </w:rPr>
              <w:t>额</w:t>
            </w:r>
            <w:r>
              <w:rPr>
                <w:rFonts w:ascii="Times New Roman" w:eastAsia="Times New Roman"/>
              </w:rPr>
              <w:tab/>
            </w:r>
            <w:r>
              <w:rPr>
                <w:rFonts w:ascii="Times New Roman" w:eastAsia="Times New Roman"/>
                <w:spacing w:val="-10"/>
              </w:rPr>
              <w:t>6</w:t>
            </w:r>
          </w:hyperlink>
        </w:p>
        <w:p>
          <w:pPr>
            <w:pStyle w:val="TOC2"/>
            <w:tabs>
              <w:tab w:pos="1740" w:val="left" w:leader="none"/>
              <w:tab w:pos="8418" w:val="right" w:leader="dot"/>
            </w:tabs>
            <w:rPr>
              <w:rFonts w:ascii="Times New Roman" w:eastAsia="Times New Roman"/>
            </w:rPr>
          </w:pPr>
          <w:hyperlink w:history="true" w:anchor="_bookmark8">
            <w:r>
              <w:rPr/>
              <w:t>第六</w:t>
            </w:r>
            <w:r>
              <w:rPr>
                <w:spacing w:val="-10"/>
              </w:rPr>
              <w:t>条</w:t>
            </w:r>
            <w:r>
              <w:rPr/>
              <w:tab/>
            </w:r>
            <w:r>
              <w:rPr>
                <w:spacing w:val="-2"/>
              </w:rPr>
              <w:t>保</w:t>
            </w:r>
            <w:r>
              <w:rPr>
                <w:spacing w:val="-2"/>
              </w:rPr>
              <w:t>险</w:t>
            </w:r>
            <w:r>
              <w:rPr>
                <w:spacing w:val="-2"/>
              </w:rPr>
              <w:t>费及宽</w:t>
            </w:r>
            <w:r>
              <w:rPr>
                <w:spacing w:val="-2"/>
              </w:rPr>
              <w:t>限</w:t>
            </w:r>
            <w:r>
              <w:rPr>
                <w:spacing w:val="-10"/>
              </w:rPr>
              <w:t>期</w:t>
            </w:r>
            <w:r>
              <w:rPr>
                <w:rFonts w:ascii="Times New Roman" w:eastAsia="Times New Roman"/>
              </w:rPr>
              <w:tab/>
            </w:r>
            <w:r>
              <w:rPr>
                <w:rFonts w:ascii="Times New Roman" w:eastAsia="Times New Roman"/>
                <w:spacing w:val="-10"/>
              </w:rPr>
              <w:t>6</w:t>
            </w:r>
          </w:hyperlink>
        </w:p>
        <w:p>
          <w:pPr>
            <w:pStyle w:val="TOC1"/>
            <w:tabs>
              <w:tab w:pos="1171" w:val="left" w:leader="none"/>
              <w:tab w:pos="8418" w:val="right" w:leader="dot"/>
            </w:tabs>
            <w:rPr>
              <w:rFonts w:ascii="Times New Roman" w:eastAsia="Times New Roman"/>
            </w:rPr>
          </w:pPr>
          <w:hyperlink w:history="true" w:anchor="_bookmark9">
            <w:r>
              <w:rPr/>
              <w:t>第四</w:t>
            </w:r>
            <w:r>
              <w:rPr>
                <w:spacing w:val="-10"/>
              </w:rPr>
              <w:t>章</w:t>
            </w:r>
            <w:r>
              <w:rPr/>
              <w:tab/>
            </w:r>
            <w:r>
              <w:rPr>
                <w:spacing w:val="-2"/>
              </w:rPr>
              <w:t>保</w:t>
            </w:r>
            <w:r>
              <w:rPr>
                <w:spacing w:val="-2"/>
              </w:rPr>
              <w:t>险</w:t>
            </w:r>
            <w:r>
              <w:rPr>
                <w:spacing w:val="-2"/>
              </w:rPr>
              <w:t>期</w:t>
            </w:r>
            <w:r>
              <w:rPr>
                <w:spacing w:val="-2"/>
              </w:rPr>
              <w:t>间</w:t>
            </w:r>
            <w:r>
              <w:rPr>
                <w:spacing w:val="-2"/>
              </w:rPr>
              <w:t>、</w:t>
            </w:r>
            <w:r>
              <w:rPr>
                <w:spacing w:val="-2"/>
              </w:rPr>
              <w:t>保</w:t>
            </w:r>
            <w:r>
              <w:rPr>
                <w:spacing w:val="-2"/>
              </w:rPr>
              <w:t>险</w:t>
            </w:r>
            <w:r>
              <w:rPr>
                <w:spacing w:val="-2"/>
              </w:rPr>
              <w:t>合</w:t>
            </w:r>
            <w:r>
              <w:rPr>
                <w:spacing w:val="-2"/>
              </w:rPr>
              <w:t>同成立</w:t>
            </w:r>
            <w:r>
              <w:rPr>
                <w:spacing w:val="-2"/>
              </w:rPr>
              <w:t>与</w:t>
            </w:r>
            <w:r>
              <w:rPr>
                <w:spacing w:val="-2"/>
              </w:rPr>
              <w:t>生</w:t>
            </w:r>
            <w:r>
              <w:rPr>
                <w:spacing w:val="-2"/>
              </w:rPr>
              <w:t>效</w:t>
            </w:r>
            <w:r>
              <w:rPr>
                <w:spacing w:val="-2"/>
              </w:rPr>
              <w:t>、</w:t>
            </w:r>
            <w:r>
              <w:rPr>
                <w:spacing w:val="-2"/>
              </w:rPr>
              <w:t>解</w:t>
            </w:r>
            <w:r>
              <w:rPr>
                <w:spacing w:val="-2"/>
              </w:rPr>
              <w:t>除</w:t>
            </w:r>
            <w:r>
              <w:rPr>
                <w:spacing w:val="-2"/>
              </w:rPr>
              <w:t>及</w:t>
            </w:r>
            <w:r>
              <w:rPr>
                <w:spacing w:val="-2"/>
              </w:rPr>
              <w:t>终</w:t>
            </w:r>
            <w:r>
              <w:rPr>
                <w:spacing w:val="-10"/>
              </w:rPr>
              <w:t>止</w:t>
            </w:r>
            <w:r>
              <w:rPr>
                <w:rFonts w:ascii="Times New Roman" w:eastAsia="Times New Roman"/>
                <w:b w:val="0"/>
              </w:rPr>
              <w:tab/>
            </w:r>
            <w:r>
              <w:rPr>
                <w:rFonts w:ascii="Times New Roman" w:eastAsia="Times New Roman"/>
                <w:spacing w:val="-10"/>
              </w:rPr>
              <w:t>6</w:t>
            </w:r>
          </w:hyperlink>
        </w:p>
        <w:p>
          <w:pPr>
            <w:pStyle w:val="TOC2"/>
            <w:tabs>
              <w:tab w:pos="1740" w:val="left" w:leader="none"/>
              <w:tab w:pos="8418" w:val="right" w:leader="dot"/>
            </w:tabs>
            <w:rPr>
              <w:rFonts w:ascii="Times New Roman" w:eastAsia="Times New Roman"/>
            </w:rPr>
          </w:pPr>
          <w:hyperlink w:history="true" w:anchor="_bookmark10">
            <w:r>
              <w:rPr/>
              <w:t>第七</w:t>
            </w:r>
            <w:r>
              <w:rPr>
                <w:spacing w:val="-10"/>
              </w:rPr>
              <w:t>条</w:t>
            </w:r>
            <w:r>
              <w:rPr/>
              <w:tab/>
            </w:r>
            <w:r>
              <w:rPr>
                <w:spacing w:val="-2"/>
              </w:rPr>
              <w:t>保</w:t>
            </w:r>
            <w:r>
              <w:rPr>
                <w:spacing w:val="-2"/>
              </w:rPr>
              <w:t>险</w:t>
            </w:r>
            <w:r>
              <w:rPr>
                <w:spacing w:val="-2"/>
              </w:rPr>
              <w:t>期</w:t>
            </w:r>
            <w:r>
              <w:rPr>
                <w:spacing w:val="-10"/>
              </w:rPr>
              <w:t>间</w:t>
            </w:r>
            <w:r>
              <w:rPr>
                <w:rFonts w:ascii="Times New Roman" w:eastAsia="Times New Roman"/>
              </w:rPr>
              <w:tab/>
            </w:r>
            <w:r>
              <w:rPr>
                <w:rFonts w:ascii="Times New Roman" w:eastAsia="Times New Roman"/>
                <w:spacing w:val="-10"/>
              </w:rPr>
              <w:t>6</w:t>
            </w:r>
          </w:hyperlink>
        </w:p>
        <w:p>
          <w:pPr>
            <w:pStyle w:val="TOC2"/>
            <w:tabs>
              <w:tab w:pos="1740" w:val="left" w:leader="none"/>
              <w:tab w:pos="8418" w:val="right" w:leader="dot"/>
            </w:tabs>
            <w:rPr>
              <w:rFonts w:ascii="Times New Roman" w:eastAsia="Times New Roman"/>
            </w:rPr>
          </w:pPr>
          <w:hyperlink w:history="true" w:anchor="_bookmark11">
            <w:r>
              <w:rPr/>
              <w:t>第八</w:t>
            </w:r>
            <w:r>
              <w:rPr>
                <w:spacing w:val="-10"/>
              </w:rPr>
              <w:t>条</w:t>
            </w:r>
            <w:r>
              <w:rPr/>
              <w:tab/>
            </w:r>
            <w:r>
              <w:rPr>
                <w:spacing w:val="-2"/>
              </w:rPr>
              <w:t>保</w:t>
            </w:r>
            <w:r>
              <w:rPr>
                <w:spacing w:val="-2"/>
              </w:rPr>
              <w:t>险</w:t>
            </w:r>
            <w:r>
              <w:rPr>
                <w:spacing w:val="-2"/>
              </w:rPr>
              <w:t>合同成立与</w:t>
            </w:r>
            <w:r>
              <w:rPr>
                <w:spacing w:val="-2"/>
              </w:rPr>
              <w:t>生</w:t>
            </w:r>
            <w:r>
              <w:rPr>
                <w:spacing w:val="-10"/>
              </w:rPr>
              <w:t>效</w:t>
            </w:r>
            <w:r>
              <w:rPr>
                <w:rFonts w:ascii="Times New Roman" w:eastAsia="Times New Roman"/>
              </w:rPr>
              <w:tab/>
            </w:r>
            <w:r>
              <w:rPr>
                <w:rFonts w:ascii="Times New Roman" w:eastAsia="Times New Roman"/>
                <w:spacing w:val="-10"/>
              </w:rPr>
              <w:t>6</w:t>
            </w:r>
          </w:hyperlink>
        </w:p>
        <w:p>
          <w:pPr>
            <w:pStyle w:val="TOC2"/>
            <w:tabs>
              <w:tab w:pos="1740" w:val="left" w:leader="none"/>
              <w:tab w:pos="8418" w:val="right" w:leader="dot"/>
            </w:tabs>
            <w:rPr>
              <w:rFonts w:ascii="Times New Roman" w:eastAsia="Times New Roman"/>
            </w:rPr>
          </w:pPr>
          <w:hyperlink w:history="true" w:anchor="_bookmark12">
            <w:r>
              <w:rPr/>
              <w:t>第九</w:t>
            </w:r>
            <w:r>
              <w:rPr>
                <w:spacing w:val="-10"/>
              </w:rPr>
              <w:t>条</w:t>
            </w:r>
            <w:r>
              <w:rPr/>
              <w:tab/>
            </w:r>
            <w:r>
              <w:rPr>
                <w:spacing w:val="-2"/>
              </w:rPr>
              <w:t>合</w:t>
            </w:r>
            <w:r>
              <w:rPr>
                <w:spacing w:val="-2"/>
              </w:rPr>
              <w:t>同</w:t>
            </w:r>
            <w:r>
              <w:rPr>
                <w:spacing w:val="-2"/>
              </w:rPr>
              <w:t>效力恢</w:t>
            </w:r>
            <w:r>
              <w:rPr>
                <w:spacing w:val="-10"/>
              </w:rPr>
              <w:t>复</w:t>
            </w:r>
            <w:r>
              <w:rPr>
                <w:rFonts w:ascii="Times New Roman" w:eastAsia="Times New Roman"/>
              </w:rPr>
              <w:tab/>
            </w:r>
            <w:r>
              <w:rPr>
                <w:rFonts w:ascii="Times New Roman" w:eastAsia="Times New Roman"/>
                <w:spacing w:val="-10"/>
              </w:rPr>
              <w:t>6</w:t>
            </w:r>
          </w:hyperlink>
        </w:p>
        <w:p>
          <w:pPr>
            <w:pStyle w:val="TOC2"/>
            <w:tabs>
              <w:tab w:pos="1740" w:val="left" w:leader="none"/>
              <w:tab w:pos="8418" w:val="right" w:leader="dot"/>
            </w:tabs>
            <w:rPr>
              <w:rFonts w:ascii="Times New Roman" w:eastAsia="Times New Roman"/>
            </w:rPr>
          </w:pPr>
          <w:hyperlink w:history="true" w:anchor="_bookmark13">
            <w:r>
              <w:rPr/>
              <w:t>第十</w:t>
            </w:r>
            <w:r>
              <w:rPr>
                <w:spacing w:val="-10"/>
              </w:rPr>
              <w:t>条</w:t>
            </w:r>
            <w:r>
              <w:rPr/>
              <w:tab/>
            </w:r>
            <w:r>
              <w:rPr>
                <w:spacing w:val="-2"/>
              </w:rPr>
              <w:t>投</w:t>
            </w:r>
            <w:r>
              <w:rPr>
                <w:spacing w:val="-2"/>
              </w:rPr>
              <w:t>保</w:t>
            </w:r>
            <w:r>
              <w:rPr>
                <w:spacing w:val="-2"/>
              </w:rPr>
              <w:t>人解除</w:t>
            </w:r>
            <w:r>
              <w:rPr>
                <w:spacing w:val="-2"/>
              </w:rPr>
              <w:t>合</w:t>
            </w:r>
            <w:r>
              <w:rPr>
                <w:spacing w:val="-10"/>
              </w:rPr>
              <w:t>同</w:t>
            </w:r>
            <w:r>
              <w:rPr>
                <w:rFonts w:ascii="Times New Roman" w:eastAsia="Times New Roman"/>
              </w:rPr>
              <w:tab/>
            </w:r>
            <w:r>
              <w:rPr>
                <w:rFonts w:ascii="Times New Roman" w:eastAsia="Times New Roman"/>
                <w:spacing w:val="-10"/>
              </w:rPr>
              <w:t>6</w:t>
            </w:r>
          </w:hyperlink>
        </w:p>
        <w:p>
          <w:pPr>
            <w:pStyle w:val="TOC2"/>
            <w:tabs>
              <w:tab w:pos="1740" w:val="left" w:leader="none"/>
              <w:tab w:pos="8418" w:val="right" w:leader="dot"/>
            </w:tabs>
            <w:rPr>
              <w:rFonts w:ascii="Times New Roman" w:eastAsia="Times New Roman"/>
            </w:rPr>
          </w:pPr>
          <w:hyperlink w:history="true" w:anchor="_bookmark14">
            <w:r>
              <w:rPr>
                <w:spacing w:val="-2"/>
              </w:rPr>
              <w:t>第</w:t>
            </w:r>
            <w:r>
              <w:rPr>
                <w:spacing w:val="-2"/>
              </w:rPr>
              <w:t>十</w:t>
            </w:r>
            <w:r>
              <w:rPr>
                <w:spacing w:val="-2"/>
              </w:rPr>
              <w:t>一</w:t>
            </w:r>
            <w:r>
              <w:rPr>
                <w:spacing w:val="-10"/>
              </w:rPr>
              <w:t>条</w:t>
            </w:r>
            <w:r>
              <w:rPr/>
              <w:tab/>
            </w:r>
            <w:r>
              <w:rPr>
                <w:spacing w:val="-2"/>
              </w:rPr>
              <w:t>合</w:t>
            </w:r>
            <w:r>
              <w:rPr>
                <w:spacing w:val="-2"/>
              </w:rPr>
              <w:t>同</w:t>
            </w:r>
            <w:r>
              <w:rPr>
                <w:spacing w:val="-2"/>
              </w:rPr>
              <w:t>效力终</w:t>
            </w:r>
            <w:r>
              <w:rPr>
                <w:spacing w:val="-10"/>
              </w:rPr>
              <w:t>止</w:t>
            </w:r>
            <w:r>
              <w:rPr>
                <w:rFonts w:ascii="Times New Roman" w:eastAsia="Times New Roman"/>
              </w:rPr>
              <w:tab/>
            </w:r>
            <w:r>
              <w:rPr>
                <w:rFonts w:ascii="Times New Roman" w:eastAsia="Times New Roman"/>
                <w:spacing w:val="-10"/>
              </w:rPr>
              <w:t>7</w:t>
            </w:r>
          </w:hyperlink>
        </w:p>
        <w:p>
          <w:pPr>
            <w:pStyle w:val="TOC1"/>
            <w:tabs>
              <w:tab w:pos="1171" w:val="left" w:leader="none"/>
              <w:tab w:pos="8418" w:val="right" w:leader="dot"/>
            </w:tabs>
            <w:rPr>
              <w:rFonts w:ascii="Times New Roman" w:eastAsia="Times New Roman"/>
            </w:rPr>
          </w:pPr>
          <w:hyperlink w:history="true" w:anchor="_bookmark15">
            <w:r>
              <w:rPr/>
              <w:t>第五</w:t>
            </w:r>
            <w:r>
              <w:rPr>
                <w:spacing w:val="-10"/>
              </w:rPr>
              <w:t>章</w:t>
            </w:r>
            <w:r>
              <w:rPr/>
              <w:tab/>
              <w:t>保险金申</w:t>
            </w:r>
            <w:r>
              <w:rPr>
                <w:spacing w:val="-10"/>
              </w:rPr>
              <w:t>请</w:t>
            </w:r>
            <w:r>
              <w:rPr>
                <w:rFonts w:ascii="Times New Roman" w:eastAsia="Times New Roman"/>
                <w:b w:val="0"/>
              </w:rPr>
              <w:tab/>
            </w:r>
            <w:r>
              <w:rPr>
                <w:rFonts w:ascii="Times New Roman" w:eastAsia="Times New Roman"/>
                <w:spacing w:val="-10"/>
              </w:rPr>
              <w:t>7</w:t>
            </w:r>
          </w:hyperlink>
        </w:p>
        <w:p>
          <w:pPr>
            <w:pStyle w:val="TOC2"/>
            <w:tabs>
              <w:tab w:pos="1740" w:val="left" w:leader="none"/>
              <w:tab w:pos="8418" w:val="right" w:leader="dot"/>
            </w:tabs>
            <w:rPr>
              <w:rFonts w:ascii="Times New Roman" w:eastAsia="Times New Roman"/>
            </w:rPr>
          </w:pPr>
          <w:hyperlink w:history="true" w:anchor="_bookmark16">
            <w:r>
              <w:rPr>
                <w:spacing w:val="-2"/>
              </w:rPr>
              <w:t>第</w:t>
            </w:r>
            <w:r>
              <w:rPr>
                <w:spacing w:val="-2"/>
              </w:rPr>
              <w:t>十</w:t>
            </w:r>
            <w:r>
              <w:rPr>
                <w:spacing w:val="-2"/>
              </w:rPr>
              <w:t>二</w:t>
            </w:r>
            <w:r>
              <w:rPr>
                <w:spacing w:val="-10"/>
              </w:rPr>
              <w:t>条</w:t>
            </w:r>
            <w:r>
              <w:rPr/>
              <w:tab/>
            </w:r>
            <w:r>
              <w:rPr>
                <w:spacing w:val="-2"/>
              </w:rPr>
              <w:t>保</w:t>
            </w:r>
            <w:r>
              <w:rPr>
                <w:spacing w:val="-2"/>
              </w:rPr>
              <w:t>险</w:t>
            </w:r>
            <w:r>
              <w:rPr>
                <w:spacing w:val="-2"/>
              </w:rPr>
              <w:t>事故通</w:t>
            </w:r>
            <w:r>
              <w:rPr>
                <w:spacing w:val="-10"/>
              </w:rPr>
              <w:t>知</w:t>
            </w:r>
            <w:r>
              <w:rPr>
                <w:rFonts w:ascii="Times New Roman" w:eastAsia="Times New Roman"/>
              </w:rPr>
              <w:tab/>
            </w:r>
            <w:r>
              <w:rPr>
                <w:rFonts w:ascii="Times New Roman" w:eastAsia="Times New Roman"/>
                <w:spacing w:val="-10"/>
              </w:rPr>
              <w:t>7</w:t>
            </w:r>
          </w:hyperlink>
        </w:p>
        <w:p>
          <w:pPr>
            <w:pStyle w:val="TOC2"/>
            <w:tabs>
              <w:tab w:pos="1740" w:val="left" w:leader="none"/>
              <w:tab w:pos="8418" w:val="right" w:leader="dot"/>
            </w:tabs>
            <w:rPr>
              <w:rFonts w:ascii="Times New Roman" w:eastAsia="Times New Roman"/>
            </w:rPr>
          </w:pPr>
          <w:hyperlink w:history="true" w:anchor="_bookmark17">
            <w:r>
              <w:rPr>
                <w:spacing w:val="-2"/>
              </w:rPr>
              <w:t>第</w:t>
            </w:r>
            <w:r>
              <w:rPr>
                <w:spacing w:val="-2"/>
              </w:rPr>
              <w:t>十</w:t>
            </w:r>
            <w:r>
              <w:rPr>
                <w:spacing w:val="-2"/>
              </w:rPr>
              <w:t>三</w:t>
            </w:r>
            <w:r>
              <w:rPr>
                <w:spacing w:val="-10"/>
              </w:rPr>
              <w:t>条</w:t>
            </w:r>
            <w:r>
              <w:rPr/>
              <w:tab/>
            </w:r>
            <w:r>
              <w:rPr>
                <w:spacing w:val="-2"/>
              </w:rPr>
              <w:t>诉</w:t>
            </w:r>
            <w:r>
              <w:rPr>
                <w:spacing w:val="-2"/>
              </w:rPr>
              <w:t>讼</w:t>
            </w:r>
            <w:r>
              <w:rPr>
                <w:spacing w:val="-2"/>
              </w:rPr>
              <w:t>时</w:t>
            </w:r>
            <w:r>
              <w:rPr>
                <w:spacing w:val="-10"/>
              </w:rPr>
              <w:t>效</w:t>
            </w:r>
            <w:r>
              <w:rPr>
                <w:rFonts w:ascii="Times New Roman" w:eastAsia="Times New Roman"/>
              </w:rPr>
              <w:tab/>
            </w:r>
            <w:r>
              <w:rPr>
                <w:rFonts w:ascii="Times New Roman" w:eastAsia="Times New Roman"/>
                <w:spacing w:val="-10"/>
              </w:rPr>
              <w:t>7</w:t>
            </w:r>
          </w:hyperlink>
        </w:p>
        <w:p>
          <w:pPr>
            <w:pStyle w:val="TOC2"/>
            <w:tabs>
              <w:tab w:pos="1740" w:val="left" w:leader="none"/>
              <w:tab w:pos="8418" w:val="right" w:leader="dot"/>
            </w:tabs>
            <w:rPr>
              <w:rFonts w:ascii="Times New Roman" w:eastAsia="Times New Roman"/>
            </w:rPr>
          </w:pPr>
          <w:hyperlink w:history="true" w:anchor="_bookmark18">
            <w:r>
              <w:rPr>
                <w:spacing w:val="-2"/>
              </w:rPr>
              <w:t>第</w:t>
            </w:r>
            <w:r>
              <w:rPr>
                <w:spacing w:val="-2"/>
              </w:rPr>
              <w:t>十</w:t>
            </w:r>
            <w:r>
              <w:rPr>
                <w:spacing w:val="-2"/>
              </w:rPr>
              <w:t>四</w:t>
            </w:r>
            <w:r>
              <w:rPr>
                <w:spacing w:val="-10"/>
              </w:rPr>
              <w:t>条</w:t>
            </w:r>
            <w:r>
              <w:rPr/>
              <w:tab/>
            </w:r>
            <w:r>
              <w:rPr>
                <w:spacing w:val="-2"/>
              </w:rPr>
              <w:t>保</w:t>
            </w:r>
            <w:r>
              <w:rPr>
                <w:spacing w:val="-2"/>
              </w:rPr>
              <w:t>险</w:t>
            </w:r>
            <w:r>
              <w:rPr>
                <w:spacing w:val="-2"/>
              </w:rPr>
              <w:t>金</w:t>
            </w:r>
            <w:r>
              <w:rPr>
                <w:spacing w:val="-2"/>
              </w:rPr>
              <w:t>申</w:t>
            </w:r>
            <w:r>
              <w:rPr>
                <w:spacing w:val="-10"/>
              </w:rPr>
              <w:t>请</w:t>
            </w:r>
            <w:r>
              <w:rPr>
                <w:rFonts w:ascii="Times New Roman" w:eastAsia="Times New Roman"/>
              </w:rPr>
              <w:tab/>
            </w:r>
            <w:r>
              <w:rPr>
                <w:rFonts w:ascii="Times New Roman" w:eastAsia="Times New Roman"/>
                <w:spacing w:val="-10"/>
              </w:rPr>
              <w:t>7</w:t>
            </w:r>
          </w:hyperlink>
        </w:p>
        <w:p>
          <w:pPr>
            <w:pStyle w:val="TOC2"/>
            <w:tabs>
              <w:tab w:pos="1740" w:val="left" w:leader="none"/>
              <w:tab w:pos="8418" w:val="right" w:leader="dot"/>
            </w:tabs>
            <w:rPr>
              <w:rFonts w:ascii="Times New Roman" w:eastAsia="Times New Roman"/>
            </w:rPr>
          </w:pPr>
          <w:hyperlink w:history="true" w:anchor="_bookmark19">
            <w:r>
              <w:rPr>
                <w:spacing w:val="-2"/>
              </w:rPr>
              <w:t>第</w:t>
            </w:r>
            <w:r>
              <w:rPr>
                <w:spacing w:val="-2"/>
              </w:rPr>
              <w:t>十</w:t>
            </w:r>
            <w:r>
              <w:rPr>
                <w:spacing w:val="-2"/>
              </w:rPr>
              <w:t>五</w:t>
            </w:r>
            <w:r>
              <w:rPr>
                <w:spacing w:val="-10"/>
              </w:rPr>
              <w:t>条</w:t>
            </w:r>
            <w:r>
              <w:rPr/>
              <w:tab/>
            </w:r>
            <w:r>
              <w:rPr>
                <w:spacing w:val="-2"/>
              </w:rPr>
              <w:t>保</w:t>
            </w:r>
            <w:r>
              <w:rPr>
                <w:spacing w:val="-2"/>
              </w:rPr>
              <w:t>险</w:t>
            </w:r>
            <w:r>
              <w:rPr>
                <w:spacing w:val="-2"/>
              </w:rPr>
              <w:t>金</w:t>
            </w:r>
            <w:r>
              <w:rPr>
                <w:spacing w:val="-2"/>
              </w:rPr>
              <w:t>给</w:t>
            </w:r>
            <w:r>
              <w:rPr>
                <w:spacing w:val="-10"/>
              </w:rPr>
              <w:t>付</w:t>
            </w:r>
            <w:r>
              <w:rPr>
                <w:rFonts w:ascii="Times New Roman" w:eastAsia="Times New Roman"/>
              </w:rPr>
              <w:tab/>
            </w:r>
            <w:r>
              <w:rPr>
                <w:rFonts w:ascii="Times New Roman" w:eastAsia="Times New Roman"/>
                <w:spacing w:val="-10"/>
              </w:rPr>
              <w:t>8</w:t>
            </w:r>
          </w:hyperlink>
        </w:p>
        <w:p>
          <w:pPr>
            <w:pStyle w:val="TOC2"/>
            <w:tabs>
              <w:tab w:pos="1740" w:val="left" w:leader="none"/>
              <w:tab w:pos="8418" w:val="right" w:leader="dot"/>
            </w:tabs>
            <w:rPr>
              <w:rFonts w:ascii="Times New Roman" w:eastAsia="Times New Roman"/>
            </w:rPr>
          </w:pPr>
          <w:hyperlink w:history="true" w:anchor="_bookmark20">
            <w:r>
              <w:rPr>
                <w:spacing w:val="-2"/>
              </w:rPr>
              <w:t>第</w:t>
            </w:r>
            <w:r>
              <w:rPr>
                <w:spacing w:val="-2"/>
              </w:rPr>
              <w:t>十</w:t>
            </w:r>
            <w:r>
              <w:rPr>
                <w:spacing w:val="-2"/>
              </w:rPr>
              <w:t>六</w:t>
            </w:r>
            <w:r>
              <w:rPr>
                <w:spacing w:val="-10"/>
              </w:rPr>
              <w:t>条</w:t>
            </w:r>
            <w:r>
              <w:rPr/>
              <w:tab/>
            </w:r>
            <w:r>
              <w:rPr>
                <w:spacing w:val="-2"/>
              </w:rPr>
              <w:t>失</w:t>
            </w:r>
            <w:r>
              <w:rPr>
                <w:spacing w:val="-2"/>
              </w:rPr>
              <w:t>踪</w:t>
            </w:r>
            <w:r>
              <w:rPr>
                <w:spacing w:val="-2"/>
              </w:rPr>
              <w:t>处</w:t>
            </w:r>
            <w:r>
              <w:rPr>
                <w:spacing w:val="-10"/>
              </w:rPr>
              <w:t>理</w:t>
            </w:r>
            <w:r>
              <w:rPr>
                <w:rFonts w:ascii="Times New Roman" w:eastAsia="Times New Roman"/>
              </w:rPr>
              <w:tab/>
            </w:r>
            <w:r>
              <w:rPr>
                <w:rFonts w:ascii="Times New Roman" w:eastAsia="Times New Roman"/>
                <w:spacing w:val="-10"/>
              </w:rPr>
              <w:t>9</w:t>
            </w:r>
          </w:hyperlink>
        </w:p>
        <w:p>
          <w:pPr>
            <w:pStyle w:val="TOC1"/>
            <w:tabs>
              <w:tab w:pos="1171" w:val="left" w:leader="none"/>
              <w:tab w:pos="8418" w:val="right" w:leader="dot"/>
            </w:tabs>
            <w:rPr>
              <w:rFonts w:ascii="Times New Roman" w:eastAsia="Times New Roman"/>
            </w:rPr>
          </w:pPr>
          <w:hyperlink w:history="true" w:anchor="_bookmark21">
            <w:r>
              <w:rPr/>
              <w:t>第六</w:t>
            </w:r>
            <w:r>
              <w:rPr>
                <w:spacing w:val="-10"/>
              </w:rPr>
              <w:t>章</w:t>
            </w:r>
            <w:r>
              <w:rPr/>
              <w:tab/>
              <w:t>一般条</w:t>
            </w:r>
            <w:r>
              <w:rPr>
                <w:spacing w:val="-10"/>
              </w:rPr>
              <w:t>款</w:t>
            </w:r>
            <w:r>
              <w:rPr>
                <w:rFonts w:ascii="Times New Roman" w:eastAsia="Times New Roman"/>
                <w:b w:val="0"/>
              </w:rPr>
              <w:tab/>
            </w:r>
            <w:r>
              <w:rPr>
                <w:rFonts w:ascii="Times New Roman" w:eastAsia="Times New Roman"/>
                <w:spacing w:val="-10"/>
              </w:rPr>
              <w:t>9</w:t>
            </w:r>
          </w:hyperlink>
        </w:p>
        <w:p>
          <w:pPr>
            <w:pStyle w:val="TOC2"/>
            <w:tabs>
              <w:tab w:pos="1740" w:val="left" w:leader="none"/>
              <w:tab w:pos="8418" w:val="right" w:leader="dot"/>
            </w:tabs>
            <w:rPr>
              <w:rFonts w:ascii="Times New Roman" w:eastAsia="Times New Roman"/>
            </w:rPr>
          </w:pPr>
          <w:hyperlink w:history="true" w:anchor="_bookmark22">
            <w:r>
              <w:rPr>
                <w:spacing w:val="-2"/>
              </w:rPr>
              <w:t>第</w:t>
            </w:r>
            <w:r>
              <w:rPr>
                <w:spacing w:val="-2"/>
              </w:rPr>
              <w:t>十</w:t>
            </w:r>
            <w:r>
              <w:rPr>
                <w:spacing w:val="-2"/>
              </w:rPr>
              <w:t>七</w:t>
            </w:r>
            <w:r>
              <w:rPr>
                <w:spacing w:val="-10"/>
              </w:rPr>
              <w:t>条</w:t>
            </w:r>
            <w:r>
              <w:rPr/>
              <w:tab/>
            </w:r>
            <w:r>
              <w:rPr>
                <w:spacing w:val="-2"/>
              </w:rPr>
              <w:t>如</w:t>
            </w:r>
            <w:r>
              <w:rPr>
                <w:spacing w:val="-2"/>
              </w:rPr>
              <w:t>实</w:t>
            </w:r>
            <w:r>
              <w:rPr>
                <w:spacing w:val="-2"/>
              </w:rPr>
              <w:t>告</w:t>
            </w:r>
            <w:r>
              <w:rPr>
                <w:spacing w:val="-10"/>
              </w:rPr>
              <w:t>知</w:t>
            </w:r>
            <w:r>
              <w:rPr>
                <w:rFonts w:ascii="Times New Roman" w:eastAsia="Times New Roman"/>
              </w:rPr>
              <w:tab/>
            </w:r>
            <w:r>
              <w:rPr>
                <w:rFonts w:ascii="Times New Roman" w:eastAsia="Times New Roman"/>
                <w:spacing w:val="-10"/>
              </w:rPr>
              <w:t>9</w:t>
            </w:r>
          </w:hyperlink>
        </w:p>
        <w:p>
          <w:pPr>
            <w:pStyle w:val="TOC2"/>
            <w:tabs>
              <w:tab w:pos="1740" w:val="left" w:leader="none"/>
              <w:tab w:pos="8418" w:val="right" w:leader="dot"/>
            </w:tabs>
            <w:rPr>
              <w:rFonts w:ascii="Times New Roman" w:eastAsia="Times New Roman"/>
            </w:rPr>
          </w:pPr>
          <w:hyperlink w:history="true" w:anchor="_bookmark23">
            <w:r>
              <w:rPr>
                <w:spacing w:val="-2"/>
              </w:rPr>
              <w:t>第</w:t>
            </w:r>
            <w:r>
              <w:rPr>
                <w:spacing w:val="-2"/>
              </w:rPr>
              <w:t>十</w:t>
            </w:r>
            <w:r>
              <w:rPr>
                <w:spacing w:val="-2"/>
              </w:rPr>
              <w:t>八</w:t>
            </w:r>
            <w:r>
              <w:rPr>
                <w:spacing w:val="-10"/>
              </w:rPr>
              <w:t>条</w:t>
            </w:r>
            <w:r>
              <w:rPr/>
              <w:tab/>
            </w:r>
            <w:r>
              <w:rPr>
                <w:spacing w:val="-2"/>
              </w:rPr>
              <w:t>年</w:t>
            </w:r>
            <w:r>
              <w:rPr>
                <w:spacing w:val="-2"/>
              </w:rPr>
              <w:t>龄</w:t>
            </w:r>
            <w:r>
              <w:rPr>
                <w:spacing w:val="-2"/>
              </w:rPr>
              <w:t>确定及错误</w:t>
            </w:r>
            <w:r>
              <w:rPr>
                <w:spacing w:val="-2"/>
              </w:rPr>
              <w:t>处</w:t>
            </w:r>
            <w:r>
              <w:rPr>
                <w:spacing w:val="-10"/>
              </w:rPr>
              <w:t>理</w:t>
            </w:r>
            <w:r>
              <w:rPr>
                <w:rFonts w:ascii="Times New Roman" w:eastAsia="Times New Roman"/>
              </w:rPr>
              <w:tab/>
            </w:r>
            <w:r>
              <w:rPr>
                <w:rFonts w:ascii="Times New Roman" w:eastAsia="Times New Roman"/>
                <w:spacing w:val="-10"/>
              </w:rPr>
              <w:t>9</w:t>
            </w:r>
          </w:hyperlink>
        </w:p>
        <w:p>
          <w:pPr>
            <w:pStyle w:val="TOC2"/>
            <w:tabs>
              <w:tab w:pos="1740" w:val="left" w:leader="none"/>
              <w:tab w:pos="8418" w:val="right" w:leader="dot"/>
            </w:tabs>
            <w:rPr>
              <w:rFonts w:ascii="Times New Roman" w:eastAsia="Times New Roman"/>
            </w:rPr>
          </w:pPr>
          <w:hyperlink w:history="true" w:anchor="_bookmark24">
            <w:r>
              <w:rPr>
                <w:spacing w:val="-2"/>
              </w:rPr>
              <w:t>第</w:t>
            </w:r>
            <w:r>
              <w:rPr>
                <w:spacing w:val="-2"/>
              </w:rPr>
              <w:t>十</w:t>
            </w:r>
            <w:r>
              <w:rPr>
                <w:spacing w:val="-2"/>
              </w:rPr>
              <w:t>九</w:t>
            </w:r>
            <w:r>
              <w:rPr>
                <w:spacing w:val="-10"/>
              </w:rPr>
              <w:t>条</w:t>
            </w:r>
            <w:r>
              <w:rPr/>
              <w:tab/>
              <w:t>犹豫</w:t>
            </w:r>
            <w:r>
              <w:rPr>
                <w:spacing w:val="-10"/>
              </w:rPr>
              <w:t>期</w:t>
            </w:r>
            <w:r>
              <w:rPr>
                <w:rFonts w:ascii="Times New Roman" w:eastAsia="Times New Roman"/>
              </w:rPr>
              <w:tab/>
            </w:r>
            <w:r>
              <w:rPr>
                <w:rFonts w:ascii="Times New Roman" w:eastAsia="Times New Roman"/>
                <w:spacing w:val="-10"/>
              </w:rPr>
              <w:t>9</w:t>
            </w:r>
          </w:hyperlink>
        </w:p>
        <w:p>
          <w:pPr>
            <w:pStyle w:val="TOC2"/>
            <w:tabs>
              <w:tab w:pos="1740" w:val="left" w:leader="none"/>
              <w:tab w:pos="8418" w:val="right" w:leader="dot"/>
            </w:tabs>
            <w:rPr>
              <w:rFonts w:ascii="Times New Roman" w:eastAsia="Times New Roman"/>
            </w:rPr>
          </w:pPr>
          <w:hyperlink w:history="true" w:anchor="_bookmark25">
            <w:r>
              <w:rPr>
                <w:spacing w:val="-2"/>
              </w:rPr>
              <w:t>第</w:t>
            </w:r>
            <w:r>
              <w:rPr>
                <w:spacing w:val="-2"/>
              </w:rPr>
              <w:t>二</w:t>
            </w:r>
            <w:r>
              <w:rPr>
                <w:spacing w:val="-2"/>
              </w:rPr>
              <w:t>十</w:t>
            </w:r>
            <w:r>
              <w:rPr>
                <w:spacing w:val="-10"/>
              </w:rPr>
              <w:t>条</w:t>
            </w:r>
            <w:r>
              <w:rPr/>
              <w:tab/>
            </w:r>
            <w:r>
              <w:rPr>
                <w:spacing w:val="-2"/>
              </w:rPr>
              <w:t>受</w:t>
            </w:r>
            <w:r>
              <w:rPr>
                <w:spacing w:val="-2"/>
              </w:rPr>
              <w:t>益</w:t>
            </w:r>
            <w:r>
              <w:rPr>
                <w:spacing w:val="-2"/>
              </w:rPr>
              <w:t>人指定与变</w:t>
            </w:r>
            <w:r>
              <w:rPr>
                <w:spacing w:val="-10"/>
              </w:rPr>
              <w:t>更</w:t>
            </w:r>
            <w:r>
              <w:rPr>
                <w:rFonts w:ascii="Times New Roman" w:eastAsia="Times New Roman"/>
              </w:rPr>
              <w:tab/>
            </w:r>
            <w:r>
              <w:rPr>
                <w:rFonts w:ascii="Times New Roman" w:eastAsia="Times New Roman"/>
                <w:spacing w:val="-5"/>
              </w:rPr>
              <w:t>10</w:t>
            </w:r>
          </w:hyperlink>
        </w:p>
        <w:p>
          <w:pPr>
            <w:pStyle w:val="TOC2"/>
            <w:tabs>
              <w:tab w:pos="8418" w:val="right" w:leader="dot"/>
            </w:tabs>
            <w:rPr>
              <w:rFonts w:ascii="Times New Roman" w:eastAsia="Times New Roman"/>
            </w:rPr>
          </w:pPr>
          <w:hyperlink w:history="true" w:anchor="_bookmark26">
            <w:r>
              <w:rPr/>
              <w:t>第二十</w:t>
            </w:r>
            <w:r>
              <w:rPr/>
              <w:t>一条</w:t>
            </w:r>
            <w:r>
              <w:rPr>
                <w:spacing w:val="32"/>
              </w:rPr>
              <w:t> </w:t>
            </w:r>
            <w:r>
              <w:rPr/>
              <w:t>合同内容变</w:t>
            </w:r>
            <w:r>
              <w:rPr>
                <w:spacing w:val="-10"/>
                <w:w w:val="95"/>
              </w:rPr>
              <w:t>更</w:t>
            </w:r>
            <w:r>
              <w:rPr>
                <w:rFonts w:ascii="Times New Roman" w:eastAsia="Times New Roman"/>
              </w:rPr>
              <w:tab/>
            </w:r>
            <w:r>
              <w:rPr>
                <w:rFonts w:ascii="Times New Roman" w:eastAsia="Times New Roman"/>
                <w:spacing w:val="-5"/>
              </w:rPr>
              <w:t>10</w:t>
            </w:r>
          </w:hyperlink>
        </w:p>
        <w:p>
          <w:pPr>
            <w:pStyle w:val="TOC2"/>
            <w:tabs>
              <w:tab w:pos="8418" w:val="right" w:leader="dot"/>
            </w:tabs>
            <w:rPr>
              <w:rFonts w:ascii="Times New Roman" w:eastAsia="Times New Roman"/>
            </w:rPr>
          </w:pPr>
          <w:hyperlink w:history="true" w:anchor="_bookmark27">
            <w:r>
              <w:rPr/>
              <w:t>第二十</w:t>
            </w:r>
            <w:r>
              <w:rPr/>
              <w:t>二条</w:t>
            </w:r>
            <w:r>
              <w:rPr>
                <w:spacing w:val="32"/>
              </w:rPr>
              <w:t> </w:t>
            </w:r>
            <w:r>
              <w:rPr/>
              <w:t>通讯地址变</w:t>
            </w:r>
            <w:r>
              <w:rPr>
                <w:spacing w:val="-10"/>
                <w:w w:val="95"/>
              </w:rPr>
              <w:t>更</w:t>
            </w:r>
            <w:r>
              <w:rPr>
                <w:rFonts w:ascii="Times New Roman" w:eastAsia="Times New Roman"/>
              </w:rPr>
              <w:tab/>
            </w:r>
            <w:r>
              <w:rPr>
                <w:rFonts w:ascii="Times New Roman" w:eastAsia="Times New Roman"/>
                <w:spacing w:val="-5"/>
              </w:rPr>
              <w:t>10</w:t>
            </w:r>
          </w:hyperlink>
        </w:p>
        <w:p>
          <w:pPr>
            <w:pStyle w:val="TOC2"/>
            <w:tabs>
              <w:tab w:pos="8418" w:val="right" w:leader="dot"/>
            </w:tabs>
            <w:rPr>
              <w:rFonts w:ascii="Times New Roman" w:eastAsia="Times New Roman"/>
            </w:rPr>
          </w:pPr>
          <w:hyperlink w:history="true" w:anchor="_bookmark28">
            <w:r>
              <w:rPr/>
              <w:t>第二十</w:t>
            </w:r>
            <w:r>
              <w:rPr/>
              <w:t>三条</w:t>
            </w:r>
            <w:r>
              <w:rPr>
                <w:spacing w:val="35"/>
              </w:rPr>
              <w:t> </w:t>
            </w:r>
            <w:r>
              <w:rPr/>
              <w:t>司法鉴</w:t>
            </w:r>
            <w:r>
              <w:rPr>
                <w:spacing w:val="-10"/>
              </w:rPr>
              <w:t>定</w:t>
            </w:r>
            <w:r>
              <w:rPr>
                <w:rFonts w:ascii="Times New Roman" w:eastAsia="Times New Roman"/>
              </w:rPr>
              <w:tab/>
            </w:r>
            <w:r>
              <w:rPr>
                <w:rFonts w:ascii="Times New Roman" w:eastAsia="Times New Roman"/>
                <w:spacing w:val="-5"/>
              </w:rPr>
              <w:t>10</w:t>
            </w:r>
          </w:hyperlink>
        </w:p>
        <w:p>
          <w:pPr>
            <w:pStyle w:val="TOC2"/>
            <w:tabs>
              <w:tab w:pos="8418" w:val="right" w:leader="dot"/>
            </w:tabs>
            <w:rPr>
              <w:rFonts w:ascii="Times New Roman" w:eastAsia="Times New Roman"/>
            </w:rPr>
          </w:pPr>
          <w:hyperlink w:history="true" w:anchor="_bookmark29">
            <w:r>
              <w:rPr/>
              <w:t>第二十</w:t>
            </w:r>
            <w:r>
              <w:rPr/>
              <w:t>四条</w:t>
            </w:r>
            <w:r>
              <w:rPr>
                <w:spacing w:val="35"/>
              </w:rPr>
              <w:t> </w:t>
            </w:r>
            <w:r>
              <w:rPr/>
              <w:t>争议处</w:t>
            </w:r>
            <w:r>
              <w:rPr>
                <w:spacing w:val="-10"/>
              </w:rPr>
              <w:t>理</w:t>
            </w:r>
            <w:r>
              <w:rPr>
                <w:rFonts w:ascii="Times New Roman" w:eastAsia="Times New Roman"/>
              </w:rPr>
              <w:tab/>
            </w:r>
            <w:r>
              <w:rPr>
                <w:rFonts w:ascii="Times New Roman" w:eastAsia="Times New Roman"/>
                <w:spacing w:val="-5"/>
              </w:rPr>
              <w:t>10</w:t>
            </w:r>
          </w:hyperlink>
        </w:p>
      </w:sdtContent>
    </w:sdt>
    <w:p>
      <w:pPr>
        <w:spacing w:after="0"/>
        <w:rPr>
          <w:rFonts w:ascii="Times New Roman" w:eastAsia="Times New Roman"/>
        </w:rPr>
        <w:sectPr>
          <w:footerReference w:type="default" r:id="rId5"/>
          <w:type w:val="continuous"/>
          <w:pgSz w:w="11910" w:h="16840"/>
          <w:pgMar w:footer="975" w:header="0" w:top="1400" w:bottom="1160" w:left="1680" w:right="1580"/>
          <w:pgNumType w:start="1"/>
        </w:sectPr>
      </w:pPr>
    </w:p>
    <w:p>
      <w:pPr>
        <w:pStyle w:val="BodyText"/>
        <w:spacing w:line="278" w:lineRule="auto" w:before="177"/>
        <w:ind w:right="211"/>
      </w:pPr>
      <w:r>
        <w:rPr>
          <w:spacing w:val="-27"/>
        </w:rPr>
        <w:t>在本条款中，“您”指投保人，“我们”、“本公司”均指长生人寿保险有限公司，“本合同”</w:t>
      </w:r>
      <w:r>
        <w:rPr>
          <w:spacing w:val="-1"/>
        </w:rPr>
        <w:t>指您与我们之间订立的《长生吉星普照两全保险 </w:t>
      </w:r>
      <w:r>
        <w:rPr/>
        <w:t>B</w:t>
      </w:r>
      <w:r>
        <w:rPr>
          <w:spacing w:val="-5"/>
        </w:rPr>
        <w:t> 款》合同。</w:t>
      </w:r>
    </w:p>
    <w:p>
      <w:pPr>
        <w:pStyle w:val="BodyText"/>
        <w:spacing w:before="4"/>
        <w:ind w:left="0"/>
        <w:rPr>
          <w:sz w:val="24"/>
        </w:rPr>
      </w:pPr>
    </w:p>
    <w:p>
      <w:pPr>
        <w:pStyle w:val="Heading1"/>
        <w:ind w:right="2680"/>
      </w:pPr>
      <w:bookmarkStart w:name="_bookmark0" w:id="1"/>
      <w:bookmarkEnd w:id="1"/>
      <w:r>
        <w:rPr>
          <w:b w:val="0"/>
        </w:rPr>
      </w:r>
      <w:r>
        <w:rPr>
          <w:spacing w:val="-6"/>
        </w:rPr>
        <w:t>第一章 保险合同构成及投保范围</w:t>
      </w:r>
    </w:p>
    <w:p>
      <w:pPr>
        <w:pStyle w:val="BodyText"/>
        <w:spacing w:before="9"/>
        <w:ind w:left="0"/>
        <w:rPr>
          <w:b/>
          <w:sz w:val="27"/>
        </w:rPr>
      </w:pPr>
    </w:p>
    <w:p>
      <w:pPr>
        <w:pStyle w:val="BodyText"/>
        <w:tabs>
          <w:tab w:pos="1397" w:val="left" w:leader="none"/>
        </w:tabs>
      </w:pPr>
      <w:bookmarkStart w:name="_bookmark1" w:id="2"/>
      <w:bookmarkEnd w:id="2"/>
      <w:r>
        <w:rPr/>
      </w:r>
      <w:r>
        <w:rPr/>
        <w:t>第一</w:t>
      </w:r>
      <w:r>
        <w:rPr>
          <w:spacing w:val="-10"/>
        </w:rPr>
        <w:t>条</w:t>
      </w:r>
      <w:r>
        <w:rPr/>
        <w:tab/>
      </w:r>
      <w:r>
        <w:rPr>
          <w:spacing w:val="-2"/>
        </w:rPr>
        <w:t>保</w:t>
      </w:r>
      <w:r>
        <w:rPr>
          <w:spacing w:val="-2"/>
        </w:rPr>
        <w:t>险</w:t>
      </w:r>
      <w:r>
        <w:rPr>
          <w:spacing w:val="-2"/>
        </w:rPr>
        <w:t>合同</w:t>
      </w:r>
      <w:r>
        <w:rPr>
          <w:spacing w:val="-2"/>
        </w:rPr>
        <w:t>构</w:t>
      </w:r>
      <w:r>
        <w:rPr>
          <w:spacing w:val="-10"/>
        </w:rPr>
        <w:t>成</w:t>
      </w:r>
    </w:p>
    <w:p>
      <w:pPr>
        <w:pStyle w:val="BodyText"/>
        <w:spacing w:line="278" w:lineRule="auto" w:before="43"/>
        <w:ind w:right="117"/>
      </w:pPr>
      <w:r>
        <w:rPr>
          <w:spacing w:val="-2"/>
        </w:rPr>
        <w:t>本合同由保险单及其所附条款、声明、批注，以及与本合同有关的投保单、其他投保文件、</w:t>
      </w:r>
      <w:r>
        <w:rPr>
          <w:spacing w:val="-2"/>
        </w:rPr>
        <w:t>体检报告书、效力恢复申请书及其他约定书共同构成。</w:t>
      </w:r>
    </w:p>
    <w:p>
      <w:pPr>
        <w:pStyle w:val="BodyText"/>
        <w:spacing w:before="4"/>
        <w:ind w:left="0"/>
        <w:rPr>
          <w:sz w:val="24"/>
        </w:rPr>
      </w:pPr>
    </w:p>
    <w:p>
      <w:pPr>
        <w:pStyle w:val="BodyText"/>
        <w:tabs>
          <w:tab w:pos="1397" w:val="left" w:leader="none"/>
        </w:tabs>
      </w:pPr>
      <w:bookmarkStart w:name="_bookmark2" w:id="3"/>
      <w:bookmarkEnd w:id="3"/>
      <w:r>
        <w:rPr/>
      </w:r>
      <w:r>
        <w:rPr/>
        <w:t>第二</w:t>
      </w:r>
      <w:r>
        <w:rPr>
          <w:spacing w:val="-10"/>
        </w:rPr>
        <w:t>条</w:t>
      </w:r>
      <w:r>
        <w:rPr/>
        <w:tab/>
      </w:r>
      <w:r>
        <w:rPr>
          <w:spacing w:val="-2"/>
        </w:rPr>
        <w:t>投</w:t>
      </w:r>
      <w:r>
        <w:rPr>
          <w:spacing w:val="-2"/>
        </w:rPr>
        <w:t>保</w:t>
      </w:r>
      <w:r>
        <w:rPr>
          <w:spacing w:val="-2"/>
        </w:rPr>
        <w:t>范</w:t>
      </w:r>
      <w:r>
        <w:rPr>
          <w:spacing w:val="-10"/>
        </w:rPr>
        <w:t>围</w:t>
      </w:r>
    </w:p>
    <w:p>
      <w:pPr>
        <w:pStyle w:val="BodyText"/>
        <w:spacing w:before="43"/>
      </w:pPr>
      <w:r>
        <w:rPr>
          <w:spacing w:val="-3"/>
        </w:rPr>
        <w:t>本合同接受的被保险人的投保年龄为十八周岁至五十五周岁。</w:t>
      </w:r>
    </w:p>
    <w:p>
      <w:pPr>
        <w:pStyle w:val="BodyText"/>
        <w:spacing w:before="9"/>
        <w:ind w:left="0"/>
        <w:rPr>
          <w:sz w:val="27"/>
        </w:rPr>
      </w:pPr>
    </w:p>
    <w:p>
      <w:pPr>
        <w:pStyle w:val="Heading1"/>
        <w:spacing w:before="1"/>
      </w:pPr>
      <w:bookmarkStart w:name="_bookmark3" w:id="4"/>
      <w:bookmarkEnd w:id="4"/>
      <w:r>
        <w:rPr>
          <w:b w:val="0"/>
        </w:rPr>
      </w:r>
      <w:r>
        <w:rPr>
          <w:spacing w:val="-5"/>
        </w:rPr>
        <w:t>第二章 保险责任及责任免除</w:t>
      </w:r>
    </w:p>
    <w:p>
      <w:pPr>
        <w:pStyle w:val="BodyText"/>
        <w:spacing w:before="8"/>
        <w:ind w:left="0"/>
        <w:rPr>
          <w:b/>
          <w:sz w:val="27"/>
        </w:rPr>
      </w:pPr>
    </w:p>
    <w:p>
      <w:pPr>
        <w:pStyle w:val="BodyText"/>
        <w:tabs>
          <w:tab w:pos="1397" w:val="left" w:leader="none"/>
        </w:tabs>
        <w:spacing w:before="1"/>
      </w:pPr>
      <w:bookmarkStart w:name="_bookmark4" w:id="5"/>
      <w:bookmarkEnd w:id="5"/>
      <w:r>
        <w:rPr/>
      </w:r>
      <w:r>
        <w:rPr/>
        <w:t>第三</w:t>
      </w:r>
      <w:r>
        <w:rPr>
          <w:spacing w:val="-10"/>
        </w:rPr>
        <w:t>条</w:t>
      </w:r>
      <w:r>
        <w:rPr/>
        <w:tab/>
      </w:r>
      <w:r>
        <w:rPr>
          <w:spacing w:val="-2"/>
        </w:rPr>
        <w:t>保</w:t>
      </w:r>
      <w:r>
        <w:rPr>
          <w:spacing w:val="-2"/>
        </w:rPr>
        <w:t>险</w:t>
      </w:r>
      <w:r>
        <w:rPr>
          <w:spacing w:val="-2"/>
        </w:rPr>
        <w:t>责</w:t>
      </w:r>
      <w:r>
        <w:rPr>
          <w:spacing w:val="-10"/>
        </w:rPr>
        <w:t>任</w:t>
      </w:r>
    </w:p>
    <w:p>
      <w:pPr>
        <w:pStyle w:val="BodyText"/>
        <w:spacing w:before="42"/>
      </w:pPr>
      <w:r>
        <w:rPr>
          <w:spacing w:val="-6"/>
        </w:rPr>
        <w:t>一、 身故保险金、高残保险金</w:t>
      </w:r>
    </w:p>
    <w:p>
      <w:pPr>
        <w:pStyle w:val="BodyText"/>
        <w:spacing w:line="278" w:lineRule="auto" w:before="33"/>
        <w:ind w:right="212"/>
      </w:pPr>
      <w:r>
        <w:rPr>
          <w:spacing w:val="-2"/>
        </w:rPr>
        <w:t>若被保险人在本合同有效期内身故或</w:t>
      </w:r>
      <w:r>
        <w:rPr>
          <w:b/>
          <w:spacing w:val="-2"/>
        </w:rPr>
        <w:t>身体高度残疾</w:t>
      </w:r>
      <w:r>
        <w:rPr>
          <w:b/>
          <w:spacing w:val="-2"/>
          <w:position w:val="11"/>
          <w:sz w:val="11"/>
        </w:rPr>
        <w:t>1</w:t>
      </w:r>
      <w:r>
        <w:rPr>
          <w:spacing w:val="-2"/>
        </w:rPr>
        <w:t>，我们将按累计保险费乘以下表所对应</w:t>
      </w:r>
      <w:r>
        <w:rPr>
          <w:spacing w:val="-2"/>
        </w:rPr>
        <w:t>的比例给付身故保险金或高残保险金，本合同终止：</w:t>
      </w:r>
    </w:p>
    <w:tbl>
      <w:tblPr>
        <w:tblW w:w="0" w:type="auto"/>
        <w:jc w:val="left"/>
        <w:tblInd w:w="4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681"/>
        <w:gridCol w:w="2124"/>
      </w:tblGrid>
      <w:tr>
        <w:trPr>
          <w:trHeight w:val="311" w:hRule="atLeast"/>
        </w:trPr>
        <w:tc>
          <w:tcPr>
            <w:tcW w:w="4681" w:type="dxa"/>
          </w:tcPr>
          <w:p>
            <w:pPr>
              <w:pStyle w:val="TableParagraph"/>
              <w:ind w:left="436" w:right="432"/>
              <w:rPr>
                <w:b/>
                <w:sz w:val="11"/>
              </w:rPr>
            </w:pPr>
            <w:r>
              <w:rPr>
                <w:b/>
                <w:w w:val="95"/>
                <w:sz w:val="22"/>
              </w:rPr>
              <w:t>身</w:t>
            </w:r>
            <w:r>
              <w:rPr>
                <w:b/>
                <w:w w:val="95"/>
                <w:sz w:val="22"/>
              </w:rPr>
              <w:t>故</w:t>
            </w:r>
            <w:r>
              <w:rPr>
                <w:b/>
                <w:w w:val="95"/>
                <w:sz w:val="22"/>
              </w:rPr>
              <w:t>或</w:t>
            </w:r>
            <w:r>
              <w:rPr>
                <w:b/>
                <w:w w:val="95"/>
                <w:sz w:val="21"/>
              </w:rPr>
              <w:t>身</w:t>
            </w:r>
            <w:r>
              <w:rPr>
                <w:b/>
                <w:w w:val="95"/>
                <w:sz w:val="21"/>
              </w:rPr>
              <w:t>体</w:t>
            </w:r>
            <w:r>
              <w:rPr>
                <w:b/>
                <w:w w:val="95"/>
                <w:sz w:val="21"/>
              </w:rPr>
              <w:t>高</w:t>
            </w:r>
            <w:r>
              <w:rPr>
                <w:b/>
                <w:w w:val="95"/>
                <w:sz w:val="21"/>
              </w:rPr>
              <w:t>度</w:t>
            </w:r>
            <w:r>
              <w:rPr>
                <w:b/>
                <w:w w:val="95"/>
                <w:sz w:val="21"/>
              </w:rPr>
              <w:t>残</w:t>
            </w:r>
            <w:r>
              <w:rPr>
                <w:b/>
                <w:w w:val="95"/>
                <w:sz w:val="21"/>
              </w:rPr>
              <w:t>疾</w:t>
            </w:r>
            <w:r>
              <w:rPr>
                <w:b/>
                <w:w w:val="95"/>
                <w:sz w:val="22"/>
              </w:rPr>
              <w:t>时被</w:t>
            </w:r>
            <w:r>
              <w:rPr>
                <w:b/>
                <w:w w:val="95"/>
                <w:sz w:val="22"/>
              </w:rPr>
              <w:t>保</w:t>
            </w:r>
            <w:r>
              <w:rPr>
                <w:b/>
                <w:w w:val="95"/>
                <w:sz w:val="22"/>
              </w:rPr>
              <w:t>险</w:t>
            </w:r>
            <w:r>
              <w:rPr>
                <w:b/>
                <w:w w:val="95"/>
                <w:sz w:val="22"/>
              </w:rPr>
              <w:t>人</w:t>
            </w:r>
            <w:r>
              <w:rPr>
                <w:b/>
                <w:w w:val="95"/>
                <w:sz w:val="22"/>
              </w:rPr>
              <w:t>到</w:t>
            </w:r>
            <w:r>
              <w:rPr>
                <w:b/>
                <w:w w:val="95"/>
                <w:sz w:val="22"/>
              </w:rPr>
              <w:t>达</w:t>
            </w:r>
            <w:r>
              <w:rPr>
                <w:b/>
                <w:w w:val="95"/>
                <w:sz w:val="22"/>
              </w:rPr>
              <w:t>年</w:t>
            </w:r>
            <w:r>
              <w:rPr>
                <w:b/>
                <w:w w:val="95"/>
                <w:sz w:val="22"/>
              </w:rPr>
              <w:t>龄</w:t>
            </w:r>
            <w:r>
              <w:rPr>
                <w:b/>
                <w:spacing w:val="-10"/>
                <w:w w:val="95"/>
                <w:position w:val="11"/>
                <w:sz w:val="11"/>
              </w:rPr>
              <w:t>2</w:t>
            </w:r>
          </w:p>
        </w:tc>
        <w:tc>
          <w:tcPr>
            <w:tcW w:w="2124" w:type="dxa"/>
          </w:tcPr>
          <w:p>
            <w:pPr>
              <w:pStyle w:val="TableParagraph"/>
              <w:rPr>
                <w:b/>
                <w:sz w:val="22"/>
              </w:rPr>
            </w:pPr>
            <w:r>
              <w:rPr>
                <w:b/>
                <w:w w:val="95"/>
                <w:sz w:val="22"/>
              </w:rPr>
              <w:t>给</w:t>
            </w:r>
            <w:r>
              <w:rPr>
                <w:b/>
                <w:w w:val="95"/>
                <w:sz w:val="22"/>
              </w:rPr>
              <w:t>付</w:t>
            </w:r>
            <w:r>
              <w:rPr>
                <w:b/>
                <w:w w:val="95"/>
                <w:sz w:val="22"/>
              </w:rPr>
              <w:t>比</w:t>
            </w:r>
            <w:r>
              <w:rPr>
                <w:b/>
                <w:spacing w:val="-10"/>
                <w:w w:val="95"/>
                <w:sz w:val="22"/>
              </w:rPr>
              <w:t>例</w:t>
            </w:r>
          </w:p>
        </w:tc>
      </w:tr>
      <w:tr>
        <w:trPr>
          <w:trHeight w:val="311" w:hRule="atLeast"/>
        </w:trPr>
        <w:tc>
          <w:tcPr>
            <w:tcW w:w="4681" w:type="dxa"/>
          </w:tcPr>
          <w:p>
            <w:pPr>
              <w:pStyle w:val="TableParagraph"/>
              <w:ind w:left="434" w:right="432"/>
              <w:rPr>
                <w:b/>
                <w:sz w:val="11"/>
              </w:rPr>
            </w:pPr>
            <w:r>
              <w:rPr>
                <w:w w:val="95"/>
                <w:sz w:val="22"/>
              </w:rPr>
              <w:t>18</w:t>
            </w:r>
            <w:r>
              <w:rPr>
                <w:spacing w:val="-22"/>
                <w:w w:val="95"/>
                <w:sz w:val="22"/>
              </w:rPr>
              <w:t> 至 </w:t>
            </w:r>
            <w:r>
              <w:rPr>
                <w:w w:val="95"/>
                <w:sz w:val="22"/>
              </w:rPr>
              <w:t>40</w:t>
            </w:r>
            <w:r>
              <w:rPr>
                <w:spacing w:val="-36"/>
                <w:w w:val="95"/>
                <w:sz w:val="22"/>
              </w:rPr>
              <w:t> </w:t>
            </w:r>
            <w:r>
              <w:rPr>
                <w:b/>
                <w:w w:val="95"/>
                <w:sz w:val="22"/>
              </w:rPr>
              <w:t>周</w:t>
            </w:r>
            <w:r>
              <w:rPr>
                <w:b/>
                <w:w w:val="95"/>
                <w:sz w:val="22"/>
              </w:rPr>
              <w:t>岁</w:t>
            </w:r>
            <w:r>
              <w:rPr>
                <w:b/>
                <w:spacing w:val="-10"/>
                <w:w w:val="95"/>
                <w:position w:val="11"/>
                <w:sz w:val="11"/>
              </w:rPr>
              <w:t>3</w:t>
            </w:r>
          </w:p>
        </w:tc>
        <w:tc>
          <w:tcPr>
            <w:tcW w:w="2124" w:type="dxa"/>
          </w:tcPr>
          <w:p>
            <w:pPr>
              <w:pStyle w:val="TableParagraph"/>
              <w:rPr>
                <w:sz w:val="22"/>
              </w:rPr>
            </w:pPr>
            <w:r>
              <w:rPr>
                <w:spacing w:val="-4"/>
                <w:sz w:val="22"/>
              </w:rPr>
              <w:t>160%</w:t>
            </w:r>
          </w:p>
        </w:tc>
      </w:tr>
      <w:tr>
        <w:trPr>
          <w:trHeight w:val="311" w:hRule="atLeast"/>
        </w:trPr>
        <w:tc>
          <w:tcPr>
            <w:tcW w:w="4681" w:type="dxa"/>
          </w:tcPr>
          <w:p>
            <w:pPr>
              <w:pStyle w:val="TableParagraph"/>
              <w:ind w:left="436" w:right="427"/>
              <w:rPr>
                <w:sz w:val="22"/>
              </w:rPr>
            </w:pPr>
            <w:r>
              <w:rPr>
                <w:sz w:val="22"/>
              </w:rPr>
              <w:t>41</w:t>
            </w:r>
            <w:r>
              <w:rPr>
                <w:spacing w:val="-37"/>
                <w:sz w:val="22"/>
              </w:rPr>
              <w:t> 至 </w:t>
            </w:r>
            <w:r>
              <w:rPr>
                <w:sz w:val="22"/>
              </w:rPr>
              <w:t>60</w:t>
            </w:r>
            <w:r>
              <w:rPr>
                <w:spacing w:val="-23"/>
                <w:sz w:val="22"/>
              </w:rPr>
              <w:t> 周岁</w:t>
            </w:r>
          </w:p>
        </w:tc>
        <w:tc>
          <w:tcPr>
            <w:tcW w:w="2124" w:type="dxa"/>
          </w:tcPr>
          <w:p>
            <w:pPr>
              <w:pStyle w:val="TableParagraph"/>
              <w:rPr>
                <w:sz w:val="22"/>
              </w:rPr>
            </w:pPr>
            <w:r>
              <w:rPr>
                <w:spacing w:val="-4"/>
                <w:sz w:val="22"/>
              </w:rPr>
              <w:t>140%</w:t>
            </w:r>
          </w:p>
        </w:tc>
      </w:tr>
      <w:tr>
        <w:trPr>
          <w:trHeight w:val="313" w:hRule="atLeast"/>
        </w:trPr>
        <w:tc>
          <w:tcPr>
            <w:tcW w:w="4681" w:type="dxa"/>
          </w:tcPr>
          <w:p>
            <w:pPr>
              <w:pStyle w:val="TableParagraph"/>
              <w:spacing w:line="277" w:lineRule="exact"/>
              <w:ind w:left="436" w:right="427"/>
              <w:rPr>
                <w:sz w:val="22"/>
              </w:rPr>
            </w:pPr>
            <w:r>
              <w:rPr>
                <w:spacing w:val="-2"/>
                <w:sz w:val="22"/>
              </w:rPr>
              <w:t>61</w:t>
            </w:r>
            <w:r>
              <w:rPr>
                <w:spacing w:val="-14"/>
                <w:sz w:val="22"/>
              </w:rPr>
              <w:t> 周岁以上</w:t>
            </w:r>
          </w:p>
        </w:tc>
        <w:tc>
          <w:tcPr>
            <w:tcW w:w="2124" w:type="dxa"/>
          </w:tcPr>
          <w:p>
            <w:pPr>
              <w:pStyle w:val="TableParagraph"/>
              <w:spacing w:line="277" w:lineRule="exact"/>
              <w:rPr>
                <w:sz w:val="22"/>
              </w:rPr>
            </w:pPr>
            <w:r>
              <w:rPr>
                <w:spacing w:val="-4"/>
                <w:sz w:val="22"/>
              </w:rPr>
              <w:t>120%</w:t>
            </w:r>
          </w:p>
        </w:tc>
      </w:tr>
    </w:tbl>
    <w:p>
      <w:pPr>
        <w:pStyle w:val="BodyText"/>
        <w:spacing w:line="278" w:lineRule="auto"/>
        <w:ind w:right="1846"/>
      </w:pPr>
      <w:r>
        <w:rPr>
          <w:spacing w:val="-2"/>
        </w:rPr>
        <w:t>其中，在交费期限内，累计保险费=本合同的</w:t>
      </w:r>
      <w:r>
        <w:rPr>
          <w:b/>
          <w:spacing w:val="-2"/>
        </w:rPr>
        <w:t>年交保险费</w:t>
      </w:r>
      <w:r>
        <w:rPr>
          <w:spacing w:val="-2"/>
          <w:position w:val="11"/>
          <w:sz w:val="11"/>
        </w:rPr>
        <w:t>4</w:t>
      </w:r>
      <w:r>
        <w:rPr>
          <w:spacing w:val="-2"/>
        </w:rPr>
        <w:t>×保险单年度；</w:t>
      </w:r>
      <w:r>
        <w:rPr>
          <w:spacing w:val="-2"/>
        </w:rPr>
        <w:t>在交费期满后，累计保险费=本合同的年交保险费×交费期间。</w:t>
      </w:r>
    </w:p>
    <w:p>
      <w:pPr>
        <w:pStyle w:val="BodyText"/>
        <w:spacing w:before="5"/>
        <w:ind w:left="0"/>
        <w:rPr>
          <w:sz w:val="24"/>
        </w:rPr>
      </w:pPr>
      <w:r>
        <w:rPr/>
        <w:drawing>
          <wp:anchor distT="0" distB="0" distL="0" distR="0" allowOverlap="1" layoutInCell="1" locked="0" behindDoc="0" simplePos="0" relativeHeight="1">
            <wp:simplePos x="0" y="0"/>
            <wp:positionH relativeFrom="page">
              <wp:posOffset>1143304</wp:posOffset>
            </wp:positionH>
            <wp:positionV relativeFrom="paragraph">
              <wp:posOffset>214280</wp:posOffset>
            </wp:positionV>
            <wp:extent cx="1829015" cy="6096"/>
            <wp:effectExtent l="0" t="0" r="0" b="0"/>
            <wp:wrapTopAndBottom/>
            <wp:docPr id="3" name="image2.png"/>
            <wp:cNvGraphicFramePr>
              <a:graphicFrameLocks noChangeAspect="1"/>
            </wp:cNvGraphicFramePr>
            <a:graphic>
              <a:graphicData uri="http://schemas.openxmlformats.org/drawingml/2006/picture">
                <pic:pic>
                  <pic:nvPicPr>
                    <pic:cNvPr id="4" name="image2.png"/>
                    <pic:cNvPicPr/>
                  </pic:nvPicPr>
                  <pic:blipFill>
                    <a:blip r:embed="rId7" cstate="print"/>
                    <a:stretch>
                      <a:fillRect/>
                    </a:stretch>
                  </pic:blipFill>
                  <pic:spPr>
                    <a:xfrm>
                      <a:off x="0" y="0"/>
                      <a:ext cx="1829015" cy="6096"/>
                    </a:xfrm>
                    <a:prstGeom prst="rect">
                      <a:avLst/>
                    </a:prstGeom>
                  </pic:spPr>
                </pic:pic>
              </a:graphicData>
            </a:graphic>
          </wp:anchor>
        </w:drawing>
      </w:r>
    </w:p>
    <w:p>
      <w:pPr>
        <w:pStyle w:val="ListParagraph"/>
        <w:numPr>
          <w:ilvl w:val="0"/>
          <w:numId w:val="1"/>
        </w:numPr>
        <w:tabs>
          <w:tab w:pos="282" w:val="left" w:leader="none"/>
        </w:tabs>
        <w:spacing w:line="240" w:lineRule="auto" w:before="62" w:after="0"/>
        <w:ind w:left="281" w:right="0" w:hanging="162"/>
        <w:jc w:val="left"/>
        <w:rPr>
          <w:sz w:val="18"/>
        </w:rPr>
      </w:pPr>
      <w:r>
        <w:rPr>
          <w:b/>
          <w:w w:val="95"/>
          <w:sz w:val="18"/>
        </w:rPr>
        <w:t>身</w:t>
      </w:r>
      <w:r>
        <w:rPr>
          <w:b/>
          <w:w w:val="95"/>
          <w:sz w:val="18"/>
        </w:rPr>
        <w:t>体</w:t>
      </w:r>
      <w:r>
        <w:rPr>
          <w:b/>
          <w:w w:val="95"/>
          <w:sz w:val="18"/>
        </w:rPr>
        <w:t>高</w:t>
      </w:r>
      <w:r>
        <w:rPr>
          <w:b/>
          <w:w w:val="95"/>
          <w:sz w:val="18"/>
        </w:rPr>
        <w:t>度</w:t>
      </w:r>
      <w:r>
        <w:rPr>
          <w:b/>
          <w:w w:val="95"/>
          <w:sz w:val="18"/>
        </w:rPr>
        <w:t>残</w:t>
      </w:r>
      <w:r>
        <w:rPr>
          <w:b/>
          <w:w w:val="95"/>
          <w:sz w:val="18"/>
        </w:rPr>
        <w:t>疾：</w:t>
      </w:r>
      <w:r>
        <w:rPr>
          <w:w w:val="95"/>
          <w:sz w:val="18"/>
        </w:rPr>
        <w:t>本</w:t>
      </w:r>
      <w:r>
        <w:rPr>
          <w:w w:val="95"/>
          <w:sz w:val="18"/>
        </w:rPr>
        <w:t>合</w:t>
      </w:r>
      <w:r>
        <w:rPr>
          <w:w w:val="95"/>
          <w:sz w:val="18"/>
        </w:rPr>
        <w:t>同</w:t>
      </w:r>
      <w:r>
        <w:rPr>
          <w:w w:val="95"/>
          <w:sz w:val="18"/>
        </w:rPr>
        <w:t>所</w:t>
      </w:r>
      <w:r>
        <w:rPr>
          <w:w w:val="95"/>
          <w:sz w:val="18"/>
        </w:rPr>
        <w:t>称</w:t>
      </w:r>
      <w:r>
        <w:rPr>
          <w:w w:val="95"/>
          <w:sz w:val="18"/>
        </w:rPr>
        <w:t>的</w:t>
      </w:r>
      <w:r>
        <w:rPr>
          <w:w w:val="95"/>
          <w:sz w:val="18"/>
        </w:rPr>
        <w:t>身</w:t>
      </w:r>
      <w:r>
        <w:rPr>
          <w:w w:val="95"/>
          <w:sz w:val="18"/>
        </w:rPr>
        <w:t>体</w:t>
      </w:r>
      <w:r>
        <w:rPr>
          <w:w w:val="95"/>
          <w:sz w:val="18"/>
        </w:rPr>
        <w:t>高</w:t>
      </w:r>
      <w:r>
        <w:rPr>
          <w:w w:val="95"/>
          <w:sz w:val="18"/>
        </w:rPr>
        <w:t>度</w:t>
      </w:r>
      <w:r>
        <w:rPr>
          <w:w w:val="95"/>
          <w:sz w:val="18"/>
        </w:rPr>
        <w:t>残</w:t>
      </w:r>
      <w:r>
        <w:rPr>
          <w:w w:val="95"/>
          <w:sz w:val="18"/>
        </w:rPr>
        <w:t>疾</w:t>
      </w:r>
      <w:r>
        <w:rPr>
          <w:w w:val="95"/>
          <w:sz w:val="18"/>
        </w:rPr>
        <w:t>是</w:t>
      </w:r>
      <w:r>
        <w:rPr>
          <w:w w:val="95"/>
          <w:sz w:val="18"/>
        </w:rPr>
        <w:t>指</w:t>
      </w:r>
      <w:r>
        <w:rPr>
          <w:w w:val="95"/>
          <w:sz w:val="18"/>
        </w:rPr>
        <w:t>下</w:t>
      </w:r>
      <w:r>
        <w:rPr>
          <w:w w:val="95"/>
          <w:sz w:val="18"/>
        </w:rPr>
        <w:t>列</w:t>
      </w:r>
      <w:r>
        <w:rPr>
          <w:w w:val="95"/>
          <w:sz w:val="18"/>
        </w:rPr>
        <w:t>情</w:t>
      </w:r>
      <w:r>
        <w:rPr>
          <w:w w:val="95"/>
          <w:sz w:val="18"/>
        </w:rPr>
        <w:t>形</w:t>
      </w:r>
      <w:r>
        <w:rPr>
          <w:w w:val="95"/>
          <w:sz w:val="18"/>
        </w:rPr>
        <w:t>之</w:t>
      </w:r>
      <w:r>
        <w:rPr>
          <w:w w:val="95"/>
          <w:sz w:val="18"/>
        </w:rPr>
        <w:t>一</w:t>
      </w:r>
      <w:r>
        <w:rPr>
          <w:spacing w:val="-10"/>
          <w:w w:val="95"/>
          <w:sz w:val="18"/>
        </w:rPr>
        <w:t>：</w:t>
      </w:r>
    </w:p>
    <w:p>
      <w:pPr>
        <w:pStyle w:val="ListParagraph"/>
        <w:numPr>
          <w:ilvl w:val="1"/>
          <w:numId w:val="1"/>
        </w:numPr>
        <w:tabs>
          <w:tab w:pos="661" w:val="left" w:leader="none"/>
        </w:tabs>
        <w:spacing w:line="240" w:lineRule="auto" w:before="2" w:after="0"/>
        <w:ind w:left="660" w:right="0" w:hanging="361"/>
        <w:jc w:val="left"/>
        <w:rPr>
          <w:sz w:val="18"/>
        </w:rPr>
      </w:pPr>
      <w:r>
        <w:rPr>
          <w:sz w:val="18"/>
        </w:rPr>
        <w:t>双目永久完全失明（注 </w:t>
      </w:r>
      <w:r>
        <w:rPr>
          <w:spacing w:val="-66"/>
          <w:sz w:val="18"/>
        </w:rPr>
        <w:t>1）；</w:t>
      </w:r>
    </w:p>
    <w:p>
      <w:pPr>
        <w:pStyle w:val="ListParagraph"/>
        <w:numPr>
          <w:ilvl w:val="1"/>
          <w:numId w:val="1"/>
        </w:numPr>
        <w:tabs>
          <w:tab w:pos="661" w:val="left" w:leader="none"/>
        </w:tabs>
        <w:spacing w:line="240" w:lineRule="auto" w:before="2" w:after="0"/>
        <w:ind w:left="660" w:right="0" w:hanging="361"/>
        <w:jc w:val="left"/>
        <w:rPr>
          <w:sz w:val="18"/>
        </w:rPr>
      </w:pPr>
      <w:r>
        <w:rPr>
          <w:spacing w:val="-1"/>
          <w:sz w:val="18"/>
        </w:rPr>
        <w:t>两上肢腕关节以上或两下肢踝关节以上缺失；</w:t>
      </w:r>
    </w:p>
    <w:p>
      <w:pPr>
        <w:pStyle w:val="ListParagraph"/>
        <w:numPr>
          <w:ilvl w:val="1"/>
          <w:numId w:val="1"/>
        </w:numPr>
        <w:tabs>
          <w:tab w:pos="661" w:val="left" w:leader="none"/>
        </w:tabs>
        <w:spacing w:line="240" w:lineRule="auto" w:before="5" w:after="0"/>
        <w:ind w:left="660" w:right="0" w:hanging="361"/>
        <w:jc w:val="left"/>
        <w:rPr>
          <w:sz w:val="18"/>
        </w:rPr>
      </w:pPr>
      <w:r>
        <w:rPr>
          <w:spacing w:val="-1"/>
          <w:sz w:val="18"/>
        </w:rPr>
        <w:t>一上肢腕关节以上及一下肢踝关节以上缺失；</w:t>
      </w:r>
    </w:p>
    <w:p>
      <w:pPr>
        <w:pStyle w:val="ListParagraph"/>
        <w:numPr>
          <w:ilvl w:val="1"/>
          <w:numId w:val="1"/>
        </w:numPr>
        <w:tabs>
          <w:tab w:pos="661" w:val="left" w:leader="none"/>
        </w:tabs>
        <w:spacing w:line="240" w:lineRule="auto" w:before="2" w:after="0"/>
        <w:ind w:left="660" w:right="0" w:hanging="361"/>
        <w:jc w:val="left"/>
        <w:rPr>
          <w:sz w:val="18"/>
        </w:rPr>
      </w:pPr>
      <w:r>
        <w:rPr>
          <w:spacing w:val="-1"/>
          <w:sz w:val="18"/>
        </w:rPr>
        <w:t>一目永久完全失明及一上肢腕关节以上缺失；</w:t>
      </w:r>
    </w:p>
    <w:p>
      <w:pPr>
        <w:pStyle w:val="ListParagraph"/>
        <w:numPr>
          <w:ilvl w:val="1"/>
          <w:numId w:val="1"/>
        </w:numPr>
        <w:tabs>
          <w:tab w:pos="661" w:val="left" w:leader="none"/>
        </w:tabs>
        <w:spacing w:line="240" w:lineRule="auto" w:before="2" w:after="0"/>
        <w:ind w:left="660" w:right="0" w:hanging="361"/>
        <w:jc w:val="left"/>
        <w:rPr>
          <w:sz w:val="18"/>
        </w:rPr>
      </w:pPr>
      <w:r>
        <w:rPr>
          <w:spacing w:val="-1"/>
          <w:sz w:val="18"/>
        </w:rPr>
        <w:t>一目永久完全失明及一下肢踝关节以上缺失；</w:t>
      </w:r>
    </w:p>
    <w:p>
      <w:pPr>
        <w:pStyle w:val="ListParagraph"/>
        <w:numPr>
          <w:ilvl w:val="1"/>
          <w:numId w:val="1"/>
        </w:numPr>
        <w:tabs>
          <w:tab w:pos="661" w:val="left" w:leader="none"/>
        </w:tabs>
        <w:spacing w:line="240" w:lineRule="auto" w:before="2" w:after="0"/>
        <w:ind w:left="660" w:right="0" w:hanging="361"/>
        <w:jc w:val="left"/>
        <w:rPr>
          <w:sz w:val="18"/>
        </w:rPr>
      </w:pPr>
      <w:r>
        <w:rPr>
          <w:sz w:val="18"/>
        </w:rPr>
        <w:t>四肢关节机能永久完全丧失（注 </w:t>
      </w:r>
      <w:r>
        <w:rPr>
          <w:spacing w:val="-66"/>
          <w:sz w:val="18"/>
        </w:rPr>
        <w:t>2）；</w:t>
      </w:r>
    </w:p>
    <w:p>
      <w:pPr>
        <w:pStyle w:val="ListParagraph"/>
        <w:numPr>
          <w:ilvl w:val="1"/>
          <w:numId w:val="1"/>
        </w:numPr>
        <w:tabs>
          <w:tab w:pos="661" w:val="left" w:leader="none"/>
        </w:tabs>
        <w:spacing w:line="240" w:lineRule="auto" w:before="5" w:after="0"/>
        <w:ind w:left="660" w:right="0" w:hanging="361"/>
        <w:jc w:val="left"/>
        <w:rPr>
          <w:sz w:val="18"/>
        </w:rPr>
      </w:pPr>
      <w:r>
        <w:rPr>
          <w:sz w:val="18"/>
        </w:rPr>
        <w:t>咀嚼、吞咽机能永久完全丧失（注 </w:t>
      </w:r>
      <w:r>
        <w:rPr>
          <w:spacing w:val="-66"/>
          <w:sz w:val="18"/>
        </w:rPr>
        <w:t>3）；</w:t>
      </w:r>
    </w:p>
    <w:p>
      <w:pPr>
        <w:pStyle w:val="ListParagraph"/>
        <w:numPr>
          <w:ilvl w:val="1"/>
          <w:numId w:val="1"/>
        </w:numPr>
        <w:tabs>
          <w:tab w:pos="661" w:val="left" w:leader="none"/>
        </w:tabs>
        <w:spacing w:line="242" w:lineRule="auto" w:before="2" w:after="0"/>
        <w:ind w:left="658" w:right="245" w:hanging="358"/>
        <w:jc w:val="left"/>
        <w:rPr>
          <w:sz w:val="18"/>
        </w:rPr>
      </w:pPr>
      <w:r>
        <w:rPr>
          <w:spacing w:val="-2"/>
          <w:sz w:val="18"/>
        </w:rPr>
        <w:t>中枢神经系统机能或胸、腹部脏器机能极度障碍，终身不能从事任何工作，为维持生命必要的日常</w:t>
      </w:r>
      <w:r>
        <w:rPr>
          <w:sz w:val="18"/>
        </w:rPr>
        <w:t>生活活动，全需他人扶助（</w:t>
      </w:r>
      <w:r>
        <w:rPr>
          <w:spacing w:val="-21"/>
          <w:sz w:val="18"/>
        </w:rPr>
        <w:t>注 </w:t>
      </w:r>
      <w:r>
        <w:rPr>
          <w:sz w:val="18"/>
        </w:rPr>
        <w:t>4）。</w:t>
      </w:r>
    </w:p>
    <w:p>
      <w:pPr>
        <w:spacing w:line="244" w:lineRule="auto" w:before="0"/>
        <w:ind w:left="120" w:right="423" w:firstLine="0"/>
        <w:jc w:val="left"/>
        <w:rPr>
          <w:sz w:val="18"/>
        </w:rPr>
      </w:pPr>
      <w:r>
        <w:rPr>
          <w:spacing w:val="-9"/>
          <w:sz w:val="18"/>
        </w:rPr>
        <w:t>注 </w:t>
      </w:r>
      <w:r>
        <w:rPr>
          <w:sz w:val="18"/>
        </w:rPr>
        <w:t>1</w:t>
      </w:r>
      <w:r>
        <w:rPr>
          <w:spacing w:val="-4"/>
          <w:sz w:val="18"/>
        </w:rPr>
        <w:t>: 失明包括眼球缺失或摘除、或不能辨别明暗、或仅能辨别眼前手动者。最佳矫正视力低于国际标</w:t>
      </w:r>
      <w:r>
        <w:rPr>
          <w:sz w:val="18"/>
        </w:rPr>
        <w:t>准视力表0.02，或视野半径小于5 度，并由保险公司指定有资格的眼科医师出具医疗诊断证明。</w:t>
      </w:r>
    </w:p>
    <w:p>
      <w:pPr>
        <w:spacing w:line="228" w:lineRule="exact" w:before="0"/>
        <w:ind w:left="120" w:right="0" w:firstLine="0"/>
        <w:jc w:val="left"/>
        <w:rPr>
          <w:sz w:val="18"/>
        </w:rPr>
      </w:pPr>
      <w:r>
        <w:rPr>
          <w:sz w:val="18"/>
        </w:rPr>
        <w:t>注2</w:t>
      </w:r>
      <w:r>
        <w:rPr>
          <w:spacing w:val="-1"/>
          <w:sz w:val="18"/>
        </w:rPr>
        <w:t>: 关节机能的丧失系指关节永久完全僵硬、或麻痹、或关节不能随意识活动。</w:t>
      </w:r>
    </w:p>
    <w:p>
      <w:pPr>
        <w:spacing w:line="244" w:lineRule="auto" w:before="2"/>
        <w:ind w:left="120" w:right="512" w:firstLine="0"/>
        <w:jc w:val="left"/>
        <w:rPr>
          <w:sz w:val="18"/>
        </w:rPr>
      </w:pPr>
      <w:r>
        <w:rPr>
          <w:sz w:val="18"/>
        </w:rPr>
        <w:t>注3</w:t>
      </w:r>
      <w:r>
        <w:rPr>
          <w:spacing w:val="-5"/>
          <w:sz w:val="18"/>
        </w:rPr>
        <w:t>: 咀嚼、吞咽机能的丧失系指由于牙齿以外的原因引起器质障碍或机能障碍，以致不能作咀嚼、吞</w:t>
      </w:r>
      <w:r>
        <w:rPr>
          <w:spacing w:val="-2"/>
          <w:sz w:val="18"/>
        </w:rPr>
        <w:t>咽运动，除流质食物外不能摄取或吞咽的状态。</w:t>
      </w:r>
    </w:p>
    <w:p>
      <w:pPr>
        <w:spacing w:line="242" w:lineRule="auto" w:before="0"/>
        <w:ind w:left="120" w:right="512" w:firstLine="0"/>
        <w:jc w:val="left"/>
        <w:rPr>
          <w:sz w:val="18"/>
        </w:rPr>
      </w:pPr>
      <w:r>
        <w:rPr>
          <w:sz w:val="18"/>
        </w:rPr>
        <w:t>注4</w:t>
      </w:r>
      <w:r>
        <w:rPr>
          <w:spacing w:val="-5"/>
          <w:sz w:val="18"/>
        </w:rPr>
        <w:t>: 维持生命必要之日常生活活动，全需他人扶助系指食物摄取、大小便始末、穿脱衣服、起居、步</w:t>
      </w:r>
      <w:r>
        <w:rPr>
          <w:spacing w:val="-2"/>
          <w:sz w:val="18"/>
        </w:rPr>
        <w:t>行、入浴等，皆不能自己为之，需要他人帮助。</w:t>
      </w:r>
    </w:p>
    <w:p>
      <w:pPr>
        <w:spacing w:line="244" w:lineRule="auto" w:before="0"/>
        <w:ind w:left="120" w:right="423" w:firstLine="0"/>
        <w:jc w:val="left"/>
        <w:rPr>
          <w:sz w:val="18"/>
        </w:rPr>
      </w:pPr>
      <w:r>
        <w:rPr>
          <w:spacing w:val="-2"/>
          <w:sz w:val="18"/>
        </w:rPr>
        <w:t>以上所谓永久完全系指自事故发生之日起经过一百八十天后，机能仍然完全丧失，但眼球摘除等明显无</w:t>
      </w:r>
      <w:r>
        <w:rPr>
          <w:spacing w:val="-2"/>
          <w:sz w:val="18"/>
        </w:rPr>
        <w:t>法复原之情况，不在此限。</w:t>
      </w:r>
    </w:p>
    <w:p>
      <w:pPr>
        <w:pStyle w:val="ListParagraph"/>
        <w:numPr>
          <w:ilvl w:val="0"/>
          <w:numId w:val="1"/>
        </w:numPr>
        <w:tabs>
          <w:tab w:pos="282" w:val="left" w:leader="none"/>
        </w:tabs>
        <w:spacing w:line="225" w:lineRule="exact" w:before="0" w:after="0"/>
        <w:ind w:left="281" w:right="0" w:hanging="162"/>
        <w:jc w:val="left"/>
        <w:rPr>
          <w:sz w:val="18"/>
        </w:rPr>
      </w:pPr>
      <w:r>
        <w:rPr>
          <w:b/>
          <w:w w:val="95"/>
          <w:sz w:val="18"/>
        </w:rPr>
        <w:t>到</w:t>
      </w:r>
      <w:r>
        <w:rPr>
          <w:b/>
          <w:w w:val="95"/>
          <w:sz w:val="18"/>
        </w:rPr>
        <w:t>达</w:t>
      </w:r>
      <w:r>
        <w:rPr>
          <w:b/>
          <w:w w:val="95"/>
          <w:sz w:val="18"/>
        </w:rPr>
        <w:t>年龄：</w:t>
      </w:r>
      <w:r>
        <w:rPr>
          <w:w w:val="95"/>
          <w:sz w:val="18"/>
        </w:rPr>
        <w:t>是</w:t>
      </w:r>
      <w:r>
        <w:rPr>
          <w:w w:val="95"/>
          <w:sz w:val="18"/>
        </w:rPr>
        <w:t>被</w:t>
      </w:r>
      <w:r>
        <w:rPr>
          <w:w w:val="95"/>
          <w:sz w:val="18"/>
        </w:rPr>
        <w:t>保</w:t>
      </w:r>
      <w:r>
        <w:rPr>
          <w:w w:val="95"/>
          <w:sz w:val="18"/>
        </w:rPr>
        <w:t>险</w:t>
      </w:r>
      <w:r>
        <w:rPr>
          <w:w w:val="95"/>
          <w:sz w:val="18"/>
        </w:rPr>
        <w:t>人</w:t>
      </w:r>
      <w:r>
        <w:rPr>
          <w:w w:val="95"/>
          <w:sz w:val="18"/>
        </w:rPr>
        <w:t>原</w:t>
      </w:r>
      <w:r>
        <w:rPr>
          <w:w w:val="95"/>
          <w:sz w:val="18"/>
        </w:rPr>
        <w:t>始</w:t>
      </w:r>
      <w:r>
        <w:rPr>
          <w:w w:val="95"/>
          <w:sz w:val="18"/>
        </w:rPr>
        <w:t>投</w:t>
      </w:r>
      <w:r>
        <w:rPr>
          <w:w w:val="95"/>
          <w:sz w:val="18"/>
        </w:rPr>
        <w:t>保</w:t>
      </w:r>
      <w:r>
        <w:rPr>
          <w:w w:val="95"/>
          <w:sz w:val="18"/>
        </w:rPr>
        <w:t>年</w:t>
      </w:r>
      <w:r>
        <w:rPr>
          <w:w w:val="95"/>
          <w:sz w:val="18"/>
        </w:rPr>
        <w:t>龄</w:t>
      </w:r>
      <w:r>
        <w:rPr>
          <w:w w:val="95"/>
          <w:sz w:val="18"/>
        </w:rPr>
        <w:t>，</w:t>
      </w:r>
      <w:r>
        <w:rPr>
          <w:w w:val="95"/>
          <w:sz w:val="18"/>
        </w:rPr>
        <w:t>加</w:t>
      </w:r>
      <w:r>
        <w:rPr>
          <w:w w:val="95"/>
          <w:sz w:val="18"/>
        </w:rPr>
        <w:t>上</w:t>
      </w:r>
      <w:r>
        <w:rPr>
          <w:w w:val="95"/>
          <w:sz w:val="18"/>
        </w:rPr>
        <w:t>当</w:t>
      </w:r>
      <w:r>
        <w:rPr>
          <w:w w:val="95"/>
          <w:sz w:val="18"/>
        </w:rPr>
        <w:t>时</w:t>
      </w:r>
      <w:r>
        <w:rPr>
          <w:w w:val="95"/>
          <w:sz w:val="18"/>
        </w:rPr>
        <w:t>保</w:t>
      </w:r>
      <w:r>
        <w:rPr>
          <w:w w:val="95"/>
          <w:sz w:val="18"/>
        </w:rPr>
        <w:t>险</w:t>
      </w:r>
      <w:r>
        <w:rPr>
          <w:w w:val="95"/>
          <w:sz w:val="18"/>
        </w:rPr>
        <w:t>单</w:t>
      </w:r>
      <w:r>
        <w:rPr>
          <w:w w:val="95"/>
          <w:sz w:val="18"/>
        </w:rPr>
        <w:t>年</w:t>
      </w:r>
      <w:r>
        <w:rPr>
          <w:w w:val="95"/>
          <w:sz w:val="18"/>
        </w:rPr>
        <w:t>度</w:t>
      </w:r>
      <w:r>
        <w:rPr>
          <w:w w:val="95"/>
          <w:sz w:val="18"/>
        </w:rPr>
        <w:t>数</w:t>
      </w:r>
      <w:r>
        <w:rPr>
          <w:w w:val="95"/>
          <w:sz w:val="18"/>
        </w:rPr>
        <w:t>，</w:t>
      </w:r>
      <w:r>
        <w:rPr>
          <w:w w:val="95"/>
          <w:sz w:val="18"/>
        </w:rPr>
        <w:t>再</w:t>
      </w:r>
      <w:r>
        <w:rPr>
          <w:w w:val="95"/>
          <w:sz w:val="18"/>
        </w:rPr>
        <w:t>减</w:t>
      </w:r>
      <w:r>
        <w:rPr>
          <w:w w:val="95"/>
          <w:sz w:val="18"/>
        </w:rPr>
        <w:t>去</w:t>
      </w:r>
      <w:r>
        <w:rPr>
          <w:w w:val="95"/>
          <w:sz w:val="18"/>
        </w:rPr>
        <w:t>1</w:t>
      </w:r>
      <w:r>
        <w:rPr>
          <w:w w:val="95"/>
          <w:sz w:val="18"/>
        </w:rPr>
        <w:t>后</w:t>
      </w:r>
      <w:r>
        <w:rPr>
          <w:w w:val="95"/>
          <w:sz w:val="18"/>
        </w:rPr>
        <w:t>所</w:t>
      </w:r>
      <w:r>
        <w:rPr>
          <w:w w:val="95"/>
          <w:sz w:val="18"/>
        </w:rPr>
        <w:t>得</w:t>
      </w:r>
      <w:r>
        <w:rPr>
          <w:w w:val="95"/>
          <w:sz w:val="18"/>
        </w:rPr>
        <w:t>到</w:t>
      </w:r>
      <w:r>
        <w:rPr>
          <w:w w:val="95"/>
          <w:sz w:val="18"/>
        </w:rPr>
        <w:t>的</w:t>
      </w:r>
      <w:r>
        <w:rPr>
          <w:w w:val="95"/>
          <w:sz w:val="18"/>
        </w:rPr>
        <w:t>年</w:t>
      </w:r>
      <w:r>
        <w:rPr>
          <w:w w:val="95"/>
          <w:sz w:val="18"/>
        </w:rPr>
        <w:t>龄</w:t>
      </w:r>
      <w:r>
        <w:rPr>
          <w:spacing w:val="-10"/>
          <w:w w:val="95"/>
          <w:sz w:val="18"/>
        </w:rPr>
        <w:t>。</w:t>
      </w:r>
    </w:p>
    <w:p>
      <w:pPr>
        <w:pStyle w:val="ListParagraph"/>
        <w:numPr>
          <w:ilvl w:val="0"/>
          <w:numId w:val="1"/>
        </w:numPr>
        <w:tabs>
          <w:tab w:pos="282" w:val="left" w:leader="none"/>
        </w:tabs>
        <w:spacing w:line="264" w:lineRule="exact" w:before="0" w:after="0"/>
        <w:ind w:left="281" w:right="0" w:hanging="162"/>
        <w:jc w:val="left"/>
        <w:rPr>
          <w:sz w:val="18"/>
        </w:rPr>
      </w:pPr>
      <w:r>
        <w:rPr>
          <w:b/>
          <w:w w:val="95"/>
          <w:sz w:val="18"/>
        </w:rPr>
        <w:t>周</w:t>
      </w:r>
      <w:r>
        <w:rPr>
          <w:b/>
          <w:w w:val="95"/>
          <w:sz w:val="18"/>
        </w:rPr>
        <w:t>岁</w:t>
      </w:r>
      <w:r>
        <w:rPr>
          <w:b/>
          <w:w w:val="95"/>
          <w:sz w:val="18"/>
        </w:rPr>
        <w:t>：</w:t>
      </w:r>
      <w:r>
        <w:rPr>
          <w:w w:val="95"/>
          <w:sz w:val="18"/>
        </w:rPr>
        <w:t>以</w:t>
      </w:r>
      <w:r>
        <w:rPr>
          <w:w w:val="95"/>
          <w:sz w:val="18"/>
        </w:rPr>
        <w:t>有</w:t>
      </w:r>
      <w:r>
        <w:rPr>
          <w:w w:val="95"/>
          <w:sz w:val="18"/>
        </w:rPr>
        <w:t>效</w:t>
      </w:r>
      <w:r>
        <w:rPr>
          <w:w w:val="95"/>
          <w:sz w:val="18"/>
        </w:rPr>
        <w:t>身</w:t>
      </w:r>
      <w:r>
        <w:rPr>
          <w:w w:val="95"/>
          <w:sz w:val="18"/>
        </w:rPr>
        <w:t>份</w:t>
      </w:r>
      <w:r>
        <w:rPr>
          <w:w w:val="95"/>
          <w:sz w:val="18"/>
        </w:rPr>
        <w:t>证</w:t>
      </w:r>
      <w:r>
        <w:rPr>
          <w:w w:val="95"/>
          <w:sz w:val="18"/>
        </w:rPr>
        <w:t>件</w:t>
      </w:r>
      <w:r>
        <w:rPr>
          <w:w w:val="95"/>
          <w:sz w:val="18"/>
        </w:rPr>
        <w:t>中</w:t>
      </w:r>
      <w:r>
        <w:rPr>
          <w:w w:val="95"/>
          <w:sz w:val="18"/>
        </w:rPr>
        <w:t>记</w:t>
      </w:r>
      <w:r>
        <w:rPr>
          <w:w w:val="95"/>
          <w:sz w:val="18"/>
        </w:rPr>
        <w:t>载</w:t>
      </w:r>
      <w:r>
        <w:rPr>
          <w:w w:val="95"/>
          <w:sz w:val="18"/>
        </w:rPr>
        <w:t>的</w:t>
      </w:r>
      <w:r>
        <w:rPr>
          <w:w w:val="95"/>
          <w:sz w:val="18"/>
        </w:rPr>
        <w:t>出</w:t>
      </w:r>
      <w:r>
        <w:rPr>
          <w:w w:val="95"/>
          <w:sz w:val="18"/>
        </w:rPr>
        <w:t>生</w:t>
      </w:r>
      <w:r>
        <w:rPr>
          <w:w w:val="95"/>
          <w:sz w:val="18"/>
        </w:rPr>
        <w:t>日</w:t>
      </w:r>
      <w:r>
        <w:rPr>
          <w:w w:val="95"/>
          <w:sz w:val="18"/>
        </w:rPr>
        <w:t>期</w:t>
      </w:r>
      <w:r>
        <w:rPr>
          <w:w w:val="95"/>
          <w:sz w:val="18"/>
        </w:rPr>
        <w:t>为</w:t>
      </w:r>
      <w:r>
        <w:rPr>
          <w:w w:val="95"/>
          <w:sz w:val="18"/>
        </w:rPr>
        <w:t>基</w:t>
      </w:r>
      <w:r>
        <w:rPr>
          <w:w w:val="95"/>
          <w:sz w:val="18"/>
        </w:rPr>
        <w:t>准</w:t>
      </w:r>
      <w:r>
        <w:rPr>
          <w:w w:val="95"/>
          <w:sz w:val="18"/>
        </w:rPr>
        <w:t>计</w:t>
      </w:r>
      <w:r>
        <w:rPr>
          <w:w w:val="95"/>
          <w:sz w:val="18"/>
        </w:rPr>
        <w:t>算</w:t>
      </w:r>
      <w:r>
        <w:rPr>
          <w:spacing w:val="-10"/>
          <w:w w:val="95"/>
          <w:sz w:val="18"/>
        </w:rPr>
        <w:t>。</w:t>
      </w:r>
    </w:p>
    <w:p>
      <w:pPr>
        <w:spacing w:line="249" w:lineRule="auto" w:before="9"/>
        <w:ind w:left="120" w:right="270" w:firstLine="0"/>
        <w:jc w:val="left"/>
        <w:rPr>
          <w:sz w:val="18"/>
        </w:rPr>
      </w:pPr>
      <w:r>
        <w:rPr>
          <w:rFonts w:ascii="Times New Roman" w:eastAsia="Times New Roman"/>
          <w:sz w:val="18"/>
          <w:vertAlign w:val="superscript"/>
        </w:rPr>
        <w:t>4</w:t>
      </w:r>
      <w:r>
        <w:rPr>
          <w:rFonts w:ascii="Times New Roman" w:eastAsia="Times New Roman"/>
          <w:spacing w:val="14"/>
          <w:sz w:val="18"/>
          <w:vertAlign w:val="baseline"/>
        </w:rPr>
        <w:t> </w:t>
      </w:r>
      <w:r>
        <w:rPr>
          <w:b/>
          <w:sz w:val="18"/>
          <w:vertAlign w:val="baseline"/>
        </w:rPr>
        <w:t>年交保</w:t>
      </w:r>
      <w:r>
        <w:rPr>
          <w:b/>
          <w:sz w:val="18"/>
          <w:vertAlign w:val="baseline"/>
        </w:rPr>
        <w:t>险</w:t>
      </w:r>
      <w:r>
        <w:rPr>
          <w:b/>
          <w:sz w:val="18"/>
          <w:vertAlign w:val="baseline"/>
        </w:rPr>
        <w:t>费</w:t>
      </w:r>
      <w:r>
        <w:rPr>
          <w:b/>
          <w:sz w:val="18"/>
          <w:vertAlign w:val="baseline"/>
        </w:rPr>
        <w:t>：</w:t>
      </w:r>
      <w:r>
        <w:rPr>
          <w:sz w:val="18"/>
          <w:vertAlign w:val="baseline"/>
        </w:rPr>
        <w:t>根据保险事故发生时的基本保险金额及被保险人投保时的年龄等项所确定的年交保险费计</w:t>
      </w:r>
      <w:r>
        <w:rPr>
          <w:spacing w:val="-2"/>
          <w:sz w:val="18"/>
          <w:vertAlign w:val="baseline"/>
        </w:rPr>
        <w:t>算，并且不包括任何由于疾病、健康及职业等因素引起的加费部分。</w:t>
      </w:r>
    </w:p>
    <w:p>
      <w:pPr>
        <w:spacing w:after="0" w:line="249" w:lineRule="auto"/>
        <w:jc w:val="left"/>
        <w:rPr>
          <w:sz w:val="18"/>
        </w:rPr>
        <w:sectPr>
          <w:pgSz w:w="11910" w:h="16840"/>
          <w:pgMar w:header="0" w:footer="975" w:top="1580" w:bottom="1160" w:left="1680" w:right="1580"/>
        </w:sectPr>
      </w:pPr>
    </w:p>
    <w:p>
      <w:pPr>
        <w:pStyle w:val="BodyText"/>
        <w:spacing w:before="44"/>
      </w:pPr>
      <w:r>
        <w:rPr>
          <w:spacing w:val="-3"/>
        </w:rPr>
        <w:t>二、意外身故额外保险金、意外高残额外保险金</w:t>
      </w:r>
    </w:p>
    <w:p>
      <w:pPr>
        <w:pStyle w:val="BodyText"/>
        <w:spacing w:line="278" w:lineRule="auto" w:before="33"/>
        <w:ind w:right="211"/>
        <w:jc w:val="both"/>
      </w:pPr>
      <w:r>
        <w:rPr>
          <w:spacing w:val="-2"/>
        </w:rPr>
        <w:t>若被保险人在本合同有效期内遭遇</w:t>
      </w:r>
      <w:r>
        <w:rPr>
          <w:b/>
          <w:spacing w:val="-2"/>
        </w:rPr>
        <w:t>意外事故</w:t>
      </w:r>
      <w:r>
        <w:rPr>
          <w:b/>
          <w:spacing w:val="-2"/>
          <w:position w:val="11"/>
          <w:sz w:val="11"/>
        </w:rPr>
        <w:t>5</w:t>
      </w:r>
      <w:r>
        <w:rPr>
          <w:spacing w:val="-2"/>
        </w:rPr>
        <w:t>，并自意外事故发生之日起一百八十日内，以</w:t>
      </w:r>
      <w:r>
        <w:rPr>
          <w:spacing w:val="-6"/>
        </w:rPr>
        <w:t>该意外事故为直接且单独原因导致身故或身体高度残疾，则我们在给付身故保险金或高残保</w:t>
      </w:r>
      <w:r>
        <w:rPr>
          <w:spacing w:val="-2"/>
        </w:rPr>
        <w:t>险金的基础上，另按本合同的基本保险金额给付意外身故额外保险金或意外高残额外保险</w:t>
      </w:r>
      <w:r>
        <w:rPr>
          <w:spacing w:val="-2"/>
        </w:rPr>
        <w:t>金，本合同终止。</w:t>
      </w:r>
    </w:p>
    <w:p>
      <w:pPr>
        <w:pStyle w:val="BodyText"/>
        <w:spacing w:line="269" w:lineRule="exact"/>
      </w:pPr>
      <w:r>
        <w:rPr>
          <w:spacing w:val="-3"/>
        </w:rPr>
        <w:t>三、水陆交通意外身故额外保险金、水陆交通意外高残额外保险金</w:t>
      </w:r>
    </w:p>
    <w:p>
      <w:pPr>
        <w:pStyle w:val="ListParagraph"/>
        <w:numPr>
          <w:ilvl w:val="0"/>
          <w:numId w:val="2"/>
        </w:numPr>
        <w:tabs>
          <w:tab w:pos="439" w:val="left" w:leader="none"/>
        </w:tabs>
        <w:spacing w:line="276" w:lineRule="auto" w:before="33" w:after="0"/>
        <w:ind w:left="120" w:right="211" w:firstLine="0"/>
        <w:jc w:val="both"/>
        <w:rPr>
          <w:sz w:val="21"/>
        </w:rPr>
      </w:pPr>
      <w:r>
        <w:rPr>
          <w:spacing w:val="-2"/>
          <w:sz w:val="21"/>
        </w:rPr>
        <w:t>若被保险人于年满七十周岁后的首个保险单周年日零时之前，以乘客身份乘坐</w:t>
      </w:r>
      <w:r>
        <w:rPr>
          <w:b/>
          <w:spacing w:val="-2"/>
          <w:sz w:val="21"/>
        </w:rPr>
        <w:t>商业运营</w:t>
      </w:r>
      <w:r>
        <w:rPr>
          <w:b/>
          <w:spacing w:val="-2"/>
          <w:position w:val="11"/>
          <w:sz w:val="11"/>
        </w:rPr>
        <w:t>6</w:t>
      </w:r>
      <w:r>
        <w:rPr>
          <w:spacing w:val="-2"/>
          <w:sz w:val="21"/>
        </w:rPr>
        <w:t>的</w:t>
      </w:r>
      <w:r>
        <w:rPr>
          <w:b/>
          <w:spacing w:val="-2"/>
          <w:sz w:val="21"/>
        </w:rPr>
        <w:t>公交车</w:t>
      </w:r>
      <w:r>
        <w:rPr>
          <w:b/>
          <w:spacing w:val="-2"/>
          <w:position w:val="11"/>
          <w:sz w:val="11"/>
        </w:rPr>
        <w:t>7</w:t>
      </w:r>
      <w:r>
        <w:rPr>
          <w:spacing w:val="-2"/>
          <w:sz w:val="21"/>
        </w:rPr>
        <w:t>、</w:t>
      </w:r>
      <w:r>
        <w:rPr>
          <w:b/>
          <w:spacing w:val="-2"/>
          <w:sz w:val="21"/>
        </w:rPr>
        <w:t>列车</w:t>
      </w:r>
      <w:r>
        <w:rPr>
          <w:b/>
          <w:spacing w:val="-2"/>
          <w:position w:val="11"/>
          <w:sz w:val="11"/>
        </w:rPr>
        <w:t>8</w:t>
      </w:r>
      <w:r>
        <w:rPr>
          <w:spacing w:val="-2"/>
          <w:sz w:val="21"/>
        </w:rPr>
        <w:t>或轮船而遭遇意外事故，并自意外事故发生之日起一百八十日内，以该意</w:t>
      </w:r>
      <w:r>
        <w:rPr>
          <w:spacing w:val="-7"/>
          <w:sz w:val="21"/>
        </w:rPr>
        <w:t>外事故为直接且单独原因导致身故或身体高度残疾，则我们在给付身故保险金或高残保险金</w:t>
      </w:r>
      <w:r>
        <w:rPr>
          <w:spacing w:val="-12"/>
          <w:sz w:val="21"/>
        </w:rPr>
        <w:t>的基础上，另按基本保险金额的十倍给付水陆交通意外身故额外保险金或水陆交通意外高残</w:t>
      </w:r>
      <w:r>
        <w:rPr>
          <w:spacing w:val="-2"/>
          <w:sz w:val="21"/>
        </w:rPr>
        <w:t>额外保险金，本合同终止。</w:t>
      </w:r>
    </w:p>
    <w:p>
      <w:pPr>
        <w:pStyle w:val="ListParagraph"/>
        <w:numPr>
          <w:ilvl w:val="0"/>
          <w:numId w:val="2"/>
        </w:numPr>
        <w:tabs>
          <w:tab w:pos="439" w:val="left" w:leader="none"/>
        </w:tabs>
        <w:spacing w:line="278" w:lineRule="auto" w:before="3" w:after="0"/>
        <w:ind w:left="120" w:right="211" w:firstLine="0"/>
        <w:jc w:val="both"/>
        <w:rPr>
          <w:sz w:val="21"/>
        </w:rPr>
      </w:pPr>
      <w:r>
        <w:rPr>
          <w:spacing w:val="-2"/>
          <w:sz w:val="21"/>
        </w:rPr>
        <w:t>若被保险人于年满七十周岁后的首个保险单周年日零时之后，以乘客身份乘坐商业运营</w:t>
      </w:r>
      <w:r>
        <w:rPr>
          <w:spacing w:val="-4"/>
          <w:sz w:val="21"/>
        </w:rPr>
        <w:t>的公交车、列车或轮船而遭遇意外事故，并自意外事故发生之日起一百八十日内，以该意外</w:t>
      </w:r>
      <w:r>
        <w:rPr>
          <w:spacing w:val="-7"/>
          <w:sz w:val="21"/>
        </w:rPr>
        <w:t>事故为直接且单独原因导致身故或身体高度残疾，则我们在给付身故保险金或高残保险金的</w:t>
      </w:r>
      <w:r>
        <w:rPr>
          <w:spacing w:val="-13"/>
          <w:sz w:val="21"/>
        </w:rPr>
        <w:t>基础上，另按基本保险金额的二倍给付水陆交通意外身故额外保险金或水陆交通意外高残额</w:t>
      </w:r>
      <w:r>
        <w:rPr>
          <w:spacing w:val="-2"/>
          <w:sz w:val="21"/>
        </w:rPr>
        <w:t>外保险金，本合同终止。</w:t>
      </w:r>
    </w:p>
    <w:p>
      <w:pPr>
        <w:pStyle w:val="BodyText"/>
      </w:pPr>
      <w:r>
        <w:rPr>
          <w:spacing w:val="-3"/>
        </w:rPr>
        <w:t>四、航空意外身故额外保险金、航空意外高残额外保险金</w:t>
      </w:r>
    </w:p>
    <w:p>
      <w:pPr>
        <w:pStyle w:val="ListParagraph"/>
        <w:numPr>
          <w:ilvl w:val="0"/>
          <w:numId w:val="3"/>
        </w:numPr>
        <w:tabs>
          <w:tab w:pos="439" w:val="left" w:leader="none"/>
        </w:tabs>
        <w:spacing w:line="278" w:lineRule="auto" w:before="43" w:after="0"/>
        <w:ind w:left="120" w:right="211" w:firstLine="0"/>
        <w:jc w:val="both"/>
        <w:rPr>
          <w:sz w:val="21"/>
        </w:rPr>
      </w:pPr>
      <w:r>
        <w:rPr>
          <w:spacing w:val="-2"/>
          <w:sz w:val="21"/>
        </w:rPr>
        <w:t>若被保险人于年满七十周岁后的首个保险单周年日零时之前，以乘客身份乘坐商业运营</w:t>
      </w:r>
      <w:r>
        <w:rPr>
          <w:spacing w:val="-4"/>
          <w:sz w:val="21"/>
        </w:rPr>
        <w:t>的民航飞机而遭遇意外事故，并自意外事故发生之日起一百八十日内，以该意外事故为直接</w:t>
      </w:r>
      <w:r>
        <w:rPr>
          <w:spacing w:val="-4"/>
          <w:sz w:val="21"/>
        </w:rPr>
        <w:t>且单独原因导致身故或身体高度残疾，则我们在给付身故保险金或高残保险金的基础上，另</w:t>
      </w:r>
      <w:r>
        <w:rPr>
          <w:spacing w:val="-5"/>
          <w:sz w:val="21"/>
        </w:rPr>
        <w:t>按基本保险金额的二十倍给付航空意外身故额外保险金或航空意外高残额外保险金，本合同</w:t>
      </w:r>
      <w:r>
        <w:rPr>
          <w:spacing w:val="-4"/>
          <w:sz w:val="21"/>
        </w:rPr>
        <w:t>终止。</w:t>
      </w:r>
    </w:p>
    <w:p>
      <w:pPr>
        <w:pStyle w:val="ListParagraph"/>
        <w:numPr>
          <w:ilvl w:val="0"/>
          <w:numId w:val="3"/>
        </w:numPr>
        <w:tabs>
          <w:tab w:pos="439" w:val="left" w:leader="none"/>
        </w:tabs>
        <w:spacing w:line="278" w:lineRule="auto" w:before="0" w:after="0"/>
        <w:ind w:left="120" w:right="211" w:firstLine="0"/>
        <w:jc w:val="both"/>
        <w:rPr>
          <w:sz w:val="21"/>
        </w:rPr>
      </w:pPr>
      <w:r>
        <w:rPr>
          <w:spacing w:val="-2"/>
          <w:sz w:val="21"/>
        </w:rPr>
        <w:t>若被保险人于年满七十周岁后的首个保险单周年日零时之后，以乘客身份乘坐商业运营</w:t>
      </w:r>
      <w:r>
        <w:rPr>
          <w:spacing w:val="-4"/>
          <w:sz w:val="21"/>
        </w:rPr>
        <w:t>的民航飞机而遭遇意外事故，并自意外事故发生之日起一百八十日内，以该意外事故为直接</w:t>
      </w:r>
      <w:r>
        <w:rPr>
          <w:spacing w:val="-4"/>
          <w:sz w:val="21"/>
        </w:rPr>
        <w:t>且单独原因导致身故或身体高度残疾，则我们在给付身故保险金或高残保险金的基础上，另</w:t>
      </w:r>
      <w:r>
        <w:rPr>
          <w:spacing w:val="-5"/>
          <w:sz w:val="21"/>
        </w:rPr>
        <w:t>按基本保险金额的二倍给付航空意外身故额外保险金或航空意外高残额外保险金，本合同终</w:t>
      </w:r>
      <w:r>
        <w:rPr>
          <w:spacing w:val="-6"/>
          <w:sz w:val="21"/>
        </w:rPr>
        <w:t>止。</w:t>
      </w:r>
    </w:p>
    <w:p>
      <w:pPr>
        <w:pStyle w:val="BodyText"/>
      </w:pPr>
      <w:r>
        <w:rPr>
          <w:spacing w:val="-3"/>
        </w:rPr>
        <w:t>五、非营运乘用车意外身故额外保险金、非营运乘用车意外高残额外保险金</w:t>
      </w:r>
    </w:p>
    <w:p>
      <w:pPr>
        <w:pStyle w:val="ListParagraph"/>
        <w:numPr>
          <w:ilvl w:val="0"/>
          <w:numId w:val="4"/>
        </w:numPr>
        <w:tabs>
          <w:tab w:pos="439" w:val="left" w:leader="none"/>
        </w:tabs>
        <w:spacing w:line="276" w:lineRule="auto" w:before="42" w:after="0"/>
        <w:ind w:left="120" w:right="211" w:firstLine="0"/>
        <w:jc w:val="both"/>
        <w:rPr>
          <w:sz w:val="21"/>
        </w:rPr>
      </w:pPr>
      <w:r>
        <w:rPr>
          <w:spacing w:val="-2"/>
          <w:sz w:val="21"/>
        </w:rPr>
        <w:t>若被保险人于年满七十周岁后的首个保险单周年日零时之前，在驾驶或乘坐</w:t>
      </w:r>
      <w:r>
        <w:rPr>
          <w:b/>
          <w:spacing w:val="-2"/>
          <w:sz w:val="21"/>
        </w:rPr>
        <w:t>非营运乘用</w:t>
      </w:r>
      <w:r>
        <w:rPr>
          <w:b/>
          <w:spacing w:val="-2"/>
          <w:sz w:val="21"/>
        </w:rPr>
        <w:t>车</w:t>
      </w:r>
      <w:r>
        <w:rPr>
          <w:b/>
          <w:spacing w:val="-2"/>
          <w:position w:val="11"/>
          <w:sz w:val="11"/>
        </w:rPr>
        <w:t>9</w:t>
      </w:r>
      <w:r>
        <w:rPr>
          <w:spacing w:val="-2"/>
          <w:sz w:val="21"/>
        </w:rPr>
        <w:t>期间因发生公安机关交通管理部门认定的</w:t>
      </w:r>
      <w:r>
        <w:rPr>
          <w:b/>
          <w:spacing w:val="-2"/>
          <w:sz w:val="21"/>
        </w:rPr>
        <w:t>交通事故</w:t>
      </w:r>
      <w:r>
        <w:rPr>
          <w:b/>
          <w:spacing w:val="-2"/>
          <w:position w:val="11"/>
          <w:sz w:val="11"/>
        </w:rPr>
        <w:t>10</w:t>
      </w:r>
      <w:r>
        <w:rPr>
          <w:spacing w:val="-9"/>
          <w:sz w:val="21"/>
        </w:rPr>
        <w:t>而遭遇意外事故，并自意外事故发生</w:t>
      </w:r>
      <w:r>
        <w:rPr>
          <w:spacing w:val="-4"/>
          <w:sz w:val="21"/>
        </w:rPr>
        <w:t>之日起一百八十日内，以该意外事故为直接且单独原因导致身故或身体高度残疾，则我们在</w:t>
      </w:r>
      <w:r>
        <w:rPr>
          <w:spacing w:val="-8"/>
          <w:sz w:val="21"/>
        </w:rPr>
        <w:t>给付身故保险金或高残保险金的基础上，另按基本保险金额的三十倍给付非营运乘用车意外</w:t>
      </w:r>
      <w:r>
        <w:rPr>
          <w:spacing w:val="-2"/>
          <w:sz w:val="21"/>
        </w:rPr>
        <w:t>身故额外保险金或非营运乘用车意外高残额外保险金，本合同终止。</w:t>
      </w:r>
    </w:p>
    <w:p>
      <w:pPr>
        <w:pStyle w:val="ListParagraph"/>
        <w:numPr>
          <w:ilvl w:val="0"/>
          <w:numId w:val="4"/>
        </w:numPr>
        <w:tabs>
          <w:tab w:pos="439" w:val="left" w:leader="none"/>
        </w:tabs>
        <w:spacing w:line="240" w:lineRule="auto" w:before="3" w:after="0"/>
        <w:ind w:left="438" w:right="0" w:hanging="319"/>
        <w:jc w:val="left"/>
        <w:rPr>
          <w:sz w:val="21"/>
        </w:rPr>
      </w:pPr>
      <w:r>
        <w:rPr>
          <w:spacing w:val="-3"/>
          <w:sz w:val="21"/>
        </w:rPr>
        <w:t>若被保险人于年满七十周岁后的首个保险单周年日零时之后，在驾驶或乘坐非营运乘用</w:t>
      </w:r>
    </w:p>
    <w:p>
      <w:pPr>
        <w:pStyle w:val="BodyText"/>
        <w:spacing w:before="10"/>
        <w:ind w:left="0"/>
        <w:rPr>
          <w:sz w:val="13"/>
        </w:rPr>
      </w:pPr>
      <w:r>
        <w:rPr/>
        <w:drawing>
          <wp:anchor distT="0" distB="0" distL="0" distR="0" allowOverlap="1" layoutInCell="1" locked="0" behindDoc="0" simplePos="0" relativeHeight="2">
            <wp:simplePos x="0" y="0"/>
            <wp:positionH relativeFrom="page">
              <wp:posOffset>1143304</wp:posOffset>
            </wp:positionH>
            <wp:positionV relativeFrom="paragraph">
              <wp:posOffset>127496</wp:posOffset>
            </wp:positionV>
            <wp:extent cx="1828901" cy="6095"/>
            <wp:effectExtent l="0" t="0" r="0" b="0"/>
            <wp:wrapTopAndBottom/>
            <wp:docPr id="5" name="image3.png"/>
            <wp:cNvGraphicFramePr>
              <a:graphicFrameLocks noChangeAspect="1"/>
            </wp:cNvGraphicFramePr>
            <a:graphic>
              <a:graphicData uri="http://schemas.openxmlformats.org/drawingml/2006/picture">
                <pic:pic>
                  <pic:nvPicPr>
                    <pic:cNvPr id="6" name="image3.png"/>
                    <pic:cNvPicPr/>
                  </pic:nvPicPr>
                  <pic:blipFill>
                    <a:blip r:embed="rId8" cstate="print"/>
                    <a:stretch>
                      <a:fillRect/>
                    </a:stretch>
                  </pic:blipFill>
                  <pic:spPr>
                    <a:xfrm>
                      <a:off x="0" y="0"/>
                      <a:ext cx="1828901" cy="6095"/>
                    </a:xfrm>
                    <a:prstGeom prst="rect">
                      <a:avLst/>
                    </a:prstGeom>
                  </pic:spPr>
                </pic:pic>
              </a:graphicData>
            </a:graphic>
          </wp:anchor>
        </w:drawing>
      </w:r>
    </w:p>
    <w:p>
      <w:pPr>
        <w:spacing w:before="59"/>
        <w:ind w:left="120" w:right="0" w:firstLine="0"/>
        <w:jc w:val="left"/>
        <w:rPr>
          <w:sz w:val="18"/>
        </w:rPr>
      </w:pPr>
      <w:r>
        <w:rPr>
          <w:rFonts w:ascii="Times New Roman" w:eastAsia="Times New Roman"/>
          <w:position w:val="10"/>
          <w:sz w:val="14"/>
        </w:rPr>
        <w:t>5</w:t>
      </w:r>
      <w:r>
        <w:rPr>
          <w:rFonts w:ascii="Times New Roman" w:eastAsia="Times New Roman"/>
          <w:spacing w:val="47"/>
          <w:position w:val="10"/>
          <w:sz w:val="14"/>
        </w:rPr>
        <w:t> </w:t>
      </w:r>
      <w:r>
        <w:rPr>
          <w:b/>
          <w:sz w:val="18"/>
        </w:rPr>
        <w:t>意</w:t>
      </w:r>
      <w:r>
        <w:rPr>
          <w:b/>
          <w:sz w:val="18"/>
        </w:rPr>
        <w:t>外</w:t>
      </w:r>
      <w:r>
        <w:rPr>
          <w:b/>
          <w:sz w:val="18"/>
        </w:rPr>
        <w:t>事故：</w:t>
      </w:r>
      <w:r>
        <w:rPr>
          <w:spacing w:val="-1"/>
          <w:sz w:val="18"/>
        </w:rPr>
        <w:t>指外来的、突然的、非本意的、非疾病的使身体受到伤害的客观事件。</w:t>
      </w:r>
    </w:p>
    <w:p>
      <w:pPr>
        <w:spacing w:line="214" w:lineRule="exact" w:before="5"/>
        <w:ind w:left="120" w:right="0" w:firstLine="0"/>
        <w:jc w:val="left"/>
        <w:rPr>
          <w:sz w:val="18"/>
        </w:rPr>
      </w:pPr>
      <w:r>
        <w:rPr>
          <w:rFonts w:ascii="Times New Roman" w:eastAsia="Times New Roman"/>
          <w:sz w:val="18"/>
          <w:vertAlign w:val="superscript"/>
        </w:rPr>
        <w:t>6</w:t>
      </w:r>
      <w:r>
        <w:rPr>
          <w:rFonts w:ascii="Times New Roman" w:eastAsia="Times New Roman"/>
          <w:spacing w:val="37"/>
          <w:sz w:val="18"/>
          <w:vertAlign w:val="baseline"/>
        </w:rPr>
        <w:t> </w:t>
      </w:r>
      <w:r>
        <w:rPr>
          <w:b/>
          <w:sz w:val="18"/>
          <w:vertAlign w:val="baseline"/>
        </w:rPr>
        <w:t>商</w:t>
      </w:r>
      <w:r>
        <w:rPr>
          <w:b/>
          <w:sz w:val="18"/>
          <w:vertAlign w:val="baseline"/>
        </w:rPr>
        <w:t>业</w:t>
      </w:r>
      <w:r>
        <w:rPr>
          <w:b/>
          <w:sz w:val="18"/>
          <w:vertAlign w:val="baseline"/>
        </w:rPr>
        <w:t>运营：</w:t>
      </w:r>
      <w:r>
        <w:rPr>
          <w:spacing w:val="-1"/>
          <w:sz w:val="18"/>
          <w:vertAlign w:val="baseline"/>
        </w:rPr>
        <w:t>指经相关政府部门登记许可的以客运为目的的运输经营活动。</w:t>
      </w:r>
    </w:p>
    <w:p>
      <w:pPr>
        <w:spacing w:line="234" w:lineRule="exact" w:before="26"/>
        <w:ind w:left="120" w:right="260" w:firstLine="0"/>
        <w:jc w:val="left"/>
        <w:rPr>
          <w:sz w:val="18"/>
        </w:rPr>
      </w:pPr>
      <w:r>
        <w:rPr>
          <w:rFonts w:ascii="Times New Roman" w:eastAsia="Times New Roman"/>
          <w:position w:val="10"/>
          <w:sz w:val="14"/>
        </w:rPr>
        <w:t>7</w:t>
      </w:r>
      <w:r>
        <w:rPr>
          <w:rFonts w:ascii="Times New Roman" w:eastAsia="Times New Roman"/>
          <w:spacing w:val="24"/>
          <w:position w:val="10"/>
          <w:sz w:val="14"/>
        </w:rPr>
        <w:t> </w:t>
      </w:r>
      <w:r>
        <w:rPr>
          <w:b/>
          <w:sz w:val="18"/>
        </w:rPr>
        <w:t>公</w:t>
      </w:r>
      <w:r>
        <w:rPr>
          <w:b/>
          <w:sz w:val="18"/>
        </w:rPr>
        <w:t>交</w:t>
      </w:r>
      <w:r>
        <w:rPr>
          <w:b/>
          <w:sz w:val="18"/>
        </w:rPr>
        <w:t>车：</w:t>
      </w:r>
      <w:r>
        <w:rPr>
          <w:sz w:val="18"/>
        </w:rPr>
        <w:t>指拥有登记许可的固定运营线路的公共汽车和公共电车，以及设有计价、顶灯装置的五座以下</w:t>
      </w:r>
      <w:r>
        <w:rPr>
          <w:spacing w:val="-2"/>
          <w:sz w:val="18"/>
        </w:rPr>
        <w:t>出租汽车。</w:t>
      </w:r>
    </w:p>
    <w:p>
      <w:pPr>
        <w:spacing w:before="6"/>
        <w:ind w:left="120" w:right="0" w:firstLine="0"/>
        <w:jc w:val="left"/>
        <w:rPr>
          <w:sz w:val="18"/>
        </w:rPr>
      </w:pPr>
      <w:r>
        <w:rPr>
          <w:rFonts w:ascii="Times New Roman" w:eastAsia="Times New Roman"/>
          <w:sz w:val="18"/>
          <w:vertAlign w:val="superscript"/>
        </w:rPr>
        <w:t>8</w:t>
      </w:r>
      <w:r>
        <w:rPr>
          <w:rFonts w:ascii="Times New Roman" w:eastAsia="Times New Roman"/>
          <w:spacing w:val="39"/>
          <w:sz w:val="18"/>
          <w:vertAlign w:val="baseline"/>
        </w:rPr>
        <w:t> </w:t>
      </w:r>
      <w:r>
        <w:rPr>
          <w:b/>
          <w:sz w:val="18"/>
          <w:vertAlign w:val="baseline"/>
        </w:rPr>
        <w:t>列</w:t>
      </w:r>
      <w:r>
        <w:rPr>
          <w:b/>
          <w:sz w:val="18"/>
          <w:vertAlign w:val="baseline"/>
        </w:rPr>
        <w:t>车</w:t>
      </w:r>
      <w:r>
        <w:rPr>
          <w:b/>
          <w:sz w:val="18"/>
          <w:vertAlign w:val="baseline"/>
        </w:rPr>
        <w:t>：</w:t>
      </w:r>
      <w:r>
        <w:rPr>
          <w:spacing w:val="-1"/>
          <w:sz w:val="18"/>
          <w:vertAlign w:val="baseline"/>
        </w:rPr>
        <w:t>指火车、城市地铁、轻轨列车以及磁悬浮列车。</w:t>
      </w:r>
    </w:p>
    <w:p>
      <w:pPr>
        <w:spacing w:before="4"/>
        <w:ind w:left="120" w:right="0" w:firstLine="0"/>
        <w:jc w:val="left"/>
        <w:rPr>
          <w:sz w:val="18"/>
        </w:rPr>
      </w:pPr>
      <w:r>
        <w:rPr>
          <w:rFonts w:ascii="Times New Roman" w:eastAsia="Times New Roman"/>
          <w:sz w:val="18"/>
          <w:vertAlign w:val="superscript"/>
        </w:rPr>
        <w:t>9</w:t>
      </w:r>
      <w:r>
        <w:rPr>
          <w:rFonts w:ascii="Times New Roman" w:eastAsia="Times New Roman"/>
          <w:spacing w:val="36"/>
          <w:sz w:val="18"/>
          <w:vertAlign w:val="baseline"/>
        </w:rPr>
        <w:t> </w:t>
      </w:r>
      <w:r>
        <w:rPr>
          <w:b/>
          <w:sz w:val="18"/>
          <w:vertAlign w:val="baseline"/>
        </w:rPr>
        <w:t>非</w:t>
      </w:r>
      <w:r>
        <w:rPr>
          <w:b/>
          <w:sz w:val="18"/>
          <w:vertAlign w:val="baseline"/>
        </w:rPr>
        <w:t>营</w:t>
      </w:r>
      <w:r>
        <w:rPr>
          <w:b/>
          <w:sz w:val="18"/>
          <w:vertAlign w:val="baseline"/>
        </w:rPr>
        <w:t>运</w:t>
      </w:r>
      <w:r>
        <w:rPr>
          <w:b/>
          <w:sz w:val="18"/>
          <w:vertAlign w:val="baseline"/>
        </w:rPr>
        <w:t>乘</w:t>
      </w:r>
      <w:r>
        <w:rPr>
          <w:b/>
          <w:sz w:val="18"/>
          <w:vertAlign w:val="baseline"/>
        </w:rPr>
        <w:t>用</w:t>
      </w:r>
      <w:r>
        <w:rPr>
          <w:b/>
          <w:sz w:val="18"/>
          <w:vertAlign w:val="baseline"/>
        </w:rPr>
        <w:t>车</w:t>
      </w:r>
      <w:r>
        <w:rPr>
          <w:b/>
          <w:sz w:val="18"/>
          <w:vertAlign w:val="baseline"/>
        </w:rPr>
        <w:t>：</w:t>
      </w:r>
      <w:r>
        <w:rPr>
          <w:spacing w:val="-1"/>
          <w:sz w:val="18"/>
          <w:vertAlign w:val="baseline"/>
        </w:rPr>
        <w:t>指同时符合以下五条规定的车辆：</w:t>
      </w:r>
    </w:p>
    <w:p>
      <w:pPr>
        <w:pStyle w:val="ListParagraph"/>
        <w:numPr>
          <w:ilvl w:val="0"/>
          <w:numId w:val="5"/>
        </w:numPr>
        <w:tabs>
          <w:tab w:pos="661" w:val="left" w:leader="none"/>
        </w:tabs>
        <w:spacing w:line="240" w:lineRule="auto" w:before="3" w:after="0"/>
        <w:ind w:left="660" w:right="0" w:hanging="361"/>
        <w:jc w:val="left"/>
        <w:rPr>
          <w:sz w:val="18"/>
        </w:rPr>
      </w:pPr>
      <w:r>
        <w:rPr>
          <w:sz w:val="18"/>
        </w:rPr>
        <w:t>符合汽车分类国家标准(GB/T3730</w:t>
      </w:r>
      <w:r>
        <w:rPr>
          <w:spacing w:val="-1"/>
          <w:sz w:val="18"/>
        </w:rPr>
        <w:t>, </w:t>
      </w:r>
      <w:r>
        <w:rPr>
          <w:sz w:val="18"/>
        </w:rPr>
        <w:t>1-2001</w:t>
      </w:r>
      <w:r>
        <w:rPr>
          <w:spacing w:val="-2"/>
          <w:sz w:val="18"/>
        </w:rPr>
        <w:t>)中的乘用车定义；</w:t>
      </w:r>
    </w:p>
    <w:p>
      <w:pPr>
        <w:pStyle w:val="ListParagraph"/>
        <w:numPr>
          <w:ilvl w:val="0"/>
          <w:numId w:val="5"/>
        </w:numPr>
        <w:tabs>
          <w:tab w:pos="661" w:val="left" w:leader="none"/>
        </w:tabs>
        <w:spacing w:line="240" w:lineRule="auto" w:before="2" w:after="0"/>
        <w:ind w:left="660" w:right="0" w:hanging="361"/>
        <w:jc w:val="left"/>
        <w:rPr>
          <w:sz w:val="18"/>
        </w:rPr>
      </w:pPr>
      <w:r>
        <w:rPr>
          <w:spacing w:val="-1"/>
          <w:sz w:val="18"/>
        </w:rPr>
        <w:t>有合法有效行驶执照的非商业营利性用途的车辆，且不包括租赁车辆；</w:t>
      </w:r>
    </w:p>
    <w:p>
      <w:pPr>
        <w:pStyle w:val="ListParagraph"/>
        <w:numPr>
          <w:ilvl w:val="0"/>
          <w:numId w:val="5"/>
        </w:numPr>
        <w:tabs>
          <w:tab w:pos="661" w:val="left" w:leader="none"/>
        </w:tabs>
        <w:spacing w:line="240" w:lineRule="auto" w:before="4" w:after="0"/>
        <w:ind w:left="660" w:right="0" w:hanging="361"/>
        <w:jc w:val="left"/>
        <w:rPr>
          <w:sz w:val="18"/>
        </w:rPr>
      </w:pPr>
      <w:r>
        <w:rPr>
          <w:spacing w:val="-1"/>
          <w:sz w:val="18"/>
        </w:rPr>
        <w:t>主要用于载运乘客及其随身行李或临时物品；</w:t>
      </w:r>
    </w:p>
    <w:p>
      <w:pPr>
        <w:pStyle w:val="ListParagraph"/>
        <w:numPr>
          <w:ilvl w:val="0"/>
          <w:numId w:val="5"/>
        </w:numPr>
        <w:tabs>
          <w:tab w:pos="661" w:val="left" w:leader="none"/>
        </w:tabs>
        <w:spacing w:line="240" w:lineRule="auto" w:before="2" w:after="0"/>
        <w:ind w:left="660" w:right="0" w:hanging="361"/>
        <w:jc w:val="left"/>
        <w:rPr>
          <w:sz w:val="18"/>
        </w:rPr>
      </w:pPr>
      <w:r>
        <w:rPr>
          <w:spacing w:val="-3"/>
          <w:sz w:val="18"/>
        </w:rPr>
        <w:t>包括驾驶员座位在内最多不超过 </w:t>
      </w:r>
      <w:r>
        <w:rPr>
          <w:sz w:val="18"/>
        </w:rPr>
        <w:t>9</w:t>
      </w:r>
      <w:r>
        <w:rPr>
          <w:spacing w:val="-2"/>
          <w:sz w:val="18"/>
        </w:rPr>
        <w:t> 个座位；</w:t>
      </w:r>
    </w:p>
    <w:p>
      <w:pPr>
        <w:pStyle w:val="ListParagraph"/>
        <w:numPr>
          <w:ilvl w:val="0"/>
          <w:numId w:val="5"/>
        </w:numPr>
        <w:tabs>
          <w:tab w:pos="661" w:val="left" w:leader="none"/>
        </w:tabs>
        <w:spacing w:line="242" w:lineRule="auto" w:before="3" w:after="0"/>
        <w:ind w:left="658" w:right="245" w:hanging="358"/>
        <w:jc w:val="left"/>
        <w:rPr>
          <w:sz w:val="18"/>
        </w:rPr>
      </w:pPr>
      <w:r>
        <w:rPr>
          <w:spacing w:val="-2"/>
          <w:sz w:val="18"/>
        </w:rPr>
        <w:t>不包括以下车辆：轨道交通车辆、警车、救护车、消防车、工程抢险车、工程作业车、公路监督检</w:t>
      </w:r>
      <w:r>
        <w:rPr>
          <w:spacing w:val="-2"/>
          <w:sz w:val="18"/>
        </w:rPr>
        <w:t>查专用车、公路养护车、清障车、救援车、洒水车、清扫车以及拖拉机等农业用途车辆。</w:t>
      </w:r>
    </w:p>
    <w:p>
      <w:pPr>
        <w:spacing w:before="2"/>
        <w:ind w:left="120" w:right="0" w:firstLine="0"/>
        <w:jc w:val="left"/>
        <w:rPr>
          <w:sz w:val="18"/>
        </w:rPr>
      </w:pPr>
      <w:r>
        <w:rPr>
          <w:rFonts w:ascii="Times New Roman" w:eastAsia="Times New Roman"/>
          <w:sz w:val="18"/>
          <w:vertAlign w:val="superscript"/>
        </w:rPr>
        <w:t>10</w:t>
      </w:r>
      <w:r>
        <w:rPr>
          <w:rFonts w:ascii="Times New Roman" w:eastAsia="Times New Roman"/>
          <w:spacing w:val="37"/>
          <w:sz w:val="18"/>
          <w:vertAlign w:val="baseline"/>
        </w:rPr>
        <w:t> </w:t>
      </w:r>
      <w:r>
        <w:rPr>
          <w:b/>
          <w:sz w:val="18"/>
          <w:vertAlign w:val="baseline"/>
        </w:rPr>
        <w:t>交</w:t>
      </w:r>
      <w:r>
        <w:rPr>
          <w:b/>
          <w:sz w:val="18"/>
          <w:vertAlign w:val="baseline"/>
        </w:rPr>
        <w:t>通</w:t>
      </w:r>
      <w:r>
        <w:rPr>
          <w:b/>
          <w:sz w:val="18"/>
          <w:vertAlign w:val="baseline"/>
        </w:rPr>
        <w:t>事故：</w:t>
      </w:r>
      <w:r>
        <w:rPr>
          <w:spacing w:val="-1"/>
          <w:sz w:val="18"/>
          <w:vertAlign w:val="baseline"/>
        </w:rPr>
        <w:t>指交通工具倾覆、出轨、坠落、沉没、起火、爆炸或与其他物体碰撞。</w:t>
      </w:r>
    </w:p>
    <w:p>
      <w:pPr>
        <w:spacing w:after="0"/>
        <w:jc w:val="left"/>
        <w:rPr>
          <w:sz w:val="18"/>
        </w:rPr>
        <w:sectPr>
          <w:pgSz w:w="11910" w:h="16840"/>
          <w:pgMar w:header="0" w:footer="975" w:top="1400" w:bottom="1160" w:left="1680" w:right="1580"/>
        </w:sectPr>
      </w:pPr>
    </w:p>
    <w:p>
      <w:pPr>
        <w:pStyle w:val="BodyText"/>
        <w:spacing w:line="278" w:lineRule="auto" w:before="44"/>
        <w:ind w:right="211"/>
        <w:jc w:val="both"/>
      </w:pPr>
      <w:r>
        <w:rPr>
          <w:spacing w:val="-5"/>
        </w:rPr>
        <w:t>车期间因发生公安机关交通管理部门认定的交通事故而遭遇意外事故，并自意外事故发生之</w:t>
      </w:r>
      <w:r>
        <w:rPr>
          <w:spacing w:val="-8"/>
        </w:rPr>
        <w:t>日起一百八十日内，以该意外事故为直接且单独原因导致身故或身体高度残疾，则我们在给</w:t>
      </w:r>
      <w:r>
        <w:rPr>
          <w:spacing w:val="-8"/>
        </w:rPr>
        <w:t>付身故保险金或高残保险金的基础上，另按基本保险金额的二倍给付非营运乘用车意外身故</w:t>
      </w:r>
      <w:r>
        <w:rPr>
          <w:spacing w:val="-2"/>
        </w:rPr>
        <w:t>额外保险金或非营运乘用车意外高残额外保险金，本合同终止。</w:t>
      </w:r>
    </w:p>
    <w:p>
      <w:pPr>
        <w:pStyle w:val="BodyText"/>
        <w:spacing w:before="4"/>
        <w:ind w:left="0"/>
        <w:rPr>
          <w:sz w:val="24"/>
        </w:rPr>
      </w:pPr>
    </w:p>
    <w:p>
      <w:pPr>
        <w:pStyle w:val="BodyText"/>
        <w:spacing w:line="278" w:lineRule="auto" w:before="1"/>
        <w:ind w:right="108"/>
        <w:rPr>
          <w:rFonts w:ascii="黑体" w:eastAsia="黑体"/>
        </w:rPr>
      </w:pPr>
      <w:r>
        <w:rPr>
          <w:rFonts w:ascii="黑体" w:eastAsia="黑体"/>
          <w:spacing w:val="-6"/>
        </w:rPr>
        <w:t>本条第二、三、四、五款所列各项保险责任各自独立，互不包含，被保险人发生保险事故的，</w:t>
      </w:r>
      <w:r>
        <w:rPr>
          <w:rFonts w:ascii="黑体" w:eastAsia="黑体"/>
          <w:spacing w:val="-2"/>
        </w:rPr>
        <w:t>我们将根据保险事故的性质仅按其中一项保险责任的约定承担保险责任。</w:t>
      </w:r>
    </w:p>
    <w:p>
      <w:pPr>
        <w:pStyle w:val="BodyText"/>
        <w:spacing w:before="4"/>
        <w:ind w:left="0"/>
        <w:rPr>
          <w:rFonts w:ascii="黑体"/>
          <w:sz w:val="24"/>
        </w:rPr>
      </w:pPr>
    </w:p>
    <w:p>
      <w:pPr>
        <w:pStyle w:val="BodyText"/>
      </w:pPr>
      <w:r>
        <w:rPr>
          <w:spacing w:val="-3"/>
        </w:rPr>
        <w:t>六、关爱一生护理保险金</w:t>
      </w:r>
    </w:p>
    <w:p>
      <w:pPr>
        <w:pStyle w:val="BodyText"/>
        <w:spacing w:line="278" w:lineRule="auto" w:before="43"/>
        <w:ind w:right="211"/>
        <w:jc w:val="both"/>
      </w:pPr>
      <w:r>
        <w:rPr>
          <w:spacing w:val="-4"/>
        </w:rPr>
        <w:t>若被保险人在本合同有效期内遭遇本条第三、四、五款所约定的意外事故，并自意外事故发</w:t>
      </w:r>
      <w:r>
        <w:rPr>
          <w:spacing w:val="-7"/>
        </w:rPr>
        <w:t>生之日起一百八十日内，以该意外事故为直接且单独原因导致身体高度残疾，则自意外事故</w:t>
      </w:r>
      <w:r>
        <w:rPr>
          <w:spacing w:val="-6"/>
        </w:rPr>
        <w:t>发生后的首个保险单周年日起，无论本合同是否终止，我们每年均按基本保险金额的百分之</w:t>
      </w:r>
      <w:r>
        <w:rPr>
          <w:spacing w:val="-2"/>
        </w:rPr>
        <w:t>十二额外给付关爱一生护理保险金，直至被保险人身故。</w:t>
      </w:r>
    </w:p>
    <w:p>
      <w:pPr>
        <w:pStyle w:val="BodyText"/>
        <w:jc w:val="both"/>
      </w:pPr>
      <w:r>
        <w:rPr>
          <w:spacing w:val="-4"/>
        </w:rPr>
        <w:t>七、 满期保险金</w:t>
      </w:r>
    </w:p>
    <w:p>
      <w:pPr>
        <w:pStyle w:val="BodyText"/>
        <w:spacing w:line="278" w:lineRule="auto" w:before="43"/>
        <w:ind w:right="211"/>
      </w:pPr>
      <w:r>
        <w:rPr>
          <w:spacing w:val="-4"/>
        </w:rPr>
        <w:t>若本合同有效，且被保险人生存至本合同满期日，我们将按以下约定给付满期保险金，本合</w:t>
      </w:r>
      <w:r>
        <w:rPr>
          <w:spacing w:val="-4"/>
        </w:rPr>
        <w:t>同终止：</w:t>
      </w:r>
    </w:p>
    <w:p>
      <w:pPr>
        <w:pStyle w:val="BodyText"/>
        <w:spacing w:line="269" w:lineRule="exact"/>
      </w:pPr>
      <w:r>
        <w:rPr>
          <w:spacing w:val="-2"/>
        </w:rPr>
        <w:t>满期保险金=本合同的年交保险费×交费期间×1.06</w:t>
      </w:r>
      <w:r>
        <w:rPr>
          <w:spacing w:val="-10"/>
        </w:rPr>
        <w:t>。</w:t>
      </w:r>
    </w:p>
    <w:p>
      <w:pPr>
        <w:pStyle w:val="BodyText"/>
        <w:spacing w:before="9"/>
        <w:ind w:left="0"/>
        <w:rPr>
          <w:sz w:val="27"/>
        </w:rPr>
      </w:pPr>
    </w:p>
    <w:p>
      <w:pPr>
        <w:pStyle w:val="BodyText"/>
        <w:spacing w:line="278" w:lineRule="auto"/>
        <w:ind w:right="326"/>
      </w:pPr>
      <w:r>
        <w:rPr>
          <w:spacing w:val="-2"/>
        </w:rPr>
        <w:t>本合同中以乘客身份乘坐商业运营的公交车是指自被保险人进入车厢起至走出车厢止。</w:t>
      </w:r>
      <w:r>
        <w:rPr>
          <w:spacing w:val="40"/>
        </w:rPr>
        <w:t> </w:t>
      </w:r>
      <w:r>
        <w:rPr>
          <w:spacing w:val="-2"/>
        </w:rPr>
        <w:t>本合同中以乘客身份乘坐商业运营的轮船是指自被保险人踏上轮船甲板起至离开轮船止。</w:t>
      </w:r>
      <w:r>
        <w:rPr>
          <w:spacing w:val="-2"/>
        </w:rPr>
        <w:t>本合同中以乘客身份乘坐商业运营的列车是指自被保险人进入列车车厢起至走出列车车厢</w:t>
      </w:r>
      <w:r>
        <w:rPr>
          <w:spacing w:val="-6"/>
        </w:rPr>
        <w:t>止。</w:t>
      </w:r>
    </w:p>
    <w:p>
      <w:pPr>
        <w:pStyle w:val="BodyText"/>
        <w:spacing w:line="278" w:lineRule="auto"/>
        <w:ind w:right="326"/>
      </w:pPr>
      <w:r>
        <w:rPr>
          <w:spacing w:val="-2"/>
        </w:rPr>
        <w:t>本合同中以乘客身份乘坐商业运营的民航飞机是指自被保险人踏入民航飞机的舱门起至抵</w:t>
      </w:r>
      <w:r>
        <w:rPr>
          <w:spacing w:val="-2"/>
        </w:rPr>
        <w:t>达目的地走出民航飞机的舱门止。</w:t>
      </w:r>
    </w:p>
    <w:p>
      <w:pPr>
        <w:pStyle w:val="BodyText"/>
        <w:spacing w:line="269" w:lineRule="exact"/>
      </w:pPr>
      <w:r>
        <w:rPr>
          <w:spacing w:val="-3"/>
        </w:rPr>
        <w:t>本合同中驾驶或乘坐非营运乘用车是指自被保险人进入车厢起至走出车厢止。</w:t>
      </w:r>
    </w:p>
    <w:p>
      <w:pPr>
        <w:pStyle w:val="BodyText"/>
        <w:spacing w:before="9"/>
        <w:ind w:left="0"/>
        <w:rPr>
          <w:sz w:val="27"/>
        </w:rPr>
      </w:pPr>
    </w:p>
    <w:p>
      <w:pPr>
        <w:pStyle w:val="BodyText"/>
        <w:tabs>
          <w:tab w:pos="1397" w:val="left" w:leader="none"/>
        </w:tabs>
        <w:rPr>
          <w:rFonts w:ascii="黑体" w:eastAsia="黑体"/>
        </w:rPr>
      </w:pPr>
      <w:bookmarkStart w:name="_bookmark5" w:id="6"/>
      <w:bookmarkEnd w:id="6"/>
      <w:r>
        <w:rPr/>
      </w:r>
      <w:r>
        <w:rPr/>
        <w:t>第四</w:t>
      </w:r>
      <w:r>
        <w:rPr>
          <w:spacing w:val="-10"/>
        </w:rPr>
        <w:t>条</w:t>
      </w:r>
      <w:r>
        <w:rPr/>
        <w:tab/>
      </w:r>
      <w:r>
        <w:rPr>
          <w:rFonts w:ascii="黑体" w:eastAsia="黑体"/>
          <w:spacing w:val="-2"/>
        </w:rPr>
        <w:t>责</w:t>
      </w:r>
      <w:r>
        <w:rPr>
          <w:rFonts w:ascii="黑体" w:eastAsia="黑体"/>
          <w:spacing w:val="-2"/>
        </w:rPr>
        <w:t>任</w:t>
      </w:r>
      <w:r>
        <w:rPr>
          <w:rFonts w:ascii="黑体" w:eastAsia="黑体"/>
          <w:spacing w:val="-2"/>
        </w:rPr>
        <w:t>免</w:t>
      </w:r>
      <w:r>
        <w:rPr>
          <w:rFonts w:ascii="黑体" w:eastAsia="黑体"/>
          <w:spacing w:val="-10"/>
        </w:rPr>
        <w:t>除</w:t>
      </w:r>
    </w:p>
    <w:p>
      <w:pPr>
        <w:pStyle w:val="BodyText"/>
        <w:spacing w:line="278" w:lineRule="auto" w:before="43"/>
        <w:ind w:right="211"/>
        <w:rPr>
          <w:rFonts w:ascii="黑体" w:eastAsia="黑体"/>
        </w:rPr>
      </w:pPr>
      <w:r>
        <w:rPr>
          <w:rFonts w:ascii="黑体" w:eastAsia="黑体"/>
          <w:spacing w:val="-4"/>
        </w:rPr>
        <w:t>一、被保险人因下列情形之一而身故或身体高度残疾，我们不承担给付身故保险金或高残保</w:t>
      </w:r>
      <w:r>
        <w:rPr>
          <w:rFonts w:ascii="黑体" w:eastAsia="黑体"/>
          <w:spacing w:val="-2"/>
        </w:rPr>
        <w:t>险金的责任：</w:t>
      </w:r>
    </w:p>
    <w:p>
      <w:pPr>
        <w:pStyle w:val="ListParagraph"/>
        <w:numPr>
          <w:ilvl w:val="0"/>
          <w:numId w:val="6"/>
        </w:numPr>
        <w:tabs>
          <w:tab w:pos="481" w:val="left" w:leader="none"/>
        </w:tabs>
        <w:spacing w:line="269" w:lineRule="exact" w:before="0" w:after="0"/>
        <w:ind w:left="480" w:right="0" w:hanging="361"/>
        <w:jc w:val="left"/>
        <w:rPr>
          <w:rFonts w:ascii="黑体" w:eastAsia="黑体"/>
          <w:sz w:val="21"/>
        </w:rPr>
      </w:pPr>
      <w:r>
        <w:rPr>
          <w:rFonts w:ascii="黑体" w:eastAsia="黑体"/>
          <w:spacing w:val="-3"/>
          <w:sz w:val="21"/>
        </w:rPr>
        <w:t>投保人对被保险人的故意杀害、故意伤害；</w:t>
      </w:r>
    </w:p>
    <w:p>
      <w:pPr>
        <w:pStyle w:val="ListParagraph"/>
        <w:numPr>
          <w:ilvl w:val="0"/>
          <w:numId w:val="6"/>
        </w:numPr>
        <w:tabs>
          <w:tab w:pos="481" w:val="left" w:leader="none"/>
        </w:tabs>
        <w:spacing w:line="240" w:lineRule="auto" w:before="43" w:after="0"/>
        <w:ind w:left="480" w:right="0" w:hanging="361"/>
        <w:jc w:val="left"/>
        <w:rPr>
          <w:rFonts w:ascii="黑体" w:eastAsia="黑体"/>
          <w:sz w:val="21"/>
        </w:rPr>
      </w:pPr>
      <w:r>
        <w:rPr>
          <w:rFonts w:ascii="黑体" w:eastAsia="黑体"/>
          <w:spacing w:val="-3"/>
          <w:sz w:val="21"/>
        </w:rPr>
        <w:t>被保险人故意犯罪或者抗拒依法采取的刑事强制措施；</w:t>
      </w:r>
    </w:p>
    <w:p>
      <w:pPr>
        <w:pStyle w:val="ListParagraph"/>
        <w:numPr>
          <w:ilvl w:val="0"/>
          <w:numId w:val="6"/>
        </w:numPr>
        <w:tabs>
          <w:tab w:pos="481" w:val="left" w:leader="none"/>
        </w:tabs>
        <w:spacing w:line="240" w:lineRule="auto" w:before="33" w:after="0"/>
        <w:ind w:left="480" w:right="0" w:hanging="361"/>
        <w:jc w:val="left"/>
        <w:rPr>
          <w:rFonts w:ascii="黑体" w:eastAsia="黑体"/>
          <w:sz w:val="21"/>
        </w:rPr>
      </w:pPr>
      <w:r>
        <w:rPr>
          <w:rFonts w:ascii="黑体" w:eastAsia="黑体"/>
          <w:spacing w:val="-2"/>
          <w:sz w:val="21"/>
        </w:rPr>
        <w:t>被保险人主动吸食或注射</w:t>
      </w:r>
      <w:r>
        <w:rPr>
          <w:rFonts w:ascii="黑体" w:eastAsia="黑体" w:hint="eastAsia"/>
          <w:b/>
          <w:spacing w:val="-2"/>
          <w:sz w:val="21"/>
        </w:rPr>
        <w:t>毒品</w:t>
      </w:r>
      <w:r>
        <w:rPr>
          <w:b/>
          <w:spacing w:val="-5"/>
          <w:position w:val="11"/>
          <w:sz w:val="11"/>
        </w:rPr>
        <w:t>11</w:t>
      </w:r>
      <w:r>
        <w:rPr>
          <w:rFonts w:ascii="黑体" w:eastAsia="黑体"/>
          <w:spacing w:val="-5"/>
          <w:sz w:val="21"/>
        </w:rPr>
        <w:t>；</w:t>
      </w:r>
    </w:p>
    <w:p>
      <w:pPr>
        <w:pStyle w:val="ListParagraph"/>
        <w:numPr>
          <w:ilvl w:val="0"/>
          <w:numId w:val="6"/>
        </w:numPr>
        <w:tabs>
          <w:tab w:pos="481" w:val="left" w:leader="none"/>
        </w:tabs>
        <w:spacing w:line="278" w:lineRule="auto" w:before="43" w:after="0"/>
        <w:ind w:left="480" w:right="211" w:hanging="360"/>
        <w:jc w:val="left"/>
        <w:rPr>
          <w:rFonts w:ascii="黑体" w:eastAsia="黑体"/>
          <w:sz w:val="21"/>
        </w:rPr>
      </w:pPr>
      <w:r>
        <w:rPr>
          <w:rFonts w:ascii="黑体" w:eastAsia="黑体"/>
          <w:spacing w:val="-2"/>
          <w:sz w:val="21"/>
        </w:rPr>
        <w:t>被保险人自本合同成立日起二年内或本合同最后复效日起二年内自杀，但被保险人自杀</w:t>
      </w:r>
      <w:r>
        <w:rPr>
          <w:rFonts w:ascii="黑体" w:eastAsia="黑体"/>
          <w:spacing w:val="-2"/>
          <w:sz w:val="21"/>
        </w:rPr>
        <w:t>时为无民事行为能力人的除外；</w:t>
      </w: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ind w:left="0"/>
        <w:rPr>
          <w:rFonts w:ascii="黑体"/>
          <w:sz w:val="20"/>
        </w:rPr>
      </w:pPr>
    </w:p>
    <w:p>
      <w:pPr>
        <w:pStyle w:val="BodyText"/>
        <w:spacing w:before="9"/>
        <w:ind w:left="0"/>
        <w:rPr>
          <w:rFonts w:ascii="黑体"/>
          <w:sz w:val="14"/>
        </w:rPr>
      </w:pPr>
      <w:r>
        <w:rPr/>
        <w:drawing>
          <wp:anchor distT="0" distB="0" distL="0" distR="0" allowOverlap="1" layoutInCell="1" locked="0" behindDoc="0" simplePos="0" relativeHeight="3">
            <wp:simplePos x="0" y="0"/>
            <wp:positionH relativeFrom="page">
              <wp:posOffset>1143304</wp:posOffset>
            </wp:positionH>
            <wp:positionV relativeFrom="paragraph">
              <wp:posOffset>135111</wp:posOffset>
            </wp:positionV>
            <wp:extent cx="1828901" cy="6096"/>
            <wp:effectExtent l="0" t="0" r="0" b="0"/>
            <wp:wrapTopAndBottom/>
            <wp:docPr id="7" name="image3.png"/>
            <wp:cNvGraphicFramePr>
              <a:graphicFrameLocks noChangeAspect="1"/>
            </wp:cNvGraphicFramePr>
            <a:graphic>
              <a:graphicData uri="http://schemas.openxmlformats.org/drawingml/2006/picture">
                <pic:pic>
                  <pic:nvPicPr>
                    <pic:cNvPr id="8" name="image3.png"/>
                    <pic:cNvPicPr/>
                  </pic:nvPicPr>
                  <pic:blipFill>
                    <a:blip r:embed="rId8" cstate="print"/>
                    <a:stretch>
                      <a:fillRect/>
                    </a:stretch>
                  </pic:blipFill>
                  <pic:spPr>
                    <a:xfrm>
                      <a:off x="0" y="0"/>
                      <a:ext cx="1828901" cy="6096"/>
                    </a:xfrm>
                    <a:prstGeom prst="rect">
                      <a:avLst/>
                    </a:prstGeom>
                  </pic:spPr>
                </pic:pic>
              </a:graphicData>
            </a:graphic>
          </wp:anchor>
        </w:drawing>
      </w:r>
    </w:p>
    <w:p>
      <w:pPr>
        <w:spacing w:line="242" w:lineRule="auto" w:before="98"/>
        <w:ind w:left="120" w:right="243" w:firstLine="0"/>
        <w:jc w:val="left"/>
        <w:rPr>
          <w:sz w:val="18"/>
        </w:rPr>
      </w:pPr>
      <w:r>
        <w:rPr>
          <w:rFonts w:ascii="Times New Roman" w:eastAsia="Times New Roman"/>
          <w:sz w:val="18"/>
          <w:vertAlign w:val="superscript"/>
        </w:rPr>
        <w:t>11</w:t>
      </w:r>
      <w:r>
        <w:rPr>
          <w:rFonts w:ascii="Times New Roman" w:eastAsia="Times New Roman"/>
          <w:spacing w:val="40"/>
          <w:sz w:val="18"/>
          <w:vertAlign w:val="baseline"/>
        </w:rPr>
        <w:t> </w:t>
      </w:r>
      <w:r>
        <w:rPr>
          <w:b/>
          <w:sz w:val="18"/>
          <w:vertAlign w:val="baseline"/>
        </w:rPr>
        <w:t>毒品</w:t>
      </w:r>
      <w:r>
        <w:rPr>
          <w:sz w:val="18"/>
          <w:vertAlign w:val="baseline"/>
        </w:rPr>
        <w:t>：指中华人民共和国刑法规定的鸦片、海洛因、甲基苯丙胺（冰毒</w:t>
      </w:r>
      <w:r>
        <w:rPr>
          <w:spacing w:val="-92"/>
          <w:sz w:val="18"/>
          <w:vertAlign w:val="baseline"/>
        </w:rPr>
        <w:t>）</w:t>
      </w:r>
      <w:r>
        <w:rPr>
          <w:sz w:val="18"/>
          <w:vertAlign w:val="baseline"/>
        </w:rPr>
        <w:t>、吗啡、大麻、可卡因以及国</w:t>
      </w:r>
      <w:r>
        <w:rPr>
          <w:spacing w:val="-2"/>
          <w:sz w:val="18"/>
          <w:vertAlign w:val="baseline"/>
        </w:rPr>
        <w:t>家规定管制的其他能够使人形成瘾癖的麻醉药品和精神药品，但不包括由医生开具并遵医嘱使用的用于治</w:t>
      </w:r>
      <w:r>
        <w:rPr>
          <w:spacing w:val="-2"/>
          <w:sz w:val="18"/>
          <w:vertAlign w:val="baseline"/>
        </w:rPr>
        <w:t>疗疾病但含有毒品成分的处方药品。</w:t>
      </w:r>
    </w:p>
    <w:p>
      <w:pPr>
        <w:spacing w:after="0" w:line="242" w:lineRule="auto"/>
        <w:jc w:val="left"/>
        <w:rPr>
          <w:sz w:val="18"/>
        </w:rPr>
        <w:sectPr>
          <w:pgSz w:w="11910" w:h="16840"/>
          <w:pgMar w:header="0" w:footer="975" w:top="1400" w:bottom="1160" w:left="1680" w:right="1580"/>
        </w:sectPr>
      </w:pPr>
    </w:p>
    <w:p>
      <w:pPr>
        <w:pStyle w:val="ListParagraph"/>
        <w:numPr>
          <w:ilvl w:val="0"/>
          <w:numId w:val="6"/>
        </w:numPr>
        <w:tabs>
          <w:tab w:pos="478" w:val="left" w:leader="none"/>
        </w:tabs>
        <w:spacing w:line="240" w:lineRule="auto" w:before="74" w:after="0"/>
        <w:ind w:left="478" w:right="0" w:hanging="358"/>
        <w:jc w:val="left"/>
        <w:rPr>
          <w:rFonts w:ascii="黑体" w:eastAsia="黑体"/>
          <w:sz w:val="21"/>
        </w:rPr>
      </w:pPr>
      <w:r>
        <w:rPr>
          <w:rFonts w:ascii="黑体" w:eastAsia="黑体"/>
          <w:w w:val="95"/>
          <w:sz w:val="21"/>
        </w:rPr>
        <w:t>被</w:t>
      </w:r>
      <w:r>
        <w:rPr>
          <w:rFonts w:ascii="黑体" w:eastAsia="黑体"/>
          <w:w w:val="95"/>
          <w:sz w:val="21"/>
        </w:rPr>
        <w:t>保</w:t>
      </w:r>
      <w:r>
        <w:rPr>
          <w:rFonts w:ascii="黑体" w:eastAsia="黑体"/>
          <w:w w:val="95"/>
          <w:sz w:val="21"/>
        </w:rPr>
        <w:t>险人</w:t>
      </w:r>
      <w:r>
        <w:rPr>
          <w:rFonts w:ascii="黑体" w:eastAsia="黑体" w:hint="eastAsia"/>
          <w:b/>
          <w:w w:val="95"/>
          <w:sz w:val="21"/>
        </w:rPr>
        <w:t>酒</w:t>
      </w:r>
      <w:r>
        <w:rPr>
          <w:rFonts w:ascii="黑体" w:eastAsia="黑体" w:hint="eastAsia"/>
          <w:b/>
          <w:w w:val="95"/>
          <w:sz w:val="21"/>
        </w:rPr>
        <w:t>后</w:t>
      </w:r>
      <w:r>
        <w:rPr>
          <w:rFonts w:ascii="黑体" w:eastAsia="黑体" w:hint="eastAsia"/>
          <w:b/>
          <w:w w:val="95"/>
          <w:sz w:val="21"/>
        </w:rPr>
        <w:t>驾</w:t>
      </w:r>
      <w:r>
        <w:rPr>
          <w:rFonts w:ascii="黑体" w:eastAsia="黑体" w:hint="eastAsia"/>
          <w:b/>
          <w:w w:val="95"/>
          <w:sz w:val="21"/>
        </w:rPr>
        <w:t>驶</w:t>
      </w:r>
      <w:r>
        <w:rPr>
          <w:b/>
          <w:w w:val="95"/>
          <w:position w:val="11"/>
          <w:sz w:val="11"/>
        </w:rPr>
        <w:t>12</w:t>
      </w:r>
      <w:r>
        <w:rPr>
          <w:rFonts w:ascii="黑体" w:eastAsia="黑体"/>
          <w:w w:val="95"/>
          <w:sz w:val="21"/>
        </w:rPr>
        <w:t>、</w:t>
      </w:r>
      <w:r>
        <w:rPr>
          <w:rFonts w:ascii="黑体" w:eastAsia="黑体" w:hint="eastAsia"/>
          <w:b/>
          <w:w w:val="95"/>
          <w:sz w:val="21"/>
        </w:rPr>
        <w:t>无</w:t>
      </w:r>
      <w:r>
        <w:rPr>
          <w:rFonts w:ascii="黑体" w:eastAsia="黑体" w:hint="eastAsia"/>
          <w:b/>
          <w:w w:val="95"/>
          <w:sz w:val="21"/>
        </w:rPr>
        <w:t>合</w:t>
      </w:r>
      <w:r>
        <w:rPr>
          <w:rFonts w:ascii="黑体" w:eastAsia="黑体" w:hint="eastAsia"/>
          <w:b/>
          <w:w w:val="95"/>
          <w:sz w:val="21"/>
        </w:rPr>
        <w:t>法</w:t>
      </w:r>
      <w:r>
        <w:rPr>
          <w:rFonts w:ascii="黑体" w:eastAsia="黑体" w:hint="eastAsia"/>
          <w:b/>
          <w:w w:val="95"/>
          <w:sz w:val="21"/>
        </w:rPr>
        <w:t>有</w:t>
      </w:r>
      <w:r>
        <w:rPr>
          <w:rFonts w:ascii="黑体" w:eastAsia="黑体" w:hint="eastAsia"/>
          <w:b/>
          <w:w w:val="95"/>
          <w:sz w:val="21"/>
        </w:rPr>
        <w:t>效</w:t>
      </w:r>
      <w:r>
        <w:rPr>
          <w:rFonts w:ascii="黑体" w:eastAsia="黑体" w:hint="eastAsia"/>
          <w:b/>
          <w:w w:val="95"/>
          <w:sz w:val="21"/>
        </w:rPr>
        <w:t>驾</w:t>
      </w:r>
      <w:r>
        <w:rPr>
          <w:rFonts w:ascii="黑体" w:eastAsia="黑体" w:hint="eastAsia"/>
          <w:b/>
          <w:w w:val="95"/>
          <w:sz w:val="21"/>
        </w:rPr>
        <w:t>驶</w:t>
      </w:r>
      <w:r>
        <w:rPr>
          <w:rFonts w:ascii="黑体" w:eastAsia="黑体" w:hint="eastAsia"/>
          <w:b/>
          <w:w w:val="95"/>
          <w:sz w:val="21"/>
        </w:rPr>
        <w:t>证</w:t>
      </w:r>
      <w:r>
        <w:rPr>
          <w:rFonts w:ascii="黑体" w:eastAsia="黑体" w:hint="eastAsia"/>
          <w:b/>
          <w:w w:val="95"/>
          <w:sz w:val="21"/>
        </w:rPr>
        <w:t>驾</w:t>
      </w:r>
      <w:r>
        <w:rPr>
          <w:rFonts w:ascii="黑体" w:eastAsia="黑体" w:hint="eastAsia"/>
          <w:b/>
          <w:w w:val="95"/>
          <w:sz w:val="21"/>
        </w:rPr>
        <w:t>驶</w:t>
      </w:r>
      <w:r>
        <w:rPr>
          <w:b/>
          <w:w w:val="95"/>
          <w:position w:val="11"/>
          <w:sz w:val="11"/>
        </w:rPr>
        <w:t>13</w:t>
      </w:r>
      <w:r>
        <w:rPr>
          <w:rFonts w:ascii="黑体" w:eastAsia="黑体"/>
          <w:w w:val="95"/>
          <w:sz w:val="21"/>
        </w:rPr>
        <w:t>，或驾驶</w:t>
      </w:r>
      <w:r>
        <w:rPr>
          <w:rFonts w:ascii="黑体" w:eastAsia="黑体" w:hint="eastAsia"/>
          <w:b/>
          <w:w w:val="95"/>
          <w:sz w:val="21"/>
        </w:rPr>
        <w:t>无</w:t>
      </w:r>
      <w:r>
        <w:rPr>
          <w:rFonts w:ascii="黑体" w:eastAsia="黑体" w:hint="eastAsia"/>
          <w:b/>
          <w:w w:val="95"/>
          <w:sz w:val="21"/>
        </w:rPr>
        <w:t>有</w:t>
      </w:r>
      <w:r>
        <w:rPr>
          <w:rFonts w:ascii="黑体" w:eastAsia="黑体" w:hint="eastAsia"/>
          <w:b/>
          <w:w w:val="95"/>
          <w:sz w:val="21"/>
        </w:rPr>
        <w:t>效</w:t>
      </w:r>
      <w:r>
        <w:rPr>
          <w:rFonts w:ascii="黑体" w:eastAsia="黑体" w:hint="eastAsia"/>
          <w:b/>
          <w:w w:val="95"/>
          <w:sz w:val="21"/>
        </w:rPr>
        <w:t>行</w:t>
      </w:r>
      <w:r>
        <w:rPr>
          <w:rFonts w:ascii="黑体" w:eastAsia="黑体" w:hint="eastAsia"/>
          <w:b/>
          <w:w w:val="95"/>
          <w:sz w:val="21"/>
        </w:rPr>
        <w:t>驶</w:t>
      </w:r>
      <w:r>
        <w:rPr>
          <w:rFonts w:ascii="黑体" w:eastAsia="黑体" w:hint="eastAsia"/>
          <w:b/>
          <w:w w:val="95"/>
          <w:sz w:val="21"/>
        </w:rPr>
        <w:t>证</w:t>
      </w:r>
      <w:r>
        <w:rPr>
          <w:b/>
          <w:w w:val="95"/>
          <w:position w:val="11"/>
          <w:sz w:val="11"/>
        </w:rPr>
        <w:t>14</w:t>
      </w:r>
      <w:r>
        <w:rPr>
          <w:rFonts w:ascii="黑体" w:eastAsia="黑体"/>
          <w:w w:val="95"/>
          <w:sz w:val="21"/>
        </w:rPr>
        <w:t>的</w:t>
      </w:r>
      <w:r>
        <w:rPr>
          <w:rFonts w:ascii="黑体" w:eastAsia="黑体" w:hint="eastAsia"/>
          <w:b/>
          <w:w w:val="95"/>
          <w:sz w:val="21"/>
        </w:rPr>
        <w:t>机</w:t>
      </w:r>
      <w:r>
        <w:rPr>
          <w:rFonts w:ascii="黑体" w:eastAsia="黑体" w:hint="eastAsia"/>
          <w:b/>
          <w:w w:val="95"/>
          <w:sz w:val="21"/>
        </w:rPr>
        <w:t>动</w:t>
      </w:r>
      <w:r>
        <w:rPr>
          <w:rFonts w:ascii="黑体" w:eastAsia="黑体" w:hint="eastAsia"/>
          <w:b/>
          <w:w w:val="95"/>
          <w:sz w:val="21"/>
        </w:rPr>
        <w:t>车</w:t>
      </w:r>
      <w:r>
        <w:rPr>
          <w:rFonts w:ascii="黑体" w:eastAsia="黑体" w:hint="eastAsia"/>
          <w:b/>
          <w:spacing w:val="-5"/>
          <w:w w:val="95"/>
          <w:position w:val="11"/>
          <w:sz w:val="11"/>
        </w:rPr>
        <w:t>15</w:t>
      </w:r>
      <w:r>
        <w:rPr>
          <w:rFonts w:ascii="黑体" w:eastAsia="黑体"/>
          <w:spacing w:val="-5"/>
          <w:w w:val="95"/>
          <w:sz w:val="21"/>
        </w:rPr>
        <w:t>；</w:t>
      </w:r>
    </w:p>
    <w:p>
      <w:pPr>
        <w:pStyle w:val="ListParagraph"/>
        <w:numPr>
          <w:ilvl w:val="0"/>
          <w:numId w:val="6"/>
        </w:numPr>
        <w:tabs>
          <w:tab w:pos="481" w:val="left" w:leader="none"/>
        </w:tabs>
        <w:spacing w:line="240" w:lineRule="auto" w:before="43" w:after="0"/>
        <w:ind w:left="480" w:right="0" w:hanging="361"/>
        <w:jc w:val="left"/>
        <w:rPr>
          <w:rFonts w:ascii="黑体" w:eastAsia="黑体"/>
          <w:sz w:val="21"/>
        </w:rPr>
      </w:pPr>
      <w:r>
        <w:rPr>
          <w:rFonts w:ascii="黑体" w:eastAsia="黑体"/>
          <w:spacing w:val="-3"/>
          <w:sz w:val="21"/>
        </w:rPr>
        <w:t>战争、军事冲突、暴乱或武装叛乱；</w:t>
      </w:r>
    </w:p>
    <w:p>
      <w:pPr>
        <w:pStyle w:val="ListParagraph"/>
        <w:numPr>
          <w:ilvl w:val="0"/>
          <w:numId w:val="6"/>
        </w:numPr>
        <w:tabs>
          <w:tab w:pos="481" w:val="left" w:leader="none"/>
        </w:tabs>
        <w:spacing w:line="240" w:lineRule="auto" w:before="43" w:after="0"/>
        <w:ind w:left="480" w:right="0" w:hanging="361"/>
        <w:jc w:val="left"/>
        <w:rPr>
          <w:rFonts w:ascii="黑体" w:eastAsia="黑体"/>
          <w:sz w:val="21"/>
        </w:rPr>
      </w:pPr>
      <w:r>
        <w:rPr>
          <w:rFonts w:ascii="黑体" w:eastAsia="黑体"/>
          <w:spacing w:val="-3"/>
          <w:sz w:val="21"/>
        </w:rPr>
        <w:t>核爆炸、核辐射或核污染。</w:t>
      </w:r>
    </w:p>
    <w:p>
      <w:pPr>
        <w:pStyle w:val="BodyText"/>
        <w:spacing w:line="268" w:lineRule="auto" w:before="43"/>
        <w:ind w:right="211"/>
        <w:rPr>
          <w:rFonts w:ascii="黑体" w:eastAsia="黑体"/>
        </w:rPr>
      </w:pPr>
      <w:r>
        <w:rPr>
          <w:rFonts w:ascii="黑体" w:eastAsia="黑体"/>
          <w:spacing w:val="-10"/>
        </w:rPr>
        <w:t>发生上述第 </w:t>
      </w:r>
      <w:r>
        <w:rPr>
          <w:rFonts w:ascii="黑体" w:eastAsia="黑体"/>
          <w:spacing w:val="-2"/>
        </w:rPr>
        <w:t>1</w:t>
      </w:r>
      <w:r>
        <w:rPr>
          <w:rFonts w:ascii="黑体" w:eastAsia="黑体"/>
          <w:spacing w:val="-12"/>
        </w:rPr>
        <w:t> 项情形导致被保险人身故的，本合同终止，我们向被保险人的继承人退还保险</w:t>
      </w:r>
      <w:r>
        <w:rPr>
          <w:rFonts w:ascii="黑体" w:eastAsia="黑体"/>
          <w:spacing w:val="-2"/>
        </w:rPr>
        <w:t>单的</w:t>
      </w:r>
      <w:r>
        <w:rPr>
          <w:rFonts w:ascii="黑体" w:eastAsia="黑体" w:hint="eastAsia"/>
          <w:b/>
          <w:spacing w:val="-2"/>
        </w:rPr>
        <w:t>现金价值</w:t>
      </w:r>
      <w:r>
        <w:rPr>
          <w:rFonts w:ascii="黑体" w:eastAsia="黑体"/>
          <w:spacing w:val="-2"/>
          <w:position w:val="11"/>
          <w:sz w:val="11"/>
        </w:rPr>
        <w:t>16</w:t>
      </w:r>
      <w:r>
        <w:rPr>
          <w:rFonts w:ascii="黑体" w:eastAsia="黑体"/>
          <w:spacing w:val="-2"/>
        </w:rPr>
        <w:t>。</w:t>
      </w:r>
    </w:p>
    <w:p>
      <w:pPr>
        <w:pStyle w:val="BodyText"/>
        <w:spacing w:line="278" w:lineRule="auto" w:before="12"/>
        <w:ind w:right="211"/>
        <w:rPr>
          <w:rFonts w:ascii="黑体" w:eastAsia="黑体"/>
        </w:rPr>
      </w:pPr>
      <w:r>
        <w:rPr>
          <w:rFonts w:ascii="黑体" w:eastAsia="黑体"/>
          <w:spacing w:val="-3"/>
          <w:w w:val="100"/>
        </w:rPr>
        <w:t>发生上述其他情形导致被保险人身故的，本合同终止，我们向您退还本合同的现金价值。</w:t>
      </w:r>
      <w:r>
        <w:rPr>
          <w:rFonts w:ascii="黑体" w:eastAsia="黑体"/>
          <w:spacing w:val="-10"/>
          <w:w w:val="100"/>
        </w:rPr>
        <w:t>二、被保险人因下列情形之一而身故或身体高度残疾，我们不承担给付意外身故额外保险金</w:t>
      </w:r>
      <w:r>
        <w:rPr>
          <w:rFonts w:ascii="黑体" w:eastAsia="黑体"/>
          <w:spacing w:val="-3"/>
          <w:w w:val="100"/>
        </w:rPr>
        <w:t>或意外高残额外保险金的责任：</w:t>
      </w:r>
    </w:p>
    <w:p>
      <w:pPr>
        <w:pStyle w:val="ListParagraph"/>
        <w:numPr>
          <w:ilvl w:val="0"/>
          <w:numId w:val="7"/>
        </w:numPr>
        <w:tabs>
          <w:tab w:pos="541" w:val="left" w:leader="none"/>
        </w:tabs>
        <w:spacing w:line="269" w:lineRule="exact" w:before="0" w:after="0"/>
        <w:ind w:left="540" w:right="0" w:hanging="421"/>
        <w:jc w:val="left"/>
        <w:rPr>
          <w:rFonts w:ascii="黑体" w:eastAsia="黑体"/>
          <w:sz w:val="21"/>
        </w:rPr>
      </w:pPr>
      <w:r>
        <w:rPr>
          <w:rFonts w:ascii="黑体" w:eastAsia="黑体"/>
          <w:spacing w:val="-3"/>
          <w:sz w:val="21"/>
        </w:rPr>
        <w:t>本条第一款中列举的各项情形；</w:t>
      </w:r>
    </w:p>
    <w:p>
      <w:pPr>
        <w:pStyle w:val="ListParagraph"/>
        <w:numPr>
          <w:ilvl w:val="0"/>
          <w:numId w:val="7"/>
        </w:numPr>
        <w:tabs>
          <w:tab w:pos="541" w:val="left" w:leader="none"/>
        </w:tabs>
        <w:spacing w:line="240" w:lineRule="auto" w:before="43" w:after="0"/>
        <w:ind w:left="540" w:right="0" w:hanging="421"/>
        <w:jc w:val="left"/>
        <w:rPr>
          <w:rFonts w:ascii="黑体" w:eastAsia="黑体"/>
          <w:sz w:val="21"/>
        </w:rPr>
      </w:pPr>
      <w:r>
        <w:rPr>
          <w:rFonts w:ascii="黑体" w:eastAsia="黑体"/>
          <w:spacing w:val="-3"/>
          <w:sz w:val="21"/>
        </w:rPr>
        <w:t>被保险人醉酒、斗殴、故意自伤；</w:t>
      </w:r>
    </w:p>
    <w:p>
      <w:pPr>
        <w:pStyle w:val="ListParagraph"/>
        <w:numPr>
          <w:ilvl w:val="0"/>
          <w:numId w:val="7"/>
        </w:numPr>
        <w:tabs>
          <w:tab w:pos="541" w:val="left" w:leader="none"/>
        </w:tabs>
        <w:spacing w:line="240" w:lineRule="auto" w:before="32" w:after="0"/>
        <w:ind w:left="540" w:right="0" w:hanging="421"/>
        <w:jc w:val="left"/>
        <w:rPr>
          <w:rFonts w:ascii="黑体" w:eastAsia="黑体"/>
          <w:sz w:val="21"/>
        </w:rPr>
      </w:pPr>
      <w:r>
        <w:rPr>
          <w:rFonts w:ascii="黑体" w:eastAsia="黑体"/>
          <w:spacing w:val="-2"/>
          <w:sz w:val="21"/>
        </w:rPr>
        <w:t>被保险人</w:t>
      </w:r>
      <w:r>
        <w:rPr>
          <w:rFonts w:ascii="黑体" w:eastAsia="黑体" w:hint="eastAsia"/>
          <w:b/>
          <w:spacing w:val="-2"/>
          <w:sz w:val="21"/>
        </w:rPr>
        <w:t>猝死</w:t>
      </w:r>
      <w:r>
        <w:rPr>
          <w:rFonts w:ascii="黑体" w:eastAsia="黑体" w:hint="eastAsia"/>
          <w:b/>
          <w:spacing w:val="-5"/>
          <w:position w:val="11"/>
          <w:sz w:val="11"/>
        </w:rPr>
        <w:t>17</w:t>
      </w:r>
      <w:r>
        <w:rPr>
          <w:rFonts w:ascii="黑体" w:eastAsia="黑体"/>
          <w:spacing w:val="-5"/>
          <w:sz w:val="21"/>
        </w:rPr>
        <w:t>；</w:t>
      </w:r>
    </w:p>
    <w:p>
      <w:pPr>
        <w:pStyle w:val="ListParagraph"/>
        <w:numPr>
          <w:ilvl w:val="0"/>
          <w:numId w:val="7"/>
        </w:numPr>
        <w:tabs>
          <w:tab w:pos="541" w:val="left" w:leader="none"/>
        </w:tabs>
        <w:spacing w:line="240" w:lineRule="auto" w:before="43" w:after="0"/>
        <w:ind w:left="540" w:right="0" w:hanging="421"/>
        <w:jc w:val="left"/>
        <w:rPr>
          <w:rFonts w:ascii="黑体" w:eastAsia="黑体"/>
          <w:sz w:val="21"/>
        </w:rPr>
      </w:pPr>
      <w:r>
        <w:rPr>
          <w:rFonts w:ascii="黑体" w:eastAsia="黑体"/>
          <w:spacing w:val="-3"/>
          <w:sz w:val="21"/>
        </w:rPr>
        <w:t>被保险人患精神疾病；</w:t>
      </w:r>
    </w:p>
    <w:p>
      <w:pPr>
        <w:pStyle w:val="ListParagraph"/>
        <w:numPr>
          <w:ilvl w:val="0"/>
          <w:numId w:val="7"/>
        </w:numPr>
        <w:tabs>
          <w:tab w:pos="541" w:val="left" w:leader="none"/>
        </w:tabs>
        <w:spacing w:line="278" w:lineRule="auto" w:before="43" w:after="0"/>
        <w:ind w:left="540" w:right="214" w:hanging="420"/>
        <w:jc w:val="left"/>
        <w:rPr>
          <w:rFonts w:ascii="黑体" w:eastAsia="黑体"/>
          <w:sz w:val="21"/>
        </w:rPr>
      </w:pPr>
      <w:r>
        <w:rPr>
          <w:rFonts w:ascii="黑体" w:eastAsia="黑体"/>
          <w:spacing w:val="-4"/>
          <w:sz w:val="21"/>
        </w:rPr>
        <w:t>被保险人因疾病、中暑、妊娠、流产、分娩、药物过敏、食物中毒、整容手术或其他医</w:t>
      </w:r>
      <w:r>
        <w:rPr>
          <w:rFonts w:ascii="黑体" w:eastAsia="黑体"/>
          <w:spacing w:val="-2"/>
          <w:sz w:val="21"/>
        </w:rPr>
        <w:t>疗导致的伤害；</w:t>
      </w:r>
    </w:p>
    <w:p>
      <w:pPr>
        <w:pStyle w:val="ListParagraph"/>
        <w:numPr>
          <w:ilvl w:val="0"/>
          <w:numId w:val="7"/>
        </w:numPr>
        <w:tabs>
          <w:tab w:pos="541" w:val="left" w:leader="none"/>
        </w:tabs>
        <w:spacing w:line="269" w:lineRule="exact" w:before="0" w:after="0"/>
        <w:ind w:left="540" w:right="0" w:hanging="421"/>
        <w:jc w:val="left"/>
        <w:rPr>
          <w:rFonts w:ascii="黑体" w:eastAsia="黑体"/>
          <w:sz w:val="21"/>
        </w:rPr>
      </w:pPr>
      <w:r>
        <w:rPr>
          <w:rFonts w:ascii="黑体" w:eastAsia="黑体"/>
          <w:spacing w:val="-2"/>
          <w:sz w:val="21"/>
        </w:rPr>
        <w:t>被保险人未遵医嘱，私自服用、涂用、注射药物、使用</w:t>
      </w:r>
      <w:r>
        <w:rPr>
          <w:rFonts w:ascii="黑体" w:eastAsia="黑体" w:hint="eastAsia"/>
          <w:b/>
          <w:spacing w:val="-2"/>
          <w:sz w:val="21"/>
        </w:rPr>
        <w:t>管制药品</w:t>
      </w:r>
      <w:r>
        <w:rPr>
          <w:rFonts w:ascii="黑体" w:eastAsia="黑体"/>
          <w:spacing w:val="-5"/>
          <w:position w:val="11"/>
          <w:sz w:val="11"/>
        </w:rPr>
        <w:t>18</w:t>
      </w:r>
      <w:r>
        <w:rPr>
          <w:rFonts w:ascii="黑体" w:eastAsia="黑体"/>
          <w:spacing w:val="-5"/>
          <w:sz w:val="21"/>
        </w:rPr>
        <w:t>；</w:t>
      </w:r>
    </w:p>
    <w:p>
      <w:pPr>
        <w:pStyle w:val="ListParagraph"/>
        <w:numPr>
          <w:ilvl w:val="0"/>
          <w:numId w:val="7"/>
        </w:numPr>
        <w:tabs>
          <w:tab w:pos="541" w:val="left" w:leader="none"/>
        </w:tabs>
        <w:spacing w:line="268" w:lineRule="auto" w:before="33" w:after="0"/>
        <w:ind w:left="540" w:right="213" w:hanging="420"/>
        <w:jc w:val="left"/>
        <w:rPr>
          <w:rFonts w:ascii="黑体" w:eastAsia="黑体"/>
          <w:sz w:val="21"/>
        </w:rPr>
      </w:pPr>
      <w:r>
        <w:rPr>
          <w:rFonts w:ascii="黑体" w:eastAsia="黑体"/>
          <w:spacing w:val="-2"/>
          <w:sz w:val="21"/>
        </w:rPr>
        <w:t>被保险人进行</w:t>
      </w:r>
      <w:r>
        <w:rPr>
          <w:rFonts w:ascii="黑体" w:eastAsia="黑体" w:hint="eastAsia"/>
          <w:b/>
          <w:spacing w:val="-2"/>
          <w:sz w:val="21"/>
        </w:rPr>
        <w:t>潜水</w:t>
      </w:r>
      <w:r>
        <w:rPr>
          <w:rFonts w:ascii="黑体" w:eastAsia="黑体"/>
          <w:spacing w:val="-2"/>
          <w:position w:val="11"/>
          <w:sz w:val="11"/>
        </w:rPr>
        <w:t>19</w:t>
      </w:r>
      <w:r>
        <w:rPr>
          <w:rFonts w:ascii="黑体" w:eastAsia="黑体"/>
          <w:spacing w:val="-2"/>
          <w:sz w:val="21"/>
        </w:rPr>
        <w:t>、滑水、滑雪、滑冰、驾驶滑翔机或滑翔伞、跳伞、蹦极、</w:t>
      </w:r>
      <w:r>
        <w:rPr>
          <w:rFonts w:ascii="黑体" w:eastAsia="黑体" w:hint="eastAsia"/>
          <w:b/>
          <w:spacing w:val="-2"/>
          <w:sz w:val="21"/>
        </w:rPr>
        <w:t>攀岩运</w:t>
      </w:r>
      <w:r>
        <w:rPr>
          <w:rFonts w:ascii="黑体" w:eastAsia="黑体" w:hint="eastAsia"/>
          <w:b/>
          <w:spacing w:val="-2"/>
          <w:sz w:val="21"/>
        </w:rPr>
        <w:t>动</w:t>
      </w:r>
      <w:r>
        <w:rPr>
          <w:rFonts w:ascii="黑体" w:eastAsia="黑体"/>
          <w:spacing w:val="-2"/>
          <w:position w:val="11"/>
          <w:sz w:val="11"/>
        </w:rPr>
        <w:t>20</w:t>
      </w:r>
      <w:r>
        <w:rPr>
          <w:rFonts w:ascii="黑体" w:eastAsia="黑体"/>
          <w:spacing w:val="-2"/>
          <w:sz w:val="21"/>
        </w:rPr>
        <w:t>或</w:t>
      </w:r>
      <w:r>
        <w:rPr>
          <w:rFonts w:ascii="黑体" w:eastAsia="黑体" w:hint="eastAsia"/>
          <w:b/>
          <w:spacing w:val="-2"/>
          <w:sz w:val="21"/>
        </w:rPr>
        <w:t>探险活动</w:t>
      </w:r>
      <w:r>
        <w:rPr>
          <w:rFonts w:ascii="黑体" w:eastAsia="黑体"/>
          <w:spacing w:val="-2"/>
          <w:position w:val="11"/>
          <w:sz w:val="11"/>
        </w:rPr>
        <w:t>21</w:t>
      </w:r>
      <w:r>
        <w:rPr>
          <w:rFonts w:ascii="黑体" w:eastAsia="黑体"/>
          <w:spacing w:val="-2"/>
          <w:sz w:val="21"/>
        </w:rPr>
        <w:t>；</w:t>
      </w:r>
    </w:p>
    <w:p>
      <w:pPr>
        <w:pStyle w:val="ListParagraph"/>
        <w:numPr>
          <w:ilvl w:val="0"/>
          <w:numId w:val="7"/>
        </w:numPr>
        <w:tabs>
          <w:tab w:pos="541" w:val="left" w:leader="none"/>
        </w:tabs>
        <w:spacing w:line="240" w:lineRule="auto" w:before="2" w:after="0"/>
        <w:ind w:left="540" w:right="0" w:hanging="421"/>
        <w:jc w:val="left"/>
        <w:rPr>
          <w:rFonts w:ascii="黑体" w:eastAsia="黑体"/>
          <w:sz w:val="21"/>
        </w:rPr>
      </w:pPr>
      <w:r>
        <w:rPr>
          <w:rFonts w:ascii="黑体" w:eastAsia="黑体"/>
          <w:w w:val="95"/>
          <w:sz w:val="21"/>
        </w:rPr>
        <w:t>被</w:t>
      </w:r>
      <w:r>
        <w:rPr>
          <w:rFonts w:ascii="黑体" w:eastAsia="黑体"/>
          <w:w w:val="95"/>
          <w:sz w:val="21"/>
        </w:rPr>
        <w:t>保</w:t>
      </w:r>
      <w:r>
        <w:rPr>
          <w:rFonts w:ascii="黑体" w:eastAsia="黑体"/>
          <w:w w:val="95"/>
          <w:sz w:val="21"/>
        </w:rPr>
        <w:t>险人进行</w:t>
      </w:r>
      <w:r>
        <w:rPr>
          <w:rFonts w:ascii="黑体" w:eastAsia="黑体" w:hint="eastAsia"/>
          <w:b/>
          <w:w w:val="95"/>
          <w:sz w:val="21"/>
        </w:rPr>
        <w:t>武</w:t>
      </w:r>
      <w:r>
        <w:rPr>
          <w:rFonts w:ascii="黑体" w:eastAsia="黑体" w:hint="eastAsia"/>
          <w:b/>
          <w:w w:val="95"/>
          <w:sz w:val="21"/>
        </w:rPr>
        <w:t>术</w:t>
      </w:r>
      <w:r>
        <w:rPr>
          <w:rFonts w:ascii="黑体" w:eastAsia="黑体" w:hint="eastAsia"/>
          <w:b/>
          <w:w w:val="95"/>
          <w:sz w:val="21"/>
        </w:rPr>
        <w:t>比</w:t>
      </w:r>
      <w:r>
        <w:rPr>
          <w:rFonts w:ascii="黑体" w:eastAsia="黑体" w:hint="eastAsia"/>
          <w:b/>
          <w:w w:val="95"/>
          <w:sz w:val="21"/>
        </w:rPr>
        <w:t>赛</w:t>
      </w:r>
      <w:r>
        <w:rPr>
          <w:rFonts w:ascii="黑体" w:eastAsia="黑体" w:hint="eastAsia"/>
          <w:b/>
          <w:w w:val="95"/>
          <w:position w:val="11"/>
          <w:sz w:val="11"/>
        </w:rPr>
        <w:t>22</w:t>
      </w:r>
      <w:r>
        <w:rPr>
          <w:rFonts w:ascii="黑体" w:eastAsia="黑体"/>
          <w:w w:val="95"/>
          <w:sz w:val="21"/>
        </w:rPr>
        <w:t>、</w:t>
      </w:r>
      <w:r>
        <w:rPr>
          <w:rFonts w:ascii="黑体" w:eastAsia="黑体"/>
          <w:w w:val="95"/>
          <w:sz w:val="21"/>
        </w:rPr>
        <w:t>摔</w:t>
      </w:r>
      <w:r>
        <w:rPr>
          <w:rFonts w:ascii="黑体" w:eastAsia="黑体"/>
          <w:w w:val="95"/>
          <w:sz w:val="21"/>
        </w:rPr>
        <w:t>跤</w:t>
      </w:r>
      <w:r>
        <w:rPr>
          <w:rFonts w:ascii="黑体" w:eastAsia="黑体"/>
          <w:w w:val="95"/>
          <w:sz w:val="21"/>
        </w:rPr>
        <w:t>、赛马、赛车、驾驶</w:t>
      </w:r>
      <w:r>
        <w:rPr>
          <w:rFonts w:ascii="黑体" w:eastAsia="黑体"/>
          <w:w w:val="95"/>
          <w:sz w:val="21"/>
        </w:rPr>
        <w:t>卡</w:t>
      </w:r>
      <w:r>
        <w:rPr>
          <w:rFonts w:ascii="黑体" w:eastAsia="黑体"/>
          <w:w w:val="95"/>
          <w:sz w:val="21"/>
        </w:rPr>
        <w:t>丁</w:t>
      </w:r>
      <w:r>
        <w:rPr>
          <w:rFonts w:ascii="黑体" w:eastAsia="黑体"/>
          <w:w w:val="95"/>
          <w:sz w:val="21"/>
        </w:rPr>
        <w:t>车或</w:t>
      </w:r>
      <w:r>
        <w:rPr>
          <w:rFonts w:ascii="黑体" w:eastAsia="黑体" w:hint="eastAsia"/>
          <w:b/>
          <w:w w:val="95"/>
          <w:sz w:val="21"/>
        </w:rPr>
        <w:t>特</w:t>
      </w:r>
      <w:r>
        <w:rPr>
          <w:rFonts w:ascii="黑体" w:eastAsia="黑体" w:hint="eastAsia"/>
          <w:b/>
          <w:w w:val="95"/>
          <w:sz w:val="21"/>
        </w:rPr>
        <w:t>技</w:t>
      </w:r>
      <w:r>
        <w:rPr>
          <w:rFonts w:ascii="黑体" w:eastAsia="黑体"/>
          <w:w w:val="95"/>
          <w:position w:val="11"/>
          <w:sz w:val="11"/>
        </w:rPr>
        <w:t>23</w:t>
      </w:r>
      <w:r>
        <w:rPr>
          <w:rFonts w:ascii="黑体" w:eastAsia="黑体"/>
          <w:w w:val="95"/>
          <w:sz w:val="21"/>
        </w:rPr>
        <w:t>等高风险活</w:t>
      </w:r>
      <w:r>
        <w:rPr>
          <w:rFonts w:ascii="黑体" w:eastAsia="黑体"/>
          <w:w w:val="95"/>
          <w:sz w:val="21"/>
        </w:rPr>
        <w:t>动</w:t>
      </w:r>
      <w:r>
        <w:rPr>
          <w:rFonts w:ascii="黑体" w:eastAsia="黑体"/>
          <w:spacing w:val="-10"/>
          <w:w w:val="95"/>
          <w:sz w:val="21"/>
        </w:rPr>
        <w:t>；</w:t>
      </w:r>
    </w:p>
    <w:p>
      <w:pPr>
        <w:pStyle w:val="ListParagraph"/>
        <w:numPr>
          <w:ilvl w:val="0"/>
          <w:numId w:val="7"/>
        </w:numPr>
        <w:tabs>
          <w:tab w:pos="541" w:val="left" w:leader="none"/>
        </w:tabs>
        <w:spacing w:line="240" w:lineRule="auto" w:before="33" w:after="0"/>
        <w:ind w:left="540" w:right="0" w:hanging="421"/>
        <w:jc w:val="left"/>
        <w:rPr>
          <w:rFonts w:ascii="黑体" w:eastAsia="黑体" w:hint="eastAsia"/>
          <w:b/>
          <w:sz w:val="21"/>
        </w:rPr>
      </w:pPr>
      <w:r>
        <w:rPr>
          <w:rFonts w:ascii="黑体" w:eastAsia="黑体"/>
          <w:spacing w:val="-2"/>
          <w:sz w:val="21"/>
        </w:rPr>
        <w:t>被保险人进行</w:t>
      </w:r>
      <w:r>
        <w:rPr>
          <w:rFonts w:ascii="黑体" w:eastAsia="黑体" w:hint="eastAsia"/>
          <w:b/>
          <w:spacing w:val="-2"/>
          <w:sz w:val="21"/>
        </w:rPr>
        <w:t>高处作业</w:t>
      </w:r>
      <w:r>
        <w:rPr>
          <w:rFonts w:ascii="黑体" w:eastAsia="黑体"/>
          <w:spacing w:val="-2"/>
          <w:position w:val="11"/>
          <w:sz w:val="11"/>
        </w:rPr>
        <w:t>24</w:t>
      </w:r>
      <w:r>
        <w:rPr>
          <w:rFonts w:ascii="黑体" w:eastAsia="黑体" w:hint="eastAsia"/>
          <w:b/>
          <w:spacing w:val="-10"/>
          <w:sz w:val="21"/>
        </w:rPr>
        <w:t>。</w:t>
      </w:r>
    </w:p>
    <w:p>
      <w:pPr>
        <w:pStyle w:val="BodyText"/>
        <w:spacing w:line="278" w:lineRule="auto" w:before="42"/>
        <w:ind w:right="211"/>
        <w:jc w:val="both"/>
        <w:rPr>
          <w:rFonts w:ascii="黑体" w:eastAsia="黑体"/>
        </w:rPr>
      </w:pPr>
      <w:r>
        <w:rPr>
          <w:rFonts w:ascii="黑体" w:eastAsia="黑体"/>
          <w:spacing w:val="-4"/>
        </w:rPr>
        <w:t>三、被保险人因下列情形之一而身故或身体高度残疾，我们不承担给付水陆交通意外身故额</w:t>
      </w:r>
      <w:r>
        <w:rPr>
          <w:rFonts w:ascii="黑体" w:eastAsia="黑体"/>
          <w:spacing w:val="-4"/>
        </w:rPr>
        <w:t>外保险金、水陆交通意外高残额外保险金、航空意外身故额外保险金、航空意外高残额外保</w:t>
      </w:r>
      <w:r>
        <w:rPr>
          <w:rFonts w:ascii="黑体" w:eastAsia="黑体"/>
          <w:spacing w:val="-4"/>
        </w:rPr>
        <w:t>险金、非营运乘用车意外身故额外保险金、非营运乘用车意外高残额外保险金、关爱一生护</w:t>
      </w:r>
      <w:r>
        <w:rPr>
          <w:rFonts w:ascii="黑体" w:eastAsia="黑体"/>
          <w:spacing w:val="-2"/>
        </w:rPr>
        <w:t>理保险金的责任：</w:t>
      </w:r>
    </w:p>
    <w:p>
      <w:pPr>
        <w:pStyle w:val="ListParagraph"/>
        <w:numPr>
          <w:ilvl w:val="0"/>
          <w:numId w:val="8"/>
        </w:numPr>
        <w:tabs>
          <w:tab w:pos="481" w:val="left" w:leader="none"/>
        </w:tabs>
        <w:spacing w:line="269" w:lineRule="exact" w:before="0" w:after="0"/>
        <w:ind w:left="480" w:right="0" w:hanging="361"/>
        <w:jc w:val="both"/>
        <w:rPr>
          <w:rFonts w:ascii="黑体" w:eastAsia="黑体"/>
          <w:sz w:val="21"/>
        </w:rPr>
      </w:pPr>
      <w:r>
        <w:rPr>
          <w:rFonts w:ascii="黑体" w:eastAsia="黑体"/>
          <w:spacing w:val="-3"/>
          <w:sz w:val="21"/>
        </w:rPr>
        <w:t>本条第二款中列举的各项情形；</w:t>
      </w:r>
    </w:p>
    <w:p>
      <w:pPr>
        <w:pStyle w:val="BodyText"/>
        <w:spacing w:before="11"/>
        <w:ind w:left="0"/>
        <w:rPr>
          <w:rFonts w:ascii="黑体"/>
          <w:sz w:val="15"/>
        </w:rPr>
      </w:pPr>
      <w:r>
        <w:rPr/>
        <w:drawing>
          <wp:anchor distT="0" distB="0" distL="0" distR="0" allowOverlap="1" layoutInCell="1" locked="0" behindDoc="0" simplePos="0" relativeHeight="4">
            <wp:simplePos x="0" y="0"/>
            <wp:positionH relativeFrom="page">
              <wp:posOffset>1143304</wp:posOffset>
            </wp:positionH>
            <wp:positionV relativeFrom="paragraph">
              <wp:posOffset>144343</wp:posOffset>
            </wp:positionV>
            <wp:extent cx="1829015" cy="6096"/>
            <wp:effectExtent l="0" t="0" r="0" b="0"/>
            <wp:wrapTopAndBottom/>
            <wp:docPr id="9" name="image2.png"/>
            <wp:cNvGraphicFramePr>
              <a:graphicFrameLocks noChangeAspect="1"/>
            </wp:cNvGraphicFramePr>
            <a:graphic>
              <a:graphicData uri="http://schemas.openxmlformats.org/drawingml/2006/picture">
                <pic:pic>
                  <pic:nvPicPr>
                    <pic:cNvPr id="10" name="image2.png"/>
                    <pic:cNvPicPr/>
                  </pic:nvPicPr>
                  <pic:blipFill>
                    <a:blip r:embed="rId7" cstate="print"/>
                    <a:stretch>
                      <a:fillRect/>
                    </a:stretch>
                  </pic:blipFill>
                  <pic:spPr>
                    <a:xfrm>
                      <a:off x="0" y="0"/>
                      <a:ext cx="1829015" cy="6096"/>
                    </a:xfrm>
                    <a:prstGeom prst="rect">
                      <a:avLst/>
                    </a:prstGeom>
                  </pic:spPr>
                </pic:pic>
              </a:graphicData>
            </a:graphic>
          </wp:anchor>
        </w:drawing>
      </w:r>
    </w:p>
    <w:p>
      <w:pPr>
        <w:spacing w:line="244" w:lineRule="auto" w:before="96"/>
        <w:ind w:left="120" w:right="217" w:firstLine="0"/>
        <w:jc w:val="left"/>
        <w:rPr>
          <w:sz w:val="18"/>
        </w:rPr>
      </w:pPr>
      <w:r>
        <w:rPr>
          <w:rFonts w:ascii="Times New Roman" w:eastAsia="Times New Roman"/>
          <w:sz w:val="18"/>
          <w:vertAlign w:val="superscript"/>
        </w:rPr>
        <w:t>12</w:t>
      </w:r>
      <w:r>
        <w:rPr>
          <w:rFonts w:ascii="Times New Roman" w:eastAsia="Times New Roman"/>
          <w:spacing w:val="14"/>
          <w:sz w:val="18"/>
          <w:vertAlign w:val="baseline"/>
        </w:rPr>
        <w:t> </w:t>
      </w:r>
      <w:r>
        <w:rPr>
          <w:b/>
          <w:sz w:val="18"/>
          <w:vertAlign w:val="baseline"/>
        </w:rPr>
        <w:t>酒</w:t>
      </w:r>
      <w:r>
        <w:rPr>
          <w:b/>
          <w:sz w:val="18"/>
          <w:vertAlign w:val="baseline"/>
        </w:rPr>
        <w:t>后</w:t>
      </w:r>
      <w:r>
        <w:rPr>
          <w:b/>
          <w:sz w:val="18"/>
          <w:vertAlign w:val="baseline"/>
        </w:rPr>
        <w:t>驾驶</w:t>
      </w:r>
      <w:r>
        <w:rPr>
          <w:sz w:val="18"/>
          <w:vertAlign w:val="baseline"/>
        </w:rPr>
        <w:t>：指经检测或鉴定，发生事故时车辆驾驶人员每百毫升血液中的酒精含量达到或超过一定的标</w:t>
      </w:r>
      <w:r>
        <w:rPr>
          <w:spacing w:val="-2"/>
          <w:sz w:val="18"/>
          <w:vertAlign w:val="baseline"/>
        </w:rPr>
        <w:t>准，公安机关交通管理部门依据《道路交通安全法》的规定认定为饮酒后驾驶或醉酒后驾驶。</w:t>
      </w:r>
    </w:p>
    <w:p>
      <w:pPr>
        <w:spacing w:line="229" w:lineRule="exact" w:before="0"/>
        <w:ind w:left="120" w:right="0" w:firstLine="0"/>
        <w:jc w:val="left"/>
        <w:rPr>
          <w:sz w:val="18"/>
        </w:rPr>
      </w:pPr>
      <w:r>
        <w:rPr>
          <w:rFonts w:ascii="Times New Roman" w:eastAsia="Times New Roman"/>
          <w:sz w:val="18"/>
          <w:vertAlign w:val="superscript"/>
        </w:rPr>
        <w:t>13</w:t>
      </w:r>
      <w:r>
        <w:rPr>
          <w:rFonts w:ascii="Times New Roman" w:eastAsia="Times New Roman"/>
          <w:spacing w:val="33"/>
          <w:sz w:val="18"/>
          <w:vertAlign w:val="baseline"/>
        </w:rPr>
        <w:t> </w:t>
      </w:r>
      <w:r>
        <w:rPr>
          <w:b/>
          <w:sz w:val="18"/>
          <w:vertAlign w:val="baseline"/>
        </w:rPr>
        <w:t>无</w:t>
      </w:r>
      <w:r>
        <w:rPr>
          <w:b/>
          <w:sz w:val="18"/>
          <w:vertAlign w:val="baseline"/>
        </w:rPr>
        <w:t>合</w:t>
      </w:r>
      <w:r>
        <w:rPr>
          <w:b/>
          <w:sz w:val="18"/>
          <w:vertAlign w:val="baseline"/>
        </w:rPr>
        <w:t>法</w:t>
      </w:r>
      <w:r>
        <w:rPr>
          <w:b/>
          <w:sz w:val="18"/>
          <w:vertAlign w:val="baseline"/>
        </w:rPr>
        <w:t>有</w:t>
      </w:r>
      <w:r>
        <w:rPr>
          <w:b/>
          <w:sz w:val="18"/>
          <w:vertAlign w:val="baseline"/>
        </w:rPr>
        <w:t>效</w:t>
      </w:r>
      <w:r>
        <w:rPr>
          <w:b/>
          <w:sz w:val="18"/>
          <w:vertAlign w:val="baseline"/>
        </w:rPr>
        <w:t>驾</w:t>
      </w:r>
      <w:r>
        <w:rPr>
          <w:b/>
          <w:sz w:val="18"/>
          <w:vertAlign w:val="baseline"/>
        </w:rPr>
        <w:t>驶</w:t>
      </w:r>
      <w:r>
        <w:rPr>
          <w:b/>
          <w:sz w:val="18"/>
          <w:vertAlign w:val="baseline"/>
        </w:rPr>
        <w:t>证</w:t>
      </w:r>
      <w:r>
        <w:rPr>
          <w:b/>
          <w:sz w:val="18"/>
          <w:vertAlign w:val="baseline"/>
        </w:rPr>
        <w:t>驾</w:t>
      </w:r>
      <w:r>
        <w:rPr>
          <w:b/>
          <w:sz w:val="18"/>
          <w:vertAlign w:val="baseline"/>
        </w:rPr>
        <w:t>驶</w:t>
      </w:r>
      <w:r>
        <w:rPr>
          <w:spacing w:val="-2"/>
          <w:sz w:val="18"/>
          <w:vertAlign w:val="baseline"/>
        </w:rPr>
        <w:t>：指下列情形之一：</w:t>
      </w:r>
    </w:p>
    <w:p>
      <w:pPr>
        <w:pStyle w:val="ListParagraph"/>
        <w:numPr>
          <w:ilvl w:val="1"/>
          <w:numId w:val="8"/>
        </w:numPr>
        <w:tabs>
          <w:tab w:pos="660" w:val="left" w:leader="none"/>
          <w:tab w:pos="661" w:val="left" w:leader="none"/>
        </w:tabs>
        <w:spacing w:line="240" w:lineRule="auto" w:before="2" w:after="0"/>
        <w:ind w:left="660" w:right="0" w:hanging="361"/>
        <w:jc w:val="left"/>
        <w:rPr>
          <w:rFonts w:ascii="Times New Roman" w:eastAsia="Times New Roman"/>
          <w:sz w:val="18"/>
        </w:rPr>
      </w:pPr>
      <w:r>
        <w:rPr>
          <w:w w:val="95"/>
          <w:sz w:val="18"/>
        </w:rPr>
        <w:t>没</w:t>
      </w:r>
      <w:r>
        <w:rPr>
          <w:w w:val="95"/>
          <w:sz w:val="18"/>
        </w:rPr>
        <w:t>有</w:t>
      </w:r>
      <w:r>
        <w:rPr>
          <w:w w:val="95"/>
          <w:sz w:val="18"/>
        </w:rPr>
        <w:t>取</w:t>
      </w:r>
      <w:r>
        <w:rPr>
          <w:w w:val="95"/>
          <w:sz w:val="18"/>
        </w:rPr>
        <w:t>得</w:t>
      </w:r>
      <w:r>
        <w:rPr>
          <w:w w:val="95"/>
          <w:sz w:val="18"/>
        </w:rPr>
        <w:t>驾</w:t>
      </w:r>
      <w:r>
        <w:rPr>
          <w:w w:val="95"/>
          <w:sz w:val="18"/>
        </w:rPr>
        <w:t>驶</w:t>
      </w:r>
      <w:r>
        <w:rPr>
          <w:w w:val="95"/>
          <w:sz w:val="18"/>
        </w:rPr>
        <w:t>资</w:t>
      </w:r>
      <w:r>
        <w:rPr>
          <w:w w:val="95"/>
          <w:sz w:val="18"/>
        </w:rPr>
        <w:t>格</w:t>
      </w:r>
      <w:r>
        <w:rPr>
          <w:spacing w:val="-10"/>
          <w:w w:val="95"/>
          <w:sz w:val="18"/>
        </w:rPr>
        <w:t>；</w:t>
      </w:r>
    </w:p>
    <w:p>
      <w:pPr>
        <w:pStyle w:val="ListParagraph"/>
        <w:numPr>
          <w:ilvl w:val="1"/>
          <w:numId w:val="8"/>
        </w:numPr>
        <w:tabs>
          <w:tab w:pos="660" w:val="left" w:leader="none"/>
          <w:tab w:pos="661" w:val="left" w:leader="none"/>
        </w:tabs>
        <w:spacing w:line="240" w:lineRule="auto" w:before="2" w:after="0"/>
        <w:ind w:left="660" w:right="0" w:hanging="361"/>
        <w:jc w:val="left"/>
        <w:rPr>
          <w:rFonts w:ascii="Times New Roman" w:eastAsia="Times New Roman"/>
          <w:sz w:val="18"/>
        </w:rPr>
      </w:pPr>
      <w:r>
        <w:rPr>
          <w:w w:val="95"/>
          <w:sz w:val="18"/>
        </w:rPr>
        <w:t>驾</w:t>
      </w:r>
      <w:r>
        <w:rPr>
          <w:w w:val="95"/>
          <w:sz w:val="18"/>
        </w:rPr>
        <w:t>驶</w:t>
      </w:r>
      <w:r>
        <w:rPr>
          <w:w w:val="95"/>
          <w:sz w:val="18"/>
        </w:rPr>
        <w:t>与</w:t>
      </w:r>
      <w:r>
        <w:rPr>
          <w:w w:val="95"/>
          <w:sz w:val="18"/>
        </w:rPr>
        <w:t>驾</w:t>
      </w:r>
      <w:r>
        <w:rPr>
          <w:w w:val="95"/>
          <w:sz w:val="18"/>
        </w:rPr>
        <w:t>驶</w:t>
      </w:r>
      <w:r>
        <w:rPr>
          <w:w w:val="95"/>
          <w:sz w:val="18"/>
        </w:rPr>
        <w:t>证</w:t>
      </w:r>
      <w:r>
        <w:rPr>
          <w:w w:val="95"/>
          <w:sz w:val="18"/>
        </w:rPr>
        <w:t>准</w:t>
      </w:r>
      <w:r>
        <w:rPr>
          <w:w w:val="95"/>
          <w:sz w:val="18"/>
        </w:rPr>
        <w:t>驾</w:t>
      </w:r>
      <w:r>
        <w:rPr>
          <w:w w:val="95"/>
          <w:sz w:val="18"/>
        </w:rPr>
        <w:t>车</w:t>
      </w:r>
      <w:r>
        <w:rPr>
          <w:w w:val="95"/>
          <w:sz w:val="18"/>
        </w:rPr>
        <w:t>型</w:t>
      </w:r>
      <w:r>
        <w:rPr>
          <w:w w:val="95"/>
          <w:sz w:val="18"/>
        </w:rPr>
        <w:t>不</w:t>
      </w:r>
      <w:r>
        <w:rPr>
          <w:w w:val="95"/>
          <w:sz w:val="18"/>
        </w:rPr>
        <w:t>相</w:t>
      </w:r>
      <w:r>
        <w:rPr>
          <w:w w:val="95"/>
          <w:sz w:val="18"/>
        </w:rPr>
        <w:t>符</w:t>
      </w:r>
      <w:r>
        <w:rPr>
          <w:w w:val="95"/>
          <w:sz w:val="18"/>
        </w:rPr>
        <w:t>合</w:t>
      </w:r>
      <w:r>
        <w:rPr>
          <w:w w:val="95"/>
          <w:sz w:val="18"/>
        </w:rPr>
        <w:t>的</w:t>
      </w:r>
      <w:r>
        <w:rPr>
          <w:w w:val="95"/>
          <w:sz w:val="18"/>
        </w:rPr>
        <w:t>车</w:t>
      </w:r>
      <w:r>
        <w:rPr>
          <w:w w:val="95"/>
          <w:sz w:val="18"/>
        </w:rPr>
        <w:t>辆</w:t>
      </w:r>
      <w:r>
        <w:rPr>
          <w:spacing w:val="-10"/>
          <w:w w:val="95"/>
          <w:sz w:val="18"/>
        </w:rPr>
        <w:t>；</w:t>
      </w:r>
    </w:p>
    <w:p>
      <w:pPr>
        <w:pStyle w:val="ListParagraph"/>
        <w:numPr>
          <w:ilvl w:val="1"/>
          <w:numId w:val="8"/>
        </w:numPr>
        <w:tabs>
          <w:tab w:pos="660" w:val="left" w:leader="none"/>
          <w:tab w:pos="661" w:val="left" w:leader="none"/>
        </w:tabs>
        <w:spacing w:line="240" w:lineRule="auto" w:before="5" w:after="0"/>
        <w:ind w:left="660" w:right="0" w:hanging="361"/>
        <w:jc w:val="left"/>
        <w:rPr>
          <w:rFonts w:ascii="Times New Roman" w:eastAsia="Times New Roman"/>
          <w:sz w:val="18"/>
        </w:rPr>
      </w:pPr>
      <w:r>
        <w:rPr>
          <w:w w:val="95"/>
          <w:sz w:val="18"/>
        </w:rPr>
        <w:t>持</w:t>
      </w:r>
      <w:r>
        <w:rPr>
          <w:w w:val="95"/>
          <w:sz w:val="18"/>
        </w:rPr>
        <w:t>审</w:t>
      </w:r>
      <w:r>
        <w:rPr>
          <w:w w:val="95"/>
          <w:sz w:val="18"/>
        </w:rPr>
        <w:t>验</w:t>
      </w:r>
      <w:r>
        <w:rPr>
          <w:w w:val="95"/>
          <w:sz w:val="18"/>
        </w:rPr>
        <w:t>不</w:t>
      </w:r>
      <w:r>
        <w:rPr>
          <w:w w:val="95"/>
          <w:sz w:val="18"/>
        </w:rPr>
        <w:t>合</w:t>
      </w:r>
      <w:r>
        <w:rPr>
          <w:w w:val="95"/>
          <w:sz w:val="18"/>
        </w:rPr>
        <w:t>格</w:t>
      </w:r>
      <w:r>
        <w:rPr>
          <w:w w:val="95"/>
          <w:sz w:val="18"/>
        </w:rPr>
        <w:t>的</w:t>
      </w:r>
      <w:r>
        <w:rPr>
          <w:w w:val="95"/>
          <w:sz w:val="18"/>
        </w:rPr>
        <w:t>驾</w:t>
      </w:r>
      <w:r>
        <w:rPr>
          <w:w w:val="95"/>
          <w:sz w:val="18"/>
        </w:rPr>
        <w:t>驶</w:t>
      </w:r>
      <w:r>
        <w:rPr>
          <w:w w:val="95"/>
          <w:sz w:val="18"/>
        </w:rPr>
        <w:t>证</w:t>
      </w:r>
      <w:r>
        <w:rPr>
          <w:w w:val="95"/>
          <w:sz w:val="18"/>
        </w:rPr>
        <w:t>驾</w:t>
      </w:r>
      <w:r>
        <w:rPr>
          <w:w w:val="95"/>
          <w:sz w:val="18"/>
        </w:rPr>
        <w:t>驶</w:t>
      </w:r>
      <w:r>
        <w:rPr>
          <w:spacing w:val="-10"/>
          <w:w w:val="95"/>
          <w:sz w:val="18"/>
        </w:rPr>
        <w:t>；</w:t>
      </w:r>
    </w:p>
    <w:p>
      <w:pPr>
        <w:pStyle w:val="ListParagraph"/>
        <w:numPr>
          <w:ilvl w:val="1"/>
          <w:numId w:val="8"/>
        </w:numPr>
        <w:tabs>
          <w:tab w:pos="661" w:val="left" w:leader="none"/>
        </w:tabs>
        <w:spacing w:line="240" w:lineRule="auto" w:before="2" w:after="0"/>
        <w:ind w:left="660" w:right="0" w:hanging="361"/>
        <w:jc w:val="left"/>
        <w:rPr>
          <w:sz w:val="18"/>
        </w:rPr>
      </w:pPr>
      <w:r>
        <w:rPr>
          <w:spacing w:val="-1"/>
          <w:sz w:val="18"/>
        </w:rPr>
        <w:t>持学习驾驶证学习驾车时，无教练员随车指导，或不按指定时间、路线学习驾车。</w:t>
      </w:r>
    </w:p>
    <w:p>
      <w:pPr>
        <w:spacing w:before="2"/>
        <w:ind w:left="120" w:right="0" w:firstLine="0"/>
        <w:jc w:val="left"/>
        <w:rPr>
          <w:sz w:val="18"/>
        </w:rPr>
      </w:pPr>
      <w:r>
        <w:rPr>
          <w:rFonts w:ascii="Times New Roman" w:eastAsia="Times New Roman"/>
          <w:sz w:val="18"/>
          <w:vertAlign w:val="superscript"/>
        </w:rPr>
        <w:t>14</w:t>
      </w:r>
      <w:r>
        <w:rPr>
          <w:rFonts w:ascii="Times New Roman" w:eastAsia="Times New Roman"/>
          <w:spacing w:val="36"/>
          <w:sz w:val="18"/>
          <w:vertAlign w:val="baseline"/>
        </w:rPr>
        <w:t> </w:t>
      </w:r>
      <w:r>
        <w:rPr>
          <w:b/>
          <w:sz w:val="18"/>
          <w:vertAlign w:val="baseline"/>
        </w:rPr>
        <w:t>无</w:t>
      </w:r>
      <w:r>
        <w:rPr>
          <w:b/>
          <w:sz w:val="18"/>
          <w:vertAlign w:val="baseline"/>
        </w:rPr>
        <w:t>有</w:t>
      </w:r>
      <w:r>
        <w:rPr>
          <w:b/>
          <w:sz w:val="18"/>
          <w:vertAlign w:val="baseline"/>
        </w:rPr>
        <w:t>效</w:t>
      </w:r>
      <w:r>
        <w:rPr>
          <w:b/>
          <w:sz w:val="18"/>
          <w:vertAlign w:val="baseline"/>
        </w:rPr>
        <w:t>行</w:t>
      </w:r>
      <w:r>
        <w:rPr>
          <w:b/>
          <w:sz w:val="18"/>
          <w:vertAlign w:val="baseline"/>
        </w:rPr>
        <w:t>驶</w:t>
      </w:r>
      <w:r>
        <w:rPr>
          <w:b/>
          <w:sz w:val="18"/>
          <w:vertAlign w:val="baseline"/>
        </w:rPr>
        <w:t>证</w:t>
      </w:r>
      <w:r>
        <w:rPr>
          <w:spacing w:val="-2"/>
          <w:sz w:val="18"/>
          <w:vertAlign w:val="baseline"/>
        </w:rPr>
        <w:t>：指下列情形之一：</w:t>
      </w:r>
    </w:p>
    <w:p>
      <w:pPr>
        <w:pStyle w:val="ListParagraph"/>
        <w:numPr>
          <w:ilvl w:val="0"/>
          <w:numId w:val="9"/>
        </w:numPr>
        <w:tabs>
          <w:tab w:pos="660" w:val="left" w:leader="none"/>
          <w:tab w:pos="661" w:val="left" w:leader="none"/>
        </w:tabs>
        <w:spacing w:line="240" w:lineRule="auto" w:before="2" w:after="0"/>
        <w:ind w:left="660" w:right="0" w:hanging="361"/>
        <w:jc w:val="left"/>
        <w:rPr>
          <w:sz w:val="18"/>
        </w:rPr>
      </w:pPr>
      <w:r>
        <w:rPr>
          <w:w w:val="95"/>
          <w:sz w:val="18"/>
        </w:rPr>
        <w:t>机</w:t>
      </w:r>
      <w:r>
        <w:rPr>
          <w:w w:val="95"/>
          <w:sz w:val="18"/>
        </w:rPr>
        <w:t>动</w:t>
      </w:r>
      <w:r>
        <w:rPr>
          <w:w w:val="95"/>
          <w:sz w:val="18"/>
        </w:rPr>
        <w:t>车</w:t>
      </w:r>
      <w:r>
        <w:rPr>
          <w:w w:val="95"/>
          <w:sz w:val="18"/>
        </w:rPr>
        <w:t>被</w:t>
      </w:r>
      <w:r>
        <w:rPr>
          <w:w w:val="95"/>
          <w:sz w:val="18"/>
        </w:rPr>
        <w:t>依</w:t>
      </w:r>
      <w:r>
        <w:rPr>
          <w:w w:val="95"/>
          <w:sz w:val="18"/>
        </w:rPr>
        <w:t>法</w:t>
      </w:r>
      <w:r>
        <w:rPr>
          <w:w w:val="95"/>
          <w:sz w:val="18"/>
        </w:rPr>
        <w:t>注</w:t>
      </w:r>
      <w:r>
        <w:rPr>
          <w:w w:val="95"/>
          <w:sz w:val="18"/>
        </w:rPr>
        <w:t>销</w:t>
      </w:r>
      <w:r>
        <w:rPr>
          <w:w w:val="95"/>
          <w:sz w:val="18"/>
        </w:rPr>
        <w:t>登</w:t>
      </w:r>
      <w:r>
        <w:rPr>
          <w:w w:val="95"/>
          <w:sz w:val="18"/>
        </w:rPr>
        <w:t>记</w:t>
      </w:r>
      <w:r>
        <w:rPr>
          <w:w w:val="95"/>
          <w:sz w:val="18"/>
        </w:rPr>
        <w:t>的</w:t>
      </w:r>
      <w:r>
        <w:rPr>
          <w:spacing w:val="-10"/>
          <w:w w:val="95"/>
          <w:sz w:val="18"/>
        </w:rPr>
        <w:t>；</w:t>
      </w:r>
    </w:p>
    <w:p>
      <w:pPr>
        <w:pStyle w:val="ListParagraph"/>
        <w:numPr>
          <w:ilvl w:val="0"/>
          <w:numId w:val="9"/>
        </w:numPr>
        <w:tabs>
          <w:tab w:pos="660" w:val="left" w:leader="none"/>
          <w:tab w:pos="661" w:val="left" w:leader="none"/>
        </w:tabs>
        <w:spacing w:line="240" w:lineRule="auto" w:before="5" w:after="0"/>
        <w:ind w:left="660" w:right="0" w:hanging="361"/>
        <w:jc w:val="left"/>
        <w:rPr>
          <w:sz w:val="18"/>
        </w:rPr>
      </w:pPr>
      <w:r>
        <w:rPr>
          <w:w w:val="95"/>
          <w:sz w:val="18"/>
        </w:rPr>
        <w:t>未</w:t>
      </w:r>
      <w:r>
        <w:rPr>
          <w:w w:val="95"/>
          <w:sz w:val="18"/>
        </w:rPr>
        <w:t>依</w:t>
      </w:r>
      <w:r>
        <w:rPr>
          <w:w w:val="95"/>
          <w:sz w:val="18"/>
        </w:rPr>
        <w:t>法</w:t>
      </w:r>
      <w:r>
        <w:rPr>
          <w:w w:val="95"/>
          <w:sz w:val="18"/>
        </w:rPr>
        <w:t>按</w:t>
      </w:r>
      <w:r>
        <w:rPr>
          <w:w w:val="95"/>
          <w:sz w:val="18"/>
        </w:rPr>
        <w:t>时</w:t>
      </w:r>
      <w:r>
        <w:rPr>
          <w:w w:val="95"/>
          <w:sz w:val="18"/>
        </w:rPr>
        <w:t>进</w:t>
      </w:r>
      <w:r>
        <w:rPr>
          <w:w w:val="95"/>
          <w:sz w:val="18"/>
        </w:rPr>
        <w:t>行</w:t>
      </w:r>
      <w:r>
        <w:rPr>
          <w:w w:val="95"/>
          <w:sz w:val="18"/>
        </w:rPr>
        <w:t>或</w:t>
      </w:r>
      <w:r>
        <w:rPr>
          <w:w w:val="95"/>
          <w:sz w:val="18"/>
        </w:rPr>
        <w:t>通</w:t>
      </w:r>
      <w:r>
        <w:rPr>
          <w:w w:val="95"/>
          <w:sz w:val="18"/>
        </w:rPr>
        <w:t>过</w:t>
      </w:r>
      <w:r>
        <w:rPr>
          <w:w w:val="95"/>
          <w:sz w:val="18"/>
        </w:rPr>
        <w:t>机</w:t>
      </w:r>
      <w:r>
        <w:rPr>
          <w:w w:val="95"/>
          <w:sz w:val="18"/>
        </w:rPr>
        <w:t>动</w:t>
      </w:r>
      <w:r>
        <w:rPr>
          <w:w w:val="95"/>
          <w:sz w:val="18"/>
        </w:rPr>
        <w:t>车</w:t>
      </w:r>
      <w:r>
        <w:rPr>
          <w:w w:val="95"/>
          <w:sz w:val="18"/>
        </w:rPr>
        <w:t>安</w:t>
      </w:r>
      <w:r>
        <w:rPr>
          <w:w w:val="95"/>
          <w:sz w:val="18"/>
        </w:rPr>
        <w:t>全</w:t>
      </w:r>
      <w:r>
        <w:rPr>
          <w:w w:val="95"/>
          <w:sz w:val="18"/>
        </w:rPr>
        <w:t>技</w:t>
      </w:r>
      <w:r>
        <w:rPr>
          <w:w w:val="95"/>
          <w:sz w:val="18"/>
        </w:rPr>
        <w:t>术</w:t>
      </w:r>
      <w:r>
        <w:rPr>
          <w:w w:val="95"/>
          <w:sz w:val="18"/>
        </w:rPr>
        <w:t>检</w:t>
      </w:r>
      <w:r>
        <w:rPr>
          <w:w w:val="95"/>
          <w:sz w:val="18"/>
        </w:rPr>
        <w:t>验</w:t>
      </w:r>
      <w:r>
        <w:rPr>
          <w:spacing w:val="-10"/>
          <w:w w:val="95"/>
          <w:sz w:val="18"/>
        </w:rPr>
        <w:t>。</w:t>
      </w:r>
    </w:p>
    <w:p>
      <w:pPr>
        <w:spacing w:line="242" w:lineRule="auto" w:before="2"/>
        <w:ind w:left="120" w:right="217" w:firstLine="0"/>
        <w:jc w:val="left"/>
        <w:rPr>
          <w:sz w:val="18"/>
        </w:rPr>
      </w:pPr>
      <w:r>
        <w:rPr>
          <w:rFonts w:ascii="Times New Roman" w:eastAsia="Times New Roman"/>
          <w:sz w:val="18"/>
          <w:vertAlign w:val="superscript"/>
        </w:rPr>
        <w:t>15</w:t>
      </w:r>
      <w:r>
        <w:rPr>
          <w:rFonts w:ascii="Times New Roman" w:eastAsia="Times New Roman"/>
          <w:spacing w:val="14"/>
          <w:sz w:val="18"/>
          <w:vertAlign w:val="baseline"/>
        </w:rPr>
        <w:t> </w:t>
      </w:r>
      <w:r>
        <w:rPr>
          <w:b/>
          <w:sz w:val="18"/>
          <w:vertAlign w:val="baseline"/>
        </w:rPr>
        <w:t>机</w:t>
      </w:r>
      <w:r>
        <w:rPr>
          <w:b/>
          <w:sz w:val="18"/>
          <w:vertAlign w:val="baseline"/>
        </w:rPr>
        <w:t>动</w:t>
      </w:r>
      <w:r>
        <w:rPr>
          <w:b/>
          <w:sz w:val="18"/>
          <w:vertAlign w:val="baseline"/>
        </w:rPr>
        <w:t>车</w:t>
      </w:r>
      <w:r>
        <w:rPr>
          <w:sz w:val="18"/>
          <w:vertAlign w:val="baseline"/>
        </w:rPr>
        <w:t>：指以动力装置驱动或者牵引，上道路行驶的供人员乘用或者用于运送物品以及进行工程专项作</w:t>
      </w:r>
      <w:r>
        <w:rPr>
          <w:spacing w:val="-2"/>
          <w:sz w:val="18"/>
          <w:vertAlign w:val="baseline"/>
        </w:rPr>
        <w:t>业的轮式车辆。</w:t>
      </w:r>
    </w:p>
    <w:p>
      <w:pPr>
        <w:spacing w:line="244" w:lineRule="auto" w:before="0"/>
        <w:ind w:left="120" w:right="217" w:firstLine="0"/>
        <w:jc w:val="left"/>
        <w:rPr>
          <w:sz w:val="18"/>
        </w:rPr>
      </w:pPr>
      <w:r>
        <w:rPr>
          <w:rFonts w:ascii="Times New Roman" w:eastAsia="Times New Roman"/>
          <w:sz w:val="18"/>
          <w:vertAlign w:val="superscript"/>
        </w:rPr>
        <w:t>16</w:t>
      </w:r>
      <w:r>
        <w:rPr>
          <w:rFonts w:ascii="Times New Roman" w:eastAsia="Times New Roman"/>
          <w:spacing w:val="14"/>
          <w:sz w:val="18"/>
          <w:vertAlign w:val="baseline"/>
        </w:rPr>
        <w:t> </w:t>
      </w:r>
      <w:r>
        <w:rPr>
          <w:b/>
          <w:sz w:val="18"/>
          <w:vertAlign w:val="baseline"/>
        </w:rPr>
        <w:t>现金</w:t>
      </w:r>
      <w:r>
        <w:rPr>
          <w:b/>
          <w:sz w:val="18"/>
          <w:vertAlign w:val="baseline"/>
        </w:rPr>
        <w:t>价</w:t>
      </w:r>
      <w:r>
        <w:rPr>
          <w:b/>
          <w:sz w:val="18"/>
          <w:vertAlign w:val="baseline"/>
        </w:rPr>
        <w:t>值</w:t>
      </w:r>
      <w:r>
        <w:rPr>
          <w:b/>
          <w:sz w:val="18"/>
          <w:vertAlign w:val="baseline"/>
        </w:rPr>
        <w:t>：</w:t>
      </w:r>
      <w:r>
        <w:rPr>
          <w:sz w:val="18"/>
          <w:vertAlign w:val="baseline"/>
        </w:rPr>
        <w:t>指本合同所具有的价值，通常体现为解除合同时，根据精算原理计算的，由我们退还的那部</w:t>
      </w:r>
      <w:r>
        <w:rPr>
          <w:spacing w:val="-2"/>
          <w:sz w:val="18"/>
          <w:vertAlign w:val="baseline"/>
        </w:rPr>
        <w:t>分金额。各保险单年度末的现金价值载明于保险单现金价值表中。</w:t>
      </w:r>
    </w:p>
    <w:p>
      <w:pPr>
        <w:spacing w:line="242" w:lineRule="auto" w:before="0"/>
        <w:ind w:left="120" w:right="300" w:firstLine="0"/>
        <w:jc w:val="left"/>
        <w:rPr>
          <w:sz w:val="18"/>
        </w:rPr>
      </w:pPr>
      <w:r>
        <w:rPr>
          <w:rFonts w:ascii="Times New Roman" w:eastAsia="Times New Roman"/>
          <w:sz w:val="18"/>
          <w:vertAlign w:val="superscript"/>
        </w:rPr>
        <w:t>17</w:t>
      </w:r>
      <w:r>
        <w:rPr>
          <w:rFonts w:ascii="Times New Roman" w:eastAsia="Times New Roman"/>
          <w:spacing w:val="14"/>
          <w:sz w:val="18"/>
          <w:vertAlign w:val="baseline"/>
        </w:rPr>
        <w:t> </w:t>
      </w:r>
      <w:r>
        <w:rPr>
          <w:b/>
          <w:sz w:val="18"/>
          <w:vertAlign w:val="baseline"/>
        </w:rPr>
        <w:t>猝死</w:t>
      </w:r>
      <w:r>
        <w:rPr>
          <w:spacing w:val="-2"/>
          <w:sz w:val="18"/>
          <w:vertAlign w:val="baseline"/>
        </w:rPr>
        <w:t>：指表面健康的人因潜在疾病、机能障碍或其他原因在出现症状后 </w:t>
      </w:r>
      <w:r>
        <w:rPr>
          <w:sz w:val="18"/>
          <w:vertAlign w:val="baseline"/>
        </w:rPr>
        <w:t>24</w:t>
      </w:r>
      <w:r>
        <w:rPr>
          <w:spacing w:val="-7"/>
          <w:sz w:val="18"/>
          <w:vertAlign w:val="baseline"/>
        </w:rPr>
        <w:t> 小时内发生的非暴力性突然</w:t>
      </w:r>
      <w:r>
        <w:rPr>
          <w:spacing w:val="-2"/>
          <w:sz w:val="18"/>
          <w:vertAlign w:val="baseline"/>
        </w:rPr>
        <w:t>死亡。猝死的认定以医院的诊断和公安部门的鉴定为准。</w:t>
      </w:r>
    </w:p>
    <w:p>
      <w:pPr>
        <w:pStyle w:val="ListParagraph"/>
        <w:numPr>
          <w:ilvl w:val="0"/>
          <w:numId w:val="10"/>
        </w:numPr>
        <w:tabs>
          <w:tab w:pos="366" w:val="left" w:leader="none"/>
        </w:tabs>
        <w:spacing w:line="234" w:lineRule="exact" w:before="7" w:after="0"/>
        <w:ind w:left="120" w:right="176" w:firstLine="0"/>
        <w:jc w:val="left"/>
        <w:rPr>
          <w:sz w:val="18"/>
        </w:rPr>
      </w:pPr>
      <w:r>
        <w:rPr>
          <w:b/>
          <w:spacing w:val="-2"/>
          <w:sz w:val="18"/>
        </w:rPr>
        <w:t>管</w:t>
      </w:r>
      <w:r>
        <w:rPr>
          <w:b/>
          <w:spacing w:val="-2"/>
          <w:sz w:val="18"/>
        </w:rPr>
        <w:t>制</w:t>
      </w:r>
      <w:r>
        <w:rPr>
          <w:b/>
          <w:spacing w:val="-2"/>
          <w:sz w:val="18"/>
        </w:rPr>
        <w:t>药</w:t>
      </w:r>
      <w:r>
        <w:rPr>
          <w:b/>
          <w:spacing w:val="-2"/>
          <w:sz w:val="18"/>
        </w:rPr>
        <w:t>品</w:t>
      </w:r>
      <w:r>
        <w:rPr>
          <w:b/>
          <w:spacing w:val="-2"/>
          <w:sz w:val="18"/>
        </w:rPr>
        <w:t>：</w:t>
      </w:r>
      <w:r>
        <w:rPr>
          <w:spacing w:val="-2"/>
          <w:sz w:val="18"/>
        </w:rPr>
        <w:t>指根据《中华人民共和国药品管理法》及有关法规被列为特殊管理的药品，包括麻醉药品、</w:t>
      </w:r>
      <w:r>
        <w:rPr>
          <w:spacing w:val="-2"/>
          <w:sz w:val="18"/>
        </w:rPr>
        <w:t>精神药品、毒性药品及放射性药品。</w:t>
      </w:r>
    </w:p>
    <w:p>
      <w:pPr>
        <w:pStyle w:val="ListParagraph"/>
        <w:numPr>
          <w:ilvl w:val="0"/>
          <w:numId w:val="10"/>
        </w:numPr>
        <w:tabs>
          <w:tab w:pos="366" w:val="left" w:leader="none"/>
        </w:tabs>
        <w:spacing w:line="235" w:lineRule="exact" w:before="0" w:after="0"/>
        <w:ind w:left="365" w:right="0" w:hanging="246"/>
        <w:jc w:val="left"/>
        <w:rPr>
          <w:sz w:val="18"/>
        </w:rPr>
      </w:pPr>
      <w:r>
        <w:rPr>
          <w:b/>
          <w:w w:val="95"/>
          <w:sz w:val="18"/>
        </w:rPr>
        <w:t>潜水：</w:t>
      </w:r>
      <w:r>
        <w:rPr>
          <w:w w:val="95"/>
          <w:sz w:val="18"/>
        </w:rPr>
        <w:t>指</w:t>
      </w:r>
      <w:r>
        <w:rPr>
          <w:w w:val="95"/>
          <w:sz w:val="18"/>
        </w:rPr>
        <w:t>以</w:t>
      </w:r>
      <w:r>
        <w:rPr>
          <w:w w:val="95"/>
          <w:sz w:val="18"/>
        </w:rPr>
        <w:t>辅</w:t>
      </w:r>
      <w:r>
        <w:rPr>
          <w:w w:val="95"/>
          <w:sz w:val="18"/>
        </w:rPr>
        <w:t>助</w:t>
      </w:r>
      <w:r>
        <w:rPr>
          <w:w w:val="95"/>
          <w:sz w:val="18"/>
        </w:rPr>
        <w:t>呼</w:t>
      </w:r>
      <w:r>
        <w:rPr>
          <w:w w:val="95"/>
          <w:sz w:val="18"/>
        </w:rPr>
        <w:t>吸</w:t>
      </w:r>
      <w:r>
        <w:rPr>
          <w:w w:val="95"/>
          <w:sz w:val="18"/>
        </w:rPr>
        <w:t>器</w:t>
      </w:r>
      <w:r>
        <w:rPr>
          <w:w w:val="95"/>
          <w:sz w:val="18"/>
        </w:rPr>
        <w:t>材</w:t>
      </w:r>
      <w:r>
        <w:rPr>
          <w:w w:val="95"/>
          <w:sz w:val="18"/>
        </w:rPr>
        <w:t>在</w:t>
      </w:r>
      <w:r>
        <w:rPr>
          <w:w w:val="95"/>
          <w:sz w:val="18"/>
        </w:rPr>
        <w:t>江</w:t>
      </w:r>
      <w:r>
        <w:rPr>
          <w:w w:val="95"/>
          <w:sz w:val="18"/>
        </w:rPr>
        <w:t>、</w:t>
      </w:r>
      <w:r>
        <w:rPr>
          <w:w w:val="95"/>
          <w:sz w:val="18"/>
        </w:rPr>
        <w:t>河</w:t>
      </w:r>
      <w:r>
        <w:rPr>
          <w:w w:val="95"/>
          <w:sz w:val="18"/>
        </w:rPr>
        <w:t>、</w:t>
      </w:r>
      <w:r>
        <w:rPr>
          <w:w w:val="95"/>
          <w:sz w:val="18"/>
        </w:rPr>
        <w:t>湖</w:t>
      </w:r>
      <w:r>
        <w:rPr>
          <w:w w:val="95"/>
          <w:sz w:val="18"/>
        </w:rPr>
        <w:t>、</w:t>
      </w:r>
      <w:r>
        <w:rPr>
          <w:w w:val="95"/>
          <w:sz w:val="18"/>
        </w:rPr>
        <w:t>海</w:t>
      </w:r>
      <w:r>
        <w:rPr>
          <w:w w:val="95"/>
          <w:sz w:val="18"/>
        </w:rPr>
        <w:t>、</w:t>
      </w:r>
      <w:r>
        <w:rPr>
          <w:w w:val="95"/>
          <w:sz w:val="18"/>
        </w:rPr>
        <w:t>水</w:t>
      </w:r>
      <w:r>
        <w:rPr>
          <w:w w:val="95"/>
          <w:sz w:val="18"/>
        </w:rPr>
        <w:t>库</w:t>
      </w:r>
      <w:r>
        <w:rPr>
          <w:w w:val="95"/>
          <w:sz w:val="18"/>
        </w:rPr>
        <w:t>、</w:t>
      </w:r>
      <w:r>
        <w:rPr>
          <w:w w:val="95"/>
          <w:sz w:val="18"/>
        </w:rPr>
        <w:t>运</w:t>
      </w:r>
      <w:r>
        <w:rPr>
          <w:w w:val="95"/>
          <w:sz w:val="18"/>
        </w:rPr>
        <w:t>河</w:t>
      </w:r>
      <w:r>
        <w:rPr>
          <w:w w:val="95"/>
          <w:sz w:val="18"/>
        </w:rPr>
        <w:t>等</w:t>
      </w:r>
      <w:r>
        <w:rPr>
          <w:w w:val="95"/>
          <w:sz w:val="18"/>
        </w:rPr>
        <w:t>水</w:t>
      </w:r>
      <w:r>
        <w:rPr>
          <w:w w:val="95"/>
          <w:sz w:val="18"/>
        </w:rPr>
        <w:t>域</w:t>
      </w:r>
      <w:r>
        <w:rPr>
          <w:w w:val="95"/>
          <w:sz w:val="18"/>
        </w:rPr>
        <w:t>进</w:t>
      </w:r>
      <w:r>
        <w:rPr>
          <w:w w:val="95"/>
          <w:sz w:val="18"/>
        </w:rPr>
        <w:t>行</w:t>
      </w:r>
      <w:r>
        <w:rPr>
          <w:w w:val="95"/>
          <w:sz w:val="18"/>
        </w:rPr>
        <w:t>的</w:t>
      </w:r>
      <w:r>
        <w:rPr>
          <w:w w:val="95"/>
          <w:sz w:val="18"/>
        </w:rPr>
        <w:t>水</w:t>
      </w:r>
      <w:r>
        <w:rPr>
          <w:w w:val="95"/>
          <w:sz w:val="18"/>
        </w:rPr>
        <w:t>下</w:t>
      </w:r>
      <w:r>
        <w:rPr>
          <w:w w:val="95"/>
          <w:sz w:val="18"/>
        </w:rPr>
        <w:t>运</w:t>
      </w:r>
      <w:r>
        <w:rPr>
          <w:w w:val="95"/>
          <w:sz w:val="18"/>
        </w:rPr>
        <w:t>动</w:t>
      </w:r>
      <w:r>
        <w:rPr>
          <w:spacing w:val="-10"/>
          <w:w w:val="95"/>
          <w:sz w:val="18"/>
        </w:rPr>
        <w:t>。</w:t>
      </w:r>
    </w:p>
    <w:p>
      <w:pPr>
        <w:pStyle w:val="ListParagraph"/>
        <w:numPr>
          <w:ilvl w:val="0"/>
          <w:numId w:val="10"/>
        </w:numPr>
        <w:tabs>
          <w:tab w:pos="366" w:val="left" w:leader="none"/>
        </w:tabs>
        <w:spacing w:line="248" w:lineRule="exact" w:before="0" w:after="0"/>
        <w:ind w:left="365" w:right="0" w:hanging="246"/>
        <w:jc w:val="left"/>
        <w:rPr>
          <w:sz w:val="18"/>
        </w:rPr>
      </w:pPr>
      <w:r>
        <w:rPr>
          <w:b/>
          <w:w w:val="95"/>
          <w:sz w:val="18"/>
        </w:rPr>
        <w:t>攀</w:t>
      </w:r>
      <w:r>
        <w:rPr>
          <w:b/>
          <w:w w:val="95"/>
          <w:sz w:val="18"/>
        </w:rPr>
        <w:t>岩</w:t>
      </w:r>
      <w:r>
        <w:rPr>
          <w:b/>
          <w:w w:val="95"/>
          <w:sz w:val="18"/>
        </w:rPr>
        <w:t>运</w:t>
      </w:r>
      <w:r>
        <w:rPr>
          <w:b/>
          <w:w w:val="95"/>
          <w:sz w:val="18"/>
        </w:rPr>
        <w:t>动</w:t>
      </w:r>
      <w:r>
        <w:rPr>
          <w:b/>
          <w:w w:val="95"/>
          <w:sz w:val="18"/>
        </w:rPr>
        <w:t>：</w:t>
      </w:r>
      <w:r>
        <w:rPr>
          <w:w w:val="95"/>
          <w:sz w:val="18"/>
        </w:rPr>
        <w:t>指</w:t>
      </w:r>
      <w:r>
        <w:rPr>
          <w:w w:val="95"/>
          <w:sz w:val="18"/>
        </w:rPr>
        <w:t>攀</w:t>
      </w:r>
      <w:r>
        <w:rPr>
          <w:w w:val="95"/>
          <w:sz w:val="18"/>
        </w:rPr>
        <w:t>登</w:t>
      </w:r>
      <w:r>
        <w:rPr>
          <w:w w:val="95"/>
          <w:sz w:val="18"/>
        </w:rPr>
        <w:t>悬</w:t>
      </w:r>
      <w:r>
        <w:rPr>
          <w:w w:val="95"/>
          <w:sz w:val="18"/>
        </w:rPr>
        <w:t>崖</w:t>
      </w:r>
      <w:r>
        <w:rPr>
          <w:w w:val="95"/>
          <w:sz w:val="18"/>
        </w:rPr>
        <w:t>、</w:t>
      </w:r>
      <w:r>
        <w:rPr>
          <w:w w:val="95"/>
          <w:sz w:val="18"/>
        </w:rPr>
        <w:t>楼</w:t>
      </w:r>
      <w:r>
        <w:rPr>
          <w:w w:val="95"/>
          <w:sz w:val="18"/>
        </w:rPr>
        <w:t>宇</w:t>
      </w:r>
      <w:r>
        <w:rPr>
          <w:w w:val="95"/>
          <w:sz w:val="18"/>
        </w:rPr>
        <w:t>外</w:t>
      </w:r>
      <w:r>
        <w:rPr>
          <w:w w:val="95"/>
          <w:sz w:val="18"/>
        </w:rPr>
        <w:t>墙</w:t>
      </w:r>
      <w:r>
        <w:rPr>
          <w:w w:val="95"/>
          <w:sz w:val="18"/>
        </w:rPr>
        <w:t>、</w:t>
      </w:r>
      <w:r>
        <w:rPr>
          <w:w w:val="95"/>
          <w:sz w:val="18"/>
        </w:rPr>
        <w:t>人</w:t>
      </w:r>
      <w:r>
        <w:rPr>
          <w:w w:val="95"/>
          <w:sz w:val="18"/>
        </w:rPr>
        <w:t>造</w:t>
      </w:r>
      <w:r>
        <w:rPr>
          <w:w w:val="95"/>
          <w:sz w:val="18"/>
        </w:rPr>
        <w:t>悬</w:t>
      </w:r>
      <w:r>
        <w:rPr>
          <w:w w:val="95"/>
          <w:sz w:val="18"/>
        </w:rPr>
        <w:t>崖</w:t>
      </w:r>
      <w:r>
        <w:rPr>
          <w:w w:val="95"/>
          <w:sz w:val="18"/>
        </w:rPr>
        <w:t>、</w:t>
      </w:r>
      <w:r>
        <w:rPr>
          <w:w w:val="95"/>
          <w:sz w:val="18"/>
        </w:rPr>
        <w:t>冰</w:t>
      </w:r>
      <w:r>
        <w:rPr>
          <w:w w:val="95"/>
          <w:sz w:val="18"/>
        </w:rPr>
        <w:t>崖</w:t>
      </w:r>
      <w:r>
        <w:rPr>
          <w:w w:val="95"/>
          <w:sz w:val="18"/>
        </w:rPr>
        <w:t>、</w:t>
      </w:r>
      <w:r>
        <w:rPr>
          <w:w w:val="95"/>
          <w:sz w:val="18"/>
        </w:rPr>
        <w:t>冰</w:t>
      </w:r>
      <w:r>
        <w:rPr>
          <w:w w:val="95"/>
          <w:sz w:val="18"/>
        </w:rPr>
        <w:t>山</w:t>
      </w:r>
      <w:r>
        <w:rPr>
          <w:w w:val="95"/>
          <w:sz w:val="18"/>
        </w:rPr>
        <w:t>等</w:t>
      </w:r>
      <w:r>
        <w:rPr>
          <w:w w:val="95"/>
          <w:sz w:val="18"/>
        </w:rPr>
        <w:t>运</w:t>
      </w:r>
      <w:r>
        <w:rPr>
          <w:w w:val="95"/>
          <w:sz w:val="18"/>
        </w:rPr>
        <w:t>动</w:t>
      </w:r>
      <w:r>
        <w:rPr>
          <w:spacing w:val="-10"/>
          <w:w w:val="95"/>
          <w:sz w:val="18"/>
        </w:rPr>
        <w:t>。</w:t>
      </w:r>
    </w:p>
    <w:p>
      <w:pPr>
        <w:pStyle w:val="ListParagraph"/>
        <w:numPr>
          <w:ilvl w:val="0"/>
          <w:numId w:val="10"/>
        </w:numPr>
        <w:tabs>
          <w:tab w:pos="366" w:val="left" w:leader="none"/>
        </w:tabs>
        <w:spacing w:line="232" w:lineRule="exact" w:before="28" w:after="0"/>
        <w:ind w:left="120" w:right="219" w:firstLine="0"/>
        <w:jc w:val="left"/>
        <w:rPr>
          <w:sz w:val="18"/>
        </w:rPr>
      </w:pPr>
      <w:r>
        <w:rPr>
          <w:b/>
          <w:spacing w:val="-2"/>
          <w:sz w:val="18"/>
        </w:rPr>
        <w:t>探</w:t>
      </w:r>
      <w:r>
        <w:rPr>
          <w:b/>
          <w:spacing w:val="-2"/>
          <w:sz w:val="18"/>
        </w:rPr>
        <w:t>险</w:t>
      </w:r>
      <w:r>
        <w:rPr>
          <w:b/>
          <w:spacing w:val="-2"/>
          <w:sz w:val="18"/>
        </w:rPr>
        <w:t>活</w:t>
      </w:r>
      <w:r>
        <w:rPr>
          <w:b/>
          <w:spacing w:val="-2"/>
          <w:sz w:val="18"/>
        </w:rPr>
        <w:t>动</w:t>
      </w:r>
      <w:r>
        <w:rPr>
          <w:b/>
          <w:spacing w:val="-2"/>
          <w:sz w:val="18"/>
        </w:rPr>
        <w:t>：</w:t>
      </w:r>
      <w:r>
        <w:rPr>
          <w:spacing w:val="-2"/>
          <w:sz w:val="18"/>
        </w:rPr>
        <w:t>指明知在某种特定的自然条件下有失去生命或使身体受到伤害的危险，而故意使自己置身其</w:t>
      </w:r>
      <w:r>
        <w:rPr>
          <w:spacing w:val="-2"/>
          <w:sz w:val="18"/>
        </w:rPr>
        <w:t>中的行为。如江河漂流、徒步穿越沙漠或人迹罕至的原始森林等活动。</w:t>
      </w:r>
    </w:p>
    <w:p>
      <w:pPr>
        <w:spacing w:line="242" w:lineRule="auto" w:before="9"/>
        <w:ind w:left="120" w:right="217" w:firstLine="0"/>
        <w:jc w:val="left"/>
        <w:rPr>
          <w:sz w:val="18"/>
        </w:rPr>
      </w:pPr>
      <w:r>
        <w:rPr>
          <w:rFonts w:ascii="Times New Roman" w:eastAsia="Times New Roman"/>
          <w:sz w:val="18"/>
          <w:vertAlign w:val="superscript"/>
        </w:rPr>
        <w:t>22</w:t>
      </w:r>
      <w:r>
        <w:rPr>
          <w:rFonts w:ascii="Times New Roman" w:eastAsia="Times New Roman"/>
          <w:spacing w:val="14"/>
          <w:sz w:val="18"/>
          <w:vertAlign w:val="baseline"/>
        </w:rPr>
        <w:t> </w:t>
      </w:r>
      <w:r>
        <w:rPr>
          <w:b/>
          <w:sz w:val="18"/>
          <w:vertAlign w:val="baseline"/>
        </w:rPr>
        <w:t>武</w:t>
      </w:r>
      <w:r>
        <w:rPr>
          <w:b/>
          <w:sz w:val="18"/>
          <w:vertAlign w:val="baseline"/>
        </w:rPr>
        <w:t>术</w:t>
      </w:r>
      <w:r>
        <w:rPr>
          <w:b/>
          <w:sz w:val="18"/>
          <w:vertAlign w:val="baseline"/>
        </w:rPr>
        <w:t>比</w:t>
      </w:r>
      <w:r>
        <w:rPr>
          <w:b/>
          <w:sz w:val="18"/>
          <w:vertAlign w:val="baseline"/>
        </w:rPr>
        <w:t>赛</w:t>
      </w:r>
      <w:r>
        <w:rPr>
          <w:sz w:val="18"/>
          <w:vertAlign w:val="baseline"/>
        </w:rPr>
        <w:t>：指两人或两人以上对抗性柔道、空手道、跆拳道、散打、拳击等各种拳术及使用器械的对抗</w:t>
      </w:r>
      <w:r>
        <w:rPr>
          <w:spacing w:val="-4"/>
          <w:sz w:val="18"/>
          <w:vertAlign w:val="baseline"/>
        </w:rPr>
        <w:t>性比赛。</w:t>
      </w:r>
    </w:p>
    <w:p>
      <w:pPr>
        <w:pStyle w:val="ListParagraph"/>
        <w:numPr>
          <w:ilvl w:val="0"/>
          <w:numId w:val="11"/>
        </w:numPr>
        <w:tabs>
          <w:tab w:pos="366" w:val="left" w:leader="none"/>
        </w:tabs>
        <w:spacing w:line="228" w:lineRule="exact" w:before="0" w:after="0"/>
        <w:ind w:left="365" w:right="0" w:hanging="246"/>
        <w:jc w:val="left"/>
        <w:rPr>
          <w:sz w:val="18"/>
        </w:rPr>
      </w:pPr>
      <w:r>
        <w:rPr>
          <w:b/>
          <w:w w:val="95"/>
          <w:sz w:val="18"/>
        </w:rPr>
        <w:t>特技：</w:t>
      </w:r>
      <w:r>
        <w:rPr>
          <w:w w:val="95"/>
          <w:sz w:val="18"/>
        </w:rPr>
        <w:t>指</w:t>
      </w:r>
      <w:r>
        <w:rPr>
          <w:w w:val="95"/>
          <w:sz w:val="18"/>
        </w:rPr>
        <w:t>马</w:t>
      </w:r>
      <w:r>
        <w:rPr>
          <w:w w:val="95"/>
          <w:sz w:val="18"/>
        </w:rPr>
        <w:t>术</w:t>
      </w:r>
      <w:r>
        <w:rPr>
          <w:w w:val="95"/>
          <w:sz w:val="18"/>
        </w:rPr>
        <w:t>、</w:t>
      </w:r>
      <w:r>
        <w:rPr>
          <w:w w:val="95"/>
          <w:sz w:val="18"/>
        </w:rPr>
        <w:t>杂</w:t>
      </w:r>
      <w:r>
        <w:rPr>
          <w:w w:val="95"/>
          <w:sz w:val="18"/>
        </w:rPr>
        <w:t>技</w:t>
      </w:r>
      <w:r>
        <w:rPr>
          <w:w w:val="95"/>
          <w:sz w:val="18"/>
        </w:rPr>
        <w:t>、</w:t>
      </w:r>
      <w:r>
        <w:rPr>
          <w:w w:val="95"/>
          <w:sz w:val="18"/>
        </w:rPr>
        <w:t>驯</w:t>
      </w:r>
      <w:r>
        <w:rPr>
          <w:w w:val="95"/>
          <w:sz w:val="18"/>
        </w:rPr>
        <w:t>兽</w:t>
      </w:r>
      <w:r>
        <w:rPr>
          <w:w w:val="95"/>
          <w:sz w:val="18"/>
        </w:rPr>
        <w:t>等</w:t>
      </w:r>
      <w:r>
        <w:rPr>
          <w:w w:val="95"/>
          <w:sz w:val="18"/>
        </w:rPr>
        <w:t>特</w:t>
      </w:r>
      <w:r>
        <w:rPr>
          <w:w w:val="95"/>
          <w:sz w:val="18"/>
        </w:rPr>
        <w:t>殊</w:t>
      </w:r>
      <w:r>
        <w:rPr>
          <w:w w:val="95"/>
          <w:sz w:val="18"/>
        </w:rPr>
        <w:t>训</w:t>
      </w:r>
      <w:r>
        <w:rPr>
          <w:w w:val="95"/>
          <w:sz w:val="18"/>
        </w:rPr>
        <w:t>练</w:t>
      </w:r>
      <w:r>
        <w:rPr>
          <w:w w:val="95"/>
          <w:sz w:val="18"/>
        </w:rPr>
        <w:t>或</w:t>
      </w:r>
      <w:r>
        <w:rPr>
          <w:w w:val="95"/>
          <w:sz w:val="18"/>
        </w:rPr>
        <w:t>表</w:t>
      </w:r>
      <w:r>
        <w:rPr>
          <w:w w:val="95"/>
          <w:sz w:val="18"/>
        </w:rPr>
        <w:t>演</w:t>
      </w:r>
      <w:r>
        <w:rPr>
          <w:spacing w:val="-10"/>
          <w:w w:val="95"/>
          <w:sz w:val="18"/>
        </w:rPr>
        <w:t>。</w:t>
      </w:r>
    </w:p>
    <w:p>
      <w:pPr>
        <w:pStyle w:val="ListParagraph"/>
        <w:numPr>
          <w:ilvl w:val="0"/>
          <w:numId w:val="11"/>
        </w:numPr>
        <w:tabs>
          <w:tab w:pos="366" w:val="left" w:leader="none"/>
        </w:tabs>
        <w:spacing w:line="264" w:lineRule="exact" w:before="0" w:after="0"/>
        <w:ind w:left="365" w:right="0" w:hanging="246"/>
        <w:jc w:val="left"/>
        <w:rPr>
          <w:sz w:val="18"/>
        </w:rPr>
      </w:pPr>
      <w:r>
        <w:rPr>
          <w:b/>
          <w:sz w:val="18"/>
        </w:rPr>
        <w:t>高</w:t>
      </w:r>
      <w:r>
        <w:rPr>
          <w:b/>
          <w:sz w:val="18"/>
        </w:rPr>
        <w:t>处</w:t>
      </w:r>
      <w:r>
        <w:rPr>
          <w:b/>
          <w:sz w:val="18"/>
        </w:rPr>
        <w:t>作</w:t>
      </w:r>
      <w:r>
        <w:rPr>
          <w:b/>
          <w:sz w:val="18"/>
        </w:rPr>
        <w:t>业</w:t>
      </w:r>
      <w:r>
        <w:rPr>
          <w:b/>
          <w:sz w:val="18"/>
        </w:rPr>
        <w:t>：</w:t>
      </w:r>
      <w:r>
        <w:rPr>
          <w:sz w:val="18"/>
        </w:rPr>
        <w:t>指在坠落高度基准面2</w:t>
      </w:r>
      <w:r>
        <w:rPr>
          <w:spacing w:val="-2"/>
          <w:sz w:val="18"/>
        </w:rPr>
        <w:t> 米以上</w:t>
      </w:r>
      <w:r>
        <w:rPr>
          <w:sz w:val="18"/>
        </w:rPr>
        <w:t>（含2</w:t>
      </w:r>
      <w:r>
        <w:rPr>
          <w:spacing w:val="-3"/>
          <w:sz w:val="18"/>
        </w:rPr>
        <w:t> 米</w:t>
      </w:r>
      <w:r>
        <w:rPr>
          <w:sz w:val="18"/>
        </w:rPr>
        <w:t>）</w:t>
      </w:r>
      <w:r>
        <w:rPr>
          <w:spacing w:val="-1"/>
          <w:sz w:val="18"/>
        </w:rPr>
        <w:t>有可能坠落的高处进行的作业。</w:t>
      </w:r>
    </w:p>
    <w:p>
      <w:pPr>
        <w:spacing w:after="0" w:line="264" w:lineRule="exact"/>
        <w:jc w:val="left"/>
        <w:rPr>
          <w:sz w:val="18"/>
        </w:rPr>
        <w:sectPr>
          <w:pgSz w:w="11910" w:h="16840"/>
          <w:pgMar w:header="0" w:footer="975" w:top="1360" w:bottom="1160" w:left="1680" w:right="1580"/>
        </w:sectPr>
      </w:pPr>
    </w:p>
    <w:p>
      <w:pPr>
        <w:pStyle w:val="ListParagraph"/>
        <w:numPr>
          <w:ilvl w:val="0"/>
          <w:numId w:val="8"/>
        </w:numPr>
        <w:tabs>
          <w:tab w:pos="481" w:val="left" w:leader="none"/>
        </w:tabs>
        <w:spacing w:line="240" w:lineRule="auto" w:before="44" w:after="0"/>
        <w:ind w:left="480" w:right="0" w:hanging="361"/>
        <w:jc w:val="left"/>
        <w:rPr>
          <w:rFonts w:ascii="黑体" w:eastAsia="黑体"/>
          <w:sz w:val="21"/>
        </w:rPr>
      </w:pPr>
      <w:r>
        <w:rPr>
          <w:rFonts w:ascii="黑体" w:eastAsia="黑体"/>
          <w:spacing w:val="-3"/>
          <w:sz w:val="21"/>
        </w:rPr>
        <w:t>被保险人违反承运人关于安全乘坐的规定；</w:t>
      </w:r>
    </w:p>
    <w:p>
      <w:pPr>
        <w:pStyle w:val="ListParagraph"/>
        <w:numPr>
          <w:ilvl w:val="0"/>
          <w:numId w:val="8"/>
        </w:numPr>
        <w:tabs>
          <w:tab w:pos="481" w:val="left" w:leader="none"/>
        </w:tabs>
        <w:spacing w:line="240" w:lineRule="auto" w:before="43" w:after="0"/>
        <w:ind w:left="480" w:right="0" w:hanging="361"/>
        <w:jc w:val="left"/>
        <w:rPr>
          <w:rFonts w:ascii="黑体" w:eastAsia="黑体"/>
          <w:sz w:val="21"/>
        </w:rPr>
      </w:pPr>
      <w:r>
        <w:rPr>
          <w:rFonts w:ascii="黑体" w:eastAsia="黑体"/>
          <w:spacing w:val="-3"/>
          <w:sz w:val="21"/>
        </w:rPr>
        <w:t>被保险人在交通工具外被伤害或在交通工具内非因交通事故被伤害。</w:t>
      </w:r>
    </w:p>
    <w:p>
      <w:pPr>
        <w:pStyle w:val="BodyText"/>
        <w:spacing w:before="9"/>
        <w:ind w:left="0"/>
        <w:rPr>
          <w:rFonts w:ascii="黑体"/>
          <w:sz w:val="27"/>
        </w:rPr>
      </w:pPr>
    </w:p>
    <w:p>
      <w:pPr>
        <w:pStyle w:val="Heading1"/>
        <w:ind w:left="1848" w:right="1946"/>
      </w:pPr>
      <w:bookmarkStart w:name="_bookmark6" w:id="7"/>
      <w:bookmarkEnd w:id="7"/>
      <w:r>
        <w:rPr>
          <w:b w:val="0"/>
        </w:rPr>
      </w:r>
      <w:r>
        <w:rPr>
          <w:spacing w:val="-6"/>
        </w:rPr>
        <w:t>第三章 基本保险金额、保险费及宽限期</w:t>
      </w:r>
    </w:p>
    <w:p>
      <w:pPr>
        <w:pStyle w:val="BodyText"/>
        <w:spacing w:before="9"/>
        <w:ind w:left="0"/>
        <w:rPr>
          <w:b/>
          <w:sz w:val="27"/>
        </w:rPr>
      </w:pPr>
    </w:p>
    <w:p>
      <w:pPr>
        <w:pStyle w:val="BodyText"/>
        <w:tabs>
          <w:tab w:pos="1502" w:val="left" w:leader="none"/>
        </w:tabs>
      </w:pPr>
      <w:r>
        <w:rPr/>
        <w:t>第五</w:t>
      </w:r>
      <w:r>
        <w:rPr>
          <w:spacing w:val="-10"/>
        </w:rPr>
        <w:t>条</w:t>
      </w:r>
      <w:r>
        <w:rPr/>
        <w:tab/>
      </w:r>
      <w:bookmarkStart w:name="_bookmark7" w:id="8"/>
      <w:bookmarkEnd w:id="8"/>
      <w:r>
        <w:rPr>
          <w:spacing w:val="-2"/>
        </w:rPr>
        <w:t>基</w:t>
      </w:r>
      <w:r>
        <w:rPr>
          <w:spacing w:val="-2"/>
        </w:rPr>
        <w:t>本保险</w:t>
      </w:r>
      <w:r>
        <w:rPr>
          <w:spacing w:val="-2"/>
        </w:rPr>
        <w:t>金</w:t>
      </w:r>
      <w:r>
        <w:rPr>
          <w:spacing w:val="-10"/>
        </w:rPr>
        <w:t>额</w:t>
      </w:r>
    </w:p>
    <w:p>
      <w:pPr>
        <w:pStyle w:val="BodyText"/>
        <w:spacing w:before="43"/>
      </w:pPr>
      <w:r>
        <w:rPr>
          <w:spacing w:val="-3"/>
        </w:rPr>
        <w:t>本合同的基本保险金额由您与我们约定并于保险单上载明。</w:t>
      </w:r>
    </w:p>
    <w:p>
      <w:pPr>
        <w:pStyle w:val="BodyText"/>
        <w:spacing w:before="9"/>
        <w:ind w:left="0"/>
        <w:rPr>
          <w:sz w:val="27"/>
        </w:rPr>
      </w:pPr>
    </w:p>
    <w:p>
      <w:pPr>
        <w:pStyle w:val="BodyText"/>
        <w:tabs>
          <w:tab w:pos="1397" w:val="left" w:leader="none"/>
        </w:tabs>
      </w:pPr>
      <w:bookmarkStart w:name="_bookmark8" w:id="9"/>
      <w:bookmarkEnd w:id="9"/>
      <w:r>
        <w:rPr/>
      </w:r>
      <w:r>
        <w:rPr/>
        <w:t>第六</w:t>
      </w:r>
      <w:r>
        <w:rPr>
          <w:spacing w:val="-10"/>
        </w:rPr>
        <w:t>条</w:t>
      </w:r>
      <w:r>
        <w:rPr/>
        <w:tab/>
      </w:r>
      <w:r>
        <w:rPr>
          <w:spacing w:val="-2"/>
        </w:rPr>
        <w:t>保</w:t>
      </w:r>
      <w:r>
        <w:rPr>
          <w:spacing w:val="-2"/>
        </w:rPr>
        <w:t>险</w:t>
      </w:r>
      <w:r>
        <w:rPr>
          <w:spacing w:val="-2"/>
        </w:rPr>
        <w:t>费及宽</w:t>
      </w:r>
      <w:r>
        <w:rPr>
          <w:spacing w:val="-2"/>
        </w:rPr>
        <w:t>限</w:t>
      </w:r>
      <w:r>
        <w:rPr>
          <w:spacing w:val="-10"/>
        </w:rPr>
        <w:t>期</w:t>
      </w:r>
    </w:p>
    <w:p>
      <w:pPr>
        <w:pStyle w:val="BodyText"/>
        <w:spacing w:before="43"/>
      </w:pPr>
      <w:r>
        <w:rPr>
          <w:spacing w:val="-3"/>
        </w:rPr>
        <w:t>您应按本合同约定的保险费交费期间、应付日、交费方式等交付本合同的保险费。</w:t>
      </w:r>
    </w:p>
    <w:p>
      <w:pPr>
        <w:pStyle w:val="BodyText"/>
        <w:spacing w:line="278" w:lineRule="auto" w:before="43"/>
        <w:ind w:right="211"/>
        <w:jc w:val="both"/>
      </w:pPr>
      <w:r>
        <w:rPr>
          <w:spacing w:val="-11"/>
        </w:rPr>
        <w:t>分期支付保险费的，在您交纳首期保险费后，您应在保险费应付日或应付日前交付以后各期</w:t>
      </w:r>
      <w:r>
        <w:rPr>
          <w:spacing w:val="-4"/>
        </w:rPr>
        <w:t>保险费。若到期未交付保险费，自保险费应付日的次日零时起六十日为宽限期。宽限期内本</w:t>
      </w:r>
      <w:r>
        <w:rPr>
          <w:spacing w:val="-4"/>
        </w:rPr>
        <w:t>合同继续有效，若被保险人发生保险事故，我们仍承担保险责任，但给付保险金时须扣除已</w:t>
      </w:r>
      <w:r>
        <w:rPr>
          <w:spacing w:val="-2"/>
        </w:rPr>
        <w:t>到期而未交的保险费。</w:t>
      </w:r>
    </w:p>
    <w:p>
      <w:pPr>
        <w:pStyle w:val="BodyText"/>
        <w:spacing w:line="278" w:lineRule="auto"/>
        <w:ind w:right="211"/>
      </w:pPr>
      <w:r>
        <w:rPr>
          <w:spacing w:val="-4"/>
        </w:rPr>
        <w:t>除本合同另有约定外，宽限期期满日保险费仍未交付的，本合同自宽限期期满日的次日零时</w:t>
      </w:r>
      <w:r>
        <w:rPr>
          <w:spacing w:val="-2"/>
        </w:rPr>
        <w:t>起效力中止。</w:t>
      </w:r>
    </w:p>
    <w:p>
      <w:pPr>
        <w:pStyle w:val="BodyText"/>
        <w:spacing w:before="4"/>
        <w:ind w:left="0"/>
        <w:rPr>
          <w:sz w:val="24"/>
        </w:rPr>
      </w:pPr>
    </w:p>
    <w:p>
      <w:pPr>
        <w:pStyle w:val="Heading1"/>
        <w:spacing w:before="1"/>
        <w:ind w:left="1852" w:right="1946"/>
      </w:pPr>
      <w:bookmarkStart w:name="_bookmark9" w:id="10"/>
      <w:bookmarkEnd w:id="10"/>
      <w:r>
        <w:rPr>
          <w:b w:val="0"/>
        </w:rPr>
      </w:r>
      <w:r>
        <w:rPr>
          <w:spacing w:val="-6"/>
        </w:rPr>
        <w:t>第四章 保险期间、保险合同成立与生效、解除及终止</w:t>
      </w:r>
    </w:p>
    <w:p>
      <w:pPr>
        <w:pStyle w:val="BodyText"/>
        <w:spacing w:before="8"/>
        <w:ind w:left="0"/>
        <w:rPr>
          <w:b/>
          <w:sz w:val="27"/>
        </w:rPr>
      </w:pPr>
    </w:p>
    <w:p>
      <w:pPr>
        <w:pStyle w:val="BodyText"/>
        <w:tabs>
          <w:tab w:pos="1397" w:val="left" w:leader="none"/>
        </w:tabs>
        <w:spacing w:before="1"/>
      </w:pPr>
      <w:bookmarkStart w:name="_bookmark10" w:id="11"/>
      <w:bookmarkEnd w:id="11"/>
      <w:r>
        <w:rPr/>
      </w:r>
      <w:r>
        <w:rPr/>
        <w:t>第七</w:t>
      </w:r>
      <w:r>
        <w:rPr>
          <w:spacing w:val="-10"/>
        </w:rPr>
        <w:t>条</w:t>
      </w:r>
      <w:r>
        <w:rPr/>
        <w:tab/>
      </w:r>
      <w:r>
        <w:rPr>
          <w:spacing w:val="-2"/>
        </w:rPr>
        <w:t>保</w:t>
      </w:r>
      <w:r>
        <w:rPr>
          <w:spacing w:val="-2"/>
        </w:rPr>
        <w:t>险</w:t>
      </w:r>
      <w:r>
        <w:rPr>
          <w:spacing w:val="-2"/>
        </w:rPr>
        <w:t>期</w:t>
      </w:r>
      <w:r>
        <w:rPr>
          <w:spacing w:val="-10"/>
        </w:rPr>
        <w:t>间</w:t>
      </w:r>
    </w:p>
    <w:p>
      <w:pPr>
        <w:pStyle w:val="BodyText"/>
        <w:spacing w:before="43"/>
      </w:pPr>
      <w:r>
        <w:rPr>
          <w:spacing w:val="-3"/>
        </w:rPr>
        <w:t>本合同的保险期间由您与我们约定并于保险单上载明。</w:t>
      </w:r>
    </w:p>
    <w:p>
      <w:pPr>
        <w:pStyle w:val="BodyText"/>
        <w:spacing w:before="8"/>
        <w:ind w:left="0"/>
        <w:rPr>
          <w:sz w:val="27"/>
        </w:rPr>
      </w:pPr>
    </w:p>
    <w:p>
      <w:pPr>
        <w:pStyle w:val="BodyText"/>
        <w:spacing w:before="1"/>
        <w:jc w:val="both"/>
      </w:pPr>
      <w:bookmarkStart w:name="_bookmark11" w:id="12"/>
      <w:bookmarkEnd w:id="12"/>
      <w:r>
        <w:rPr/>
      </w:r>
      <w:r>
        <w:rPr/>
        <w:t>第八条</w:t>
      </w:r>
      <w:r>
        <w:rPr>
          <w:spacing w:val="529"/>
        </w:rPr>
        <w:t> </w:t>
      </w:r>
      <w:r>
        <w:rPr>
          <w:spacing w:val="-2"/>
        </w:rPr>
        <w:t>保险合同成立与生效</w:t>
      </w:r>
    </w:p>
    <w:p>
      <w:pPr>
        <w:pStyle w:val="BodyText"/>
        <w:spacing w:line="278" w:lineRule="auto" w:before="43"/>
        <w:ind w:right="119"/>
        <w:jc w:val="both"/>
      </w:pPr>
      <w:r>
        <w:rPr>
          <w:spacing w:val="-2"/>
        </w:rPr>
        <w:t>您提出保险申请、我们同意承保，本合同成立，我们将签发保险单作为本合同成立的标志。</w:t>
      </w:r>
      <w:r>
        <w:rPr>
          <w:spacing w:val="-2"/>
        </w:rPr>
        <w:t>除本合同另有约定外，本合同自我们收到首期保险费并签发保险单的次日零时起开始生效。</w:t>
      </w:r>
      <w:r>
        <w:rPr>
          <w:spacing w:val="-2"/>
        </w:rPr>
        <w:t>本合同的成立日、生效日均载明于保险单上。</w:t>
      </w:r>
    </w:p>
    <w:p>
      <w:pPr>
        <w:pStyle w:val="BodyText"/>
        <w:spacing w:line="278" w:lineRule="auto"/>
        <w:ind w:right="211"/>
      </w:pPr>
      <w:r>
        <w:rPr>
          <w:spacing w:val="-4"/>
        </w:rPr>
        <w:t>保险单周年日、保险单年度、保险单月份、保险费应付日和保险合同满期日均以生效日为基</w:t>
      </w:r>
      <w:r>
        <w:rPr>
          <w:spacing w:val="-4"/>
        </w:rPr>
        <w:t>准计算。</w:t>
      </w:r>
    </w:p>
    <w:p>
      <w:pPr>
        <w:pStyle w:val="BodyText"/>
        <w:spacing w:line="269" w:lineRule="exact"/>
      </w:pPr>
      <w:r>
        <w:rPr>
          <w:spacing w:val="-3"/>
        </w:rPr>
        <w:t>除本合同另有约定外，我们自生效日零时起开始承担保险责任。</w:t>
      </w:r>
    </w:p>
    <w:p>
      <w:pPr>
        <w:pStyle w:val="BodyText"/>
        <w:spacing w:before="8"/>
        <w:ind w:left="0"/>
        <w:rPr>
          <w:sz w:val="27"/>
        </w:rPr>
      </w:pPr>
    </w:p>
    <w:p>
      <w:pPr>
        <w:pStyle w:val="BodyText"/>
        <w:tabs>
          <w:tab w:pos="1397" w:val="left" w:leader="none"/>
        </w:tabs>
        <w:spacing w:before="1"/>
      </w:pPr>
      <w:bookmarkStart w:name="_bookmark12" w:id="13"/>
      <w:bookmarkEnd w:id="13"/>
      <w:r>
        <w:rPr/>
      </w:r>
      <w:r>
        <w:rPr/>
        <w:t>第九</w:t>
      </w:r>
      <w:r>
        <w:rPr>
          <w:spacing w:val="-10"/>
        </w:rPr>
        <w:t>条</w:t>
      </w:r>
      <w:r>
        <w:rPr/>
        <w:tab/>
      </w:r>
      <w:r>
        <w:rPr>
          <w:spacing w:val="-2"/>
        </w:rPr>
        <w:t>合</w:t>
      </w:r>
      <w:r>
        <w:rPr>
          <w:spacing w:val="-2"/>
        </w:rPr>
        <w:t>同</w:t>
      </w:r>
      <w:r>
        <w:rPr>
          <w:spacing w:val="-2"/>
        </w:rPr>
        <w:t>效力恢</w:t>
      </w:r>
      <w:r>
        <w:rPr>
          <w:spacing w:val="-10"/>
        </w:rPr>
        <w:t>复</w:t>
      </w:r>
    </w:p>
    <w:p>
      <w:pPr>
        <w:pStyle w:val="BodyText"/>
        <w:spacing w:line="278" w:lineRule="auto" w:before="43"/>
        <w:ind w:right="211"/>
      </w:pPr>
      <w:r>
        <w:rPr>
          <w:spacing w:val="-4"/>
        </w:rPr>
        <w:t>自本合同效力中止之日起二年内，您可书面申请恢复本合同效力。您交清所欠交的保险费及</w:t>
      </w:r>
      <w:r>
        <w:rPr>
          <w:spacing w:val="-2"/>
        </w:rPr>
        <w:t>利息，经我们审核同意并于保险单上批注后的次日零时起，本合同效力恢复。</w:t>
      </w:r>
    </w:p>
    <w:p>
      <w:pPr>
        <w:pStyle w:val="Heading1"/>
        <w:spacing w:line="269" w:lineRule="exact"/>
        <w:ind w:left="120" w:right="0"/>
        <w:jc w:val="left"/>
      </w:pPr>
      <w:r>
        <w:rPr>
          <w:spacing w:val="-3"/>
        </w:rPr>
        <w:t>本合同效力中止期间，我们对所发生的保险事故不承担给付保险金的责任。</w:t>
      </w:r>
    </w:p>
    <w:p>
      <w:pPr>
        <w:pStyle w:val="BodyText"/>
        <w:spacing w:line="278" w:lineRule="auto" w:before="42"/>
        <w:ind w:right="211"/>
      </w:pPr>
      <w:r>
        <w:rPr>
          <w:spacing w:val="-4"/>
        </w:rPr>
        <w:t>若自本合同效力中止之日起二年内双方未达成合同效力恢复协议的，我们有权解除合同，并</w:t>
      </w:r>
      <w:r>
        <w:rPr>
          <w:spacing w:val="-2"/>
        </w:rPr>
        <w:t>向您退还本合同的现金价值。</w:t>
      </w:r>
    </w:p>
    <w:p>
      <w:pPr>
        <w:pStyle w:val="BodyText"/>
        <w:spacing w:before="5"/>
        <w:ind w:left="0"/>
        <w:rPr>
          <w:sz w:val="24"/>
        </w:rPr>
      </w:pPr>
    </w:p>
    <w:p>
      <w:pPr>
        <w:pStyle w:val="BodyText"/>
        <w:tabs>
          <w:tab w:pos="1397" w:val="left" w:leader="none"/>
        </w:tabs>
      </w:pPr>
      <w:bookmarkStart w:name="_bookmark13" w:id="14"/>
      <w:bookmarkEnd w:id="14"/>
      <w:r>
        <w:rPr/>
      </w:r>
      <w:r>
        <w:rPr/>
        <w:t>第十</w:t>
      </w:r>
      <w:r>
        <w:rPr>
          <w:spacing w:val="-10"/>
        </w:rPr>
        <w:t>条</w:t>
      </w:r>
      <w:r>
        <w:rPr/>
        <w:tab/>
      </w:r>
      <w:r>
        <w:rPr>
          <w:spacing w:val="-2"/>
        </w:rPr>
        <w:t>投</w:t>
      </w:r>
      <w:r>
        <w:rPr>
          <w:spacing w:val="-2"/>
        </w:rPr>
        <w:t>保</w:t>
      </w:r>
      <w:r>
        <w:rPr>
          <w:spacing w:val="-2"/>
        </w:rPr>
        <w:t>人解除</w:t>
      </w:r>
      <w:r>
        <w:rPr>
          <w:spacing w:val="-2"/>
        </w:rPr>
        <w:t>合</w:t>
      </w:r>
      <w:r>
        <w:rPr>
          <w:spacing w:val="-10"/>
        </w:rPr>
        <w:t>同</w:t>
      </w:r>
    </w:p>
    <w:p>
      <w:pPr>
        <w:pStyle w:val="BodyText"/>
        <w:spacing w:line="278" w:lineRule="auto" w:before="43"/>
        <w:ind w:right="2218"/>
      </w:pPr>
      <w:r>
        <w:rPr>
          <w:spacing w:val="-2"/>
        </w:rPr>
        <w:t>在本合同有效期内，您在犹豫期后请出具下列文件申请解除本合同：</w:t>
      </w:r>
      <w:r>
        <w:rPr>
          <w:spacing w:val="-2"/>
        </w:rPr>
        <w:t>一、保险合同；</w:t>
      </w:r>
    </w:p>
    <w:p>
      <w:pPr>
        <w:pStyle w:val="BodyText"/>
        <w:spacing w:line="278" w:lineRule="auto"/>
        <w:ind w:right="6421"/>
      </w:pPr>
      <w:r>
        <w:rPr>
          <w:spacing w:val="-2"/>
        </w:rPr>
        <w:t>二、解除合同申请书；</w:t>
      </w:r>
      <w:r>
        <w:rPr>
          <w:spacing w:val="-2"/>
        </w:rPr>
        <w:t>三、您的身份证明。</w:t>
      </w:r>
    </w:p>
    <w:p>
      <w:pPr>
        <w:pStyle w:val="BodyText"/>
        <w:spacing w:line="278" w:lineRule="auto"/>
        <w:ind w:right="117"/>
      </w:pPr>
      <w:r>
        <w:rPr>
          <w:spacing w:val="-2"/>
        </w:rPr>
        <w:t>自我们收到解除合同申请书时，本合同终止。我们自收到解除合同申请书之日起三十日内，</w:t>
      </w:r>
      <w:r>
        <w:rPr>
          <w:spacing w:val="-2"/>
        </w:rPr>
        <w:t>向您退还本合同的现金价值。</w:t>
      </w:r>
    </w:p>
    <w:p>
      <w:pPr>
        <w:spacing w:after="0" w:line="278" w:lineRule="auto"/>
        <w:sectPr>
          <w:pgSz w:w="11910" w:h="16840"/>
          <w:pgMar w:header="0" w:footer="975" w:top="1400" w:bottom="1160" w:left="1680" w:right="1580"/>
        </w:sectPr>
      </w:pPr>
    </w:p>
    <w:p>
      <w:pPr>
        <w:pStyle w:val="BodyText"/>
        <w:spacing w:before="2"/>
        <w:ind w:left="0"/>
        <w:rPr>
          <w:sz w:val="8"/>
        </w:rPr>
      </w:pPr>
    </w:p>
    <w:p>
      <w:pPr>
        <w:pStyle w:val="BodyText"/>
        <w:tabs>
          <w:tab w:pos="1380" w:val="left" w:leader="none"/>
        </w:tabs>
        <w:spacing w:before="72"/>
      </w:pPr>
      <w:bookmarkStart w:name="_bookmark14" w:id="15"/>
      <w:bookmarkEnd w:id="15"/>
      <w:r>
        <w:rPr/>
      </w:r>
      <w:r>
        <w:rPr>
          <w:spacing w:val="-2"/>
        </w:rPr>
        <w:t>第</w:t>
      </w:r>
      <w:r>
        <w:rPr>
          <w:spacing w:val="-2"/>
        </w:rPr>
        <w:t>十</w:t>
      </w:r>
      <w:r>
        <w:rPr>
          <w:spacing w:val="-2"/>
        </w:rPr>
        <w:t>一</w:t>
      </w:r>
      <w:r>
        <w:rPr>
          <w:spacing w:val="-10"/>
        </w:rPr>
        <w:t>条</w:t>
      </w:r>
      <w:r>
        <w:rPr/>
        <w:tab/>
      </w:r>
      <w:r>
        <w:rPr>
          <w:spacing w:val="-2"/>
        </w:rPr>
        <w:t>合</w:t>
      </w:r>
      <w:r>
        <w:rPr>
          <w:spacing w:val="-2"/>
        </w:rPr>
        <w:t>同</w:t>
      </w:r>
      <w:r>
        <w:rPr>
          <w:spacing w:val="-2"/>
        </w:rPr>
        <w:t>效力终</w:t>
      </w:r>
      <w:r>
        <w:rPr>
          <w:spacing w:val="-10"/>
        </w:rPr>
        <w:t>止</w:t>
      </w:r>
    </w:p>
    <w:p>
      <w:pPr>
        <w:pStyle w:val="BodyText"/>
        <w:spacing w:line="278" w:lineRule="auto" w:before="43"/>
        <w:ind w:right="4846"/>
      </w:pPr>
      <w:r>
        <w:rPr>
          <w:spacing w:val="-2"/>
        </w:rPr>
        <w:t>发生下列情形之一时,本合同效力终止：一、被保险人身故或身体高度残疾；</w:t>
      </w:r>
      <w:r>
        <w:rPr>
          <w:spacing w:val="80"/>
          <w:w w:val="150"/>
        </w:rPr>
        <w:t> </w:t>
      </w:r>
      <w:r>
        <w:rPr>
          <w:spacing w:val="-2"/>
        </w:rPr>
        <w:t>二、本合同保险期间届满；</w:t>
      </w:r>
    </w:p>
    <w:p>
      <w:pPr>
        <w:pStyle w:val="BodyText"/>
        <w:spacing w:line="269" w:lineRule="exact"/>
      </w:pPr>
      <w:r>
        <w:rPr>
          <w:spacing w:val="-3"/>
        </w:rPr>
        <w:t>三、您申请解除本合同；</w:t>
      </w:r>
    </w:p>
    <w:p>
      <w:pPr>
        <w:pStyle w:val="BodyText"/>
        <w:spacing w:line="278" w:lineRule="auto" w:before="43"/>
        <w:ind w:right="4530"/>
      </w:pPr>
      <w:r>
        <w:rPr>
          <w:spacing w:val="-2"/>
        </w:rPr>
        <w:t>四、本合同效力中止且未能按第九条办理；</w:t>
      </w:r>
      <w:r>
        <w:rPr>
          <w:spacing w:val="-2"/>
        </w:rPr>
        <w:t>五、本合同约定的其他终止情形。</w:t>
      </w:r>
    </w:p>
    <w:p>
      <w:pPr>
        <w:pStyle w:val="BodyText"/>
        <w:spacing w:before="4"/>
        <w:ind w:left="0"/>
        <w:rPr>
          <w:sz w:val="24"/>
        </w:rPr>
      </w:pPr>
    </w:p>
    <w:p>
      <w:pPr>
        <w:pStyle w:val="Heading1"/>
      </w:pPr>
      <w:bookmarkStart w:name="_bookmark15" w:id="16"/>
      <w:bookmarkEnd w:id="16"/>
      <w:r>
        <w:rPr>
          <w:b w:val="0"/>
        </w:rPr>
      </w:r>
      <w:r>
        <w:rPr>
          <w:spacing w:val="-5"/>
        </w:rPr>
        <w:t>第五章 保险金申请</w:t>
      </w:r>
    </w:p>
    <w:p>
      <w:pPr>
        <w:pStyle w:val="BodyText"/>
        <w:spacing w:before="9"/>
        <w:ind w:left="0"/>
        <w:rPr>
          <w:b/>
          <w:sz w:val="27"/>
        </w:rPr>
      </w:pPr>
    </w:p>
    <w:p>
      <w:pPr>
        <w:pStyle w:val="BodyText"/>
        <w:tabs>
          <w:tab w:pos="1380" w:val="left" w:leader="none"/>
        </w:tabs>
      </w:pPr>
      <w:bookmarkStart w:name="_bookmark16" w:id="17"/>
      <w:bookmarkEnd w:id="17"/>
      <w:r>
        <w:rPr/>
      </w:r>
      <w:r>
        <w:rPr>
          <w:spacing w:val="-2"/>
        </w:rPr>
        <w:t>第</w:t>
      </w:r>
      <w:r>
        <w:rPr>
          <w:spacing w:val="-2"/>
        </w:rPr>
        <w:t>十</w:t>
      </w:r>
      <w:r>
        <w:rPr>
          <w:spacing w:val="-2"/>
        </w:rPr>
        <w:t>二</w:t>
      </w:r>
      <w:r>
        <w:rPr>
          <w:spacing w:val="-10"/>
        </w:rPr>
        <w:t>条</w:t>
      </w:r>
      <w:r>
        <w:rPr/>
        <w:tab/>
      </w:r>
      <w:r>
        <w:rPr>
          <w:spacing w:val="-2"/>
        </w:rPr>
        <w:t>保</w:t>
      </w:r>
      <w:r>
        <w:rPr>
          <w:spacing w:val="-2"/>
        </w:rPr>
        <w:t>险</w:t>
      </w:r>
      <w:r>
        <w:rPr>
          <w:spacing w:val="-2"/>
        </w:rPr>
        <w:t>事故通</w:t>
      </w:r>
      <w:r>
        <w:rPr>
          <w:spacing w:val="-10"/>
        </w:rPr>
        <w:t>知</w:t>
      </w:r>
    </w:p>
    <w:p>
      <w:pPr>
        <w:pStyle w:val="BodyText"/>
        <w:spacing w:line="268" w:lineRule="auto" w:before="43"/>
        <w:ind w:right="211"/>
      </w:pPr>
      <w:r>
        <w:rPr>
          <w:spacing w:val="-4"/>
        </w:rPr>
        <w:t>您或受益人应于知道保险事故发生之日起十日内通知我们。否则，您或受益人应承担由于通</w:t>
      </w:r>
      <w:r>
        <w:rPr>
          <w:spacing w:val="-2"/>
        </w:rPr>
        <w:t>知迟延致使我们增加的勘查、检验等项费用，但因</w:t>
      </w:r>
      <w:r>
        <w:rPr>
          <w:b/>
          <w:spacing w:val="-2"/>
        </w:rPr>
        <w:t>不可抗力</w:t>
      </w:r>
      <w:r>
        <w:rPr>
          <w:b/>
          <w:spacing w:val="-2"/>
          <w:position w:val="11"/>
          <w:sz w:val="11"/>
        </w:rPr>
        <w:t>25</w:t>
      </w:r>
      <w:r>
        <w:rPr>
          <w:spacing w:val="-2"/>
        </w:rPr>
        <w:t>导致的迟延除外。</w:t>
      </w:r>
    </w:p>
    <w:p>
      <w:pPr>
        <w:pStyle w:val="BodyText"/>
        <w:spacing w:line="278" w:lineRule="auto" w:before="12"/>
        <w:ind w:right="211"/>
      </w:pPr>
      <w:r>
        <w:rPr>
          <w:rFonts w:ascii="黑体" w:eastAsia="黑体"/>
          <w:spacing w:val="-4"/>
        </w:rPr>
        <w:t>如果您或受益人故意或者因重大过失未及时通知，致使保险事故的性质、原因、损失程度等</w:t>
      </w:r>
      <w:r>
        <w:rPr>
          <w:rFonts w:ascii="黑体" w:eastAsia="黑体"/>
          <w:spacing w:val="-4"/>
        </w:rPr>
        <w:t>难以确定的，我们对无法确定的部分，不承担给付保险金的责任</w:t>
      </w:r>
      <w:r>
        <w:rPr>
          <w:spacing w:val="-4"/>
        </w:rPr>
        <w:t>，但我们通过其他途径已经</w:t>
      </w:r>
      <w:r>
        <w:rPr>
          <w:spacing w:val="-2"/>
        </w:rPr>
        <w:t>及时知道或者应当及时知道保险事故发生或者虽未及时通知但不影响我们确定保险事故的</w:t>
      </w:r>
      <w:r>
        <w:rPr>
          <w:spacing w:val="-2"/>
        </w:rPr>
        <w:t>性质、原因、损失程度的除外。</w:t>
      </w:r>
    </w:p>
    <w:p>
      <w:pPr>
        <w:pStyle w:val="BodyText"/>
        <w:spacing w:before="4"/>
        <w:ind w:left="0"/>
        <w:rPr>
          <w:sz w:val="24"/>
        </w:rPr>
      </w:pPr>
    </w:p>
    <w:p>
      <w:pPr>
        <w:pStyle w:val="BodyText"/>
        <w:tabs>
          <w:tab w:pos="1397" w:val="left" w:leader="none"/>
        </w:tabs>
      </w:pPr>
      <w:bookmarkStart w:name="_bookmark17" w:id="18"/>
      <w:bookmarkEnd w:id="18"/>
      <w:r>
        <w:rPr/>
      </w:r>
      <w:r>
        <w:rPr>
          <w:spacing w:val="-2"/>
        </w:rPr>
        <w:t>第</w:t>
      </w:r>
      <w:r>
        <w:rPr>
          <w:spacing w:val="-2"/>
        </w:rPr>
        <w:t>十</w:t>
      </w:r>
      <w:r>
        <w:rPr>
          <w:spacing w:val="-2"/>
        </w:rPr>
        <w:t>三</w:t>
      </w:r>
      <w:r>
        <w:rPr>
          <w:spacing w:val="-10"/>
        </w:rPr>
        <w:t>条</w:t>
      </w:r>
      <w:r>
        <w:rPr/>
        <w:tab/>
      </w:r>
      <w:r>
        <w:rPr>
          <w:spacing w:val="-2"/>
        </w:rPr>
        <w:t>诉</w:t>
      </w:r>
      <w:r>
        <w:rPr>
          <w:spacing w:val="-2"/>
        </w:rPr>
        <w:t>讼</w:t>
      </w:r>
      <w:r>
        <w:rPr>
          <w:spacing w:val="-2"/>
        </w:rPr>
        <w:t>时</w:t>
      </w:r>
      <w:r>
        <w:rPr>
          <w:spacing w:val="-10"/>
        </w:rPr>
        <w:t>效</w:t>
      </w:r>
    </w:p>
    <w:p>
      <w:pPr>
        <w:pStyle w:val="BodyText"/>
        <w:spacing w:line="278" w:lineRule="auto" w:before="43"/>
        <w:ind w:right="211"/>
      </w:pPr>
      <w:r>
        <w:rPr>
          <w:spacing w:val="-8"/>
        </w:rPr>
        <w:t>受益人向我们请求给付身故保险金、高残保险金或满期保险金的诉讼时效期间为五年，自其</w:t>
      </w:r>
      <w:r>
        <w:rPr>
          <w:spacing w:val="-2"/>
        </w:rPr>
        <w:t>知道或者应当知道保险事故发生之日起计算。</w:t>
      </w:r>
    </w:p>
    <w:p>
      <w:pPr>
        <w:pStyle w:val="BodyText"/>
        <w:spacing w:line="278" w:lineRule="auto"/>
        <w:ind w:right="211"/>
        <w:jc w:val="both"/>
      </w:pPr>
      <w:r>
        <w:rPr>
          <w:spacing w:val="-5"/>
        </w:rPr>
        <w:t>受益人向我们请求给付意外身故额外保险金、意外高残额外保险金、水陆交通意外身故额外</w:t>
      </w:r>
      <w:r>
        <w:rPr>
          <w:spacing w:val="-4"/>
        </w:rPr>
        <w:t>保险金、水陆交通意外高残额外保险金、航空意外身故额外保险金、航空意外高残额外保险</w:t>
      </w:r>
      <w:r>
        <w:rPr>
          <w:spacing w:val="-5"/>
        </w:rPr>
        <w:t>金、非营运乘用车意外身故额外保险金、非营运乘用车意外高残额外保险金或关爱一生护理</w:t>
      </w:r>
      <w:r>
        <w:rPr>
          <w:spacing w:val="-2"/>
        </w:rPr>
        <w:t>保险金的诉讼时效期间为二年，自其知道或者应当知道保险事故发生之日起计算。</w:t>
      </w:r>
    </w:p>
    <w:p>
      <w:pPr>
        <w:pStyle w:val="BodyText"/>
        <w:spacing w:before="4"/>
        <w:ind w:left="0"/>
        <w:rPr>
          <w:sz w:val="24"/>
        </w:rPr>
      </w:pPr>
    </w:p>
    <w:p>
      <w:pPr>
        <w:pStyle w:val="BodyText"/>
        <w:tabs>
          <w:tab w:pos="1397" w:val="left" w:leader="none"/>
        </w:tabs>
      </w:pPr>
      <w:bookmarkStart w:name="_bookmark18" w:id="19"/>
      <w:bookmarkEnd w:id="19"/>
      <w:r>
        <w:rPr/>
      </w:r>
      <w:r>
        <w:rPr>
          <w:spacing w:val="-2"/>
        </w:rPr>
        <w:t>第</w:t>
      </w:r>
      <w:r>
        <w:rPr>
          <w:spacing w:val="-2"/>
        </w:rPr>
        <w:t>十</w:t>
      </w:r>
      <w:r>
        <w:rPr>
          <w:spacing w:val="-2"/>
        </w:rPr>
        <w:t>四</w:t>
      </w:r>
      <w:r>
        <w:rPr>
          <w:spacing w:val="-10"/>
        </w:rPr>
        <w:t>条</w:t>
      </w:r>
      <w:r>
        <w:rPr/>
        <w:tab/>
      </w:r>
      <w:r>
        <w:rPr>
          <w:spacing w:val="-2"/>
        </w:rPr>
        <w:t>保</w:t>
      </w:r>
      <w:r>
        <w:rPr>
          <w:spacing w:val="-2"/>
        </w:rPr>
        <w:t>险</w:t>
      </w:r>
      <w:r>
        <w:rPr>
          <w:spacing w:val="-2"/>
        </w:rPr>
        <w:t>金</w:t>
      </w:r>
      <w:r>
        <w:rPr>
          <w:spacing w:val="-2"/>
        </w:rPr>
        <w:t>申</w:t>
      </w:r>
      <w:r>
        <w:rPr>
          <w:spacing w:val="-10"/>
        </w:rPr>
        <w:t>请</w:t>
      </w:r>
    </w:p>
    <w:p>
      <w:pPr>
        <w:pStyle w:val="BodyText"/>
        <w:spacing w:before="43"/>
      </w:pPr>
      <w:r>
        <w:rPr>
          <w:spacing w:val="-3"/>
        </w:rPr>
        <w:t>一、身故保险金、意外身故额外保险金</w:t>
      </w:r>
    </w:p>
    <w:p>
      <w:pPr>
        <w:pStyle w:val="BodyText"/>
        <w:spacing w:line="278" w:lineRule="auto" w:before="43"/>
        <w:ind w:right="211"/>
      </w:pPr>
      <w:r>
        <w:rPr>
          <w:spacing w:val="-5"/>
        </w:rPr>
        <w:t>在申请身故保险金或意外身故额外保险金时，申请人须填写保险金给付申请书，并提供下列</w:t>
      </w:r>
      <w:r>
        <w:rPr>
          <w:spacing w:val="-2"/>
        </w:rPr>
        <w:t>证明和资料：</w:t>
      </w:r>
    </w:p>
    <w:p>
      <w:pPr>
        <w:pStyle w:val="ListParagraph"/>
        <w:numPr>
          <w:ilvl w:val="0"/>
          <w:numId w:val="12"/>
        </w:numPr>
        <w:tabs>
          <w:tab w:pos="541" w:val="left" w:leader="none"/>
        </w:tabs>
        <w:spacing w:line="269" w:lineRule="exact" w:before="0" w:after="0"/>
        <w:ind w:left="540" w:right="0" w:hanging="421"/>
        <w:jc w:val="left"/>
        <w:rPr>
          <w:sz w:val="21"/>
        </w:rPr>
      </w:pPr>
      <w:r>
        <w:rPr>
          <w:spacing w:val="-4"/>
          <w:sz w:val="21"/>
        </w:rPr>
        <w:t>保险合同；</w:t>
      </w:r>
    </w:p>
    <w:p>
      <w:pPr>
        <w:pStyle w:val="ListParagraph"/>
        <w:numPr>
          <w:ilvl w:val="0"/>
          <w:numId w:val="12"/>
        </w:numPr>
        <w:tabs>
          <w:tab w:pos="541" w:val="left" w:leader="none"/>
        </w:tabs>
        <w:spacing w:line="240" w:lineRule="auto" w:before="43" w:after="0"/>
        <w:ind w:left="540" w:right="0" w:hanging="421"/>
        <w:jc w:val="left"/>
        <w:rPr>
          <w:sz w:val="21"/>
        </w:rPr>
      </w:pPr>
      <w:r>
        <w:rPr>
          <w:spacing w:val="-3"/>
          <w:sz w:val="21"/>
        </w:rPr>
        <w:t>申请人的有效身份证件；</w:t>
      </w:r>
    </w:p>
    <w:p>
      <w:pPr>
        <w:pStyle w:val="ListParagraph"/>
        <w:numPr>
          <w:ilvl w:val="0"/>
          <w:numId w:val="12"/>
        </w:numPr>
        <w:tabs>
          <w:tab w:pos="541" w:val="left" w:leader="none"/>
        </w:tabs>
        <w:spacing w:line="278" w:lineRule="auto" w:before="43" w:after="0"/>
        <w:ind w:left="540" w:right="211" w:hanging="420"/>
        <w:jc w:val="left"/>
        <w:rPr>
          <w:sz w:val="21"/>
        </w:rPr>
      </w:pPr>
      <w:r>
        <w:rPr>
          <w:spacing w:val="-8"/>
          <w:sz w:val="21"/>
        </w:rPr>
        <w:t>国家卫生行政部门认定的医疗机构、公安部门或其他相关机构出具的被保险人的死亡证</w:t>
      </w:r>
      <w:r>
        <w:rPr>
          <w:spacing w:val="-6"/>
          <w:sz w:val="21"/>
        </w:rPr>
        <w:t>明；</w:t>
      </w:r>
    </w:p>
    <w:p>
      <w:pPr>
        <w:pStyle w:val="ListParagraph"/>
        <w:numPr>
          <w:ilvl w:val="0"/>
          <w:numId w:val="12"/>
        </w:numPr>
        <w:tabs>
          <w:tab w:pos="541" w:val="left" w:leader="none"/>
        </w:tabs>
        <w:spacing w:line="278" w:lineRule="auto" w:before="0" w:after="0"/>
        <w:ind w:left="120" w:right="1798" w:firstLine="0"/>
        <w:jc w:val="left"/>
        <w:rPr>
          <w:sz w:val="21"/>
        </w:rPr>
      </w:pPr>
      <w:r>
        <w:rPr>
          <w:spacing w:val="-2"/>
          <w:sz w:val="21"/>
        </w:rPr>
        <w:t>所能提供的与确认保险事故的性质、原因等有关的其他证明和资料。</w:t>
      </w:r>
      <w:r>
        <w:rPr>
          <w:spacing w:val="-2"/>
          <w:sz w:val="21"/>
        </w:rPr>
        <w:t>二、高残保险金、意外高残额外保险金</w:t>
      </w:r>
    </w:p>
    <w:p>
      <w:pPr>
        <w:pStyle w:val="BodyText"/>
        <w:spacing w:line="278" w:lineRule="auto"/>
        <w:ind w:right="211"/>
      </w:pPr>
      <w:r>
        <w:rPr>
          <w:spacing w:val="-4"/>
        </w:rPr>
        <w:t>在申请高残保险金、意外高残额外保险金时，申请人须填写保险金给付申请书，并提供下列</w:t>
      </w:r>
      <w:r>
        <w:rPr>
          <w:spacing w:val="-2"/>
        </w:rPr>
        <w:t>证明和资料：</w:t>
      </w:r>
    </w:p>
    <w:p>
      <w:pPr>
        <w:pStyle w:val="ListParagraph"/>
        <w:numPr>
          <w:ilvl w:val="0"/>
          <w:numId w:val="13"/>
        </w:numPr>
        <w:tabs>
          <w:tab w:pos="541" w:val="left" w:leader="none"/>
        </w:tabs>
        <w:spacing w:line="269" w:lineRule="exact" w:before="0" w:after="0"/>
        <w:ind w:left="540" w:right="0" w:hanging="421"/>
        <w:jc w:val="left"/>
        <w:rPr>
          <w:sz w:val="21"/>
        </w:rPr>
      </w:pPr>
      <w:r>
        <w:rPr>
          <w:spacing w:val="-4"/>
          <w:sz w:val="21"/>
        </w:rPr>
        <w:t>保险合同；</w:t>
      </w:r>
    </w:p>
    <w:p>
      <w:pPr>
        <w:pStyle w:val="ListParagraph"/>
        <w:numPr>
          <w:ilvl w:val="0"/>
          <w:numId w:val="13"/>
        </w:numPr>
        <w:tabs>
          <w:tab w:pos="541" w:val="left" w:leader="none"/>
        </w:tabs>
        <w:spacing w:line="240" w:lineRule="auto" w:before="43" w:after="0"/>
        <w:ind w:left="540" w:right="0" w:hanging="421"/>
        <w:jc w:val="left"/>
        <w:rPr>
          <w:sz w:val="21"/>
        </w:rPr>
      </w:pPr>
      <w:r>
        <w:rPr>
          <w:spacing w:val="-3"/>
          <w:sz w:val="21"/>
        </w:rPr>
        <w:t>申请人的有效身份证件；</w:t>
      </w:r>
    </w:p>
    <w:p>
      <w:pPr>
        <w:pStyle w:val="ListParagraph"/>
        <w:numPr>
          <w:ilvl w:val="0"/>
          <w:numId w:val="13"/>
        </w:numPr>
        <w:tabs>
          <w:tab w:pos="541" w:val="left" w:leader="none"/>
        </w:tabs>
        <w:spacing w:line="240" w:lineRule="auto" w:before="43" w:after="0"/>
        <w:ind w:left="540" w:right="0" w:hanging="421"/>
        <w:jc w:val="left"/>
        <w:rPr>
          <w:sz w:val="21"/>
        </w:rPr>
      </w:pPr>
      <w:r>
        <w:rPr>
          <w:spacing w:val="-3"/>
          <w:sz w:val="21"/>
        </w:rPr>
        <w:t>由我们认可的伤残鉴定机构出具的被保险人残疾程度鉴定书；</w:t>
      </w:r>
    </w:p>
    <w:p>
      <w:pPr>
        <w:pStyle w:val="BodyText"/>
        <w:spacing w:before="7"/>
        <w:ind w:left="0"/>
        <w:rPr>
          <w:sz w:val="22"/>
        </w:rPr>
      </w:pPr>
      <w:r>
        <w:rPr/>
        <w:drawing>
          <wp:anchor distT="0" distB="0" distL="0" distR="0" allowOverlap="1" layoutInCell="1" locked="0" behindDoc="0" simplePos="0" relativeHeight="5">
            <wp:simplePos x="0" y="0"/>
            <wp:positionH relativeFrom="page">
              <wp:posOffset>1143304</wp:posOffset>
            </wp:positionH>
            <wp:positionV relativeFrom="paragraph">
              <wp:posOffset>198839</wp:posOffset>
            </wp:positionV>
            <wp:extent cx="1829130" cy="6096"/>
            <wp:effectExtent l="0" t="0" r="0" b="0"/>
            <wp:wrapTopAndBottom/>
            <wp:docPr id="11" name="image3.png"/>
            <wp:cNvGraphicFramePr>
              <a:graphicFrameLocks noChangeAspect="1"/>
            </wp:cNvGraphicFramePr>
            <a:graphic>
              <a:graphicData uri="http://schemas.openxmlformats.org/drawingml/2006/picture">
                <pic:pic>
                  <pic:nvPicPr>
                    <pic:cNvPr id="12" name="image3.png"/>
                    <pic:cNvPicPr/>
                  </pic:nvPicPr>
                  <pic:blipFill>
                    <a:blip r:embed="rId8" cstate="print"/>
                    <a:stretch>
                      <a:fillRect/>
                    </a:stretch>
                  </pic:blipFill>
                  <pic:spPr>
                    <a:xfrm>
                      <a:off x="0" y="0"/>
                      <a:ext cx="1829130" cy="6096"/>
                    </a:xfrm>
                    <a:prstGeom prst="rect">
                      <a:avLst/>
                    </a:prstGeom>
                  </pic:spPr>
                </pic:pic>
              </a:graphicData>
            </a:graphic>
          </wp:anchor>
        </w:drawing>
      </w:r>
    </w:p>
    <w:p>
      <w:pPr>
        <w:pStyle w:val="ListParagraph"/>
        <w:numPr>
          <w:ilvl w:val="0"/>
          <w:numId w:val="11"/>
        </w:numPr>
        <w:tabs>
          <w:tab w:pos="351" w:val="left" w:leader="none"/>
        </w:tabs>
        <w:spacing w:line="240" w:lineRule="auto" w:before="59" w:after="0"/>
        <w:ind w:left="350" w:right="0" w:hanging="231"/>
        <w:jc w:val="left"/>
        <w:rPr>
          <w:sz w:val="18"/>
        </w:rPr>
      </w:pPr>
      <w:r>
        <w:rPr>
          <w:b/>
          <w:w w:val="95"/>
          <w:sz w:val="18"/>
        </w:rPr>
        <w:t>不</w:t>
      </w:r>
      <w:r>
        <w:rPr>
          <w:b/>
          <w:w w:val="95"/>
          <w:sz w:val="18"/>
        </w:rPr>
        <w:t>可</w:t>
      </w:r>
      <w:r>
        <w:rPr>
          <w:b/>
          <w:w w:val="95"/>
          <w:sz w:val="18"/>
        </w:rPr>
        <w:t>抗力：</w:t>
      </w:r>
      <w:r>
        <w:rPr>
          <w:w w:val="95"/>
          <w:sz w:val="18"/>
        </w:rPr>
        <w:t>指</w:t>
      </w:r>
      <w:r>
        <w:rPr>
          <w:w w:val="95"/>
          <w:sz w:val="18"/>
        </w:rPr>
        <w:t>无</w:t>
      </w:r>
      <w:r>
        <w:rPr>
          <w:w w:val="95"/>
          <w:sz w:val="18"/>
        </w:rPr>
        <w:t>法</w:t>
      </w:r>
      <w:r>
        <w:rPr>
          <w:w w:val="95"/>
          <w:sz w:val="18"/>
        </w:rPr>
        <w:t>预</w:t>
      </w:r>
      <w:r>
        <w:rPr>
          <w:w w:val="95"/>
          <w:sz w:val="18"/>
        </w:rPr>
        <w:t>见</w:t>
      </w:r>
      <w:r>
        <w:rPr>
          <w:w w:val="95"/>
          <w:sz w:val="18"/>
        </w:rPr>
        <w:t>、</w:t>
      </w:r>
      <w:r>
        <w:rPr>
          <w:w w:val="95"/>
          <w:sz w:val="18"/>
        </w:rPr>
        <w:t>不</w:t>
      </w:r>
      <w:r>
        <w:rPr>
          <w:w w:val="95"/>
          <w:sz w:val="18"/>
        </w:rPr>
        <w:t>可</w:t>
      </w:r>
      <w:r>
        <w:rPr>
          <w:w w:val="95"/>
          <w:sz w:val="18"/>
        </w:rPr>
        <w:t>避</w:t>
      </w:r>
      <w:r>
        <w:rPr>
          <w:w w:val="95"/>
          <w:sz w:val="18"/>
        </w:rPr>
        <w:t>免</w:t>
      </w:r>
      <w:r>
        <w:rPr>
          <w:w w:val="95"/>
          <w:sz w:val="18"/>
        </w:rPr>
        <w:t>并</w:t>
      </w:r>
      <w:r>
        <w:rPr>
          <w:w w:val="95"/>
          <w:sz w:val="18"/>
        </w:rPr>
        <w:t>不</w:t>
      </w:r>
      <w:r>
        <w:rPr>
          <w:w w:val="95"/>
          <w:sz w:val="18"/>
        </w:rPr>
        <w:t>能</w:t>
      </w:r>
      <w:r>
        <w:rPr>
          <w:w w:val="95"/>
          <w:sz w:val="18"/>
        </w:rPr>
        <w:t>克</w:t>
      </w:r>
      <w:r>
        <w:rPr>
          <w:w w:val="95"/>
          <w:sz w:val="18"/>
        </w:rPr>
        <w:t>服</w:t>
      </w:r>
      <w:r>
        <w:rPr>
          <w:w w:val="95"/>
          <w:sz w:val="18"/>
        </w:rPr>
        <w:t>的</w:t>
      </w:r>
      <w:r>
        <w:rPr>
          <w:w w:val="95"/>
          <w:sz w:val="18"/>
        </w:rPr>
        <w:t>客</w:t>
      </w:r>
      <w:r>
        <w:rPr>
          <w:w w:val="95"/>
          <w:sz w:val="18"/>
        </w:rPr>
        <w:t>观</w:t>
      </w:r>
      <w:r>
        <w:rPr>
          <w:w w:val="95"/>
          <w:sz w:val="18"/>
        </w:rPr>
        <w:t>情</w:t>
      </w:r>
      <w:r>
        <w:rPr>
          <w:w w:val="95"/>
          <w:sz w:val="18"/>
        </w:rPr>
        <w:t>况</w:t>
      </w:r>
      <w:r>
        <w:rPr>
          <w:spacing w:val="-10"/>
          <w:w w:val="95"/>
          <w:sz w:val="18"/>
        </w:rPr>
        <w:t>。</w:t>
      </w:r>
    </w:p>
    <w:p>
      <w:pPr>
        <w:spacing w:after="0" w:line="240" w:lineRule="auto"/>
        <w:jc w:val="left"/>
        <w:rPr>
          <w:sz w:val="18"/>
        </w:rPr>
        <w:sectPr>
          <w:pgSz w:w="11910" w:h="16840"/>
          <w:pgMar w:header="0" w:footer="975" w:top="1580" w:bottom="1160" w:left="1680" w:right="1580"/>
        </w:sectPr>
      </w:pPr>
    </w:p>
    <w:p>
      <w:pPr>
        <w:pStyle w:val="ListParagraph"/>
        <w:numPr>
          <w:ilvl w:val="0"/>
          <w:numId w:val="13"/>
        </w:numPr>
        <w:tabs>
          <w:tab w:pos="541" w:val="left" w:leader="none"/>
        </w:tabs>
        <w:spacing w:line="240" w:lineRule="auto" w:before="44" w:after="0"/>
        <w:ind w:left="540" w:right="0" w:hanging="421"/>
        <w:jc w:val="left"/>
        <w:rPr>
          <w:sz w:val="21"/>
        </w:rPr>
      </w:pPr>
      <w:r>
        <w:rPr>
          <w:spacing w:val="-3"/>
          <w:sz w:val="21"/>
        </w:rPr>
        <w:t>所能提供的与确认保险事故的性质、原因等有关的其他证明和资料。</w:t>
      </w:r>
    </w:p>
    <w:p>
      <w:pPr>
        <w:pStyle w:val="BodyText"/>
        <w:spacing w:line="278" w:lineRule="auto" w:before="43"/>
        <w:ind w:right="211"/>
      </w:pPr>
      <w:r>
        <w:rPr>
          <w:spacing w:val="-4"/>
        </w:rPr>
        <w:t>三、水陆交通意外身故额外保险金、航空意外身故额外保险金、非营运乘用车意外身故额外</w:t>
      </w:r>
      <w:r>
        <w:rPr>
          <w:spacing w:val="-4"/>
        </w:rPr>
        <w:t>保险金</w:t>
      </w:r>
    </w:p>
    <w:p>
      <w:pPr>
        <w:pStyle w:val="BodyText"/>
        <w:spacing w:line="278" w:lineRule="auto"/>
        <w:ind w:right="211"/>
      </w:pPr>
      <w:r>
        <w:rPr>
          <w:spacing w:val="-4"/>
        </w:rPr>
        <w:t>在申请水陆交通意外身故额外保险金、航空意外身故额外保险金、非营运乘用车意外身故额</w:t>
      </w:r>
      <w:r>
        <w:rPr>
          <w:spacing w:val="-2"/>
        </w:rPr>
        <w:t>外保险金时，申请人须填写保险金给付申请书，并提供下列证明和资料：</w:t>
      </w:r>
    </w:p>
    <w:p>
      <w:pPr>
        <w:pStyle w:val="ListParagraph"/>
        <w:numPr>
          <w:ilvl w:val="0"/>
          <w:numId w:val="14"/>
        </w:numPr>
        <w:tabs>
          <w:tab w:pos="541" w:val="left" w:leader="none"/>
        </w:tabs>
        <w:spacing w:line="269" w:lineRule="exact" w:before="0" w:after="0"/>
        <w:ind w:left="540" w:right="0" w:hanging="421"/>
        <w:jc w:val="left"/>
        <w:rPr>
          <w:sz w:val="21"/>
        </w:rPr>
      </w:pPr>
      <w:r>
        <w:rPr>
          <w:spacing w:val="-4"/>
          <w:sz w:val="21"/>
        </w:rPr>
        <w:t>保险合同；</w:t>
      </w:r>
    </w:p>
    <w:p>
      <w:pPr>
        <w:pStyle w:val="ListParagraph"/>
        <w:numPr>
          <w:ilvl w:val="0"/>
          <w:numId w:val="14"/>
        </w:numPr>
        <w:tabs>
          <w:tab w:pos="541" w:val="left" w:leader="none"/>
        </w:tabs>
        <w:spacing w:line="240" w:lineRule="auto" w:before="43" w:after="0"/>
        <w:ind w:left="540" w:right="0" w:hanging="421"/>
        <w:jc w:val="left"/>
        <w:rPr>
          <w:sz w:val="21"/>
        </w:rPr>
      </w:pPr>
      <w:r>
        <w:rPr>
          <w:spacing w:val="-3"/>
          <w:sz w:val="21"/>
        </w:rPr>
        <w:t>申请人的有效身份证件；</w:t>
      </w:r>
    </w:p>
    <w:p>
      <w:pPr>
        <w:pStyle w:val="ListParagraph"/>
        <w:numPr>
          <w:ilvl w:val="0"/>
          <w:numId w:val="14"/>
        </w:numPr>
        <w:tabs>
          <w:tab w:pos="541" w:val="left" w:leader="none"/>
        </w:tabs>
        <w:spacing w:line="278" w:lineRule="auto" w:before="43" w:after="0"/>
        <w:ind w:left="540" w:right="211" w:hanging="420"/>
        <w:jc w:val="left"/>
        <w:rPr>
          <w:sz w:val="21"/>
        </w:rPr>
      </w:pPr>
      <w:r>
        <w:rPr>
          <w:spacing w:val="-6"/>
          <w:sz w:val="21"/>
        </w:rPr>
        <w:t>公安机关交通管理部门或者有关部门出具的交通事故证明，或承运人出具的交通事故证</w:t>
      </w:r>
      <w:r>
        <w:rPr>
          <w:spacing w:val="-6"/>
          <w:sz w:val="21"/>
        </w:rPr>
        <w:t>明；</w:t>
      </w:r>
    </w:p>
    <w:p>
      <w:pPr>
        <w:pStyle w:val="ListParagraph"/>
        <w:numPr>
          <w:ilvl w:val="0"/>
          <w:numId w:val="14"/>
        </w:numPr>
        <w:tabs>
          <w:tab w:pos="541" w:val="left" w:leader="none"/>
        </w:tabs>
        <w:spacing w:line="278" w:lineRule="auto" w:before="0" w:after="0"/>
        <w:ind w:left="540" w:right="211" w:hanging="420"/>
        <w:jc w:val="left"/>
        <w:rPr>
          <w:sz w:val="21"/>
        </w:rPr>
      </w:pPr>
      <w:r>
        <w:rPr>
          <w:spacing w:val="-8"/>
          <w:sz w:val="21"/>
        </w:rPr>
        <w:t>国家卫生行政部门认定的医疗机构、公安部门或其他相关机构出具的被保险人的死亡证</w:t>
      </w:r>
      <w:r>
        <w:rPr>
          <w:spacing w:val="-6"/>
          <w:sz w:val="21"/>
        </w:rPr>
        <w:t>明；</w:t>
      </w:r>
    </w:p>
    <w:p>
      <w:pPr>
        <w:pStyle w:val="ListParagraph"/>
        <w:numPr>
          <w:ilvl w:val="0"/>
          <w:numId w:val="14"/>
        </w:numPr>
        <w:tabs>
          <w:tab w:pos="541" w:val="left" w:leader="none"/>
        </w:tabs>
        <w:spacing w:line="269" w:lineRule="exact" w:before="0" w:after="0"/>
        <w:ind w:left="540" w:right="0" w:hanging="421"/>
        <w:jc w:val="left"/>
        <w:rPr>
          <w:sz w:val="21"/>
        </w:rPr>
      </w:pPr>
      <w:r>
        <w:rPr>
          <w:spacing w:val="-3"/>
          <w:sz w:val="21"/>
        </w:rPr>
        <w:t>所能提供的与确认保险事故的性质、原因等有关的其他证明和资料。</w:t>
      </w:r>
    </w:p>
    <w:p>
      <w:pPr>
        <w:pStyle w:val="BodyText"/>
        <w:spacing w:line="278" w:lineRule="auto" w:before="43"/>
        <w:ind w:right="211"/>
      </w:pPr>
      <w:r>
        <w:rPr>
          <w:spacing w:val="-4"/>
        </w:rPr>
        <w:t>四、水陆交通意外高残额外保险金、航空意外高残额外保险金、非营运乘用车意外高残额外</w:t>
      </w:r>
      <w:r>
        <w:rPr>
          <w:spacing w:val="-4"/>
        </w:rPr>
        <w:t>保险金</w:t>
      </w:r>
    </w:p>
    <w:p>
      <w:pPr>
        <w:pStyle w:val="BodyText"/>
        <w:spacing w:line="278" w:lineRule="auto"/>
        <w:ind w:right="211"/>
      </w:pPr>
      <w:r>
        <w:rPr>
          <w:spacing w:val="-4"/>
        </w:rPr>
        <w:t>在申请水陆交通意外高残额外保险金、航空意外高残额外保险金、非营运乘用车意外高残额</w:t>
      </w:r>
      <w:r>
        <w:rPr>
          <w:spacing w:val="-2"/>
        </w:rPr>
        <w:t>外保险金时，申请人须填写保险金给付申请书，并提供下列证明和资料：</w:t>
      </w:r>
    </w:p>
    <w:p>
      <w:pPr>
        <w:pStyle w:val="ListParagraph"/>
        <w:numPr>
          <w:ilvl w:val="0"/>
          <w:numId w:val="15"/>
        </w:numPr>
        <w:tabs>
          <w:tab w:pos="541" w:val="left" w:leader="none"/>
        </w:tabs>
        <w:spacing w:line="269" w:lineRule="exact" w:before="0" w:after="0"/>
        <w:ind w:left="540" w:right="0" w:hanging="421"/>
        <w:jc w:val="left"/>
        <w:rPr>
          <w:sz w:val="21"/>
        </w:rPr>
      </w:pPr>
      <w:r>
        <w:rPr>
          <w:spacing w:val="-4"/>
          <w:sz w:val="21"/>
        </w:rPr>
        <w:t>保险合同；</w:t>
      </w:r>
    </w:p>
    <w:p>
      <w:pPr>
        <w:pStyle w:val="ListParagraph"/>
        <w:numPr>
          <w:ilvl w:val="0"/>
          <w:numId w:val="15"/>
        </w:numPr>
        <w:tabs>
          <w:tab w:pos="541" w:val="left" w:leader="none"/>
        </w:tabs>
        <w:spacing w:line="240" w:lineRule="auto" w:before="43" w:after="0"/>
        <w:ind w:left="540" w:right="0" w:hanging="421"/>
        <w:jc w:val="left"/>
        <w:rPr>
          <w:sz w:val="21"/>
        </w:rPr>
      </w:pPr>
      <w:r>
        <w:rPr>
          <w:spacing w:val="-3"/>
          <w:sz w:val="21"/>
        </w:rPr>
        <w:t>申请人的有效身份证件；</w:t>
      </w:r>
    </w:p>
    <w:p>
      <w:pPr>
        <w:pStyle w:val="ListParagraph"/>
        <w:numPr>
          <w:ilvl w:val="0"/>
          <w:numId w:val="15"/>
        </w:numPr>
        <w:tabs>
          <w:tab w:pos="541" w:val="left" w:leader="none"/>
        </w:tabs>
        <w:spacing w:line="278" w:lineRule="auto" w:before="43" w:after="0"/>
        <w:ind w:left="540" w:right="211" w:hanging="420"/>
        <w:jc w:val="left"/>
        <w:rPr>
          <w:sz w:val="21"/>
        </w:rPr>
      </w:pPr>
      <w:r>
        <w:rPr>
          <w:spacing w:val="-6"/>
          <w:sz w:val="21"/>
        </w:rPr>
        <w:t>公安机关交通管理部门或者有关部门出具的交通事故证明，或承运人出具的交通事故证</w:t>
      </w:r>
      <w:r>
        <w:rPr>
          <w:spacing w:val="-6"/>
          <w:sz w:val="21"/>
        </w:rPr>
        <w:t>明；</w:t>
      </w:r>
    </w:p>
    <w:p>
      <w:pPr>
        <w:pStyle w:val="ListParagraph"/>
        <w:numPr>
          <w:ilvl w:val="0"/>
          <w:numId w:val="15"/>
        </w:numPr>
        <w:tabs>
          <w:tab w:pos="541" w:val="left" w:leader="none"/>
        </w:tabs>
        <w:spacing w:line="269" w:lineRule="exact" w:before="0" w:after="0"/>
        <w:ind w:left="540" w:right="0" w:hanging="421"/>
        <w:jc w:val="left"/>
        <w:rPr>
          <w:sz w:val="21"/>
        </w:rPr>
      </w:pPr>
      <w:r>
        <w:rPr>
          <w:spacing w:val="-3"/>
          <w:sz w:val="21"/>
        </w:rPr>
        <w:t>由我们认可的伤残鉴定机构出具的被保险人残疾程度鉴定书；</w:t>
      </w:r>
    </w:p>
    <w:p>
      <w:pPr>
        <w:pStyle w:val="ListParagraph"/>
        <w:numPr>
          <w:ilvl w:val="0"/>
          <w:numId w:val="15"/>
        </w:numPr>
        <w:tabs>
          <w:tab w:pos="541" w:val="left" w:leader="none"/>
        </w:tabs>
        <w:spacing w:line="278" w:lineRule="auto" w:before="43" w:after="0"/>
        <w:ind w:left="120" w:right="1798" w:firstLine="0"/>
        <w:jc w:val="left"/>
        <w:rPr>
          <w:sz w:val="21"/>
        </w:rPr>
      </w:pPr>
      <w:r>
        <w:rPr>
          <w:spacing w:val="-2"/>
          <w:sz w:val="21"/>
        </w:rPr>
        <w:t>所能提供的与确认保险事故的性质、原因等有关的其他证明和资料。五、关爱一生护理保险金、满期保险金</w:t>
      </w:r>
    </w:p>
    <w:p>
      <w:pPr>
        <w:pStyle w:val="BodyText"/>
        <w:spacing w:line="278" w:lineRule="auto"/>
        <w:ind w:right="211"/>
      </w:pPr>
      <w:r>
        <w:rPr>
          <w:spacing w:val="-5"/>
        </w:rPr>
        <w:t>在申请关爱一生护理保险金或满期保险金时，申请人须填写保险金给付申请书，并提供下列</w:t>
      </w:r>
      <w:r>
        <w:rPr>
          <w:spacing w:val="-2"/>
        </w:rPr>
        <w:t>证明和资料：</w:t>
      </w:r>
    </w:p>
    <w:p>
      <w:pPr>
        <w:pStyle w:val="ListParagraph"/>
        <w:numPr>
          <w:ilvl w:val="0"/>
          <w:numId w:val="16"/>
        </w:numPr>
        <w:tabs>
          <w:tab w:pos="541" w:val="left" w:leader="none"/>
        </w:tabs>
        <w:spacing w:line="240" w:lineRule="auto" w:before="0" w:after="0"/>
        <w:ind w:left="540" w:right="0" w:hanging="421"/>
        <w:jc w:val="left"/>
        <w:rPr>
          <w:sz w:val="21"/>
        </w:rPr>
      </w:pPr>
      <w:r>
        <w:rPr>
          <w:spacing w:val="-4"/>
          <w:sz w:val="21"/>
        </w:rPr>
        <w:t>保险合同；</w:t>
      </w:r>
    </w:p>
    <w:p>
      <w:pPr>
        <w:pStyle w:val="ListParagraph"/>
        <w:numPr>
          <w:ilvl w:val="0"/>
          <w:numId w:val="16"/>
        </w:numPr>
        <w:tabs>
          <w:tab w:pos="541" w:val="left" w:leader="none"/>
        </w:tabs>
        <w:spacing w:line="240" w:lineRule="auto" w:before="43" w:after="0"/>
        <w:ind w:left="540" w:right="0" w:hanging="421"/>
        <w:jc w:val="left"/>
        <w:rPr>
          <w:sz w:val="21"/>
        </w:rPr>
      </w:pPr>
      <w:r>
        <w:rPr>
          <w:spacing w:val="-3"/>
          <w:sz w:val="21"/>
        </w:rPr>
        <w:t>申请人的有效身份证件；</w:t>
      </w:r>
    </w:p>
    <w:p>
      <w:pPr>
        <w:pStyle w:val="ListParagraph"/>
        <w:numPr>
          <w:ilvl w:val="0"/>
          <w:numId w:val="16"/>
        </w:numPr>
        <w:tabs>
          <w:tab w:pos="541" w:val="left" w:leader="none"/>
        </w:tabs>
        <w:spacing w:line="240" w:lineRule="auto" w:before="43" w:after="0"/>
        <w:ind w:left="540" w:right="0" w:hanging="421"/>
        <w:jc w:val="left"/>
        <w:rPr>
          <w:sz w:val="21"/>
        </w:rPr>
      </w:pPr>
      <w:r>
        <w:rPr>
          <w:spacing w:val="-3"/>
          <w:sz w:val="21"/>
        </w:rPr>
        <w:t>被保险人的户籍证明及必要的生存证明。</w:t>
      </w:r>
    </w:p>
    <w:p>
      <w:pPr>
        <w:pStyle w:val="BodyText"/>
        <w:spacing w:before="9"/>
        <w:ind w:left="0"/>
        <w:rPr>
          <w:sz w:val="27"/>
        </w:rPr>
      </w:pPr>
    </w:p>
    <w:p>
      <w:pPr>
        <w:pStyle w:val="BodyText"/>
      </w:pPr>
      <w:r>
        <w:rPr>
          <w:spacing w:val="-3"/>
        </w:rPr>
        <w:t>保险金作为被保险人遗产时，必须提供可证明合法继承权的相关权利文件。</w:t>
      </w:r>
    </w:p>
    <w:p>
      <w:pPr>
        <w:pStyle w:val="BodyText"/>
        <w:spacing w:before="43"/>
      </w:pPr>
      <w:r>
        <w:rPr>
          <w:spacing w:val="-3"/>
        </w:rPr>
        <w:t>以上证明和资料不完整的，我们将及时一次性通知申请人补充提供有关证明或资料。</w:t>
      </w:r>
    </w:p>
    <w:p>
      <w:pPr>
        <w:pStyle w:val="BodyText"/>
        <w:spacing w:before="9"/>
        <w:ind w:left="0"/>
        <w:rPr>
          <w:sz w:val="27"/>
        </w:rPr>
      </w:pPr>
    </w:p>
    <w:p>
      <w:pPr>
        <w:pStyle w:val="BodyText"/>
        <w:jc w:val="both"/>
      </w:pPr>
      <w:bookmarkStart w:name="_bookmark19" w:id="20"/>
      <w:bookmarkEnd w:id="20"/>
      <w:r>
        <w:rPr/>
      </w:r>
      <w:r>
        <w:rPr>
          <w:spacing w:val="27"/>
        </w:rPr>
        <w:t>第十五条 保险金给付</w:t>
      </w:r>
    </w:p>
    <w:p>
      <w:pPr>
        <w:pStyle w:val="BodyText"/>
        <w:spacing w:line="278" w:lineRule="auto" w:before="43"/>
        <w:ind w:right="211"/>
        <w:jc w:val="both"/>
      </w:pPr>
      <w:r>
        <w:rPr>
          <w:spacing w:val="-4"/>
        </w:rPr>
        <w:t>我们在收到保险金给付申请书及合同约定的证明和资料后，将在五个工作日内作出核定；情</w:t>
      </w:r>
      <w:r>
        <w:rPr>
          <w:spacing w:val="-4"/>
        </w:rPr>
        <w:t>形复杂的，在三十日内作出核定。对属于保险责任的，我们在与受益人达成给付保险金的协</w:t>
      </w:r>
      <w:r>
        <w:rPr>
          <w:spacing w:val="-2"/>
        </w:rPr>
        <w:t>议后十日内，履行给付保险金义务。</w:t>
      </w:r>
    </w:p>
    <w:p>
      <w:pPr>
        <w:pStyle w:val="BodyText"/>
        <w:spacing w:line="269" w:lineRule="exact"/>
      </w:pPr>
      <w:r>
        <w:rPr>
          <w:spacing w:val="-3"/>
        </w:rPr>
        <w:t>我们未及时履行前款规定义务的，除支付保险金外，应当赔偿受益人因此受到的损失。</w:t>
      </w:r>
    </w:p>
    <w:p>
      <w:pPr>
        <w:pStyle w:val="BodyText"/>
        <w:spacing w:line="278" w:lineRule="auto" w:before="43"/>
        <w:ind w:right="211"/>
      </w:pPr>
      <w:r>
        <w:rPr>
          <w:spacing w:val="-12"/>
        </w:rPr>
        <w:t>对不属于保险责任的，我们自作出核定之日起三日内向受益人发出拒绝给付保险金通知书并</w:t>
      </w:r>
      <w:r>
        <w:rPr>
          <w:spacing w:val="-2"/>
        </w:rPr>
        <w:t>说明理由。</w:t>
      </w:r>
    </w:p>
    <w:p>
      <w:pPr>
        <w:pStyle w:val="BodyText"/>
        <w:spacing w:line="278" w:lineRule="auto"/>
        <w:ind w:right="105"/>
      </w:pPr>
      <w:r>
        <w:rPr>
          <w:spacing w:val="-6"/>
        </w:rPr>
        <w:t>我们在收到保险金给付申请书及有关证明和资料之日起六十日内，对给付保险金的数额不能</w:t>
      </w:r>
      <w:r>
        <w:rPr>
          <w:spacing w:val="-17"/>
        </w:rPr>
        <w:t>确定的，根据已有证明和资料可以确定的数额先予支付；我们最终确定给付保险金的数额后，</w:t>
      </w:r>
      <w:r>
        <w:rPr>
          <w:spacing w:val="-2"/>
        </w:rPr>
        <w:t>将支付相应的差额。</w:t>
      </w:r>
    </w:p>
    <w:p>
      <w:pPr>
        <w:spacing w:after="0" w:line="278" w:lineRule="auto"/>
        <w:sectPr>
          <w:pgSz w:w="11910" w:h="16840"/>
          <w:pgMar w:header="0" w:footer="975" w:top="1400" w:bottom="1160" w:left="1680" w:right="1580"/>
        </w:sectPr>
      </w:pPr>
    </w:p>
    <w:p>
      <w:pPr>
        <w:pStyle w:val="BodyText"/>
        <w:tabs>
          <w:tab w:pos="1380" w:val="left" w:leader="none"/>
        </w:tabs>
        <w:spacing w:before="44"/>
      </w:pPr>
      <w:bookmarkStart w:name="_bookmark20" w:id="21"/>
      <w:bookmarkEnd w:id="21"/>
      <w:r>
        <w:rPr/>
      </w:r>
      <w:r>
        <w:rPr>
          <w:spacing w:val="-2"/>
        </w:rPr>
        <w:t>第</w:t>
      </w:r>
      <w:r>
        <w:rPr>
          <w:spacing w:val="-2"/>
        </w:rPr>
        <w:t>十</w:t>
      </w:r>
      <w:r>
        <w:rPr>
          <w:spacing w:val="-2"/>
        </w:rPr>
        <w:t>六</w:t>
      </w:r>
      <w:r>
        <w:rPr>
          <w:spacing w:val="-10"/>
        </w:rPr>
        <w:t>条</w:t>
      </w:r>
      <w:r>
        <w:rPr/>
        <w:tab/>
      </w:r>
      <w:r>
        <w:rPr>
          <w:spacing w:val="-2"/>
        </w:rPr>
        <w:t>失</w:t>
      </w:r>
      <w:r>
        <w:rPr>
          <w:spacing w:val="-2"/>
        </w:rPr>
        <w:t>踪</w:t>
      </w:r>
      <w:r>
        <w:rPr>
          <w:spacing w:val="-2"/>
        </w:rPr>
        <w:t>处</w:t>
      </w:r>
      <w:r>
        <w:rPr>
          <w:spacing w:val="-10"/>
        </w:rPr>
        <w:t>理</w:t>
      </w:r>
    </w:p>
    <w:p>
      <w:pPr>
        <w:pStyle w:val="BodyText"/>
        <w:spacing w:line="278" w:lineRule="auto" w:before="43"/>
        <w:ind w:right="211"/>
      </w:pPr>
      <w:r>
        <w:rPr>
          <w:spacing w:val="-4"/>
        </w:rPr>
        <w:t>被保险人在本合同有效期内失踪，若经法院宣告死亡，我们按照法院判决宣告日期确定被保</w:t>
      </w:r>
      <w:r>
        <w:rPr>
          <w:spacing w:val="-2"/>
        </w:rPr>
        <w:t>险人身故时间。</w:t>
      </w:r>
    </w:p>
    <w:p>
      <w:pPr>
        <w:pStyle w:val="BodyText"/>
        <w:spacing w:line="278" w:lineRule="auto"/>
        <w:ind w:right="211"/>
        <w:jc w:val="both"/>
      </w:pPr>
      <w:r>
        <w:rPr>
          <w:spacing w:val="-4"/>
        </w:rPr>
        <w:t>若被保险人在宣告死亡后生还，身故保险金、意外身故额外保险金、水陆交通意外身故额外</w:t>
      </w:r>
      <w:r>
        <w:rPr>
          <w:spacing w:val="-6"/>
        </w:rPr>
        <w:t>保险金、航空意外身故额外保险金、非营运乘用车意外身故额外保险金受益人应于知道被保</w:t>
      </w:r>
      <w:r>
        <w:rPr>
          <w:spacing w:val="-2"/>
        </w:rPr>
        <w:t>险人生还之日起三十日内退还我们已给付的保险金。</w:t>
      </w:r>
    </w:p>
    <w:p>
      <w:pPr>
        <w:pStyle w:val="BodyText"/>
        <w:spacing w:before="4"/>
        <w:ind w:left="0"/>
        <w:rPr>
          <w:sz w:val="24"/>
        </w:rPr>
      </w:pPr>
    </w:p>
    <w:p>
      <w:pPr>
        <w:pStyle w:val="Heading1"/>
      </w:pPr>
      <w:bookmarkStart w:name="_bookmark21" w:id="22"/>
      <w:bookmarkEnd w:id="22"/>
      <w:r>
        <w:rPr>
          <w:b w:val="0"/>
        </w:rPr>
      </w:r>
      <w:r>
        <w:rPr>
          <w:spacing w:val="-5"/>
        </w:rPr>
        <w:t>第六章 一般条款</w:t>
      </w:r>
    </w:p>
    <w:p>
      <w:pPr>
        <w:pStyle w:val="BodyText"/>
        <w:spacing w:before="9"/>
        <w:ind w:left="0"/>
        <w:rPr>
          <w:b/>
          <w:sz w:val="27"/>
        </w:rPr>
      </w:pPr>
    </w:p>
    <w:p>
      <w:pPr>
        <w:pStyle w:val="BodyText"/>
        <w:tabs>
          <w:tab w:pos="1380" w:val="left" w:leader="none"/>
        </w:tabs>
      </w:pPr>
      <w:bookmarkStart w:name="_bookmark22" w:id="23"/>
      <w:bookmarkEnd w:id="23"/>
      <w:r>
        <w:rPr/>
      </w:r>
      <w:r>
        <w:rPr>
          <w:spacing w:val="-2"/>
        </w:rPr>
        <w:t>第</w:t>
      </w:r>
      <w:r>
        <w:rPr>
          <w:spacing w:val="-2"/>
        </w:rPr>
        <w:t>十</w:t>
      </w:r>
      <w:r>
        <w:rPr>
          <w:spacing w:val="-2"/>
        </w:rPr>
        <w:t>七</w:t>
      </w:r>
      <w:r>
        <w:rPr>
          <w:spacing w:val="-10"/>
        </w:rPr>
        <w:t>条</w:t>
      </w:r>
      <w:r>
        <w:rPr/>
        <w:tab/>
      </w:r>
      <w:r>
        <w:rPr>
          <w:spacing w:val="-2"/>
        </w:rPr>
        <w:t>如</w:t>
      </w:r>
      <w:r>
        <w:rPr>
          <w:spacing w:val="-2"/>
        </w:rPr>
        <w:t>实</w:t>
      </w:r>
      <w:r>
        <w:rPr>
          <w:spacing w:val="-2"/>
        </w:rPr>
        <w:t>告</w:t>
      </w:r>
      <w:r>
        <w:rPr>
          <w:spacing w:val="-10"/>
        </w:rPr>
        <w:t>知</w:t>
      </w:r>
    </w:p>
    <w:p>
      <w:pPr>
        <w:pStyle w:val="BodyText"/>
        <w:spacing w:before="43"/>
      </w:pPr>
      <w:r>
        <w:rPr>
          <w:spacing w:val="-3"/>
        </w:rPr>
        <w:t>订立本合同时，我们应向您说明本合同的内容。</w:t>
      </w:r>
    </w:p>
    <w:p>
      <w:pPr>
        <w:pStyle w:val="BodyText"/>
        <w:spacing w:line="278" w:lineRule="auto" w:before="43"/>
        <w:ind w:right="211"/>
        <w:jc w:val="both"/>
      </w:pPr>
      <w:r>
        <w:rPr>
          <w:spacing w:val="-4"/>
        </w:rPr>
        <w:t>对保险条款中免除我们责任的条款，我们在订立合同时应当在投保单、保险单或者其他保险</w:t>
      </w:r>
      <w:r>
        <w:rPr>
          <w:spacing w:val="-8"/>
        </w:rPr>
        <w:t>凭证上作出足以引起您注意的提示，并对该条款的内容以书面或者口头形式向您作出明确说</w:t>
      </w:r>
      <w:r>
        <w:rPr>
          <w:spacing w:val="-2"/>
        </w:rPr>
        <w:t>明，未作提示或者明确说明的，该条款不产生效力。</w:t>
      </w:r>
    </w:p>
    <w:p>
      <w:pPr>
        <w:pStyle w:val="BodyText"/>
        <w:spacing w:before="1"/>
      </w:pPr>
      <w:r>
        <w:rPr>
          <w:spacing w:val="-3"/>
        </w:rPr>
        <w:t>我们就您和被保险人的有关情况提出询问，您应当如实告知。</w:t>
      </w:r>
    </w:p>
    <w:p>
      <w:pPr>
        <w:pStyle w:val="BodyText"/>
        <w:spacing w:line="278" w:lineRule="auto" w:before="42"/>
        <w:ind w:right="211"/>
        <w:rPr>
          <w:rFonts w:ascii="黑体" w:eastAsia="黑体"/>
        </w:rPr>
      </w:pPr>
      <w:r>
        <w:rPr>
          <w:rFonts w:ascii="黑体" w:eastAsia="黑体"/>
          <w:spacing w:val="-6"/>
        </w:rPr>
        <w:t>如果您故意或者因重大过失未履行前款规定的如实告知义务，足以影响我们决定是否同意承</w:t>
      </w:r>
      <w:r>
        <w:rPr>
          <w:rFonts w:ascii="黑体" w:eastAsia="黑体"/>
          <w:spacing w:val="-2"/>
        </w:rPr>
        <w:t>保或者提高保险费率的，我们有权解除本合同。</w:t>
      </w:r>
    </w:p>
    <w:p>
      <w:pPr>
        <w:pStyle w:val="BodyText"/>
        <w:spacing w:line="278" w:lineRule="auto"/>
        <w:ind w:right="211"/>
        <w:rPr>
          <w:rFonts w:ascii="黑体" w:eastAsia="黑体"/>
        </w:rPr>
      </w:pPr>
      <w:r>
        <w:rPr>
          <w:rFonts w:ascii="黑体" w:eastAsia="黑体"/>
          <w:spacing w:val="-4"/>
        </w:rPr>
        <w:t>如果您故意不履行如实告知义务，对于本合同解除前发生的保险事故，我们不承担给付保险</w:t>
      </w:r>
      <w:r>
        <w:rPr>
          <w:rFonts w:ascii="黑体" w:eastAsia="黑体"/>
          <w:spacing w:val="-2"/>
        </w:rPr>
        <w:t>金的责任，并不退还保险费。</w:t>
      </w:r>
    </w:p>
    <w:p>
      <w:pPr>
        <w:pStyle w:val="BodyText"/>
        <w:spacing w:line="278" w:lineRule="auto"/>
        <w:ind w:right="211"/>
        <w:rPr>
          <w:rFonts w:ascii="黑体" w:eastAsia="黑体"/>
        </w:rPr>
      </w:pPr>
      <w:r>
        <w:rPr>
          <w:rFonts w:ascii="黑体" w:eastAsia="黑体"/>
          <w:spacing w:val="-7"/>
        </w:rPr>
        <w:t>如果您因重大过失未履行如实告知义务，对保险事故的发生有严重影响的，对于本合同解除</w:t>
      </w:r>
      <w:r>
        <w:rPr>
          <w:rFonts w:ascii="黑体" w:eastAsia="黑体"/>
          <w:spacing w:val="-2"/>
        </w:rPr>
        <w:t>前发生的保险事故，我们不承担给付保险金的责任，但应当退还保险费。</w:t>
      </w:r>
    </w:p>
    <w:p>
      <w:pPr>
        <w:pStyle w:val="BodyText"/>
        <w:spacing w:line="278" w:lineRule="auto"/>
        <w:ind w:right="117"/>
      </w:pPr>
      <w:r>
        <w:rPr>
          <w:spacing w:val="-2"/>
        </w:rPr>
        <w:t>我们在合同订立时已经知道您未如实告知的情况的，我们不得解除合同；发生保险事故的，</w:t>
      </w:r>
      <w:r>
        <w:rPr>
          <w:spacing w:val="-2"/>
        </w:rPr>
        <w:t>我们承担给付保险金的责任。</w:t>
      </w:r>
    </w:p>
    <w:p>
      <w:pPr>
        <w:pStyle w:val="BodyText"/>
        <w:spacing w:line="278" w:lineRule="auto"/>
        <w:ind w:right="211"/>
        <w:jc w:val="both"/>
      </w:pPr>
      <w:r>
        <w:rPr>
          <w:spacing w:val="-4"/>
        </w:rPr>
        <w:t>本条规定的合同解除权，自我们知道有解除事由之日起，超过三十日不行使而消灭。自本合</w:t>
      </w:r>
      <w:r>
        <w:rPr>
          <w:spacing w:val="-4"/>
        </w:rPr>
        <w:t>同成立之日起超过二年的，我们不得解除合同；发生保险事故的，我们承担给付保险金的责</w:t>
      </w:r>
      <w:r>
        <w:rPr>
          <w:spacing w:val="-6"/>
        </w:rPr>
        <w:t>任。</w:t>
      </w:r>
    </w:p>
    <w:p>
      <w:pPr>
        <w:pStyle w:val="BodyText"/>
        <w:spacing w:before="4"/>
        <w:ind w:left="0"/>
        <w:rPr>
          <w:sz w:val="24"/>
        </w:rPr>
      </w:pPr>
    </w:p>
    <w:p>
      <w:pPr>
        <w:pStyle w:val="BodyText"/>
        <w:tabs>
          <w:tab w:pos="1380" w:val="left" w:leader="none"/>
        </w:tabs>
      </w:pPr>
      <w:bookmarkStart w:name="_bookmark23" w:id="24"/>
      <w:bookmarkEnd w:id="24"/>
      <w:r>
        <w:rPr/>
      </w:r>
      <w:r>
        <w:rPr>
          <w:spacing w:val="-2"/>
        </w:rPr>
        <w:t>第</w:t>
      </w:r>
      <w:r>
        <w:rPr>
          <w:spacing w:val="-2"/>
        </w:rPr>
        <w:t>十</w:t>
      </w:r>
      <w:r>
        <w:rPr>
          <w:spacing w:val="-2"/>
        </w:rPr>
        <w:t>八</w:t>
      </w:r>
      <w:r>
        <w:rPr>
          <w:spacing w:val="-10"/>
        </w:rPr>
        <w:t>条</w:t>
      </w:r>
      <w:r>
        <w:rPr/>
        <w:tab/>
      </w:r>
      <w:r>
        <w:rPr>
          <w:spacing w:val="-2"/>
        </w:rPr>
        <w:t>年</w:t>
      </w:r>
      <w:r>
        <w:rPr>
          <w:spacing w:val="-2"/>
        </w:rPr>
        <w:t>龄</w:t>
      </w:r>
      <w:r>
        <w:rPr>
          <w:spacing w:val="-2"/>
        </w:rPr>
        <w:t>确定及错误</w:t>
      </w:r>
      <w:r>
        <w:rPr>
          <w:spacing w:val="-2"/>
        </w:rPr>
        <w:t>处</w:t>
      </w:r>
      <w:r>
        <w:rPr>
          <w:spacing w:val="-10"/>
        </w:rPr>
        <w:t>理</w:t>
      </w:r>
    </w:p>
    <w:p>
      <w:pPr>
        <w:pStyle w:val="BodyText"/>
        <w:spacing w:line="278" w:lineRule="auto" w:before="43"/>
        <w:ind w:right="211"/>
      </w:pPr>
      <w:r>
        <w:rPr>
          <w:spacing w:val="-4"/>
        </w:rPr>
        <w:t>被保险人的投保年龄为以法定证件载明的出生日期计算的周岁年龄。您在申请投保时，应按</w:t>
      </w:r>
      <w:r>
        <w:rPr>
          <w:spacing w:val="-2"/>
        </w:rPr>
        <w:t>被保险人的周岁年龄填写。若发生错误，我们依下列约定处理：</w:t>
      </w:r>
    </w:p>
    <w:p>
      <w:pPr>
        <w:pStyle w:val="BodyText"/>
        <w:spacing w:line="278" w:lineRule="auto"/>
        <w:ind w:left="540" w:right="211" w:hanging="420"/>
        <w:rPr>
          <w:rFonts w:ascii="黑体" w:eastAsia="黑体"/>
        </w:rPr>
      </w:pPr>
      <w:r>
        <w:rPr>
          <w:rFonts w:ascii="黑体" w:eastAsia="黑体"/>
          <w:spacing w:val="-4"/>
        </w:rPr>
        <w:t>一、申报的被保险人年龄不真实，并且其真实年龄不符合本合同约定投保年龄限制的，在保</w:t>
      </w:r>
      <w:r>
        <w:rPr>
          <w:rFonts w:ascii="黑体" w:eastAsia="黑体"/>
          <w:spacing w:val="-2"/>
        </w:rPr>
        <w:t>险事故发生之前我们有权解除合同，并向您退还本合同的现金价值。</w:t>
      </w:r>
    </w:p>
    <w:p>
      <w:pPr>
        <w:pStyle w:val="BodyText"/>
        <w:spacing w:line="278" w:lineRule="auto"/>
        <w:ind w:left="540" w:right="211"/>
        <w:jc w:val="both"/>
      </w:pPr>
      <w:r>
        <w:rPr>
          <w:spacing w:val="-4"/>
        </w:rPr>
        <w:t>本款规定的合同解除权，自我们知道有解除事由之日起，超过三十日不行使而消灭。自</w:t>
      </w:r>
      <w:r>
        <w:rPr>
          <w:spacing w:val="-4"/>
        </w:rPr>
        <w:t>本合同成立之日起超过二年的，我们不得解除合同；发生保险事故的，我们承担给付保</w:t>
      </w:r>
      <w:r>
        <w:rPr>
          <w:spacing w:val="-2"/>
        </w:rPr>
        <w:t>险金的责任。</w:t>
      </w:r>
    </w:p>
    <w:p>
      <w:pPr>
        <w:pStyle w:val="BodyText"/>
        <w:spacing w:line="278" w:lineRule="auto"/>
        <w:ind w:left="540" w:right="211" w:hanging="420"/>
        <w:jc w:val="both"/>
        <w:rPr>
          <w:rFonts w:ascii="黑体" w:eastAsia="黑体"/>
        </w:rPr>
      </w:pPr>
      <w:r>
        <w:rPr>
          <w:rFonts w:ascii="黑体" w:eastAsia="黑体"/>
          <w:spacing w:val="-4"/>
        </w:rPr>
        <w:t>二、申报的被保险人年龄不真实，致使您实付保险费少于应付保险费的，我们有权更正并要</w:t>
      </w:r>
      <w:r>
        <w:rPr>
          <w:rFonts w:ascii="黑体" w:eastAsia="黑体"/>
          <w:spacing w:val="-5"/>
        </w:rPr>
        <w:t>求您补交保险费。若已经发生保险事故，在给付保险金时按实付保险费和应付保险费的</w:t>
      </w:r>
      <w:r>
        <w:rPr>
          <w:rFonts w:ascii="黑体" w:eastAsia="黑体"/>
          <w:spacing w:val="-2"/>
        </w:rPr>
        <w:t>比例给付。</w:t>
      </w:r>
    </w:p>
    <w:p>
      <w:pPr>
        <w:pStyle w:val="BodyText"/>
        <w:spacing w:line="278" w:lineRule="auto"/>
        <w:ind w:left="540" w:right="211" w:hanging="420"/>
      </w:pPr>
      <w:r>
        <w:rPr>
          <w:spacing w:val="-4"/>
        </w:rPr>
        <w:t>三、申报的被保险人年龄不真实，致使您实付保险费多于应付保险费的，我们会将多收的保</w:t>
      </w:r>
      <w:r>
        <w:rPr>
          <w:spacing w:val="-2"/>
        </w:rPr>
        <w:t>险费退还给您。</w:t>
      </w:r>
    </w:p>
    <w:p>
      <w:pPr>
        <w:pStyle w:val="BodyText"/>
        <w:spacing w:before="4"/>
        <w:ind w:left="0"/>
        <w:rPr>
          <w:sz w:val="24"/>
        </w:rPr>
      </w:pPr>
    </w:p>
    <w:p>
      <w:pPr>
        <w:pStyle w:val="BodyText"/>
        <w:tabs>
          <w:tab w:pos="1380" w:val="left" w:leader="none"/>
        </w:tabs>
      </w:pPr>
      <w:bookmarkStart w:name="_bookmark24" w:id="25"/>
      <w:bookmarkEnd w:id="25"/>
      <w:r>
        <w:rPr/>
      </w:r>
      <w:r>
        <w:rPr>
          <w:spacing w:val="-2"/>
        </w:rPr>
        <w:t>第</w:t>
      </w:r>
      <w:r>
        <w:rPr>
          <w:spacing w:val="-2"/>
        </w:rPr>
        <w:t>十</w:t>
      </w:r>
      <w:r>
        <w:rPr>
          <w:spacing w:val="-2"/>
        </w:rPr>
        <w:t>九</w:t>
      </w:r>
      <w:r>
        <w:rPr>
          <w:spacing w:val="-10"/>
        </w:rPr>
        <w:t>条</w:t>
      </w:r>
      <w:r>
        <w:rPr/>
        <w:tab/>
        <w:t>犹豫</w:t>
      </w:r>
      <w:r>
        <w:rPr>
          <w:spacing w:val="-10"/>
        </w:rPr>
        <w:t>期</w:t>
      </w:r>
    </w:p>
    <w:p>
      <w:pPr>
        <w:pStyle w:val="BodyText"/>
        <w:spacing w:line="278" w:lineRule="auto" w:before="43"/>
        <w:ind w:right="216"/>
      </w:pPr>
      <w:r>
        <w:rPr>
          <w:spacing w:val="-4"/>
        </w:rPr>
        <w:t>自您签收本合同起十日内为犹豫期，法律法规或保险监管政策另有规定的，依照其规定。在</w:t>
      </w:r>
      <w:r>
        <w:rPr>
          <w:spacing w:val="-21"/>
        </w:rPr>
        <w:t>犹豫期内，若未发生保险金给付，您可以书面申请解除本合同。自我们收到解除申请时起</w:t>
      </w:r>
      <w:r>
        <w:rPr>
          <w:spacing w:val="-2"/>
        </w:rPr>
        <w:t>（</w:t>
      </w:r>
      <w:r>
        <w:rPr>
          <w:spacing w:val="-10"/>
        </w:rPr>
        <w:t>若</w:t>
      </w:r>
    </w:p>
    <w:p>
      <w:pPr>
        <w:spacing w:after="0" w:line="278" w:lineRule="auto"/>
        <w:sectPr>
          <w:pgSz w:w="11910" w:h="16840"/>
          <w:pgMar w:header="0" w:footer="975" w:top="1400" w:bottom="1160" w:left="1680" w:right="1580"/>
        </w:sectPr>
      </w:pPr>
    </w:p>
    <w:p>
      <w:pPr>
        <w:pStyle w:val="BodyText"/>
        <w:spacing w:line="278" w:lineRule="auto" w:before="44"/>
        <w:ind w:right="211"/>
      </w:pPr>
      <w:r>
        <w:rPr>
          <w:spacing w:val="-4"/>
        </w:rPr>
        <w:t>为邮寄，则以寄发邮戳为准），本合同自始无效。您向我们退回保险合同，我们无息向您退</w:t>
      </w:r>
      <w:r>
        <w:rPr>
          <w:spacing w:val="-2"/>
        </w:rPr>
        <w:t>还已收到的保险费。</w:t>
      </w:r>
    </w:p>
    <w:p>
      <w:pPr>
        <w:pStyle w:val="BodyText"/>
        <w:spacing w:before="5"/>
        <w:ind w:left="0"/>
        <w:rPr>
          <w:sz w:val="24"/>
        </w:rPr>
      </w:pPr>
    </w:p>
    <w:p>
      <w:pPr>
        <w:pStyle w:val="BodyText"/>
        <w:jc w:val="both"/>
      </w:pPr>
      <w:bookmarkStart w:name="_bookmark25" w:id="26"/>
      <w:bookmarkEnd w:id="26"/>
      <w:r>
        <w:rPr/>
      </w:r>
      <w:r>
        <w:rPr>
          <w:spacing w:val="19"/>
        </w:rPr>
        <w:t>第二十条 受益人指定与变更</w:t>
      </w:r>
    </w:p>
    <w:p>
      <w:pPr>
        <w:pStyle w:val="BodyText"/>
        <w:spacing w:line="278" w:lineRule="auto" w:before="43"/>
        <w:ind w:right="211"/>
        <w:jc w:val="both"/>
      </w:pPr>
      <w:r>
        <w:rPr>
          <w:spacing w:val="-4"/>
        </w:rPr>
        <w:t>除本合同另有约定外，满期保险金、高残保险金、意外高残额外保险金、水陆交通意外高残</w:t>
      </w:r>
      <w:r>
        <w:rPr>
          <w:spacing w:val="-5"/>
        </w:rPr>
        <w:t>额外保险金、航空意外高残额外保险金、非营运乘用车意外高残额外保险金或关爱一生护理</w:t>
      </w:r>
      <w:r>
        <w:rPr>
          <w:spacing w:val="-2"/>
        </w:rPr>
        <w:t>保险金的受益人为被保险人本人。</w:t>
      </w:r>
    </w:p>
    <w:p>
      <w:pPr>
        <w:pStyle w:val="BodyText"/>
        <w:spacing w:line="278" w:lineRule="auto"/>
        <w:ind w:right="211"/>
        <w:jc w:val="both"/>
      </w:pPr>
      <w:r>
        <w:rPr>
          <w:spacing w:val="-4"/>
        </w:rPr>
        <w:t>您或被保险人可以指定或变更身故保险金、意外身故额外保险金、水陆交通意外身故额外保</w:t>
      </w:r>
      <w:r>
        <w:rPr>
          <w:spacing w:val="-10"/>
        </w:rPr>
        <w:t>险金、航空意外身故额外保险金或非营运乘用车意外身故额外保险金受益人，但您指定或变</w:t>
      </w:r>
      <w:r>
        <w:rPr>
          <w:spacing w:val="-4"/>
        </w:rPr>
        <w:t>更上述保险金受益人须征得被保险人书面同意。变更受益人须书面通知我们，并经我们在保</w:t>
      </w:r>
      <w:r>
        <w:rPr>
          <w:spacing w:val="-2"/>
        </w:rPr>
        <w:t>险单上批注。</w:t>
      </w:r>
    </w:p>
    <w:p>
      <w:pPr>
        <w:pStyle w:val="BodyText"/>
        <w:spacing w:line="278" w:lineRule="auto"/>
        <w:ind w:right="211"/>
      </w:pPr>
      <w:r>
        <w:rPr>
          <w:spacing w:val="-4"/>
        </w:rPr>
        <w:t>若受益人为数人时，您或被保险人应确定受益顺序和受益份额；未确定受益份额的，各受益</w:t>
      </w:r>
      <w:r>
        <w:rPr>
          <w:spacing w:val="-2"/>
        </w:rPr>
        <w:t>人享有相等份额的受益权。</w:t>
      </w:r>
    </w:p>
    <w:p>
      <w:pPr>
        <w:pStyle w:val="BodyText"/>
      </w:pPr>
      <w:r>
        <w:rPr>
          <w:spacing w:val="-3"/>
        </w:rPr>
        <w:t>被保险人为无民事行为能力人或限制民事行为能力人的，可以由其监护人指定受益人。</w:t>
      </w:r>
    </w:p>
    <w:p>
      <w:pPr>
        <w:pStyle w:val="BodyText"/>
        <w:spacing w:line="278" w:lineRule="auto" w:before="42"/>
        <w:ind w:right="211"/>
      </w:pPr>
      <w:r>
        <w:rPr>
          <w:spacing w:val="-4"/>
        </w:rPr>
        <w:t>被保险人身故后，有下列情形之一的，保险金作为被保险人的遗产，由我们依照《中华人民</w:t>
      </w:r>
      <w:r>
        <w:rPr>
          <w:spacing w:val="-2"/>
        </w:rPr>
        <w:t>共和国继承法》的规定履行给付保险金的义务：</w:t>
      </w:r>
    </w:p>
    <w:p>
      <w:pPr>
        <w:pStyle w:val="BodyText"/>
        <w:spacing w:line="278" w:lineRule="auto"/>
        <w:ind w:right="3267"/>
      </w:pPr>
      <w:r>
        <w:rPr>
          <w:spacing w:val="-2"/>
        </w:rPr>
        <w:t>一、没有指定受益人，或者受益人指定不明无法确定的；</w:t>
      </w:r>
      <w:r>
        <w:rPr>
          <w:spacing w:val="-2"/>
        </w:rPr>
        <w:t>二、受益人先于被保险人身故，没有其他受益人的；</w:t>
      </w:r>
    </w:p>
    <w:p>
      <w:pPr>
        <w:pStyle w:val="BodyText"/>
        <w:spacing w:line="269" w:lineRule="exact"/>
      </w:pPr>
      <w:r>
        <w:rPr>
          <w:spacing w:val="-3"/>
        </w:rPr>
        <w:t>三、受益人依法丧失受益权或者放弃受益权，没有其他受益人的。</w:t>
      </w:r>
    </w:p>
    <w:p>
      <w:pPr>
        <w:pStyle w:val="BodyText"/>
        <w:spacing w:line="278" w:lineRule="auto" w:before="43"/>
        <w:ind w:right="211"/>
      </w:pPr>
      <w:r>
        <w:rPr>
          <w:spacing w:val="-7"/>
        </w:rPr>
        <w:t>若受益人与被保险人在同一事件中身故，且不能确定身故先后顺序的，则推定受益人先于被</w:t>
      </w:r>
      <w:r>
        <w:rPr>
          <w:spacing w:val="-2"/>
        </w:rPr>
        <w:t>保险人身故。</w:t>
      </w:r>
    </w:p>
    <w:p>
      <w:pPr>
        <w:pStyle w:val="BodyText"/>
        <w:spacing w:line="278" w:lineRule="auto"/>
        <w:ind w:right="211"/>
      </w:pPr>
      <w:r>
        <w:rPr>
          <w:spacing w:val="-4"/>
        </w:rPr>
        <w:t>受益人故意造成被保险人身故、伤残、疾病的，或者故意杀害被保险人未遂的，该受益人丧</w:t>
      </w:r>
      <w:r>
        <w:rPr>
          <w:spacing w:val="-2"/>
        </w:rPr>
        <w:t>失受益权。</w:t>
      </w:r>
    </w:p>
    <w:p>
      <w:pPr>
        <w:pStyle w:val="BodyText"/>
        <w:spacing w:before="4"/>
        <w:ind w:left="0"/>
        <w:rPr>
          <w:sz w:val="24"/>
        </w:rPr>
      </w:pPr>
    </w:p>
    <w:p>
      <w:pPr>
        <w:pStyle w:val="BodyText"/>
      </w:pPr>
      <w:bookmarkStart w:name="_bookmark26" w:id="27"/>
      <w:bookmarkEnd w:id="27"/>
      <w:r>
        <w:rPr/>
      </w:r>
      <w:r>
        <w:rPr>
          <w:spacing w:val="4"/>
        </w:rPr>
        <w:t>第二十一条 合同内容变更</w:t>
      </w:r>
    </w:p>
    <w:p>
      <w:pPr>
        <w:pStyle w:val="BodyText"/>
        <w:spacing w:line="278" w:lineRule="auto" w:before="43"/>
        <w:ind w:right="211"/>
      </w:pPr>
      <w:r>
        <w:rPr>
          <w:spacing w:val="-4"/>
        </w:rPr>
        <w:t>在本合同有效期内，经与我们协商一致，您可以变更本合同的有关内容，并经我们在保险单</w:t>
      </w:r>
      <w:r>
        <w:rPr>
          <w:spacing w:val="-4"/>
        </w:rPr>
        <w:t>上批注。</w:t>
      </w:r>
    </w:p>
    <w:p>
      <w:pPr>
        <w:pStyle w:val="BodyText"/>
        <w:spacing w:before="4"/>
        <w:ind w:left="0"/>
        <w:rPr>
          <w:sz w:val="24"/>
        </w:rPr>
      </w:pPr>
    </w:p>
    <w:p>
      <w:pPr>
        <w:pStyle w:val="BodyText"/>
        <w:spacing w:before="1"/>
      </w:pPr>
      <w:bookmarkStart w:name="_bookmark27" w:id="28"/>
      <w:bookmarkEnd w:id="28"/>
      <w:r>
        <w:rPr/>
      </w:r>
      <w:r>
        <w:rPr>
          <w:spacing w:val="4"/>
        </w:rPr>
        <w:t>第二十二条 通讯地址变更</w:t>
      </w:r>
    </w:p>
    <w:p>
      <w:pPr>
        <w:pStyle w:val="BodyText"/>
        <w:spacing w:line="278" w:lineRule="auto" w:before="43"/>
        <w:ind w:right="211"/>
      </w:pPr>
      <w:r>
        <w:rPr>
          <w:spacing w:val="-4"/>
        </w:rPr>
        <w:t>您的通讯地址变更时，应及时书面通知我们。您不作前项通知时，我们按本合同所载的最新</w:t>
      </w:r>
      <w:r>
        <w:rPr>
          <w:spacing w:val="-2"/>
        </w:rPr>
        <w:t>通讯地址发送的通知，视为已送达您。</w:t>
      </w:r>
    </w:p>
    <w:p>
      <w:pPr>
        <w:pStyle w:val="BodyText"/>
        <w:spacing w:before="4"/>
        <w:ind w:left="0"/>
        <w:rPr>
          <w:sz w:val="24"/>
        </w:rPr>
      </w:pPr>
    </w:p>
    <w:p>
      <w:pPr>
        <w:pStyle w:val="BodyText"/>
      </w:pPr>
      <w:bookmarkStart w:name="_bookmark28" w:id="29"/>
      <w:bookmarkEnd w:id="29"/>
      <w:r>
        <w:rPr/>
      </w:r>
      <w:r>
        <w:rPr>
          <w:spacing w:val="6"/>
        </w:rPr>
        <w:t>第二十三条 司法鉴定</w:t>
      </w:r>
    </w:p>
    <w:p>
      <w:pPr>
        <w:pStyle w:val="BodyText"/>
        <w:spacing w:before="43"/>
      </w:pPr>
      <w:r>
        <w:rPr>
          <w:spacing w:val="-3"/>
        </w:rPr>
        <w:t>我们有权要求司法鉴定机构对保险事故进行鉴定。</w:t>
      </w:r>
    </w:p>
    <w:p>
      <w:pPr>
        <w:pStyle w:val="BodyText"/>
        <w:spacing w:before="9"/>
        <w:ind w:left="0"/>
        <w:rPr>
          <w:sz w:val="27"/>
        </w:rPr>
      </w:pPr>
    </w:p>
    <w:p>
      <w:pPr>
        <w:pStyle w:val="BodyText"/>
      </w:pPr>
      <w:bookmarkStart w:name="_bookmark29" w:id="30"/>
      <w:bookmarkEnd w:id="30"/>
      <w:r>
        <w:rPr/>
      </w:r>
      <w:r>
        <w:rPr>
          <w:spacing w:val="6"/>
        </w:rPr>
        <w:t>第二十四条 争议处理</w:t>
      </w:r>
    </w:p>
    <w:p>
      <w:pPr>
        <w:pStyle w:val="BodyText"/>
        <w:spacing w:line="278" w:lineRule="auto" w:before="43"/>
        <w:ind w:right="211"/>
      </w:pPr>
      <w:r>
        <w:rPr>
          <w:spacing w:val="-8"/>
        </w:rPr>
        <w:t>本合同受中华人民共和国的法律管辖。合同争议解决方式由当事人在合同约定从下列两种方</w:t>
      </w:r>
      <w:r>
        <w:rPr>
          <w:spacing w:val="-2"/>
        </w:rPr>
        <w:t>式中选择一种：</w:t>
      </w:r>
    </w:p>
    <w:p>
      <w:pPr>
        <w:pStyle w:val="BodyText"/>
        <w:spacing w:line="278" w:lineRule="auto"/>
        <w:ind w:right="108"/>
      </w:pPr>
      <w:r>
        <w:rPr>
          <w:spacing w:val="-18"/>
        </w:rPr>
        <w:t>一、因履行本合同发生的争议，由当事人协商解决，协商不成的，提交××仲裁委员会仲裁；</w:t>
      </w:r>
      <w:r>
        <w:rPr>
          <w:spacing w:val="-2"/>
        </w:rPr>
        <w:t>二、因履行本合同发生的争议，由当事人协商解决，协商不成的，依法向人民法院起诉。</w:t>
      </w:r>
    </w:p>
    <w:p>
      <w:pPr>
        <w:pStyle w:val="BodyText"/>
        <w:ind w:left="0"/>
        <w:rPr>
          <w:sz w:val="20"/>
        </w:rPr>
      </w:pPr>
    </w:p>
    <w:p>
      <w:pPr>
        <w:pStyle w:val="BodyText"/>
        <w:ind w:left="0"/>
        <w:rPr>
          <w:sz w:val="20"/>
        </w:rPr>
      </w:pPr>
    </w:p>
    <w:p>
      <w:pPr>
        <w:pStyle w:val="BodyText"/>
        <w:ind w:left="0"/>
        <w:rPr>
          <w:sz w:val="20"/>
        </w:rPr>
      </w:pPr>
    </w:p>
    <w:p>
      <w:pPr>
        <w:spacing w:before="167"/>
        <w:ind w:left="0" w:right="216" w:firstLine="0"/>
        <w:jc w:val="right"/>
        <w:rPr>
          <w:b/>
          <w:sz w:val="21"/>
        </w:rPr>
      </w:pPr>
      <w:r>
        <w:rPr>
          <w:b/>
          <w:w w:val="95"/>
          <w:sz w:val="21"/>
        </w:rPr>
        <w:t>&lt;</w:t>
      </w:r>
      <w:r>
        <w:rPr>
          <w:b/>
          <w:w w:val="95"/>
          <w:sz w:val="21"/>
        </w:rPr>
        <w:t>本</w:t>
      </w:r>
      <w:r>
        <w:rPr>
          <w:b/>
          <w:w w:val="95"/>
          <w:sz w:val="21"/>
        </w:rPr>
        <w:t>页</w:t>
      </w:r>
      <w:r>
        <w:rPr>
          <w:b/>
          <w:w w:val="95"/>
          <w:sz w:val="21"/>
        </w:rPr>
        <w:t>结</w:t>
      </w:r>
      <w:r>
        <w:rPr>
          <w:b/>
          <w:w w:val="95"/>
          <w:sz w:val="21"/>
        </w:rPr>
        <w:t>束</w:t>
      </w:r>
      <w:r>
        <w:rPr>
          <w:b/>
          <w:spacing w:val="-10"/>
          <w:w w:val="95"/>
          <w:sz w:val="21"/>
        </w:rPr>
        <w:t>&gt;</w:t>
      </w:r>
    </w:p>
    <w:sectPr>
      <w:pgSz w:w="11910" w:h="16840"/>
      <w:pgMar w:header="0" w:footer="975" w:top="1400" w:bottom="1160" w:left="1680" w:right="15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宋体">
    <w:altName w:val="宋体"/>
    <w:charset w:val="86"/>
    <w:family w:val="auto"/>
    <w:pitch w:val="variable"/>
  </w:font>
  <w:font w:name="黑体">
    <w:altName w:val="黑体"/>
    <w:charset w:val="86"/>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ind w:left="0"/>
      <w:rPr>
        <w:sz w:val="20"/>
      </w:rPr>
    </w:pPr>
    <w:r>
      <w:rPr/>
      <w:pict>
        <v:shapetype id="_x0000_t202" o:spt="202" coordsize="21600,21600" path="m,l,21600r21600,l21600,xe">
          <v:stroke joinstyle="miter"/>
          <v:path gradientshapeok="t" o:connecttype="rect"/>
        </v:shapetype>
        <v:shape style="position:absolute;margin-left:89.024002pt;margin-top:782.146606pt;width:98.15pt;height:10.050pt;mso-position-horizontal-relative:page;mso-position-vertical-relative:page;z-index:-15980544" type="#_x0000_t202" id="docshape1" filled="false" stroked="false">
          <v:textbox inset="0,0,0,0">
            <w:txbxContent>
              <w:p>
                <w:pPr>
                  <w:spacing w:line="201" w:lineRule="exact" w:before="0"/>
                  <w:ind w:left="20" w:right="0" w:firstLine="0"/>
                  <w:jc w:val="left"/>
                  <w:rPr>
                    <w:sz w:val="16"/>
                  </w:rPr>
                </w:pPr>
                <w:r>
                  <w:rPr>
                    <w:spacing w:val="2"/>
                    <w:sz w:val="16"/>
                  </w:rPr>
                  <w:t>长生吉星普照两全保险</w:t>
                </w:r>
                <w:r>
                  <w:rPr>
                    <w:sz w:val="16"/>
                  </w:rPr>
                  <w:t>B</w:t>
                </w:r>
                <w:r>
                  <w:rPr>
                    <w:spacing w:val="-24"/>
                    <w:sz w:val="16"/>
                  </w:rPr>
                  <w:t> 款</w:t>
                </w:r>
              </w:p>
            </w:txbxContent>
          </v:textbox>
          <w10:wrap type="none"/>
        </v:shape>
      </w:pict>
    </w:r>
    <w:r>
      <w:rPr/>
      <w:pict>
        <v:shape style="position:absolute;margin-left:475.179993pt;margin-top:782.146606pt;width:14.95pt;height:10.050pt;mso-position-horizontal-relative:page;mso-position-vertical-relative:page;z-index:-15980032" type="#_x0000_t202" id="docshape2" filled="false" stroked="false">
          <v:textbox inset="0,0,0,0">
            <w:txbxContent>
              <w:p>
                <w:pPr>
                  <w:spacing w:line="201" w:lineRule="exact" w:before="0"/>
                  <w:ind w:left="60" w:right="0" w:firstLine="0"/>
                  <w:jc w:val="left"/>
                  <w:rPr>
                    <w:sz w:val="16"/>
                  </w:rPr>
                </w:pPr>
                <w:r>
                  <w:rPr>
                    <w:spacing w:val="-5"/>
                    <w:sz w:val="16"/>
                  </w:rPr>
                  <w:fldChar w:fldCharType="begin"/>
                </w:r>
                <w:r>
                  <w:rPr>
                    <w:spacing w:val="-5"/>
                    <w:sz w:val="16"/>
                  </w:rPr>
                  <w:instrText> PAGE </w:instrText>
                </w:r>
                <w:r>
                  <w:rPr>
                    <w:spacing w:val="-5"/>
                    <w:sz w:val="16"/>
                  </w:rPr>
                  <w:fldChar w:fldCharType="separate"/>
                </w:r>
                <w:r>
                  <w:rPr>
                    <w:spacing w:val="-5"/>
                    <w:sz w:val="16"/>
                  </w:rPr>
                  <w:t>10</w:t>
                </w:r>
                <w:r>
                  <w:rPr>
                    <w:spacing w:val="-5"/>
                    <w:sz w:val="16"/>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4">
    <w:multiLevelType w:val="hybridMultilevel"/>
    <w:lvl w:ilvl="0">
      <w:start w:val="1"/>
      <w:numFmt w:val="decimal"/>
      <w:lvlText w:val="%1)"/>
      <w:lvlJc w:val="left"/>
      <w:pPr>
        <w:ind w:left="660" w:hanging="360"/>
        <w:jc w:val="left"/>
      </w:pPr>
      <w:rPr>
        <w:rFonts w:hint="default" w:ascii="宋体" w:hAnsi="宋体" w:eastAsia="宋体" w:cs="宋体"/>
        <w:b w:val="0"/>
        <w:bCs w:val="0"/>
        <w:i w:val="0"/>
        <w:iCs w:val="0"/>
        <w:spacing w:val="0"/>
        <w:w w:val="100"/>
        <w:sz w:val="18"/>
        <w:szCs w:val="18"/>
        <w:lang w:val="en-US" w:eastAsia="zh-CN" w:bidi="ar-SA"/>
      </w:rPr>
    </w:lvl>
    <w:lvl w:ilvl="1">
      <w:start w:val="0"/>
      <w:numFmt w:val="bullet"/>
      <w:lvlText w:val="•"/>
      <w:lvlJc w:val="left"/>
      <w:pPr>
        <w:ind w:left="1458" w:hanging="360"/>
      </w:pPr>
      <w:rPr>
        <w:rFonts w:hint="default"/>
        <w:lang w:val="en-US" w:eastAsia="zh-CN" w:bidi="ar-SA"/>
      </w:rPr>
    </w:lvl>
    <w:lvl w:ilvl="2">
      <w:start w:val="0"/>
      <w:numFmt w:val="bullet"/>
      <w:lvlText w:val="•"/>
      <w:lvlJc w:val="left"/>
      <w:pPr>
        <w:ind w:left="2257" w:hanging="360"/>
      </w:pPr>
      <w:rPr>
        <w:rFonts w:hint="default"/>
        <w:lang w:val="en-US" w:eastAsia="zh-CN" w:bidi="ar-SA"/>
      </w:rPr>
    </w:lvl>
    <w:lvl w:ilvl="3">
      <w:start w:val="0"/>
      <w:numFmt w:val="bullet"/>
      <w:lvlText w:val="•"/>
      <w:lvlJc w:val="left"/>
      <w:pPr>
        <w:ind w:left="3055" w:hanging="360"/>
      </w:pPr>
      <w:rPr>
        <w:rFonts w:hint="default"/>
        <w:lang w:val="en-US" w:eastAsia="zh-CN" w:bidi="ar-SA"/>
      </w:rPr>
    </w:lvl>
    <w:lvl w:ilvl="4">
      <w:start w:val="0"/>
      <w:numFmt w:val="bullet"/>
      <w:lvlText w:val="•"/>
      <w:lvlJc w:val="left"/>
      <w:pPr>
        <w:ind w:left="3854" w:hanging="360"/>
      </w:pPr>
      <w:rPr>
        <w:rFonts w:hint="default"/>
        <w:lang w:val="en-US" w:eastAsia="zh-CN" w:bidi="ar-SA"/>
      </w:rPr>
    </w:lvl>
    <w:lvl w:ilvl="5">
      <w:start w:val="0"/>
      <w:numFmt w:val="bullet"/>
      <w:lvlText w:val="•"/>
      <w:lvlJc w:val="left"/>
      <w:pPr>
        <w:ind w:left="4653" w:hanging="360"/>
      </w:pPr>
      <w:rPr>
        <w:rFonts w:hint="default"/>
        <w:lang w:val="en-US" w:eastAsia="zh-CN" w:bidi="ar-SA"/>
      </w:rPr>
    </w:lvl>
    <w:lvl w:ilvl="6">
      <w:start w:val="0"/>
      <w:numFmt w:val="bullet"/>
      <w:lvlText w:val="•"/>
      <w:lvlJc w:val="left"/>
      <w:pPr>
        <w:ind w:left="5451" w:hanging="360"/>
      </w:pPr>
      <w:rPr>
        <w:rFonts w:hint="default"/>
        <w:lang w:val="en-US" w:eastAsia="zh-CN" w:bidi="ar-SA"/>
      </w:rPr>
    </w:lvl>
    <w:lvl w:ilvl="7">
      <w:start w:val="0"/>
      <w:numFmt w:val="bullet"/>
      <w:lvlText w:val="•"/>
      <w:lvlJc w:val="left"/>
      <w:pPr>
        <w:ind w:left="6250" w:hanging="360"/>
      </w:pPr>
      <w:rPr>
        <w:rFonts w:hint="default"/>
        <w:lang w:val="en-US" w:eastAsia="zh-CN" w:bidi="ar-SA"/>
      </w:rPr>
    </w:lvl>
    <w:lvl w:ilvl="8">
      <w:start w:val="0"/>
      <w:numFmt w:val="bullet"/>
      <w:lvlText w:val="•"/>
      <w:lvlJc w:val="left"/>
      <w:pPr>
        <w:ind w:left="7049" w:hanging="360"/>
      </w:pPr>
      <w:rPr>
        <w:rFonts w:hint="default"/>
        <w:lang w:val="en-US" w:eastAsia="zh-CN" w:bidi="ar-SA"/>
      </w:rPr>
    </w:lvl>
  </w:abstractNum>
  <w:abstractNum w:abstractNumId="15">
    <w:multiLevelType w:val="hybridMultilevel"/>
    <w:lvl w:ilvl="0">
      <w:start w:val="1"/>
      <w:numFmt w:val="decimal"/>
      <w:lvlText w:val="%1."/>
      <w:lvlJc w:val="left"/>
      <w:pPr>
        <w:ind w:left="540"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0" w:hanging="420"/>
      </w:pPr>
      <w:rPr>
        <w:rFonts w:hint="default"/>
        <w:lang w:val="en-US" w:eastAsia="zh-CN" w:bidi="ar-SA"/>
      </w:rPr>
    </w:lvl>
    <w:lvl w:ilvl="2">
      <w:start w:val="0"/>
      <w:numFmt w:val="bullet"/>
      <w:lvlText w:val="•"/>
      <w:lvlJc w:val="left"/>
      <w:pPr>
        <w:ind w:left="2161" w:hanging="420"/>
      </w:pPr>
      <w:rPr>
        <w:rFonts w:hint="default"/>
        <w:lang w:val="en-US" w:eastAsia="zh-CN" w:bidi="ar-SA"/>
      </w:rPr>
    </w:lvl>
    <w:lvl w:ilvl="3">
      <w:start w:val="0"/>
      <w:numFmt w:val="bullet"/>
      <w:lvlText w:val="•"/>
      <w:lvlJc w:val="left"/>
      <w:pPr>
        <w:ind w:left="2971" w:hanging="420"/>
      </w:pPr>
      <w:rPr>
        <w:rFonts w:hint="default"/>
        <w:lang w:val="en-US" w:eastAsia="zh-CN" w:bidi="ar-SA"/>
      </w:rPr>
    </w:lvl>
    <w:lvl w:ilvl="4">
      <w:start w:val="0"/>
      <w:numFmt w:val="bullet"/>
      <w:lvlText w:val="•"/>
      <w:lvlJc w:val="left"/>
      <w:pPr>
        <w:ind w:left="3782" w:hanging="420"/>
      </w:pPr>
      <w:rPr>
        <w:rFonts w:hint="default"/>
        <w:lang w:val="en-US" w:eastAsia="zh-CN" w:bidi="ar-SA"/>
      </w:rPr>
    </w:lvl>
    <w:lvl w:ilvl="5">
      <w:start w:val="0"/>
      <w:numFmt w:val="bullet"/>
      <w:lvlText w:val="•"/>
      <w:lvlJc w:val="left"/>
      <w:pPr>
        <w:ind w:left="4593" w:hanging="420"/>
      </w:pPr>
      <w:rPr>
        <w:rFonts w:hint="default"/>
        <w:lang w:val="en-US" w:eastAsia="zh-CN" w:bidi="ar-SA"/>
      </w:rPr>
    </w:lvl>
    <w:lvl w:ilvl="6">
      <w:start w:val="0"/>
      <w:numFmt w:val="bullet"/>
      <w:lvlText w:val="•"/>
      <w:lvlJc w:val="left"/>
      <w:pPr>
        <w:ind w:left="5403" w:hanging="420"/>
      </w:pPr>
      <w:rPr>
        <w:rFonts w:hint="default"/>
        <w:lang w:val="en-US" w:eastAsia="zh-CN" w:bidi="ar-SA"/>
      </w:rPr>
    </w:lvl>
    <w:lvl w:ilvl="7">
      <w:start w:val="0"/>
      <w:numFmt w:val="bullet"/>
      <w:lvlText w:val="•"/>
      <w:lvlJc w:val="left"/>
      <w:pPr>
        <w:ind w:left="6214" w:hanging="420"/>
      </w:pPr>
      <w:rPr>
        <w:rFonts w:hint="default"/>
        <w:lang w:val="en-US" w:eastAsia="zh-CN" w:bidi="ar-SA"/>
      </w:rPr>
    </w:lvl>
    <w:lvl w:ilvl="8">
      <w:start w:val="0"/>
      <w:numFmt w:val="bullet"/>
      <w:lvlText w:val="•"/>
      <w:lvlJc w:val="left"/>
      <w:pPr>
        <w:ind w:left="7025" w:hanging="420"/>
      </w:pPr>
      <w:rPr>
        <w:rFonts w:hint="default"/>
        <w:lang w:val="en-US" w:eastAsia="zh-CN" w:bidi="ar-SA"/>
      </w:rPr>
    </w:lvl>
  </w:abstractNum>
  <w:abstractNum w:abstractNumId="14">
    <w:multiLevelType w:val="hybridMultilevel"/>
    <w:lvl w:ilvl="0">
      <w:start w:val="1"/>
      <w:numFmt w:val="decimal"/>
      <w:lvlText w:val="%1."/>
      <w:lvlJc w:val="left"/>
      <w:pPr>
        <w:ind w:left="540"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0" w:hanging="420"/>
      </w:pPr>
      <w:rPr>
        <w:rFonts w:hint="default"/>
        <w:lang w:val="en-US" w:eastAsia="zh-CN" w:bidi="ar-SA"/>
      </w:rPr>
    </w:lvl>
    <w:lvl w:ilvl="2">
      <w:start w:val="0"/>
      <w:numFmt w:val="bullet"/>
      <w:lvlText w:val="•"/>
      <w:lvlJc w:val="left"/>
      <w:pPr>
        <w:ind w:left="2161" w:hanging="420"/>
      </w:pPr>
      <w:rPr>
        <w:rFonts w:hint="default"/>
        <w:lang w:val="en-US" w:eastAsia="zh-CN" w:bidi="ar-SA"/>
      </w:rPr>
    </w:lvl>
    <w:lvl w:ilvl="3">
      <w:start w:val="0"/>
      <w:numFmt w:val="bullet"/>
      <w:lvlText w:val="•"/>
      <w:lvlJc w:val="left"/>
      <w:pPr>
        <w:ind w:left="2971" w:hanging="420"/>
      </w:pPr>
      <w:rPr>
        <w:rFonts w:hint="default"/>
        <w:lang w:val="en-US" w:eastAsia="zh-CN" w:bidi="ar-SA"/>
      </w:rPr>
    </w:lvl>
    <w:lvl w:ilvl="4">
      <w:start w:val="0"/>
      <w:numFmt w:val="bullet"/>
      <w:lvlText w:val="•"/>
      <w:lvlJc w:val="left"/>
      <w:pPr>
        <w:ind w:left="3782" w:hanging="420"/>
      </w:pPr>
      <w:rPr>
        <w:rFonts w:hint="default"/>
        <w:lang w:val="en-US" w:eastAsia="zh-CN" w:bidi="ar-SA"/>
      </w:rPr>
    </w:lvl>
    <w:lvl w:ilvl="5">
      <w:start w:val="0"/>
      <w:numFmt w:val="bullet"/>
      <w:lvlText w:val="•"/>
      <w:lvlJc w:val="left"/>
      <w:pPr>
        <w:ind w:left="4593" w:hanging="420"/>
      </w:pPr>
      <w:rPr>
        <w:rFonts w:hint="default"/>
        <w:lang w:val="en-US" w:eastAsia="zh-CN" w:bidi="ar-SA"/>
      </w:rPr>
    </w:lvl>
    <w:lvl w:ilvl="6">
      <w:start w:val="0"/>
      <w:numFmt w:val="bullet"/>
      <w:lvlText w:val="•"/>
      <w:lvlJc w:val="left"/>
      <w:pPr>
        <w:ind w:left="5403" w:hanging="420"/>
      </w:pPr>
      <w:rPr>
        <w:rFonts w:hint="default"/>
        <w:lang w:val="en-US" w:eastAsia="zh-CN" w:bidi="ar-SA"/>
      </w:rPr>
    </w:lvl>
    <w:lvl w:ilvl="7">
      <w:start w:val="0"/>
      <w:numFmt w:val="bullet"/>
      <w:lvlText w:val="•"/>
      <w:lvlJc w:val="left"/>
      <w:pPr>
        <w:ind w:left="6214" w:hanging="420"/>
      </w:pPr>
      <w:rPr>
        <w:rFonts w:hint="default"/>
        <w:lang w:val="en-US" w:eastAsia="zh-CN" w:bidi="ar-SA"/>
      </w:rPr>
    </w:lvl>
    <w:lvl w:ilvl="8">
      <w:start w:val="0"/>
      <w:numFmt w:val="bullet"/>
      <w:lvlText w:val="•"/>
      <w:lvlJc w:val="left"/>
      <w:pPr>
        <w:ind w:left="7025" w:hanging="420"/>
      </w:pPr>
      <w:rPr>
        <w:rFonts w:hint="default"/>
        <w:lang w:val="en-US" w:eastAsia="zh-CN" w:bidi="ar-SA"/>
      </w:rPr>
    </w:lvl>
  </w:abstractNum>
  <w:abstractNum w:abstractNumId="13">
    <w:multiLevelType w:val="hybridMultilevel"/>
    <w:lvl w:ilvl="0">
      <w:start w:val="1"/>
      <w:numFmt w:val="decimal"/>
      <w:lvlText w:val="%1."/>
      <w:lvlJc w:val="left"/>
      <w:pPr>
        <w:ind w:left="540"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0" w:hanging="420"/>
      </w:pPr>
      <w:rPr>
        <w:rFonts w:hint="default"/>
        <w:lang w:val="en-US" w:eastAsia="zh-CN" w:bidi="ar-SA"/>
      </w:rPr>
    </w:lvl>
    <w:lvl w:ilvl="2">
      <w:start w:val="0"/>
      <w:numFmt w:val="bullet"/>
      <w:lvlText w:val="•"/>
      <w:lvlJc w:val="left"/>
      <w:pPr>
        <w:ind w:left="2161" w:hanging="420"/>
      </w:pPr>
      <w:rPr>
        <w:rFonts w:hint="default"/>
        <w:lang w:val="en-US" w:eastAsia="zh-CN" w:bidi="ar-SA"/>
      </w:rPr>
    </w:lvl>
    <w:lvl w:ilvl="3">
      <w:start w:val="0"/>
      <w:numFmt w:val="bullet"/>
      <w:lvlText w:val="•"/>
      <w:lvlJc w:val="left"/>
      <w:pPr>
        <w:ind w:left="2971" w:hanging="420"/>
      </w:pPr>
      <w:rPr>
        <w:rFonts w:hint="default"/>
        <w:lang w:val="en-US" w:eastAsia="zh-CN" w:bidi="ar-SA"/>
      </w:rPr>
    </w:lvl>
    <w:lvl w:ilvl="4">
      <w:start w:val="0"/>
      <w:numFmt w:val="bullet"/>
      <w:lvlText w:val="•"/>
      <w:lvlJc w:val="left"/>
      <w:pPr>
        <w:ind w:left="3782" w:hanging="420"/>
      </w:pPr>
      <w:rPr>
        <w:rFonts w:hint="default"/>
        <w:lang w:val="en-US" w:eastAsia="zh-CN" w:bidi="ar-SA"/>
      </w:rPr>
    </w:lvl>
    <w:lvl w:ilvl="5">
      <w:start w:val="0"/>
      <w:numFmt w:val="bullet"/>
      <w:lvlText w:val="•"/>
      <w:lvlJc w:val="left"/>
      <w:pPr>
        <w:ind w:left="4593" w:hanging="420"/>
      </w:pPr>
      <w:rPr>
        <w:rFonts w:hint="default"/>
        <w:lang w:val="en-US" w:eastAsia="zh-CN" w:bidi="ar-SA"/>
      </w:rPr>
    </w:lvl>
    <w:lvl w:ilvl="6">
      <w:start w:val="0"/>
      <w:numFmt w:val="bullet"/>
      <w:lvlText w:val="•"/>
      <w:lvlJc w:val="left"/>
      <w:pPr>
        <w:ind w:left="5403" w:hanging="420"/>
      </w:pPr>
      <w:rPr>
        <w:rFonts w:hint="default"/>
        <w:lang w:val="en-US" w:eastAsia="zh-CN" w:bidi="ar-SA"/>
      </w:rPr>
    </w:lvl>
    <w:lvl w:ilvl="7">
      <w:start w:val="0"/>
      <w:numFmt w:val="bullet"/>
      <w:lvlText w:val="•"/>
      <w:lvlJc w:val="left"/>
      <w:pPr>
        <w:ind w:left="6214" w:hanging="420"/>
      </w:pPr>
      <w:rPr>
        <w:rFonts w:hint="default"/>
        <w:lang w:val="en-US" w:eastAsia="zh-CN" w:bidi="ar-SA"/>
      </w:rPr>
    </w:lvl>
    <w:lvl w:ilvl="8">
      <w:start w:val="0"/>
      <w:numFmt w:val="bullet"/>
      <w:lvlText w:val="•"/>
      <w:lvlJc w:val="left"/>
      <w:pPr>
        <w:ind w:left="7025" w:hanging="420"/>
      </w:pPr>
      <w:rPr>
        <w:rFonts w:hint="default"/>
        <w:lang w:val="en-US" w:eastAsia="zh-CN" w:bidi="ar-SA"/>
      </w:rPr>
    </w:lvl>
  </w:abstractNum>
  <w:abstractNum w:abstractNumId="12">
    <w:multiLevelType w:val="hybridMultilevel"/>
    <w:lvl w:ilvl="0">
      <w:start w:val="1"/>
      <w:numFmt w:val="decimal"/>
      <w:lvlText w:val="%1."/>
      <w:lvlJc w:val="left"/>
      <w:pPr>
        <w:ind w:left="540"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0" w:hanging="420"/>
      </w:pPr>
      <w:rPr>
        <w:rFonts w:hint="default"/>
        <w:lang w:val="en-US" w:eastAsia="zh-CN" w:bidi="ar-SA"/>
      </w:rPr>
    </w:lvl>
    <w:lvl w:ilvl="2">
      <w:start w:val="0"/>
      <w:numFmt w:val="bullet"/>
      <w:lvlText w:val="•"/>
      <w:lvlJc w:val="left"/>
      <w:pPr>
        <w:ind w:left="2161" w:hanging="420"/>
      </w:pPr>
      <w:rPr>
        <w:rFonts w:hint="default"/>
        <w:lang w:val="en-US" w:eastAsia="zh-CN" w:bidi="ar-SA"/>
      </w:rPr>
    </w:lvl>
    <w:lvl w:ilvl="3">
      <w:start w:val="0"/>
      <w:numFmt w:val="bullet"/>
      <w:lvlText w:val="•"/>
      <w:lvlJc w:val="left"/>
      <w:pPr>
        <w:ind w:left="2971" w:hanging="420"/>
      </w:pPr>
      <w:rPr>
        <w:rFonts w:hint="default"/>
        <w:lang w:val="en-US" w:eastAsia="zh-CN" w:bidi="ar-SA"/>
      </w:rPr>
    </w:lvl>
    <w:lvl w:ilvl="4">
      <w:start w:val="0"/>
      <w:numFmt w:val="bullet"/>
      <w:lvlText w:val="•"/>
      <w:lvlJc w:val="left"/>
      <w:pPr>
        <w:ind w:left="3782" w:hanging="420"/>
      </w:pPr>
      <w:rPr>
        <w:rFonts w:hint="default"/>
        <w:lang w:val="en-US" w:eastAsia="zh-CN" w:bidi="ar-SA"/>
      </w:rPr>
    </w:lvl>
    <w:lvl w:ilvl="5">
      <w:start w:val="0"/>
      <w:numFmt w:val="bullet"/>
      <w:lvlText w:val="•"/>
      <w:lvlJc w:val="left"/>
      <w:pPr>
        <w:ind w:left="4593" w:hanging="420"/>
      </w:pPr>
      <w:rPr>
        <w:rFonts w:hint="default"/>
        <w:lang w:val="en-US" w:eastAsia="zh-CN" w:bidi="ar-SA"/>
      </w:rPr>
    </w:lvl>
    <w:lvl w:ilvl="6">
      <w:start w:val="0"/>
      <w:numFmt w:val="bullet"/>
      <w:lvlText w:val="•"/>
      <w:lvlJc w:val="left"/>
      <w:pPr>
        <w:ind w:left="5403" w:hanging="420"/>
      </w:pPr>
      <w:rPr>
        <w:rFonts w:hint="default"/>
        <w:lang w:val="en-US" w:eastAsia="zh-CN" w:bidi="ar-SA"/>
      </w:rPr>
    </w:lvl>
    <w:lvl w:ilvl="7">
      <w:start w:val="0"/>
      <w:numFmt w:val="bullet"/>
      <w:lvlText w:val="•"/>
      <w:lvlJc w:val="left"/>
      <w:pPr>
        <w:ind w:left="6214" w:hanging="420"/>
      </w:pPr>
      <w:rPr>
        <w:rFonts w:hint="default"/>
        <w:lang w:val="en-US" w:eastAsia="zh-CN" w:bidi="ar-SA"/>
      </w:rPr>
    </w:lvl>
    <w:lvl w:ilvl="8">
      <w:start w:val="0"/>
      <w:numFmt w:val="bullet"/>
      <w:lvlText w:val="•"/>
      <w:lvlJc w:val="left"/>
      <w:pPr>
        <w:ind w:left="7025" w:hanging="420"/>
      </w:pPr>
      <w:rPr>
        <w:rFonts w:hint="default"/>
        <w:lang w:val="en-US" w:eastAsia="zh-CN" w:bidi="ar-SA"/>
      </w:rPr>
    </w:lvl>
  </w:abstractNum>
  <w:abstractNum w:abstractNumId="11">
    <w:multiLevelType w:val="hybridMultilevel"/>
    <w:lvl w:ilvl="0">
      <w:start w:val="1"/>
      <w:numFmt w:val="decimal"/>
      <w:lvlText w:val="%1."/>
      <w:lvlJc w:val="left"/>
      <w:pPr>
        <w:ind w:left="540" w:hanging="4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1350" w:hanging="420"/>
      </w:pPr>
      <w:rPr>
        <w:rFonts w:hint="default"/>
        <w:lang w:val="en-US" w:eastAsia="zh-CN" w:bidi="ar-SA"/>
      </w:rPr>
    </w:lvl>
    <w:lvl w:ilvl="2">
      <w:start w:val="0"/>
      <w:numFmt w:val="bullet"/>
      <w:lvlText w:val="•"/>
      <w:lvlJc w:val="left"/>
      <w:pPr>
        <w:ind w:left="2161" w:hanging="420"/>
      </w:pPr>
      <w:rPr>
        <w:rFonts w:hint="default"/>
        <w:lang w:val="en-US" w:eastAsia="zh-CN" w:bidi="ar-SA"/>
      </w:rPr>
    </w:lvl>
    <w:lvl w:ilvl="3">
      <w:start w:val="0"/>
      <w:numFmt w:val="bullet"/>
      <w:lvlText w:val="•"/>
      <w:lvlJc w:val="left"/>
      <w:pPr>
        <w:ind w:left="2971" w:hanging="420"/>
      </w:pPr>
      <w:rPr>
        <w:rFonts w:hint="default"/>
        <w:lang w:val="en-US" w:eastAsia="zh-CN" w:bidi="ar-SA"/>
      </w:rPr>
    </w:lvl>
    <w:lvl w:ilvl="4">
      <w:start w:val="0"/>
      <w:numFmt w:val="bullet"/>
      <w:lvlText w:val="•"/>
      <w:lvlJc w:val="left"/>
      <w:pPr>
        <w:ind w:left="3782" w:hanging="420"/>
      </w:pPr>
      <w:rPr>
        <w:rFonts w:hint="default"/>
        <w:lang w:val="en-US" w:eastAsia="zh-CN" w:bidi="ar-SA"/>
      </w:rPr>
    </w:lvl>
    <w:lvl w:ilvl="5">
      <w:start w:val="0"/>
      <w:numFmt w:val="bullet"/>
      <w:lvlText w:val="•"/>
      <w:lvlJc w:val="left"/>
      <w:pPr>
        <w:ind w:left="4593" w:hanging="420"/>
      </w:pPr>
      <w:rPr>
        <w:rFonts w:hint="default"/>
        <w:lang w:val="en-US" w:eastAsia="zh-CN" w:bidi="ar-SA"/>
      </w:rPr>
    </w:lvl>
    <w:lvl w:ilvl="6">
      <w:start w:val="0"/>
      <w:numFmt w:val="bullet"/>
      <w:lvlText w:val="•"/>
      <w:lvlJc w:val="left"/>
      <w:pPr>
        <w:ind w:left="5403" w:hanging="420"/>
      </w:pPr>
      <w:rPr>
        <w:rFonts w:hint="default"/>
        <w:lang w:val="en-US" w:eastAsia="zh-CN" w:bidi="ar-SA"/>
      </w:rPr>
    </w:lvl>
    <w:lvl w:ilvl="7">
      <w:start w:val="0"/>
      <w:numFmt w:val="bullet"/>
      <w:lvlText w:val="•"/>
      <w:lvlJc w:val="left"/>
      <w:pPr>
        <w:ind w:left="6214" w:hanging="420"/>
      </w:pPr>
      <w:rPr>
        <w:rFonts w:hint="default"/>
        <w:lang w:val="en-US" w:eastAsia="zh-CN" w:bidi="ar-SA"/>
      </w:rPr>
    </w:lvl>
    <w:lvl w:ilvl="8">
      <w:start w:val="0"/>
      <w:numFmt w:val="bullet"/>
      <w:lvlText w:val="•"/>
      <w:lvlJc w:val="left"/>
      <w:pPr>
        <w:ind w:left="7025" w:hanging="420"/>
      </w:pPr>
      <w:rPr>
        <w:rFonts w:hint="default"/>
        <w:lang w:val="en-US" w:eastAsia="zh-CN" w:bidi="ar-SA"/>
      </w:rPr>
    </w:lvl>
  </w:abstractNum>
  <w:abstractNum w:abstractNumId="10">
    <w:multiLevelType w:val="hybridMultilevel"/>
    <w:lvl w:ilvl="0">
      <w:start w:val="23"/>
      <w:numFmt w:val="decimal"/>
      <w:lvlText w:val="%1"/>
      <w:lvlJc w:val="left"/>
      <w:pPr>
        <w:ind w:left="365" w:hanging="245"/>
        <w:jc w:val="left"/>
      </w:pPr>
      <w:rPr>
        <w:rFonts w:hint="default" w:ascii="Times New Roman" w:hAnsi="Times New Roman" w:eastAsia="Times New Roman" w:cs="Times New Roman"/>
        <w:b w:val="0"/>
        <w:bCs w:val="0"/>
        <w:i w:val="0"/>
        <w:iCs w:val="0"/>
        <w:w w:val="99"/>
        <w:position w:val="10"/>
        <w:sz w:val="14"/>
        <w:szCs w:val="14"/>
        <w:lang w:val="en-US" w:eastAsia="zh-CN" w:bidi="ar-SA"/>
      </w:rPr>
    </w:lvl>
    <w:lvl w:ilvl="1">
      <w:start w:val="0"/>
      <w:numFmt w:val="bullet"/>
      <w:lvlText w:val="•"/>
      <w:lvlJc w:val="left"/>
      <w:pPr>
        <w:ind w:left="1188" w:hanging="245"/>
      </w:pPr>
      <w:rPr>
        <w:rFonts w:hint="default"/>
        <w:lang w:val="en-US" w:eastAsia="zh-CN" w:bidi="ar-SA"/>
      </w:rPr>
    </w:lvl>
    <w:lvl w:ilvl="2">
      <w:start w:val="0"/>
      <w:numFmt w:val="bullet"/>
      <w:lvlText w:val="•"/>
      <w:lvlJc w:val="left"/>
      <w:pPr>
        <w:ind w:left="2017" w:hanging="245"/>
      </w:pPr>
      <w:rPr>
        <w:rFonts w:hint="default"/>
        <w:lang w:val="en-US" w:eastAsia="zh-CN" w:bidi="ar-SA"/>
      </w:rPr>
    </w:lvl>
    <w:lvl w:ilvl="3">
      <w:start w:val="0"/>
      <w:numFmt w:val="bullet"/>
      <w:lvlText w:val="•"/>
      <w:lvlJc w:val="left"/>
      <w:pPr>
        <w:ind w:left="2845" w:hanging="245"/>
      </w:pPr>
      <w:rPr>
        <w:rFonts w:hint="default"/>
        <w:lang w:val="en-US" w:eastAsia="zh-CN" w:bidi="ar-SA"/>
      </w:rPr>
    </w:lvl>
    <w:lvl w:ilvl="4">
      <w:start w:val="0"/>
      <w:numFmt w:val="bullet"/>
      <w:lvlText w:val="•"/>
      <w:lvlJc w:val="left"/>
      <w:pPr>
        <w:ind w:left="3674" w:hanging="245"/>
      </w:pPr>
      <w:rPr>
        <w:rFonts w:hint="default"/>
        <w:lang w:val="en-US" w:eastAsia="zh-CN" w:bidi="ar-SA"/>
      </w:rPr>
    </w:lvl>
    <w:lvl w:ilvl="5">
      <w:start w:val="0"/>
      <w:numFmt w:val="bullet"/>
      <w:lvlText w:val="•"/>
      <w:lvlJc w:val="left"/>
      <w:pPr>
        <w:ind w:left="4503" w:hanging="245"/>
      </w:pPr>
      <w:rPr>
        <w:rFonts w:hint="default"/>
        <w:lang w:val="en-US" w:eastAsia="zh-CN" w:bidi="ar-SA"/>
      </w:rPr>
    </w:lvl>
    <w:lvl w:ilvl="6">
      <w:start w:val="0"/>
      <w:numFmt w:val="bullet"/>
      <w:lvlText w:val="•"/>
      <w:lvlJc w:val="left"/>
      <w:pPr>
        <w:ind w:left="5331" w:hanging="245"/>
      </w:pPr>
      <w:rPr>
        <w:rFonts w:hint="default"/>
        <w:lang w:val="en-US" w:eastAsia="zh-CN" w:bidi="ar-SA"/>
      </w:rPr>
    </w:lvl>
    <w:lvl w:ilvl="7">
      <w:start w:val="0"/>
      <w:numFmt w:val="bullet"/>
      <w:lvlText w:val="•"/>
      <w:lvlJc w:val="left"/>
      <w:pPr>
        <w:ind w:left="6160" w:hanging="245"/>
      </w:pPr>
      <w:rPr>
        <w:rFonts w:hint="default"/>
        <w:lang w:val="en-US" w:eastAsia="zh-CN" w:bidi="ar-SA"/>
      </w:rPr>
    </w:lvl>
    <w:lvl w:ilvl="8">
      <w:start w:val="0"/>
      <w:numFmt w:val="bullet"/>
      <w:lvlText w:val="•"/>
      <w:lvlJc w:val="left"/>
      <w:pPr>
        <w:ind w:left="6989" w:hanging="245"/>
      </w:pPr>
      <w:rPr>
        <w:rFonts w:hint="default"/>
        <w:lang w:val="en-US" w:eastAsia="zh-CN" w:bidi="ar-SA"/>
      </w:rPr>
    </w:lvl>
  </w:abstractNum>
  <w:abstractNum w:abstractNumId="9">
    <w:multiLevelType w:val="hybridMultilevel"/>
    <w:lvl w:ilvl="0">
      <w:start w:val="18"/>
      <w:numFmt w:val="decimal"/>
      <w:lvlText w:val="%1"/>
      <w:lvlJc w:val="left"/>
      <w:pPr>
        <w:ind w:left="120" w:hanging="245"/>
        <w:jc w:val="left"/>
      </w:pPr>
      <w:rPr>
        <w:rFonts w:hint="default" w:ascii="Times New Roman" w:hAnsi="Times New Roman" w:eastAsia="Times New Roman" w:cs="Times New Roman"/>
        <w:b w:val="0"/>
        <w:bCs w:val="0"/>
        <w:i w:val="0"/>
        <w:iCs w:val="0"/>
        <w:w w:val="99"/>
        <w:position w:val="10"/>
        <w:sz w:val="14"/>
        <w:szCs w:val="14"/>
        <w:lang w:val="en-US" w:eastAsia="zh-CN" w:bidi="ar-SA"/>
      </w:rPr>
    </w:lvl>
    <w:lvl w:ilvl="1">
      <w:start w:val="0"/>
      <w:numFmt w:val="bullet"/>
      <w:lvlText w:val="•"/>
      <w:lvlJc w:val="left"/>
      <w:pPr>
        <w:ind w:left="972" w:hanging="245"/>
      </w:pPr>
      <w:rPr>
        <w:rFonts w:hint="default"/>
        <w:lang w:val="en-US" w:eastAsia="zh-CN" w:bidi="ar-SA"/>
      </w:rPr>
    </w:lvl>
    <w:lvl w:ilvl="2">
      <w:start w:val="0"/>
      <w:numFmt w:val="bullet"/>
      <w:lvlText w:val="•"/>
      <w:lvlJc w:val="left"/>
      <w:pPr>
        <w:ind w:left="1825" w:hanging="245"/>
      </w:pPr>
      <w:rPr>
        <w:rFonts w:hint="default"/>
        <w:lang w:val="en-US" w:eastAsia="zh-CN" w:bidi="ar-SA"/>
      </w:rPr>
    </w:lvl>
    <w:lvl w:ilvl="3">
      <w:start w:val="0"/>
      <w:numFmt w:val="bullet"/>
      <w:lvlText w:val="•"/>
      <w:lvlJc w:val="left"/>
      <w:pPr>
        <w:ind w:left="2677" w:hanging="245"/>
      </w:pPr>
      <w:rPr>
        <w:rFonts w:hint="default"/>
        <w:lang w:val="en-US" w:eastAsia="zh-CN" w:bidi="ar-SA"/>
      </w:rPr>
    </w:lvl>
    <w:lvl w:ilvl="4">
      <w:start w:val="0"/>
      <w:numFmt w:val="bullet"/>
      <w:lvlText w:val="•"/>
      <w:lvlJc w:val="left"/>
      <w:pPr>
        <w:ind w:left="3530" w:hanging="245"/>
      </w:pPr>
      <w:rPr>
        <w:rFonts w:hint="default"/>
        <w:lang w:val="en-US" w:eastAsia="zh-CN" w:bidi="ar-SA"/>
      </w:rPr>
    </w:lvl>
    <w:lvl w:ilvl="5">
      <w:start w:val="0"/>
      <w:numFmt w:val="bullet"/>
      <w:lvlText w:val="•"/>
      <w:lvlJc w:val="left"/>
      <w:pPr>
        <w:ind w:left="4383" w:hanging="245"/>
      </w:pPr>
      <w:rPr>
        <w:rFonts w:hint="default"/>
        <w:lang w:val="en-US" w:eastAsia="zh-CN" w:bidi="ar-SA"/>
      </w:rPr>
    </w:lvl>
    <w:lvl w:ilvl="6">
      <w:start w:val="0"/>
      <w:numFmt w:val="bullet"/>
      <w:lvlText w:val="•"/>
      <w:lvlJc w:val="left"/>
      <w:pPr>
        <w:ind w:left="5235" w:hanging="245"/>
      </w:pPr>
      <w:rPr>
        <w:rFonts w:hint="default"/>
        <w:lang w:val="en-US" w:eastAsia="zh-CN" w:bidi="ar-SA"/>
      </w:rPr>
    </w:lvl>
    <w:lvl w:ilvl="7">
      <w:start w:val="0"/>
      <w:numFmt w:val="bullet"/>
      <w:lvlText w:val="•"/>
      <w:lvlJc w:val="left"/>
      <w:pPr>
        <w:ind w:left="6088" w:hanging="245"/>
      </w:pPr>
      <w:rPr>
        <w:rFonts w:hint="default"/>
        <w:lang w:val="en-US" w:eastAsia="zh-CN" w:bidi="ar-SA"/>
      </w:rPr>
    </w:lvl>
    <w:lvl w:ilvl="8">
      <w:start w:val="0"/>
      <w:numFmt w:val="bullet"/>
      <w:lvlText w:val="•"/>
      <w:lvlJc w:val="left"/>
      <w:pPr>
        <w:ind w:left="6941" w:hanging="245"/>
      </w:pPr>
      <w:rPr>
        <w:rFonts w:hint="default"/>
        <w:lang w:val="en-US" w:eastAsia="zh-CN" w:bidi="ar-SA"/>
      </w:rPr>
    </w:lvl>
  </w:abstractNum>
  <w:abstractNum w:abstractNumId="8">
    <w:multiLevelType w:val="hybridMultilevel"/>
    <w:lvl w:ilvl="0">
      <w:start w:val="1"/>
      <w:numFmt w:val="decimal"/>
      <w:lvlText w:val="%1)"/>
      <w:lvlJc w:val="left"/>
      <w:pPr>
        <w:ind w:left="660" w:hanging="360"/>
        <w:jc w:val="left"/>
      </w:pPr>
      <w:rPr>
        <w:rFonts w:hint="default" w:ascii="Times New Roman" w:hAnsi="Times New Roman" w:eastAsia="Times New Roman" w:cs="Times New Roman"/>
        <w:b w:val="0"/>
        <w:bCs w:val="0"/>
        <w:i w:val="0"/>
        <w:iCs w:val="0"/>
        <w:spacing w:val="0"/>
        <w:w w:val="99"/>
        <w:sz w:val="18"/>
        <w:szCs w:val="18"/>
        <w:lang w:val="en-US" w:eastAsia="zh-CN" w:bidi="ar-SA"/>
      </w:rPr>
    </w:lvl>
    <w:lvl w:ilvl="1">
      <w:start w:val="0"/>
      <w:numFmt w:val="bullet"/>
      <w:lvlText w:val="•"/>
      <w:lvlJc w:val="left"/>
      <w:pPr>
        <w:ind w:left="1458" w:hanging="360"/>
      </w:pPr>
      <w:rPr>
        <w:rFonts w:hint="default"/>
        <w:lang w:val="en-US" w:eastAsia="zh-CN" w:bidi="ar-SA"/>
      </w:rPr>
    </w:lvl>
    <w:lvl w:ilvl="2">
      <w:start w:val="0"/>
      <w:numFmt w:val="bullet"/>
      <w:lvlText w:val="•"/>
      <w:lvlJc w:val="left"/>
      <w:pPr>
        <w:ind w:left="2257" w:hanging="360"/>
      </w:pPr>
      <w:rPr>
        <w:rFonts w:hint="default"/>
        <w:lang w:val="en-US" w:eastAsia="zh-CN" w:bidi="ar-SA"/>
      </w:rPr>
    </w:lvl>
    <w:lvl w:ilvl="3">
      <w:start w:val="0"/>
      <w:numFmt w:val="bullet"/>
      <w:lvlText w:val="•"/>
      <w:lvlJc w:val="left"/>
      <w:pPr>
        <w:ind w:left="3055" w:hanging="360"/>
      </w:pPr>
      <w:rPr>
        <w:rFonts w:hint="default"/>
        <w:lang w:val="en-US" w:eastAsia="zh-CN" w:bidi="ar-SA"/>
      </w:rPr>
    </w:lvl>
    <w:lvl w:ilvl="4">
      <w:start w:val="0"/>
      <w:numFmt w:val="bullet"/>
      <w:lvlText w:val="•"/>
      <w:lvlJc w:val="left"/>
      <w:pPr>
        <w:ind w:left="3854" w:hanging="360"/>
      </w:pPr>
      <w:rPr>
        <w:rFonts w:hint="default"/>
        <w:lang w:val="en-US" w:eastAsia="zh-CN" w:bidi="ar-SA"/>
      </w:rPr>
    </w:lvl>
    <w:lvl w:ilvl="5">
      <w:start w:val="0"/>
      <w:numFmt w:val="bullet"/>
      <w:lvlText w:val="•"/>
      <w:lvlJc w:val="left"/>
      <w:pPr>
        <w:ind w:left="4653" w:hanging="360"/>
      </w:pPr>
      <w:rPr>
        <w:rFonts w:hint="default"/>
        <w:lang w:val="en-US" w:eastAsia="zh-CN" w:bidi="ar-SA"/>
      </w:rPr>
    </w:lvl>
    <w:lvl w:ilvl="6">
      <w:start w:val="0"/>
      <w:numFmt w:val="bullet"/>
      <w:lvlText w:val="•"/>
      <w:lvlJc w:val="left"/>
      <w:pPr>
        <w:ind w:left="5451" w:hanging="360"/>
      </w:pPr>
      <w:rPr>
        <w:rFonts w:hint="default"/>
        <w:lang w:val="en-US" w:eastAsia="zh-CN" w:bidi="ar-SA"/>
      </w:rPr>
    </w:lvl>
    <w:lvl w:ilvl="7">
      <w:start w:val="0"/>
      <w:numFmt w:val="bullet"/>
      <w:lvlText w:val="•"/>
      <w:lvlJc w:val="left"/>
      <w:pPr>
        <w:ind w:left="6250" w:hanging="360"/>
      </w:pPr>
      <w:rPr>
        <w:rFonts w:hint="default"/>
        <w:lang w:val="en-US" w:eastAsia="zh-CN" w:bidi="ar-SA"/>
      </w:rPr>
    </w:lvl>
    <w:lvl w:ilvl="8">
      <w:start w:val="0"/>
      <w:numFmt w:val="bullet"/>
      <w:lvlText w:val="•"/>
      <w:lvlJc w:val="left"/>
      <w:pPr>
        <w:ind w:left="7049" w:hanging="360"/>
      </w:pPr>
      <w:rPr>
        <w:rFonts w:hint="default"/>
        <w:lang w:val="en-US" w:eastAsia="zh-CN" w:bidi="ar-SA"/>
      </w:rPr>
    </w:lvl>
  </w:abstractNum>
  <w:abstractNum w:abstractNumId="7">
    <w:multiLevelType w:val="hybridMultilevel"/>
    <w:lvl w:ilvl="0">
      <w:start w:val="1"/>
      <w:numFmt w:val="decimal"/>
      <w:lvlText w:val="%1."/>
      <w:lvlJc w:val="left"/>
      <w:pPr>
        <w:ind w:left="480" w:hanging="360"/>
        <w:jc w:val="left"/>
      </w:pPr>
      <w:rPr>
        <w:rFonts w:hint="default" w:ascii="黑体" w:hAnsi="黑体" w:eastAsia="黑体" w:cs="黑体"/>
        <w:b w:val="0"/>
        <w:bCs w:val="0"/>
        <w:i w:val="0"/>
        <w:iCs w:val="0"/>
        <w:w w:val="100"/>
        <w:sz w:val="21"/>
        <w:szCs w:val="21"/>
        <w:lang w:val="en-US" w:eastAsia="zh-CN" w:bidi="ar-SA"/>
      </w:rPr>
    </w:lvl>
    <w:lvl w:ilvl="1">
      <w:start w:val="1"/>
      <w:numFmt w:val="decimal"/>
      <w:lvlText w:val="%2)"/>
      <w:lvlJc w:val="left"/>
      <w:pPr>
        <w:ind w:left="660" w:hanging="360"/>
        <w:jc w:val="left"/>
      </w:pPr>
      <w:rPr>
        <w:rFonts w:hint="default"/>
        <w:spacing w:val="0"/>
        <w:w w:val="99"/>
        <w:lang w:val="en-US" w:eastAsia="zh-CN" w:bidi="ar-SA"/>
      </w:rPr>
    </w:lvl>
    <w:lvl w:ilvl="2">
      <w:start w:val="0"/>
      <w:numFmt w:val="bullet"/>
      <w:lvlText w:val="•"/>
      <w:lvlJc w:val="left"/>
      <w:pPr>
        <w:ind w:left="1547" w:hanging="360"/>
      </w:pPr>
      <w:rPr>
        <w:rFonts w:hint="default"/>
        <w:lang w:val="en-US" w:eastAsia="zh-CN" w:bidi="ar-SA"/>
      </w:rPr>
    </w:lvl>
    <w:lvl w:ilvl="3">
      <w:start w:val="0"/>
      <w:numFmt w:val="bullet"/>
      <w:lvlText w:val="•"/>
      <w:lvlJc w:val="left"/>
      <w:pPr>
        <w:ind w:left="2434" w:hanging="360"/>
      </w:pPr>
      <w:rPr>
        <w:rFonts w:hint="default"/>
        <w:lang w:val="en-US" w:eastAsia="zh-CN" w:bidi="ar-SA"/>
      </w:rPr>
    </w:lvl>
    <w:lvl w:ilvl="4">
      <w:start w:val="0"/>
      <w:numFmt w:val="bullet"/>
      <w:lvlText w:val="•"/>
      <w:lvlJc w:val="left"/>
      <w:pPr>
        <w:ind w:left="3322" w:hanging="360"/>
      </w:pPr>
      <w:rPr>
        <w:rFonts w:hint="default"/>
        <w:lang w:val="en-US" w:eastAsia="zh-CN" w:bidi="ar-SA"/>
      </w:rPr>
    </w:lvl>
    <w:lvl w:ilvl="5">
      <w:start w:val="0"/>
      <w:numFmt w:val="bullet"/>
      <w:lvlText w:val="•"/>
      <w:lvlJc w:val="left"/>
      <w:pPr>
        <w:ind w:left="4209" w:hanging="360"/>
      </w:pPr>
      <w:rPr>
        <w:rFonts w:hint="default"/>
        <w:lang w:val="en-US" w:eastAsia="zh-CN" w:bidi="ar-SA"/>
      </w:rPr>
    </w:lvl>
    <w:lvl w:ilvl="6">
      <w:start w:val="0"/>
      <w:numFmt w:val="bullet"/>
      <w:lvlText w:val="•"/>
      <w:lvlJc w:val="left"/>
      <w:pPr>
        <w:ind w:left="5096" w:hanging="360"/>
      </w:pPr>
      <w:rPr>
        <w:rFonts w:hint="default"/>
        <w:lang w:val="en-US" w:eastAsia="zh-CN" w:bidi="ar-SA"/>
      </w:rPr>
    </w:lvl>
    <w:lvl w:ilvl="7">
      <w:start w:val="0"/>
      <w:numFmt w:val="bullet"/>
      <w:lvlText w:val="•"/>
      <w:lvlJc w:val="left"/>
      <w:pPr>
        <w:ind w:left="5984" w:hanging="360"/>
      </w:pPr>
      <w:rPr>
        <w:rFonts w:hint="default"/>
        <w:lang w:val="en-US" w:eastAsia="zh-CN" w:bidi="ar-SA"/>
      </w:rPr>
    </w:lvl>
    <w:lvl w:ilvl="8">
      <w:start w:val="0"/>
      <w:numFmt w:val="bullet"/>
      <w:lvlText w:val="•"/>
      <w:lvlJc w:val="left"/>
      <w:pPr>
        <w:ind w:left="6871" w:hanging="360"/>
      </w:pPr>
      <w:rPr>
        <w:rFonts w:hint="default"/>
        <w:lang w:val="en-US" w:eastAsia="zh-CN" w:bidi="ar-SA"/>
      </w:rPr>
    </w:lvl>
  </w:abstractNum>
  <w:abstractNum w:abstractNumId="6">
    <w:multiLevelType w:val="hybridMultilevel"/>
    <w:lvl w:ilvl="0">
      <w:start w:val="1"/>
      <w:numFmt w:val="decimal"/>
      <w:lvlText w:val="%1."/>
      <w:lvlJc w:val="left"/>
      <w:pPr>
        <w:ind w:left="540" w:hanging="420"/>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350" w:hanging="420"/>
      </w:pPr>
      <w:rPr>
        <w:rFonts w:hint="default"/>
        <w:lang w:val="en-US" w:eastAsia="zh-CN" w:bidi="ar-SA"/>
      </w:rPr>
    </w:lvl>
    <w:lvl w:ilvl="2">
      <w:start w:val="0"/>
      <w:numFmt w:val="bullet"/>
      <w:lvlText w:val="•"/>
      <w:lvlJc w:val="left"/>
      <w:pPr>
        <w:ind w:left="2161" w:hanging="420"/>
      </w:pPr>
      <w:rPr>
        <w:rFonts w:hint="default"/>
        <w:lang w:val="en-US" w:eastAsia="zh-CN" w:bidi="ar-SA"/>
      </w:rPr>
    </w:lvl>
    <w:lvl w:ilvl="3">
      <w:start w:val="0"/>
      <w:numFmt w:val="bullet"/>
      <w:lvlText w:val="•"/>
      <w:lvlJc w:val="left"/>
      <w:pPr>
        <w:ind w:left="2971" w:hanging="420"/>
      </w:pPr>
      <w:rPr>
        <w:rFonts w:hint="default"/>
        <w:lang w:val="en-US" w:eastAsia="zh-CN" w:bidi="ar-SA"/>
      </w:rPr>
    </w:lvl>
    <w:lvl w:ilvl="4">
      <w:start w:val="0"/>
      <w:numFmt w:val="bullet"/>
      <w:lvlText w:val="•"/>
      <w:lvlJc w:val="left"/>
      <w:pPr>
        <w:ind w:left="3782" w:hanging="420"/>
      </w:pPr>
      <w:rPr>
        <w:rFonts w:hint="default"/>
        <w:lang w:val="en-US" w:eastAsia="zh-CN" w:bidi="ar-SA"/>
      </w:rPr>
    </w:lvl>
    <w:lvl w:ilvl="5">
      <w:start w:val="0"/>
      <w:numFmt w:val="bullet"/>
      <w:lvlText w:val="•"/>
      <w:lvlJc w:val="left"/>
      <w:pPr>
        <w:ind w:left="4593" w:hanging="420"/>
      </w:pPr>
      <w:rPr>
        <w:rFonts w:hint="default"/>
        <w:lang w:val="en-US" w:eastAsia="zh-CN" w:bidi="ar-SA"/>
      </w:rPr>
    </w:lvl>
    <w:lvl w:ilvl="6">
      <w:start w:val="0"/>
      <w:numFmt w:val="bullet"/>
      <w:lvlText w:val="•"/>
      <w:lvlJc w:val="left"/>
      <w:pPr>
        <w:ind w:left="5403" w:hanging="420"/>
      </w:pPr>
      <w:rPr>
        <w:rFonts w:hint="default"/>
        <w:lang w:val="en-US" w:eastAsia="zh-CN" w:bidi="ar-SA"/>
      </w:rPr>
    </w:lvl>
    <w:lvl w:ilvl="7">
      <w:start w:val="0"/>
      <w:numFmt w:val="bullet"/>
      <w:lvlText w:val="•"/>
      <w:lvlJc w:val="left"/>
      <w:pPr>
        <w:ind w:left="6214" w:hanging="420"/>
      </w:pPr>
      <w:rPr>
        <w:rFonts w:hint="default"/>
        <w:lang w:val="en-US" w:eastAsia="zh-CN" w:bidi="ar-SA"/>
      </w:rPr>
    </w:lvl>
    <w:lvl w:ilvl="8">
      <w:start w:val="0"/>
      <w:numFmt w:val="bullet"/>
      <w:lvlText w:val="•"/>
      <w:lvlJc w:val="left"/>
      <w:pPr>
        <w:ind w:left="7025" w:hanging="420"/>
      </w:pPr>
      <w:rPr>
        <w:rFonts w:hint="default"/>
        <w:lang w:val="en-US" w:eastAsia="zh-CN" w:bidi="ar-SA"/>
      </w:rPr>
    </w:lvl>
  </w:abstractNum>
  <w:abstractNum w:abstractNumId="5">
    <w:multiLevelType w:val="hybridMultilevel"/>
    <w:lvl w:ilvl="0">
      <w:start w:val="1"/>
      <w:numFmt w:val="decimal"/>
      <w:lvlText w:val="%1."/>
      <w:lvlJc w:val="left"/>
      <w:pPr>
        <w:ind w:left="480" w:hanging="360"/>
        <w:jc w:val="left"/>
      </w:pPr>
      <w:rPr>
        <w:rFonts w:hint="default" w:ascii="黑体" w:hAnsi="黑体" w:eastAsia="黑体" w:cs="黑体"/>
        <w:b w:val="0"/>
        <w:bCs w:val="0"/>
        <w:i w:val="0"/>
        <w:iCs w:val="0"/>
        <w:w w:val="100"/>
        <w:sz w:val="21"/>
        <w:szCs w:val="21"/>
        <w:lang w:val="en-US" w:eastAsia="zh-CN" w:bidi="ar-SA"/>
      </w:rPr>
    </w:lvl>
    <w:lvl w:ilvl="1">
      <w:start w:val="0"/>
      <w:numFmt w:val="bullet"/>
      <w:lvlText w:val="•"/>
      <w:lvlJc w:val="left"/>
      <w:pPr>
        <w:ind w:left="1296" w:hanging="360"/>
      </w:pPr>
      <w:rPr>
        <w:rFonts w:hint="default"/>
        <w:lang w:val="en-US" w:eastAsia="zh-CN" w:bidi="ar-SA"/>
      </w:rPr>
    </w:lvl>
    <w:lvl w:ilvl="2">
      <w:start w:val="0"/>
      <w:numFmt w:val="bullet"/>
      <w:lvlText w:val="•"/>
      <w:lvlJc w:val="left"/>
      <w:pPr>
        <w:ind w:left="2113" w:hanging="360"/>
      </w:pPr>
      <w:rPr>
        <w:rFonts w:hint="default"/>
        <w:lang w:val="en-US" w:eastAsia="zh-CN" w:bidi="ar-SA"/>
      </w:rPr>
    </w:lvl>
    <w:lvl w:ilvl="3">
      <w:start w:val="0"/>
      <w:numFmt w:val="bullet"/>
      <w:lvlText w:val="•"/>
      <w:lvlJc w:val="left"/>
      <w:pPr>
        <w:ind w:left="2929" w:hanging="360"/>
      </w:pPr>
      <w:rPr>
        <w:rFonts w:hint="default"/>
        <w:lang w:val="en-US" w:eastAsia="zh-CN" w:bidi="ar-SA"/>
      </w:rPr>
    </w:lvl>
    <w:lvl w:ilvl="4">
      <w:start w:val="0"/>
      <w:numFmt w:val="bullet"/>
      <w:lvlText w:val="•"/>
      <w:lvlJc w:val="left"/>
      <w:pPr>
        <w:ind w:left="3746" w:hanging="360"/>
      </w:pPr>
      <w:rPr>
        <w:rFonts w:hint="default"/>
        <w:lang w:val="en-US" w:eastAsia="zh-CN" w:bidi="ar-SA"/>
      </w:rPr>
    </w:lvl>
    <w:lvl w:ilvl="5">
      <w:start w:val="0"/>
      <w:numFmt w:val="bullet"/>
      <w:lvlText w:val="•"/>
      <w:lvlJc w:val="left"/>
      <w:pPr>
        <w:ind w:left="4563" w:hanging="360"/>
      </w:pPr>
      <w:rPr>
        <w:rFonts w:hint="default"/>
        <w:lang w:val="en-US" w:eastAsia="zh-CN" w:bidi="ar-SA"/>
      </w:rPr>
    </w:lvl>
    <w:lvl w:ilvl="6">
      <w:start w:val="0"/>
      <w:numFmt w:val="bullet"/>
      <w:lvlText w:val="•"/>
      <w:lvlJc w:val="left"/>
      <w:pPr>
        <w:ind w:left="5379" w:hanging="360"/>
      </w:pPr>
      <w:rPr>
        <w:rFonts w:hint="default"/>
        <w:lang w:val="en-US" w:eastAsia="zh-CN" w:bidi="ar-SA"/>
      </w:rPr>
    </w:lvl>
    <w:lvl w:ilvl="7">
      <w:start w:val="0"/>
      <w:numFmt w:val="bullet"/>
      <w:lvlText w:val="•"/>
      <w:lvlJc w:val="left"/>
      <w:pPr>
        <w:ind w:left="6196" w:hanging="360"/>
      </w:pPr>
      <w:rPr>
        <w:rFonts w:hint="default"/>
        <w:lang w:val="en-US" w:eastAsia="zh-CN" w:bidi="ar-SA"/>
      </w:rPr>
    </w:lvl>
    <w:lvl w:ilvl="8">
      <w:start w:val="0"/>
      <w:numFmt w:val="bullet"/>
      <w:lvlText w:val="•"/>
      <w:lvlJc w:val="left"/>
      <w:pPr>
        <w:ind w:left="7013" w:hanging="360"/>
      </w:pPr>
      <w:rPr>
        <w:rFonts w:hint="default"/>
        <w:lang w:val="en-US" w:eastAsia="zh-CN" w:bidi="ar-SA"/>
      </w:rPr>
    </w:lvl>
  </w:abstractNum>
  <w:abstractNum w:abstractNumId="3">
    <w:multiLevelType w:val="hybridMultilevel"/>
    <w:lvl w:ilvl="0">
      <w:start w:val="1"/>
      <w:numFmt w:val="decimal"/>
      <w:lvlText w:val="%1."/>
      <w:lvlJc w:val="left"/>
      <w:pPr>
        <w:ind w:left="120" w:hanging="318"/>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972" w:hanging="318"/>
      </w:pPr>
      <w:rPr>
        <w:rFonts w:hint="default"/>
        <w:lang w:val="en-US" w:eastAsia="zh-CN" w:bidi="ar-SA"/>
      </w:rPr>
    </w:lvl>
    <w:lvl w:ilvl="2">
      <w:start w:val="0"/>
      <w:numFmt w:val="bullet"/>
      <w:lvlText w:val="•"/>
      <w:lvlJc w:val="left"/>
      <w:pPr>
        <w:ind w:left="1825" w:hanging="318"/>
      </w:pPr>
      <w:rPr>
        <w:rFonts w:hint="default"/>
        <w:lang w:val="en-US" w:eastAsia="zh-CN" w:bidi="ar-SA"/>
      </w:rPr>
    </w:lvl>
    <w:lvl w:ilvl="3">
      <w:start w:val="0"/>
      <w:numFmt w:val="bullet"/>
      <w:lvlText w:val="•"/>
      <w:lvlJc w:val="left"/>
      <w:pPr>
        <w:ind w:left="2677" w:hanging="318"/>
      </w:pPr>
      <w:rPr>
        <w:rFonts w:hint="default"/>
        <w:lang w:val="en-US" w:eastAsia="zh-CN" w:bidi="ar-SA"/>
      </w:rPr>
    </w:lvl>
    <w:lvl w:ilvl="4">
      <w:start w:val="0"/>
      <w:numFmt w:val="bullet"/>
      <w:lvlText w:val="•"/>
      <w:lvlJc w:val="left"/>
      <w:pPr>
        <w:ind w:left="3530" w:hanging="318"/>
      </w:pPr>
      <w:rPr>
        <w:rFonts w:hint="default"/>
        <w:lang w:val="en-US" w:eastAsia="zh-CN" w:bidi="ar-SA"/>
      </w:rPr>
    </w:lvl>
    <w:lvl w:ilvl="5">
      <w:start w:val="0"/>
      <w:numFmt w:val="bullet"/>
      <w:lvlText w:val="•"/>
      <w:lvlJc w:val="left"/>
      <w:pPr>
        <w:ind w:left="4383" w:hanging="318"/>
      </w:pPr>
      <w:rPr>
        <w:rFonts w:hint="default"/>
        <w:lang w:val="en-US" w:eastAsia="zh-CN" w:bidi="ar-SA"/>
      </w:rPr>
    </w:lvl>
    <w:lvl w:ilvl="6">
      <w:start w:val="0"/>
      <w:numFmt w:val="bullet"/>
      <w:lvlText w:val="•"/>
      <w:lvlJc w:val="left"/>
      <w:pPr>
        <w:ind w:left="5235" w:hanging="318"/>
      </w:pPr>
      <w:rPr>
        <w:rFonts w:hint="default"/>
        <w:lang w:val="en-US" w:eastAsia="zh-CN" w:bidi="ar-SA"/>
      </w:rPr>
    </w:lvl>
    <w:lvl w:ilvl="7">
      <w:start w:val="0"/>
      <w:numFmt w:val="bullet"/>
      <w:lvlText w:val="•"/>
      <w:lvlJc w:val="left"/>
      <w:pPr>
        <w:ind w:left="6088" w:hanging="318"/>
      </w:pPr>
      <w:rPr>
        <w:rFonts w:hint="default"/>
        <w:lang w:val="en-US" w:eastAsia="zh-CN" w:bidi="ar-SA"/>
      </w:rPr>
    </w:lvl>
    <w:lvl w:ilvl="8">
      <w:start w:val="0"/>
      <w:numFmt w:val="bullet"/>
      <w:lvlText w:val="•"/>
      <w:lvlJc w:val="left"/>
      <w:pPr>
        <w:ind w:left="6941" w:hanging="318"/>
      </w:pPr>
      <w:rPr>
        <w:rFonts w:hint="default"/>
        <w:lang w:val="en-US" w:eastAsia="zh-CN" w:bidi="ar-SA"/>
      </w:rPr>
    </w:lvl>
  </w:abstractNum>
  <w:abstractNum w:abstractNumId="2">
    <w:multiLevelType w:val="hybridMultilevel"/>
    <w:lvl w:ilvl="0">
      <w:start w:val="1"/>
      <w:numFmt w:val="decimal"/>
      <w:lvlText w:val="%1."/>
      <w:lvlJc w:val="left"/>
      <w:pPr>
        <w:ind w:left="120" w:hanging="318"/>
        <w:jc w:val="left"/>
      </w:pPr>
      <w:rPr>
        <w:rFonts w:hint="default" w:ascii="宋体" w:hAnsi="宋体" w:eastAsia="宋体" w:cs="宋体"/>
        <w:b w:val="0"/>
        <w:bCs w:val="0"/>
        <w:i w:val="0"/>
        <w:iCs w:val="0"/>
        <w:spacing w:val="-1"/>
        <w:w w:val="100"/>
        <w:sz w:val="19"/>
        <w:szCs w:val="19"/>
        <w:lang w:val="en-US" w:eastAsia="zh-CN" w:bidi="ar-SA"/>
      </w:rPr>
    </w:lvl>
    <w:lvl w:ilvl="1">
      <w:start w:val="0"/>
      <w:numFmt w:val="bullet"/>
      <w:lvlText w:val="•"/>
      <w:lvlJc w:val="left"/>
      <w:pPr>
        <w:ind w:left="972" w:hanging="318"/>
      </w:pPr>
      <w:rPr>
        <w:rFonts w:hint="default"/>
        <w:lang w:val="en-US" w:eastAsia="zh-CN" w:bidi="ar-SA"/>
      </w:rPr>
    </w:lvl>
    <w:lvl w:ilvl="2">
      <w:start w:val="0"/>
      <w:numFmt w:val="bullet"/>
      <w:lvlText w:val="•"/>
      <w:lvlJc w:val="left"/>
      <w:pPr>
        <w:ind w:left="1825" w:hanging="318"/>
      </w:pPr>
      <w:rPr>
        <w:rFonts w:hint="default"/>
        <w:lang w:val="en-US" w:eastAsia="zh-CN" w:bidi="ar-SA"/>
      </w:rPr>
    </w:lvl>
    <w:lvl w:ilvl="3">
      <w:start w:val="0"/>
      <w:numFmt w:val="bullet"/>
      <w:lvlText w:val="•"/>
      <w:lvlJc w:val="left"/>
      <w:pPr>
        <w:ind w:left="2677" w:hanging="318"/>
      </w:pPr>
      <w:rPr>
        <w:rFonts w:hint="default"/>
        <w:lang w:val="en-US" w:eastAsia="zh-CN" w:bidi="ar-SA"/>
      </w:rPr>
    </w:lvl>
    <w:lvl w:ilvl="4">
      <w:start w:val="0"/>
      <w:numFmt w:val="bullet"/>
      <w:lvlText w:val="•"/>
      <w:lvlJc w:val="left"/>
      <w:pPr>
        <w:ind w:left="3530" w:hanging="318"/>
      </w:pPr>
      <w:rPr>
        <w:rFonts w:hint="default"/>
        <w:lang w:val="en-US" w:eastAsia="zh-CN" w:bidi="ar-SA"/>
      </w:rPr>
    </w:lvl>
    <w:lvl w:ilvl="5">
      <w:start w:val="0"/>
      <w:numFmt w:val="bullet"/>
      <w:lvlText w:val="•"/>
      <w:lvlJc w:val="left"/>
      <w:pPr>
        <w:ind w:left="4383" w:hanging="318"/>
      </w:pPr>
      <w:rPr>
        <w:rFonts w:hint="default"/>
        <w:lang w:val="en-US" w:eastAsia="zh-CN" w:bidi="ar-SA"/>
      </w:rPr>
    </w:lvl>
    <w:lvl w:ilvl="6">
      <w:start w:val="0"/>
      <w:numFmt w:val="bullet"/>
      <w:lvlText w:val="•"/>
      <w:lvlJc w:val="left"/>
      <w:pPr>
        <w:ind w:left="5235" w:hanging="318"/>
      </w:pPr>
      <w:rPr>
        <w:rFonts w:hint="default"/>
        <w:lang w:val="en-US" w:eastAsia="zh-CN" w:bidi="ar-SA"/>
      </w:rPr>
    </w:lvl>
    <w:lvl w:ilvl="7">
      <w:start w:val="0"/>
      <w:numFmt w:val="bullet"/>
      <w:lvlText w:val="•"/>
      <w:lvlJc w:val="left"/>
      <w:pPr>
        <w:ind w:left="6088" w:hanging="318"/>
      </w:pPr>
      <w:rPr>
        <w:rFonts w:hint="default"/>
        <w:lang w:val="en-US" w:eastAsia="zh-CN" w:bidi="ar-SA"/>
      </w:rPr>
    </w:lvl>
    <w:lvl w:ilvl="8">
      <w:start w:val="0"/>
      <w:numFmt w:val="bullet"/>
      <w:lvlText w:val="•"/>
      <w:lvlJc w:val="left"/>
      <w:pPr>
        <w:ind w:left="6941" w:hanging="318"/>
      </w:pPr>
      <w:rPr>
        <w:rFonts w:hint="default"/>
        <w:lang w:val="en-US" w:eastAsia="zh-CN" w:bidi="ar-SA"/>
      </w:rPr>
    </w:lvl>
  </w:abstractNum>
  <w:abstractNum w:abstractNumId="1">
    <w:multiLevelType w:val="hybridMultilevel"/>
    <w:lvl w:ilvl="0">
      <w:start w:val="1"/>
      <w:numFmt w:val="decimal"/>
      <w:lvlText w:val="%1."/>
      <w:lvlJc w:val="left"/>
      <w:pPr>
        <w:ind w:left="120" w:hanging="318"/>
        <w:jc w:val="left"/>
      </w:pPr>
      <w:rPr>
        <w:rFonts w:hint="default" w:ascii="宋体" w:hAnsi="宋体" w:eastAsia="宋体" w:cs="宋体"/>
        <w:b w:val="0"/>
        <w:bCs w:val="0"/>
        <w:i w:val="0"/>
        <w:iCs w:val="0"/>
        <w:spacing w:val="-25"/>
        <w:w w:val="100"/>
        <w:sz w:val="19"/>
        <w:szCs w:val="19"/>
        <w:lang w:val="en-US" w:eastAsia="zh-CN" w:bidi="ar-SA"/>
      </w:rPr>
    </w:lvl>
    <w:lvl w:ilvl="1">
      <w:start w:val="0"/>
      <w:numFmt w:val="bullet"/>
      <w:lvlText w:val="•"/>
      <w:lvlJc w:val="left"/>
      <w:pPr>
        <w:ind w:left="972" w:hanging="318"/>
      </w:pPr>
      <w:rPr>
        <w:rFonts w:hint="default"/>
        <w:lang w:val="en-US" w:eastAsia="zh-CN" w:bidi="ar-SA"/>
      </w:rPr>
    </w:lvl>
    <w:lvl w:ilvl="2">
      <w:start w:val="0"/>
      <w:numFmt w:val="bullet"/>
      <w:lvlText w:val="•"/>
      <w:lvlJc w:val="left"/>
      <w:pPr>
        <w:ind w:left="1825" w:hanging="318"/>
      </w:pPr>
      <w:rPr>
        <w:rFonts w:hint="default"/>
        <w:lang w:val="en-US" w:eastAsia="zh-CN" w:bidi="ar-SA"/>
      </w:rPr>
    </w:lvl>
    <w:lvl w:ilvl="3">
      <w:start w:val="0"/>
      <w:numFmt w:val="bullet"/>
      <w:lvlText w:val="•"/>
      <w:lvlJc w:val="left"/>
      <w:pPr>
        <w:ind w:left="2677" w:hanging="318"/>
      </w:pPr>
      <w:rPr>
        <w:rFonts w:hint="default"/>
        <w:lang w:val="en-US" w:eastAsia="zh-CN" w:bidi="ar-SA"/>
      </w:rPr>
    </w:lvl>
    <w:lvl w:ilvl="4">
      <w:start w:val="0"/>
      <w:numFmt w:val="bullet"/>
      <w:lvlText w:val="•"/>
      <w:lvlJc w:val="left"/>
      <w:pPr>
        <w:ind w:left="3530" w:hanging="318"/>
      </w:pPr>
      <w:rPr>
        <w:rFonts w:hint="default"/>
        <w:lang w:val="en-US" w:eastAsia="zh-CN" w:bidi="ar-SA"/>
      </w:rPr>
    </w:lvl>
    <w:lvl w:ilvl="5">
      <w:start w:val="0"/>
      <w:numFmt w:val="bullet"/>
      <w:lvlText w:val="•"/>
      <w:lvlJc w:val="left"/>
      <w:pPr>
        <w:ind w:left="4383" w:hanging="318"/>
      </w:pPr>
      <w:rPr>
        <w:rFonts w:hint="default"/>
        <w:lang w:val="en-US" w:eastAsia="zh-CN" w:bidi="ar-SA"/>
      </w:rPr>
    </w:lvl>
    <w:lvl w:ilvl="6">
      <w:start w:val="0"/>
      <w:numFmt w:val="bullet"/>
      <w:lvlText w:val="•"/>
      <w:lvlJc w:val="left"/>
      <w:pPr>
        <w:ind w:left="5235" w:hanging="318"/>
      </w:pPr>
      <w:rPr>
        <w:rFonts w:hint="default"/>
        <w:lang w:val="en-US" w:eastAsia="zh-CN" w:bidi="ar-SA"/>
      </w:rPr>
    </w:lvl>
    <w:lvl w:ilvl="7">
      <w:start w:val="0"/>
      <w:numFmt w:val="bullet"/>
      <w:lvlText w:val="•"/>
      <w:lvlJc w:val="left"/>
      <w:pPr>
        <w:ind w:left="6088" w:hanging="318"/>
      </w:pPr>
      <w:rPr>
        <w:rFonts w:hint="default"/>
        <w:lang w:val="en-US" w:eastAsia="zh-CN" w:bidi="ar-SA"/>
      </w:rPr>
    </w:lvl>
    <w:lvl w:ilvl="8">
      <w:start w:val="0"/>
      <w:numFmt w:val="bullet"/>
      <w:lvlText w:val="•"/>
      <w:lvlJc w:val="left"/>
      <w:pPr>
        <w:ind w:left="6941" w:hanging="318"/>
      </w:pPr>
      <w:rPr>
        <w:rFonts w:hint="default"/>
        <w:lang w:val="en-US" w:eastAsia="zh-CN" w:bidi="ar-SA"/>
      </w:rPr>
    </w:lvl>
  </w:abstractNum>
  <w:abstractNum w:abstractNumId="0">
    <w:multiLevelType w:val="hybridMultilevel"/>
    <w:lvl w:ilvl="0">
      <w:start w:val="1"/>
      <w:numFmt w:val="decimal"/>
      <w:lvlText w:val="%1"/>
      <w:lvlJc w:val="left"/>
      <w:pPr>
        <w:ind w:left="281" w:hanging="161"/>
        <w:jc w:val="left"/>
      </w:pPr>
      <w:rPr>
        <w:rFonts w:hint="default" w:ascii="Times New Roman" w:hAnsi="Times New Roman" w:eastAsia="Times New Roman" w:cs="Times New Roman"/>
        <w:b w:val="0"/>
        <w:bCs w:val="0"/>
        <w:i w:val="0"/>
        <w:iCs w:val="0"/>
        <w:w w:val="99"/>
        <w:position w:val="10"/>
        <w:sz w:val="14"/>
        <w:szCs w:val="14"/>
        <w:lang w:val="en-US" w:eastAsia="zh-CN" w:bidi="ar-SA"/>
      </w:rPr>
    </w:lvl>
    <w:lvl w:ilvl="1">
      <w:start w:val="1"/>
      <w:numFmt w:val="decimal"/>
      <w:lvlText w:val="%2)"/>
      <w:lvlJc w:val="left"/>
      <w:pPr>
        <w:ind w:left="660" w:hanging="360"/>
        <w:jc w:val="left"/>
      </w:pPr>
      <w:rPr>
        <w:rFonts w:hint="default" w:ascii="宋体" w:hAnsi="宋体" w:eastAsia="宋体" w:cs="宋体"/>
        <w:b w:val="0"/>
        <w:bCs w:val="0"/>
        <w:i w:val="0"/>
        <w:iCs w:val="0"/>
        <w:spacing w:val="0"/>
        <w:w w:val="100"/>
        <w:sz w:val="18"/>
        <w:szCs w:val="18"/>
        <w:lang w:val="en-US" w:eastAsia="zh-CN" w:bidi="ar-SA"/>
      </w:rPr>
    </w:lvl>
    <w:lvl w:ilvl="2">
      <w:start w:val="0"/>
      <w:numFmt w:val="bullet"/>
      <w:lvlText w:val="•"/>
      <w:lvlJc w:val="left"/>
      <w:pPr>
        <w:ind w:left="1547" w:hanging="360"/>
      </w:pPr>
      <w:rPr>
        <w:rFonts w:hint="default"/>
        <w:lang w:val="en-US" w:eastAsia="zh-CN" w:bidi="ar-SA"/>
      </w:rPr>
    </w:lvl>
    <w:lvl w:ilvl="3">
      <w:start w:val="0"/>
      <w:numFmt w:val="bullet"/>
      <w:lvlText w:val="•"/>
      <w:lvlJc w:val="left"/>
      <w:pPr>
        <w:ind w:left="2434" w:hanging="360"/>
      </w:pPr>
      <w:rPr>
        <w:rFonts w:hint="default"/>
        <w:lang w:val="en-US" w:eastAsia="zh-CN" w:bidi="ar-SA"/>
      </w:rPr>
    </w:lvl>
    <w:lvl w:ilvl="4">
      <w:start w:val="0"/>
      <w:numFmt w:val="bullet"/>
      <w:lvlText w:val="•"/>
      <w:lvlJc w:val="left"/>
      <w:pPr>
        <w:ind w:left="3322" w:hanging="360"/>
      </w:pPr>
      <w:rPr>
        <w:rFonts w:hint="default"/>
        <w:lang w:val="en-US" w:eastAsia="zh-CN" w:bidi="ar-SA"/>
      </w:rPr>
    </w:lvl>
    <w:lvl w:ilvl="5">
      <w:start w:val="0"/>
      <w:numFmt w:val="bullet"/>
      <w:lvlText w:val="•"/>
      <w:lvlJc w:val="left"/>
      <w:pPr>
        <w:ind w:left="4209" w:hanging="360"/>
      </w:pPr>
      <w:rPr>
        <w:rFonts w:hint="default"/>
        <w:lang w:val="en-US" w:eastAsia="zh-CN" w:bidi="ar-SA"/>
      </w:rPr>
    </w:lvl>
    <w:lvl w:ilvl="6">
      <w:start w:val="0"/>
      <w:numFmt w:val="bullet"/>
      <w:lvlText w:val="•"/>
      <w:lvlJc w:val="left"/>
      <w:pPr>
        <w:ind w:left="5096" w:hanging="360"/>
      </w:pPr>
      <w:rPr>
        <w:rFonts w:hint="default"/>
        <w:lang w:val="en-US" w:eastAsia="zh-CN" w:bidi="ar-SA"/>
      </w:rPr>
    </w:lvl>
    <w:lvl w:ilvl="7">
      <w:start w:val="0"/>
      <w:numFmt w:val="bullet"/>
      <w:lvlText w:val="•"/>
      <w:lvlJc w:val="left"/>
      <w:pPr>
        <w:ind w:left="5984" w:hanging="360"/>
      </w:pPr>
      <w:rPr>
        <w:rFonts w:hint="default"/>
        <w:lang w:val="en-US" w:eastAsia="zh-CN" w:bidi="ar-SA"/>
      </w:rPr>
    </w:lvl>
    <w:lvl w:ilvl="8">
      <w:start w:val="0"/>
      <w:numFmt w:val="bullet"/>
      <w:lvlText w:val="•"/>
      <w:lvlJc w:val="left"/>
      <w:pPr>
        <w:ind w:left="6871" w:hanging="360"/>
      </w:pPr>
      <w:rPr>
        <w:rFonts w:hint="default"/>
        <w:lang w:val="en-US" w:eastAsia="zh-CN" w:bidi="ar-SA"/>
      </w:rPr>
    </w:lvl>
  </w:abstractNum>
  <w:num w:numId="5">
    <w:abstractNumId w:val="4"/>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TOC1" w:type="paragraph">
    <w:name w:val="TOC 1"/>
    <w:basedOn w:val="Normal"/>
    <w:uiPriority w:val="1"/>
    <w:qFormat/>
    <w:pPr>
      <w:spacing w:before="43"/>
      <w:ind w:left="120"/>
    </w:pPr>
    <w:rPr>
      <w:rFonts w:ascii="宋体" w:hAnsi="宋体" w:eastAsia="宋体" w:cs="宋体"/>
      <w:b/>
      <w:bCs/>
      <w:sz w:val="21"/>
      <w:szCs w:val="21"/>
      <w:lang w:val="en-US" w:eastAsia="zh-CN" w:bidi="ar-SA"/>
    </w:rPr>
  </w:style>
  <w:style w:styleId="TOC2" w:type="paragraph">
    <w:name w:val="TOC 2"/>
    <w:basedOn w:val="Normal"/>
    <w:uiPriority w:val="1"/>
    <w:qFormat/>
    <w:pPr>
      <w:spacing w:before="43"/>
      <w:ind w:left="540"/>
    </w:pPr>
    <w:rPr>
      <w:rFonts w:ascii="宋体" w:hAnsi="宋体" w:eastAsia="宋体" w:cs="宋体"/>
      <w:sz w:val="21"/>
      <w:szCs w:val="21"/>
      <w:lang w:val="en-US" w:eastAsia="zh-CN" w:bidi="ar-SA"/>
    </w:rPr>
  </w:style>
  <w:style w:styleId="BodyText" w:type="paragraph">
    <w:name w:val="Body Text"/>
    <w:basedOn w:val="Normal"/>
    <w:uiPriority w:val="1"/>
    <w:qFormat/>
    <w:pPr>
      <w:ind w:left="120"/>
    </w:pPr>
    <w:rPr>
      <w:rFonts w:ascii="宋体" w:hAnsi="宋体" w:eastAsia="宋体" w:cs="宋体"/>
      <w:sz w:val="21"/>
      <w:szCs w:val="21"/>
      <w:lang w:val="en-US" w:eastAsia="zh-CN" w:bidi="ar-SA"/>
    </w:rPr>
  </w:style>
  <w:style w:styleId="Heading1" w:type="paragraph">
    <w:name w:val="Heading 1"/>
    <w:basedOn w:val="Normal"/>
    <w:uiPriority w:val="1"/>
    <w:qFormat/>
    <w:pPr>
      <w:ind w:left="2585" w:right="2678"/>
      <w:jc w:val="center"/>
      <w:outlineLvl w:val="1"/>
    </w:pPr>
    <w:rPr>
      <w:rFonts w:ascii="宋体" w:hAnsi="宋体" w:eastAsia="宋体" w:cs="宋体"/>
      <w:b/>
      <w:bCs/>
      <w:sz w:val="21"/>
      <w:szCs w:val="21"/>
      <w:lang w:val="en-US" w:eastAsia="zh-CN" w:bidi="ar-SA"/>
    </w:rPr>
  </w:style>
  <w:style w:styleId="Title" w:type="paragraph">
    <w:name w:val="Title"/>
    <w:basedOn w:val="Normal"/>
    <w:uiPriority w:val="1"/>
    <w:qFormat/>
    <w:pPr>
      <w:spacing w:before="135"/>
      <w:ind w:left="2584" w:right="2683"/>
      <w:jc w:val="center"/>
    </w:pPr>
    <w:rPr>
      <w:rFonts w:ascii="宋体" w:hAnsi="宋体" w:eastAsia="宋体" w:cs="宋体"/>
      <w:b/>
      <w:bCs/>
      <w:sz w:val="32"/>
      <w:szCs w:val="32"/>
      <w:lang w:val="en-US" w:eastAsia="zh-CN" w:bidi="ar-SA"/>
    </w:rPr>
  </w:style>
  <w:style w:styleId="ListParagraph" w:type="paragraph">
    <w:name w:val="List Paragraph"/>
    <w:basedOn w:val="Normal"/>
    <w:uiPriority w:val="1"/>
    <w:qFormat/>
    <w:pPr>
      <w:ind w:left="540" w:hanging="361"/>
    </w:pPr>
    <w:rPr>
      <w:rFonts w:ascii="宋体" w:hAnsi="宋体" w:eastAsia="宋体" w:cs="宋体"/>
      <w:lang w:val="en-US" w:eastAsia="zh-CN" w:bidi="ar-SA"/>
    </w:rPr>
  </w:style>
  <w:style w:styleId="TableParagraph" w:type="paragraph">
    <w:name w:val="Table Paragraph"/>
    <w:basedOn w:val="Normal"/>
    <w:uiPriority w:val="1"/>
    <w:qFormat/>
    <w:pPr>
      <w:spacing w:line="275" w:lineRule="exact"/>
      <w:ind w:left="628" w:right="616"/>
      <w:jc w:val="center"/>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2023-06-02T03:36:29Z</dcterms:created>
  <dcterms:modified xsi:type="dcterms:W3CDTF">2023-06-02T03:36:29Z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