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68" w:after="4"/>
        <w:ind w:left="6487" w:right="0" w:firstLine="0"/>
        <w:jc w:val="left"/>
        <w:rPr>
          <w:sz w:val="18"/>
        </w:rPr>
      </w:pPr>
      <w:r>
        <w:rPr>
          <w:sz w:val="18"/>
        </w:rPr>
        <w:t>复星联合健康保险〔</w:t>
      </w:r>
      <w:r>
        <w:rPr>
          <w:rFonts w:ascii="Times New Roman" w:eastAsia="Times New Roman"/>
          <w:sz w:val="18"/>
        </w:rPr>
        <w:t>2021</w:t>
      </w:r>
      <w:r>
        <w:rPr>
          <w:spacing w:val="-8"/>
          <w:sz w:val="18"/>
        </w:rPr>
        <w:t xml:space="preserve">〕医疗保险 </w:t>
      </w:r>
      <w:r>
        <w:rPr>
          <w:rFonts w:ascii="Times New Roman" w:eastAsia="Times New Roman"/>
          <w:sz w:val="18"/>
        </w:rPr>
        <w:t>016</w:t>
      </w:r>
      <w:r>
        <w:rPr>
          <w:rFonts w:ascii="Times New Roman" w:eastAsia="Times New Roman"/>
          <w:spacing w:val="-1"/>
          <w:sz w:val="18"/>
        </w:rPr>
        <w:t xml:space="preserve"> </w:t>
      </w:r>
      <w:r>
        <w:rPr>
          <w:spacing w:val="-10"/>
          <w:sz w:val="18"/>
        </w:rPr>
        <w:t>号</w:t>
      </w:r>
    </w:p>
    <w:p>
      <w:pPr>
        <w:pStyle w:val="5"/>
        <w:ind w:left="8754"/>
        <w:rPr>
          <w:sz w:val="20"/>
        </w:rPr>
      </w:pPr>
      <w:r>
        <w:rPr>
          <w:sz w:val="20"/>
        </w:rPr>
        <w:drawing>
          <wp:inline distT="0" distB="0" distL="0" distR="0">
            <wp:extent cx="731520" cy="730885"/>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pic:cNvPicPr>
                  </pic:nvPicPr>
                  <pic:blipFill>
                    <a:blip r:embed="rId6" cstate="print"/>
                    <a:stretch>
                      <a:fillRect/>
                    </a:stretch>
                  </pic:blipFill>
                  <pic:spPr>
                    <a:xfrm>
                      <a:off x="0" y="0"/>
                      <a:ext cx="731875" cy="731139"/>
                    </a:xfrm>
                    <a:prstGeom prst="rect">
                      <a:avLst/>
                    </a:prstGeom>
                  </pic:spPr>
                </pic:pic>
              </a:graphicData>
            </a:graphic>
          </wp:inline>
        </w:drawing>
      </w:r>
    </w:p>
    <w:p>
      <w:pPr>
        <w:spacing w:before="0"/>
        <w:ind w:left="0" w:right="716" w:firstLine="0"/>
        <w:jc w:val="right"/>
        <w:rPr>
          <w:sz w:val="18"/>
        </w:rPr>
      </w:pPr>
      <w:r>
        <w:rPr>
          <w:spacing w:val="-1"/>
          <w:sz w:val="18"/>
        </w:rPr>
        <w:t>请扫描以查询验证条款</w:t>
      </w:r>
    </w:p>
    <w:p>
      <w:pPr>
        <w:pStyle w:val="2"/>
        <w:spacing w:before="135"/>
      </w:pPr>
      <w:bookmarkStart w:id="0" w:name="_GoBack"/>
      <w:r>
        <w:rPr>
          <w:w w:val="95"/>
        </w:rPr>
        <w:t>复星联合乐健一生中端医疗保险（2021版）</w:t>
      </w:r>
      <w:r>
        <w:rPr>
          <w:spacing w:val="-5"/>
          <w:w w:val="95"/>
        </w:rPr>
        <w:t>条款</w:t>
      </w:r>
    </w:p>
    <w:bookmarkEnd w:id="0"/>
    <w:p>
      <w:pPr>
        <w:pStyle w:val="5"/>
        <w:spacing w:before="9"/>
        <w:rPr>
          <w:b/>
          <w:sz w:val="20"/>
        </w:rPr>
      </w:pPr>
    </w:p>
    <w:p>
      <w:pPr>
        <w:spacing w:before="0"/>
        <w:ind w:left="2065" w:right="2621" w:firstLine="0"/>
        <w:jc w:val="center"/>
        <w:rPr>
          <w:b/>
          <w:sz w:val="28"/>
        </w:rPr>
      </w:pPr>
      <w:r>
        <w:rPr>
          <w:b/>
          <w:w w:val="95"/>
          <w:sz w:val="28"/>
        </w:rPr>
        <w:t>阅读</w:t>
      </w:r>
      <w:r>
        <w:rPr>
          <w:b/>
          <w:spacing w:val="-5"/>
          <w:w w:val="95"/>
          <w:sz w:val="28"/>
        </w:rPr>
        <w:t>指引</w:t>
      </w:r>
    </w:p>
    <w:p>
      <w:pPr>
        <w:pStyle w:val="5"/>
        <w:spacing w:before="155" w:line="278" w:lineRule="auto"/>
        <w:ind w:left="160" w:right="795" w:firstLine="422"/>
      </w:pPr>
      <w:r>
        <w:rPr>
          <w:spacing w:val="-2"/>
        </w:rPr>
        <w:t>本阅读指引助您理解复星联合健康保险股份有限公司（以下简称“本公司”）《复星联合乐健一生中端医疗保险（2021版）条款》（以下简称“本保险条款”）</w:t>
      </w:r>
    </w:p>
    <w:p>
      <w:pPr>
        <w:pStyle w:val="4"/>
        <w:spacing w:before="16"/>
        <w:ind w:left="160"/>
      </w:pPr>
      <w:r>
        <w:rPr>
          <w:rFonts w:ascii="Wingdings 2" w:hAnsi="Wingdings 2" w:eastAsia="Wingdings 2"/>
          <w:spacing w:val="-2"/>
          <w:position w:val="-11"/>
          <w:sz w:val="52"/>
        </w:rPr>
        <w:t></w:t>
      </w:r>
      <w:r>
        <w:rPr>
          <w:spacing w:val="-4"/>
        </w:rPr>
        <w:t>拥有的重要权益</w:t>
      </w:r>
    </w:p>
    <w:p>
      <w:pPr>
        <w:pStyle w:val="9"/>
        <w:numPr>
          <w:ilvl w:val="0"/>
          <w:numId w:val="1"/>
        </w:numPr>
        <w:tabs>
          <w:tab w:val="left" w:pos="1105"/>
          <w:tab w:val="left" w:pos="1106"/>
          <w:tab w:val="right" w:leader="dot" w:pos="9617"/>
        </w:tabs>
        <w:spacing w:before="60" w:after="0" w:line="240" w:lineRule="auto"/>
        <w:ind w:left="1106" w:right="0" w:hanging="420"/>
        <w:jc w:val="left"/>
        <w:rPr>
          <w:sz w:val="21"/>
        </w:rPr>
      </w:pPr>
      <w:r>
        <w:rPr>
          <w:spacing w:val="-2"/>
          <w:sz w:val="21"/>
        </w:rPr>
        <w:t>被保险人享有的保险保</w:t>
      </w:r>
      <w:r>
        <w:rPr>
          <w:spacing w:val="-10"/>
          <w:sz w:val="21"/>
        </w:rPr>
        <w:t>障</w:t>
      </w:r>
      <w:r>
        <w:rPr>
          <w:rFonts w:ascii="Times New Roman" w:hAnsi="Times New Roman" w:eastAsia="Times New Roman"/>
          <w:sz w:val="21"/>
        </w:rPr>
        <w:tab/>
      </w:r>
      <w:r>
        <w:rPr>
          <w:spacing w:val="-5"/>
          <w:sz w:val="21"/>
        </w:rPr>
        <w:t>2.3</w:t>
      </w:r>
    </w:p>
    <w:p>
      <w:pPr>
        <w:pStyle w:val="9"/>
        <w:numPr>
          <w:ilvl w:val="0"/>
          <w:numId w:val="1"/>
        </w:numPr>
        <w:tabs>
          <w:tab w:val="left" w:pos="1105"/>
          <w:tab w:val="left" w:pos="1106"/>
          <w:tab w:val="right" w:leader="dot" w:pos="9615"/>
        </w:tabs>
        <w:spacing w:before="43" w:after="0" w:line="240" w:lineRule="auto"/>
        <w:ind w:left="1106" w:right="0" w:hanging="420"/>
        <w:jc w:val="left"/>
        <w:rPr>
          <w:sz w:val="21"/>
        </w:rPr>
      </w:pPr>
      <w:r>
        <w:rPr>
          <w:spacing w:val="-2"/>
          <w:sz w:val="21"/>
        </w:rPr>
        <w:t>投保人有解除合同的权</w:t>
      </w:r>
      <w:r>
        <w:rPr>
          <w:spacing w:val="-10"/>
          <w:sz w:val="21"/>
        </w:rPr>
        <w:t>利</w:t>
      </w:r>
      <w:r>
        <w:rPr>
          <w:rFonts w:ascii="Times New Roman" w:hAnsi="Times New Roman" w:eastAsia="Times New Roman"/>
          <w:sz w:val="21"/>
        </w:rPr>
        <w:tab/>
      </w:r>
      <w:r>
        <w:rPr>
          <w:spacing w:val="-5"/>
          <w:sz w:val="21"/>
        </w:rPr>
        <w:t>5.1</w:t>
      </w:r>
    </w:p>
    <w:p>
      <w:pPr>
        <w:pStyle w:val="4"/>
        <w:spacing w:before="60"/>
        <w:ind w:left="160"/>
      </w:pPr>
      <w:r>
        <w:rPr>
          <w:rFonts w:ascii="Wingdings 2" w:hAnsi="Wingdings 2" w:eastAsia="Wingdings 2"/>
          <w:spacing w:val="-2"/>
          <w:position w:val="-11"/>
          <w:sz w:val="52"/>
        </w:rPr>
        <w:t></w:t>
      </w:r>
      <w:r>
        <w:rPr>
          <w:spacing w:val="-3"/>
        </w:rPr>
        <w:t>应当特别注意的事项</w:t>
      </w:r>
    </w:p>
    <w:p>
      <w:pPr>
        <w:pStyle w:val="9"/>
        <w:numPr>
          <w:ilvl w:val="0"/>
          <w:numId w:val="1"/>
        </w:numPr>
        <w:tabs>
          <w:tab w:val="left" w:pos="1105"/>
          <w:tab w:val="left" w:pos="1106"/>
          <w:tab w:val="right" w:leader="dot" w:pos="9617"/>
        </w:tabs>
        <w:spacing w:before="59" w:after="0" w:line="240" w:lineRule="auto"/>
        <w:ind w:left="1106" w:right="0" w:hanging="420"/>
        <w:jc w:val="left"/>
        <w:rPr>
          <w:sz w:val="21"/>
        </w:rPr>
      </w:pPr>
      <w:r>
        <w:rPr>
          <w:spacing w:val="-2"/>
          <w:sz w:val="21"/>
        </w:rPr>
        <w:t>在某些情况下，本公司不承担保险责</w:t>
      </w:r>
      <w:r>
        <w:rPr>
          <w:spacing w:val="-10"/>
          <w:sz w:val="21"/>
        </w:rPr>
        <w:t>任</w:t>
      </w:r>
      <w:r>
        <w:rPr>
          <w:rFonts w:ascii="Times New Roman" w:hAnsi="Times New Roman" w:eastAsia="Times New Roman"/>
          <w:sz w:val="21"/>
        </w:rPr>
        <w:tab/>
      </w:r>
      <w:r>
        <w:rPr>
          <w:spacing w:val="-5"/>
          <w:sz w:val="21"/>
        </w:rPr>
        <w:t>2.4</w:t>
      </w:r>
    </w:p>
    <w:p>
      <w:pPr>
        <w:pStyle w:val="9"/>
        <w:numPr>
          <w:ilvl w:val="0"/>
          <w:numId w:val="1"/>
        </w:numPr>
        <w:tabs>
          <w:tab w:val="left" w:pos="1105"/>
          <w:tab w:val="left" w:pos="1106"/>
          <w:tab w:val="right" w:leader="dot" w:pos="9617"/>
        </w:tabs>
        <w:spacing w:before="43" w:after="0" w:line="240" w:lineRule="auto"/>
        <w:ind w:left="1106" w:right="0" w:hanging="420"/>
        <w:jc w:val="left"/>
        <w:rPr>
          <w:sz w:val="21"/>
        </w:rPr>
      </w:pPr>
      <w:r>
        <w:rPr>
          <w:spacing w:val="-2"/>
          <w:sz w:val="21"/>
        </w:rPr>
        <w:t>及时向本公司通知保险事故的责</w:t>
      </w:r>
      <w:r>
        <w:rPr>
          <w:spacing w:val="-10"/>
          <w:sz w:val="21"/>
        </w:rPr>
        <w:t>任</w:t>
      </w:r>
      <w:r>
        <w:rPr>
          <w:rFonts w:ascii="Times New Roman" w:hAnsi="Times New Roman" w:eastAsia="Times New Roman"/>
          <w:sz w:val="21"/>
        </w:rPr>
        <w:tab/>
      </w:r>
      <w:r>
        <w:rPr>
          <w:spacing w:val="-5"/>
          <w:sz w:val="21"/>
        </w:rPr>
        <w:t>3.2</w:t>
      </w:r>
    </w:p>
    <w:p>
      <w:pPr>
        <w:pStyle w:val="9"/>
        <w:numPr>
          <w:ilvl w:val="0"/>
          <w:numId w:val="1"/>
        </w:numPr>
        <w:tabs>
          <w:tab w:val="left" w:pos="1105"/>
          <w:tab w:val="left" w:pos="1106"/>
          <w:tab w:val="right" w:leader="dot" w:pos="9617"/>
        </w:tabs>
        <w:spacing w:before="43" w:after="0" w:line="240" w:lineRule="auto"/>
        <w:ind w:left="1106" w:right="0" w:hanging="420"/>
        <w:jc w:val="left"/>
        <w:rPr>
          <w:sz w:val="21"/>
        </w:rPr>
      </w:pPr>
      <w:r>
        <w:rPr>
          <w:spacing w:val="-2"/>
          <w:sz w:val="21"/>
        </w:rPr>
        <w:t>应当按时交纳保险</w:t>
      </w:r>
      <w:r>
        <w:rPr>
          <w:spacing w:val="-10"/>
          <w:sz w:val="21"/>
        </w:rPr>
        <w:t>费</w:t>
      </w:r>
      <w:r>
        <w:rPr>
          <w:rFonts w:ascii="Times New Roman" w:hAnsi="Times New Roman" w:eastAsia="Times New Roman"/>
          <w:sz w:val="21"/>
        </w:rPr>
        <w:tab/>
      </w:r>
      <w:r>
        <w:rPr>
          <w:spacing w:val="-5"/>
          <w:sz w:val="21"/>
        </w:rPr>
        <w:t>4.1</w:t>
      </w:r>
    </w:p>
    <w:p>
      <w:pPr>
        <w:pStyle w:val="9"/>
        <w:numPr>
          <w:ilvl w:val="0"/>
          <w:numId w:val="1"/>
        </w:numPr>
        <w:tabs>
          <w:tab w:val="left" w:pos="1105"/>
          <w:tab w:val="left" w:pos="1106"/>
          <w:tab w:val="right" w:leader="dot" w:pos="9615"/>
        </w:tabs>
        <w:spacing w:before="43" w:after="0" w:line="240" w:lineRule="auto"/>
        <w:ind w:left="1106" w:right="0" w:hanging="420"/>
        <w:jc w:val="left"/>
        <w:rPr>
          <w:sz w:val="21"/>
        </w:rPr>
      </w:pPr>
      <w:r>
        <w:rPr>
          <w:spacing w:val="-2"/>
          <w:sz w:val="21"/>
        </w:rPr>
        <w:t>退保会给投保人造成一定的损失，请慎重决</w:t>
      </w:r>
      <w:r>
        <w:rPr>
          <w:spacing w:val="-10"/>
          <w:sz w:val="21"/>
        </w:rPr>
        <w:t>策</w:t>
      </w:r>
      <w:r>
        <w:rPr>
          <w:rFonts w:ascii="Times New Roman" w:hAnsi="Times New Roman" w:eastAsia="Times New Roman"/>
          <w:sz w:val="21"/>
        </w:rPr>
        <w:tab/>
      </w:r>
      <w:r>
        <w:rPr>
          <w:spacing w:val="-5"/>
          <w:sz w:val="21"/>
        </w:rPr>
        <w:t>5.1</w:t>
      </w:r>
    </w:p>
    <w:p>
      <w:pPr>
        <w:pStyle w:val="9"/>
        <w:numPr>
          <w:ilvl w:val="0"/>
          <w:numId w:val="1"/>
        </w:numPr>
        <w:tabs>
          <w:tab w:val="left" w:pos="1105"/>
          <w:tab w:val="left" w:pos="1106"/>
          <w:tab w:val="right" w:leader="dot" w:pos="9615"/>
        </w:tabs>
        <w:spacing w:before="43" w:after="0" w:line="240" w:lineRule="auto"/>
        <w:ind w:left="1106" w:right="0" w:hanging="420"/>
        <w:jc w:val="left"/>
        <w:rPr>
          <w:sz w:val="21"/>
        </w:rPr>
      </w:pPr>
      <w:r>
        <w:rPr>
          <w:spacing w:val="-2"/>
          <w:sz w:val="21"/>
        </w:rPr>
        <w:t>投保人有如实告知的义</w:t>
      </w:r>
      <w:r>
        <w:rPr>
          <w:spacing w:val="-10"/>
          <w:sz w:val="21"/>
        </w:rPr>
        <w:t>务</w:t>
      </w:r>
      <w:r>
        <w:rPr>
          <w:rFonts w:ascii="Times New Roman" w:hAnsi="Times New Roman" w:eastAsia="Times New Roman"/>
          <w:sz w:val="21"/>
        </w:rPr>
        <w:tab/>
      </w:r>
      <w:r>
        <w:rPr>
          <w:spacing w:val="-5"/>
          <w:sz w:val="21"/>
        </w:rPr>
        <w:t>6.1</w:t>
      </w:r>
    </w:p>
    <w:p>
      <w:pPr>
        <w:pStyle w:val="9"/>
        <w:numPr>
          <w:ilvl w:val="0"/>
          <w:numId w:val="1"/>
        </w:numPr>
        <w:tabs>
          <w:tab w:val="left" w:pos="1105"/>
          <w:tab w:val="left" w:pos="1106"/>
        </w:tabs>
        <w:spacing w:before="43" w:after="0" w:line="278" w:lineRule="auto"/>
        <w:ind w:left="1106" w:right="1321" w:hanging="420"/>
        <w:jc w:val="left"/>
        <w:rPr>
          <w:sz w:val="21"/>
        </w:rPr>
      </w:pPr>
      <w:r>
        <w:rPr>
          <w:spacing w:val="-2"/>
          <w:sz w:val="21"/>
        </w:rPr>
        <w:t>本公司对可能影响本合同保障的重要内容进行显著标识，请仔细阅读正文中背景突出显示</w:t>
      </w:r>
      <w:r>
        <w:rPr>
          <w:spacing w:val="-4"/>
          <w:sz w:val="21"/>
        </w:rPr>
        <w:t>的内容</w:t>
      </w:r>
    </w:p>
    <w:p>
      <w:pPr>
        <w:spacing w:before="0" w:line="452" w:lineRule="exact"/>
        <w:ind w:left="160" w:right="0" w:firstLine="0"/>
        <w:jc w:val="left"/>
        <w:rPr>
          <w:b/>
          <w:sz w:val="21"/>
        </w:rPr>
      </w:pPr>
      <w:r>
        <w:rPr>
          <w:rFonts w:ascii="Wingdings 2" w:hAnsi="Wingdings 2" w:eastAsia="Wingdings 2"/>
          <w:b/>
          <w:spacing w:val="-2"/>
          <w:position w:val="-11"/>
          <w:sz w:val="52"/>
        </w:rPr>
        <w:t></w:t>
      </w:r>
      <w:r>
        <w:rPr>
          <w:b/>
          <w:spacing w:val="-3"/>
          <w:sz w:val="21"/>
        </w:rPr>
        <w:t>条款是保险合同的重要内容，为充分保障您的权益，请仔细阅读本保险条款</w:t>
      </w:r>
    </w:p>
    <w:p>
      <w:pPr>
        <w:spacing w:before="0" w:line="474" w:lineRule="exact"/>
        <w:ind w:left="160" w:right="0" w:firstLine="0"/>
        <w:jc w:val="left"/>
        <w:rPr>
          <w:b/>
          <w:sz w:val="21"/>
        </w:rPr>
      </w:pPr>
      <w:r>
        <w:rPr>
          <w:rFonts w:ascii="Wingdings 2" w:hAnsi="Wingdings 2" w:eastAsia="Wingdings 2"/>
          <w:b/>
          <w:spacing w:val="-2"/>
          <w:position w:val="-11"/>
          <w:sz w:val="52"/>
        </w:rPr>
        <w:t></w:t>
      </w:r>
      <w:r>
        <w:rPr>
          <w:b/>
          <w:spacing w:val="-4"/>
          <w:sz w:val="21"/>
        </w:rPr>
        <w:t>条款目录</w:t>
      </w:r>
    </w:p>
    <w:p>
      <w:pPr>
        <w:spacing w:before="259"/>
        <w:ind w:left="2243" w:right="0" w:firstLine="0"/>
        <w:jc w:val="left"/>
        <w:rPr>
          <w:b/>
          <w:sz w:val="21"/>
        </w:rPr>
      </w:pPr>
      <w:r>
        <w:drawing>
          <wp:anchor distT="0" distB="0" distL="0" distR="0" simplePos="0" relativeHeight="251666432" behindDoc="1" locked="0" layoutInCell="1" allowOverlap="1">
            <wp:simplePos x="0" y="0"/>
            <wp:positionH relativeFrom="page">
              <wp:posOffset>1931035</wp:posOffset>
            </wp:positionH>
            <wp:positionV relativeFrom="paragraph">
              <wp:posOffset>158750</wp:posOffset>
            </wp:positionV>
            <wp:extent cx="4187190" cy="35179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a:picLocks noChangeAspect="1"/>
                    </pic:cNvPicPr>
                  </pic:nvPicPr>
                  <pic:blipFill>
                    <a:blip r:embed="rId7" cstate="print"/>
                    <a:stretch>
                      <a:fillRect/>
                    </a:stretch>
                  </pic:blipFill>
                  <pic:spPr>
                    <a:xfrm>
                      <a:off x="0" y="0"/>
                      <a:ext cx="4187443" cy="3517722"/>
                    </a:xfrm>
                    <a:prstGeom prst="rect">
                      <a:avLst/>
                    </a:prstGeom>
                  </pic:spPr>
                </pic:pic>
              </a:graphicData>
            </a:graphic>
          </wp:anchor>
        </w:drawing>
      </w:r>
      <w:r>
        <w:pict>
          <v:shape id="docshape1" o:spid="_x0000_s1026" o:spt="202" type="#_x0000_t202" style="position:absolute;left:0pt;margin-left:166.2pt;margin-top:12.75pt;height:64.05pt;width:255.15pt;mso-position-horizontal-relative:page;z-index:251660288;mso-width-relative:page;mso-height-relative:page;" filled="f" stroked="f" coordsize="21600,21600">
            <v:path/>
            <v:fill on="f" focussize="0,0"/>
            <v:stroke on="f" joinstyle="miter"/>
            <v:imagedata o:title=""/>
            <o:lock v:ext="edit"/>
            <v:textbox inset="0mm,0mm,0mm,0mm">
              <w:txbxContent>
                <w:tbl>
                  <w:tblPr>
                    <w:tblStyle w:val="6"/>
                    <w:tblW w:w="0" w:type="auto"/>
                    <w:tblInd w:w="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418"/>
                    <w:gridCol w:w="2629"/>
                    <w:gridCol w:w="205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7" w:hRule="atLeast"/>
                    </w:trPr>
                    <w:tc>
                      <w:tcPr>
                        <w:tcW w:w="5101" w:type="dxa"/>
                        <w:gridSpan w:val="3"/>
                      </w:tcPr>
                      <w:p>
                        <w:pPr>
                          <w:pStyle w:val="10"/>
                          <w:tabs>
                            <w:tab w:val="left" w:pos="3158"/>
                          </w:tabs>
                          <w:spacing w:before="3" w:line="264" w:lineRule="exact"/>
                          <w:ind w:left="-56"/>
                          <w:rPr>
                            <w:b/>
                            <w:sz w:val="21"/>
                          </w:rPr>
                        </w:pPr>
                        <w:r>
                          <w:rPr>
                            <w:b/>
                            <w:w w:val="95"/>
                            <w:sz w:val="21"/>
                          </w:rPr>
                          <w:t>.合同订</w:t>
                        </w:r>
                        <w:r>
                          <w:rPr>
                            <w:b/>
                            <w:spacing w:val="-10"/>
                            <w:w w:val="95"/>
                            <w:sz w:val="21"/>
                          </w:rPr>
                          <w:t>立</w:t>
                        </w:r>
                        <w:r>
                          <w:rPr>
                            <w:b/>
                            <w:sz w:val="21"/>
                          </w:rPr>
                          <w:tab/>
                        </w:r>
                        <w:r>
                          <w:rPr>
                            <w:b/>
                            <w:w w:val="95"/>
                            <w:sz w:val="21"/>
                          </w:rPr>
                          <w:t>4.保险费交</w:t>
                        </w:r>
                        <w:r>
                          <w:rPr>
                            <w:b/>
                            <w:spacing w:val="-10"/>
                            <w:w w:val="95"/>
                            <w:sz w:val="21"/>
                          </w:rPr>
                          <w:t>纳</w:t>
                        </w:r>
                      </w:p>
                      <w:p>
                        <w:pPr>
                          <w:pStyle w:val="10"/>
                          <w:tabs>
                            <w:tab w:val="left" w:pos="3370"/>
                          </w:tabs>
                          <w:spacing w:before="0" w:line="240" w:lineRule="exact"/>
                          <w:ind w:left="50"/>
                          <w:rPr>
                            <w:sz w:val="21"/>
                          </w:rPr>
                        </w:pPr>
                        <w:r>
                          <w:rPr>
                            <w:sz w:val="21"/>
                          </w:rPr>
                          <w:t>1.1</w:t>
                        </w:r>
                        <w:r>
                          <w:rPr>
                            <w:spacing w:val="-6"/>
                            <w:sz w:val="21"/>
                          </w:rPr>
                          <w:t xml:space="preserve"> </w:t>
                        </w:r>
                        <w:r>
                          <w:rPr>
                            <w:sz w:val="21"/>
                          </w:rPr>
                          <w:t>合同构</w:t>
                        </w:r>
                        <w:r>
                          <w:rPr>
                            <w:spacing w:val="-10"/>
                            <w:sz w:val="21"/>
                          </w:rPr>
                          <w:t>成</w:t>
                        </w:r>
                        <w:r>
                          <w:rPr>
                            <w:sz w:val="21"/>
                          </w:rPr>
                          <w:tab/>
                        </w:r>
                        <w:r>
                          <w:rPr>
                            <w:sz w:val="21"/>
                          </w:rPr>
                          <w:t>4.1</w:t>
                        </w:r>
                        <w:r>
                          <w:rPr>
                            <w:spacing w:val="-11"/>
                            <w:sz w:val="21"/>
                          </w:rPr>
                          <w:t xml:space="preserve"> </w:t>
                        </w:r>
                        <w:r>
                          <w:rPr>
                            <w:sz w:val="21"/>
                          </w:rPr>
                          <w:t>保险费的交</w:t>
                        </w:r>
                        <w:r>
                          <w:rPr>
                            <w:spacing w:val="-10"/>
                            <w:sz w:val="21"/>
                          </w:rPr>
                          <w:t>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0" w:hRule="atLeast"/>
                    </w:trPr>
                    <w:tc>
                      <w:tcPr>
                        <w:tcW w:w="418" w:type="dxa"/>
                      </w:tcPr>
                      <w:p>
                        <w:pPr>
                          <w:pStyle w:val="10"/>
                          <w:spacing w:before="0" w:line="240" w:lineRule="exact"/>
                          <w:ind w:left="50"/>
                          <w:rPr>
                            <w:sz w:val="21"/>
                          </w:rPr>
                        </w:pPr>
                        <w:r>
                          <w:rPr>
                            <w:spacing w:val="-5"/>
                            <w:sz w:val="21"/>
                          </w:rPr>
                          <w:t>1.2</w:t>
                        </w:r>
                      </w:p>
                    </w:tc>
                    <w:tc>
                      <w:tcPr>
                        <w:tcW w:w="2629" w:type="dxa"/>
                      </w:tcPr>
                      <w:p>
                        <w:pPr>
                          <w:pStyle w:val="10"/>
                          <w:spacing w:before="0" w:line="240" w:lineRule="exact"/>
                          <w:ind w:left="51"/>
                          <w:rPr>
                            <w:sz w:val="21"/>
                          </w:rPr>
                        </w:pPr>
                        <w:r>
                          <w:rPr>
                            <w:spacing w:val="-4"/>
                            <w:sz w:val="21"/>
                          </w:rPr>
                          <w:t>合同成立与生效</w:t>
                        </w:r>
                      </w:p>
                    </w:tc>
                    <w:tc>
                      <w:tcPr>
                        <w:tcW w:w="2054" w:type="dxa"/>
                      </w:tcPr>
                      <w:p>
                        <w:pPr>
                          <w:pStyle w:val="10"/>
                          <w:spacing w:before="0" w:line="240" w:lineRule="exact"/>
                          <w:ind w:left="323"/>
                          <w:rPr>
                            <w:sz w:val="21"/>
                          </w:rPr>
                        </w:pPr>
                        <w:r>
                          <w:rPr>
                            <w:sz w:val="21"/>
                          </w:rPr>
                          <w:t>4.2</w:t>
                        </w:r>
                        <w:r>
                          <w:rPr>
                            <w:spacing w:val="-4"/>
                            <w:sz w:val="21"/>
                          </w:rPr>
                          <w:t xml:space="preserve"> 不保证续保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9" w:hRule="atLeast"/>
                    </w:trPr>
                    <w:tc>
                      <w:tcPr>
                        <w:tcW w:w="418" w:type="dxa"/>
                      </w:tcPr>
                      <w:p>
                        <w:pPr>
                          <w:pStyle w:val="10"/>
                          <w:spacing w:before="0" w:line="239" w:lineRule="exact"/>
                          <w:ind w:left="50"/>
                          <w:rPr>
                            <w:sz w:val="21"/>
                          </w:rPr>
                        </w:pPr>
                        <w:r>
                          <w:rPr>
                            <w:spacing w:val="-5"/>
                            <w:sz w:val="21"/>
                          </w:rPr>
                          <w:t>1.3</w:t>
                        </w:r>
                      </w:p>
                    </w:tc>
                    <w:tc>
                      <w:tcPr>
                        <w:tcW w:w="2629" w:type="dxa"/>
                      </w:tcPr>
                      <w:p>
                        <w:pPr>
                          <w:pStyle w:val="10"/>
                          <w:spacing w:before="0" w:line="239" w:lineRule="exact"/>
                          <w:ind w:left="54"/>
                          <w:rPr>
                            <w:sz w:val="21"/>
                          </w:rPr>
                        </w:pPr>
                        <w:r>
                          <w:rPr>
                            <w:spacing w:val="-4"/>
                            <w:sz w:val="21"/>
                          </w:rPr>
                          <w:t>投保年龄</w:t>
                        </w:r>
                      </w:p>
                    </w:tc>
                    <w:tc>
                      <w:tcPr>
                        <w:tcW w:w="2054" w:type="dxa"/>
                      </w:tcPr>
                      <w:p>
                        <w:pPr>
                          <w:pStyle w:val="10"/>
                          <w:spacing w:before="0"/>
                          <w:rPr>
                            <w:rFonts w:ascii="Times New Roman"/>
                            <w:sz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35" w:hRule="atLeast"/>
                    </w:trPr>
                    <w:tc>
                      <w:tcPr>
                        <w:tcW w:w="418" w:type="dxa"/>
                      </w:tcPr>
                      <w:p>
                        <w:pPr>
                          <w:pStyle w:val="10"/>
                          <w:spacing w:before="0" w:line="215" w:lineRule="exact"/>
                          <w:ind w:left="50"/>
                          <w:rPr>
                            <w:sz w:val="21"/>
                          </w:rPr>
                        </w:pPr>
                        <w:r>
                          <w:rPr>
                            <w:spacing w:val="-5"/>
                            <w:sz w:val="21"/>
                          </w:rPr>
                          <w:t>1.4</w:t>
                        </w:r>
                      </w:p>
                    </w:tc>
                    <w:tc>
                      <w:tcPr>
                        <w:tcW w:w="2629" w:type="dxa"/>
                      </w:tcPr>
                      <w:p>
                        <w:pPr>
                          <w:pStyle w:val="10"/>
                          <w:spacing w:before="0" w:line="215" w:lineRule="exact"/>
                          <w:ind w:left="54"/>
                          <w:rPr>
                            <w:sz w:val="21"/>
                          </w:rPr>
                        </w:pPr>
                        <w:r>
                          <w:rPr>
                            <w:spacing w:val="-5"/>
                            <w:sz w:val="21"/>
                          </w:rPr>
                          <w:t>犹豫期</w:t>
                        </w:r>
                      </w:p>
                    </w:tc>
                    <w:tc>
                      <w:tcPr>
                        <w:tcW w:w="2054" w:type="dxa"/>
                      </w:tcPr>
                      <w:p>
                        <w:pPr>
                          <w:pStyle w:val="10"/>
                          <w:spacing w:before="0" w:line="215" w:lineRule="exact"/>
                          <w:ind w:left="111"/>
                          <w:rPr>
                            <w:b/>
                            <w:sz w:val="21"/>
                          </w:rPr>
                        </w:pPr>
                        <w:r>
                          <w:rPr>
                            <w:b/>
                            <w:w w:val="95"/>
                            <w:sz w:val="21"/>
                          </w:rPr>
                          <w:t>5.合同解</w:t>
                        </w:r>
                        <w:r>
                          <w:rPr>
                            <w:b/>
                            <w:spacing w:val="-10"/>
                            <w:w w:val="95"/>
                            <w:sz w:val="21"/>
                          </w:rPr>
                          <w:t>除</w:t>
                        </w:r>
                      </w:p>
                    </w:tc>
                  </w:tr>
                </w:tbl>
                <w:p>
                  <w:pPr>
                    <w:pStyle w:val="5"/>
                  </w:pPr>
                </w:p>
              </w:txbxContent>
            </v:textbox>
          </v:shape>
        </w:pict>
      </w:r>
      <w:r>
        <w:rPr>
          <w:b/>
          <w:w w:val="99"/>
          <w:sz w:val="21"/>
        </w:rPr>
        <w:t>1</w:t>
      </w:r>
    </w:p>
    <w:p>
      <w:pPr>
        <w:pStyle w:val="5"/>
        <w:rPr>
          <w:b/>
          <w:sz w:val="20"/>
        </w:rPr>
      </w:pPr>
    </w:p>
    <w:p>
      <w:pPr>
        <w:pStyle w:val="5"/>
        <w:rPr>
          <w:b/>
          <w:sz w:val="20"/>
        </w:rPr>
      </w:pPr>
    </w:p>
    <w:p>
      <w:pPr>
        <w:pStyle w:val="5"/>
        <w:rPr>
          <w:b/>
          <w:sz w:val="20"/>
        </w:rPr>
      </w:pPr>
    </w:p>
    <w:p>
      <w:pPr>
        <w:pStyle w:val="5"/>
        <w:spacing w:before="12"/>
        <w:rPr>
          <w:b/>
          <w:sz w:val="14"/>
        </w:rPr>
      </w:pPr>
    </w:p>
    <w:p>
      <w:pPr>
        <w:spacing w:after="0"/>
        <w:rPr>
          <w:sz w:val="14"/>
        </w:rPr>
        <w:sectPr>
          <w:type w:val="continuous"/>
          <w:pgSz w:w="11910" w:h="16840"/>
          <w:pgMar w:top="480" w:right="360" w:bottom="280" w:left="920" w:header="720" w:footer="720" w:gutter="0"/>
          <w:cols w:space="720" w:num="1"/>
        </w:sectPr>
      </w:pPr>
    </w:p>
    <w:p>
      <w:pPr>
        <w:pStyle w:val="5"/>
        <w:spacing w:before="10"/>
        <w:rPr>
          <w:b/>
          <w:sz w:val="25"/>
        </w:rPr>
      </w:pPr>
    </w:p>
    <w:p>
      <w:pPr>
        <w:pStyle w:val="9"/>
        <w:numPr>
          <w:ilvl w:val="1"/>
          <w:numId w:val="1"/>
        </w:numPr>
        <w:tabs>
          <w:tab w:val="left" w:pos="2456"/>
        </w:tabs>
        <w:spacing w:before="1" w:after="0" w:line="264" w:lineRule="exact"/>
        <w:ind w:left="2455" w:right="0" w:hanging="213"/>
        <w:jc w:val="left"/>
        <w:rPr>
          <w:b/>
          <w:sz w:val="21"/>
        </w:rPr>
      </w:pPr>
      <w:r>
        <w:rPr>
          <w:b/>
          <w:spacing w:val="-2"/>
          <w:sz w:val="21"/>
        </w:rPr>
        <w:t>提供的保障</w:t>
      </w:r>
    </w:p>
    <w:p>
      <w:pPr>
        <w:pStyle w:val="9"/>
        <w:numPr>
          <w:ilvl w:val="2"/>
          <w:numId w:val="1"/>
        </w:numPr>
        <w:tabs>
          <w:tab w:val="left" w:pos="2878"/>
        </w:tabs>
        <w:spacing w:before="0" w:after="0" w:line="260" w:lineRule="exact"/>
        <w:ind w:left="2877" w:right="0" w:hanging="424"/>
        <w:jc w:val="left"/>
        <w:rPr>
          <w:sz w:val="21"/>
        </w:rPr>
      </w:pPr>
      <w:r>
        <w:rPr>
          <w:spacing w:val="-4"/>
          <w:sz w:val="21"/>
        </w:rPr>
        <w:t>保险计划</w:t>
      </w:r>
    </w:p>
    <w:p>
      <w:pPr>
        <w:pStyle w:val="9"/>
        <w:numPr>
          <w:ilvl w:val="2"/>
          <w:numId w:val="1"/>
        </w:numPr>
        <w:tabs>
          <w:tab w:val="left" w:pos="2878"/>
        </w:tabs>
        <w:spacing w:before="0" w:after="0" w:line="260" w:lineRule="exact"/>
        <w:ind w:left="2877" w:right="0" w:hanging="424"/>
        <w:jc w:val="left"/>
        <w:rPr>
          <w:sz w:val="21"/>
        </w:rPr>
      </w:pPr>
      <w:r>
        <w:rPr>
          <w:spacing w:val="-4"/>
          <w:sz w:val="21"/>
        </w:rPr>
        <w:t>保险期间</w:t>
      </w:r>
    </w:p>
    <w:p>
      <w:pPr>
        <w:pStyle w:val="9"/>
        <w:numPr>
          <w:ilvl w:val="2"/>
          <w:numId w:val="1"/>
        </w:numPr>
        <w:tabs>
          <w:tab w:val="left" w:pos="2878"/>
        </w:tabs>
        <w:spacing w:before="0" w:after="0" w:line="259" w:lineRule="exact"/>
        <w:ind w:left="2877" w:right="0" w:hanging="424"/>
        <w:jc w:val="left"/>
        <w:rPr>
          <w:sz w:val="21"/>
        </w:rPr>
      </w:pPr>
      <w:r>
        <w:rPr>
          <w:spacing w:val="-4"/>
          <w:sz w:val="21"/>
        </w:rPr>
        <w:t>保险责任</w:t>
      </w:r>
    </w:p>
    <w:p>
      <w:pPr>
        <w:pStyle w:val="9"/>
        <w:numPr>
          <w:ilvl w:val="2"/>
          <w:numId w:val="1"/>
        </w:numPr>
        <w:tabs>
          <w:tab w:val="left" w:pos="2878"/>
        </w:tabs>
        <w:spacing w:before="0" w:after="0" w:line="264" w:lineRule="exact"/>
        <w:ind w:left="2877" w:right="0" w:hanging="424"/>
        <w:jc w:val="left"/>
        <w:rPr>
          <w:sz w:val="21"/>
        </w:rPr>
      </w:pPr>
      <w:r>
        <w:rPr>
          <w:spacing w:val="-4"/>
          <w:sz w:val="21"/>
        </w:rPr>
        <w:t>责任免除</w:t>
      </w:r>
    </w:p>
    <w:p>
      <w:pPr>
        <w:pStyle w:val="5"/>
        <w:spacing w:before="8"/>
        <w:rPr>
          <w:sz w:val="19"/>
        </w:rPr>
      </w:pPr>
    </w:p>
    <w:p>
      <w:pPr>
        <w:pStyle w:val="4"/>
        <w:numPr>
          <w:ilvl w:val="1"/>
          <w:numId w:val="1"/>
        </w:numPr>
        <w:tabs>
          <w:tab w:val="left" w:pos="2456"/>
        </w:tabs>
        <w:spacing w:before="0" w:after="0" w:line="264" w:lineRule="exact"/>
        <w:ind w:left="2455" w:right="0" w:hanging="213"/>
        <w:jc w:val="left"/>
      </w:pPr>
      <w:r>
        <w:rPr>
          <w:spacing w:val="-2"/>
        </w:rPr>
        <w:t>保险金申领</w:t>
      </w:r>
    </w:p>
    <w:p>
      <w:pPr>
        <w:pStyle w:val="9"/>
        <w:numPr>
          <w:ilvl w:val="2"/>
          <w:numId w:val="1"/>
        </w:numPr>
        <w:tabs>
          <w:tab w:val="left" w:pos="2878"/>
        </w:tabs>
        <w:spacing w:before="0" w:after="0" w:line="261" w:lineRule="exact"/>
        <w:ind w:left="2877" w:right="0" w:hanging="424"/>
        <w:jc w:val="left"/>
        <w:rPr>
          <w:sz w:val="21"/>
        </w:rPr>
      </w:pPr>
      <w:r>
        <w:rPr>
          <w:spacing w:val="-5"/>
          <w:sz w:val="21"/>
        </w:rPr>
        <w:t>受益人</w:t>
      </w:r>
    </w:p>
    <w:p>
      <w:pPr>
        <w:pStyle w:val="9"/>
        <w:numPr>
          <w:ilvl w:val="2"/>
          <w:numId w:val="1"/>
        </w:numPr>
        <w:tabs>
          <w:tab w:val="left" w:pos="2875"/>
        </w:tabs>
        <w:spacing w:before="0" w:after="0" w:line="261" w:lineRule="exact"/>
        <w:ind w:left="2874" w:right="0" w:hanging="421"/>
        <w:jc w:val="left"/>
        <w:rPr>
          <w:sz w:val="21"/>
        </w:rPr>
      </w:pPr>
      <w:r>
        <w:rPr>
          <w:spacing w:val="-4"/>
          <w:sz w:val="21"/>
        </w:rPr>
        <w:t>保险事故通知</w:t>
      </w:r>
    </w:p>
    <w:p>
      <w:pPr>
        <w:pStyle w:val="9"/>
        <w:numPr>
          <w:ilvl w:val="2"/>
          <w:numId w:val="1"/>
        </w:numPr>
        <w:tabs>
          <w:tab w:val="left" w:pos="2875"/>
        </w:tabs>
        <w:spacing w:before="0" w:after="0" w:line="259" w:lineRule="exact"/>
        <w:ind w:left="2874" w:right="0" w:hanging="421"/>
        <w:jc w:val="left"/>
        <w:rPr>
          <w:sz w:val="21"/>
        </w:rPr>
      </w:pPr>
      <w:r>
        <w:rPr>
          <w:spacing w:val="-4"/>
          <w:sz w:val="21"/>
        </w:rPr>
        <w:t>保险金申请</w:t>
      </w:r>
    </w:p>
    <w:p>
      <w:pPr>
        <w:pStyle w:val="9"/>
        <w:numPr>
          <w:ilvl w:val="2"/>
          <w:numId w:val="1"/>
        </w:numPr>
        <w:tabs>
          <w:tab w:val="left" w:pos="2875"/>
        </w:tabs>
        <w:spacing w:before="0" w:after="0" w:line="260" w:lineRule="exact"/>
        <w:ind w:left="2874" w:right="0" w:hanging="421"/>
        <w:jc w:val="left"/>
        <w:rPr>
          <w:sz w:val="21"/>
        </w:rPr>
      </w:pPr>
      <w:r>
        <w:rPr>
          <w:spacing w:val="-4"/>
          <w:sz w:val="21"/>
        </w:rPr>
        <w:t>代理申请及其他</w:t>
      </w:r>
    </w:p>
    <w:p>
      <w:pPr>
        <w:pStyle w:val="9"/>
        <w:numPr>
          <w:ilvl w:val="2"/>
          <w:numId w:val="1"/>
        </w:numPr>
        <w:tabs>
          <w:tab w:val="left" w:pos="2875"/>
        </w:tabs>
        <w:spacing w:before="0" w:after="0" w:line="260" w:lineRule="exact"/>
        <w:ind w:left="2874" w:right="0" w:hanging="421"/>
        <w:jc w:val="left"/>
        <w:rPr>
          <w:sz w:val="21"/>
        </w:rPr>
      </w:pPr>
      <w:r>
        <w:rPr>
          <w:spacing w:val="-4"/>
          <w:sz w:val="21"/>
        </w:rPr>
        <w:t>配合调查</w:t>
      </w:r>
    </w:p>
    <w:p>
      <w:pPr>
        <w:pStyle w:val="9"/>
        <w:numPr>
          <w:ilvl w:val="2"/>
          <w:numId w:val="1"/>
        </w:numPr>
        <w:tabs>
          <w:tab w:val="left" w:pos="2878"/>
        </w:tabs>
        <w:spacing w:before="0" w:after="0" w:line="259" w:lineRule="exact"/>
        <w:ind w:left="2877" w:right="0" w:hanging="424"/>
        <w:jc w:val="left"/>
        <w:rPr>
          <w:sz w:val="21"/>
        </w:rPr>
      </w:pPr>
      <w:r>
        <w:rPr>
          <w:spacing w:val="-4"/>
          <w:sz w:val="21"/>
        </w:rPr>
        <w:t>保险金的给付</w:t>
      </w:r>
    </w:p>
    <w:p>
      <w:pPr>
        <w:pStyle w:val="9"/>
        <w:numPr>
          <w:ilvl w:val="2"/>
          <w:numId w:val="1"/>
        </w:numPr>
        <w:tabs>
          <w:tab w:val="left" w:pos="2878"/>
        </w:tabs>
        <w:spacing w:before="0" w:after="0" w:line="264" w:lineRule="exact"/>
        <w:ind w:left="2877" w:right="0" w:hanging="424"/>
        <w:jc w:val="left"/>
        <w:rPr>
          <w:sz w:val="21"/>
        </w:rPr>
      </w:pPr>
      <w:r>
        <w:rPr>
          <w:spacing w:val="-4"/>
          <w:sz w:val="21"/>
        </w:rPr>
        <w:t>诉讼时效</w:t>
      </w:r>
    </w:p>
    <w:p>
      <w:pPr>
        <w:pStyle w:val="5"/>
        <w:spacing w:before="72"/>
        <w:ind w:left="1388"/>
      </w:pPr>
      <w:r>
        <w:br w:type="column"/>
      </w:r>
      <w:r>
        <w:t>5.1</w:t>
      </w:r>
      <w:r>
        <w:rPr>
          <w:spacing w:val="-5"/>
        </w:rPr>
        <w:t xml:space="preserve"> 解除合同的手续及风险</w:t>
      </w:r>
    </w:p>
    <w:p>
      <w:pPr>
        <w:pStyle w:val="5"/>
        <w:spacing w:before="5"/>
        <w:rPr>
          <w:sz w:val="19"/>
        </w:rPr>
      </w:pPr>
    </w:p>
    <w:p>
      <w:pPr>
        <w:pStyle w:val="4"/>
        <w:numPr>
          <w:ilvl w:val="0"/>
          <w:numId w:val="2"/>
        </w:numPr>
        <w:tabs>
          <w:tab w:val="left" w:pos="1390"/>
        </w:tabs>
        <w:spacing w:before="1" w:after="0" w:line="265" w:lineRule="exact"/>
        <w:ind w:left="1389" w:right="0" w:hanging="213"/>
        <w:jc w:val="left"/>
      </w:pPr>
      <w:r>
        <w:rPr>
          <w:spacing w:val="-3"/>
        </w:rPr>
        <w:t>其他事项</w:t>
      </w:r>
    </w:p>
    <w:p>
      <w:pPr>
        <w:pStyle w:val="9"/>
        <w:numPr>
          <w:ilvl w:val="1"/>
          <w:numId w:val="2"/>
        </w:numPr>
        <w:tabs>
          <w:tab w:val="left" w:pos="1812"/>
        </w:tabs>
        <w:spacing w:before="0" w:after="0" w:line="260" w:lineRule="exact"/>
        <w:ind w:left="1811" w:right="0" w:hanging="424"/>
        <w:jc w:val="left"/>
        <w:rPr>
          <w:sz w:val="21"/>
        </w:rPr>
      </w:pPr>
      <w:r>
        <w:rPr>
          <w:spacing w:val="-3"/>
          <w:sz w:val="21"/>
        </w:rPr>
        <w:t>明确说明与如实告知</w:t>
      </w:r>
    </w:p>
    <w:p>
      <w:pPr>
        <w:pStyle w:val="9"/>
        <w:numPr>
          <w:ilvl w:val="1"/>
          <w:numId w:val="2"/>
        </w:numPr>
        <w:tabs>
          <w:tab w:val="left" w:pos="1812"/>
        </w:tabs>
        <w:spacing w:before="0" w:after="0" w:line="259" w:lineRule="exact"/>
        <w:ind w:left="1811" w:right="0" w:hanging="424"/>
        <w:jc w:val="left"/>
        <w:rPr>
          <w:sz w:val="21"/>
        </w:rPr>
      </w:pPr>
      <w:r>
        <w:rPr>
          <w:spacing w:val="-3"/>
          <w:sz w:val="21"/>
        </w:rPr>
        <w:t>本公司合同解除权的限制</w:t>
      </w:r>
    </w:p>
    <w:p>
      <w:pPr>
        <w:pStyle w:val="9"/>
        <w:numPr>
          <w:ilvl w:val="1"/>
          <w:numId w:val="2"/>
        </w:numPr>
        <w:tabs>
          <w:tab w:val="left" w:pos="1812"/>
        </w:tabs>
        <w:spacing w:before="0" w:after="0" w:line="260" w:lineRule="exact"/>
        <w:ind w:left="1811" w:right="0" w:hanging="424"/>
        <w:jc w:val="left"/>
        <w:rPr>
          <w:sz w:val="21"/>
        </w:rPr>
      </w:pPr>
      <w:r>
        <w:rPr>
          <w:spacing w:val="-4"/>
          <w:sz w:val="21"/>
        </w:rPr>
        <w:t>年龄错误</w:t>
      </w:r>
    </w:p>
    <w:p>
      <w:pPr>
        <w:pStyle w:val="9"/>
        <w:numPr>
          <w:ilvl w:val="1"/>
          <w:numId w:val="2"/>
        </w:numPr>
        <w:tabs>
          <w:tab w:val="left" w:pos="1812"/>
        </w:tabs>
        <w:spacing w:before="0" w:after="0" w:line="260" w:lineRule="exact"/>
        <w:ind w:left="1811" w:right="0" w:hanging="424"/>
        <w:jc w:val="left"/>
        <w:rPr>
          <w:sz w:val="21"/>
        </w:rPr>
      </w:pPr>
      <w:r>
        <w:rPr>
          <w:spacing w:val="-4"/>
          <w:sz w:val="21"/>
        </w:rPr>
        <w:t>职业或工种的变更</w:t>
      </w:r>
    </w:p>
    <w:p>
      <w:pPr>
        <w:pStyle w:val="9"/>
        <w:numPr>
          <w:ilvl w:val="1"/>
          <w:numId w:val="2"/>
        </w:numPr>
        <w:tabs>
          <w:tab w:val="left" w:pos="1812"/>
        </w:tabs>
        <w:spacing w:before="0" w:after="0" w:line="259" w:lineRule="exact"/>
        <w:ind w:left="1811" w:right="0" w:hanging="424"/>
        <w:jc w:val="left"/>
        <w:rPr>
          <w:sz w:val="21"/>
        </w:rPr>
      </w:pPr>
      <w:r>
        <w:rPr>
          <w:spacing w:val="-4"/>
          <w:sz w:val="21"/>
        </w:rPr>
        <w:t>未还款项</w:t>
      </w:r>
    </w:p>
    <w:p>
      <w:pPr>
        <w:pStyle w:val="9"/>
        <w:numPr>
          <w:ilvl w:val="1"/>
          <w:numId w:val="2"/>
        </w:numPr>
        <w:tabs>
          <w:tab w:val="left" w:pos="1812"/>
        </w:tabs>
        <w:spacing w:before="0" w:after="0" w:line="261" w:lineRule="exact"/>
        <w:ind w:left="1811" w:right="0" w:hanging="424"/>
        <w:jc w:val="left"/>
        <w:rPr>
          <w:sz w:val="21"/>
        </w:rPr>
      </w:pPr>
      <w:r>
        <w:rPr>
          <w:spacing w:val="-4"/>
          <w:sz w:val="21"/>
        </w:rPr>
        <w:t>合同内容变更</w:t>
      </w:r>
    </w:p>
    <w:p>
      <w:pPr>
        <w:pStyle w:val="9"/>
        <w:numPr>
          <w:ilvl w:val="1"/>
          <w:numId w:val="2"/>
        </w:numPr>
        <w:tabs>
          <w:tab w:val="left" w:pos="1812"/>
        </w:tabs>
        <w:spacing w:before="0" w:after="0" w:line="261" w:lineRule="exact"/>
        <w:ind w:left="1811" w:right="0" w:hanging="424"/>
        <w:jc w:val="left"/>
        <w:rPr>
          <w:sz w:val="21"/>
        </w:rPr>
      </w:pPr>
      <w:r>
        <w:rPr>
          <w:spacing w:val="-4"/>
          <w:sz w:val="21"/>
        </w:rPr>
        <w:t>联系方式变更</w:t>
      </w:r>
    </w:p>
    <w:p>
      <w:pPr>
        <w:pStyle w:val="9"/>
        <w:numPr>
          <w:ilvl w:val="1"/>
          <w:numId w:val="2"/>
        </w:numPr>
        <w:tabs>
          <w:tab w:val="left" w:pos="1812"/>
        </w:tabs>
        <w:spacing w:before="0" w:after="0" w:line="264" w:lineRule="exact"/>
        <w:ind w:left="1811" w:right="0" w:hanging="424"/>
        <w:jc w:val="left"/>
        <w:rPr>
          <w:sz w:val="21"/>
        </w:rPr>
      </w:pPr>
      <w:r>
        <w:rPr>
          <w:spacing w:val="-4"/>
          <w:sz w:val="21"/>
        </w:rPr>
        <w:t>争议处理</w:t>
      </w:r>
    </w:p>
    <w:p>
      <w:pPr>
        <w:pStyle w:val="5"/>
        <w:spacing w:before="3"/>
        <w:rPr>
          <w:sz w:val="20"/>
        </w:rPr>
      </w:pPr>
    </w:p>
    <w:p>
      <w:pPr>
        <w:spacing w:before="0" w:line="230" w:lineRule="auto"/>
        <w:ind w:left="1177" w:right="2113" w:firstLine="0"/>
        <w:jc w:val="left"/>
        <w:rPr>
          <w:sz w:val="21"/>
        </w:rPr>
      </w:pPr>
      <w:r>
        <w:rPr>
          <w:b/>
          <w:spacing w:val="-7"/>
          <w:sz w:val="21"/>
        </w:rPr>
        <w:t xml:space="preserve">附表一 </w:t>
      </w:r>
      <w:r>
        <w:rPr>
          <w:sz w:val="21"/>
        </w:rPr>
        <w:t>恶性肿瘤-重度疾病定义</w:t>
      </w:r>
      <w:r>
        <w:rPr>
          <w:b/>
          <w:spacing w:val="-4"/>
          <w:sz w:val="21"/>
        </w:rPr>
        <w:t xml:space="preserve">附表二 </w:t>
      </w:r>
      <w:r>
        <w:rPr>
          <w:sz w:val="21"/>
        </w:rPr>
        <w:t>甲状腺癌的TNM</w:t>
      </w:r>
      <w:r>
        <w:rPr>
          <w:spacing w:val="-3"/>
          <w:sz w:val="21"/>
        </w:rPr>
        <w:t>分期标准</w:t>
      </w:r>
    </w:p>
    <w:p>
      <w:pPr>
        <w:spacing w:after="0" w:line="230" w:lineRule="auto"/>
        <w:jc w:val="left"/>
        <w:rPr>
          <w:sz w:val="21"/>
        </w:rPr>
        <w:sectPr>
          <w:type w:val="continuous"/>
          <w:pgSz w:w="11910" w:h="16840"/>
          <w:pgMar w:top="480" w:right="360" w:bottom="280" w:left="920" w:header="720" w:footer="720" w:gutter="0"/>
          <w:cols w:equalWidth="0" w:num="2">
            <w:col w:w="4347" w:space="40"/>
            <w:col w:w="6243"/>
          </w:cols>
        </w:sectPr>
      </w:pPr>
    </w:p>
    <w:p>
      <w:pPr>
        <w:pStyle w:val="2"/>
        <w:spacing w:before="47"/>
      </w:pPr>
      <w:r>
        <w:rPr>
          <w:w w:val="95"/>
        </w:rPr>
        <w:t>复星联合乐健一生中端医疗保险（2021</w:t>
      </w:r>
      <w:r>
        <w:rPr>
          <w:spacing w:val="9"/>
        </w:rPr>
        <w:t xml:space="preserve">  </w:t>
      </w:r>
      <w:r>
        <w:rPr>
          <w:w w:val="95"/>
        </w:rPr>
        <w:t>版）</w:t>
      </w:r>
      <w:r>
        <w:rPr>
          <w:spacing w:val="-5"/>
          <w:w w:val="95"/>
        </w:rPr>
        <w:t>条款</w:t>
      </w:r>
    </w:p>
    <w:p>
      <w:pPr>
        <w:pStyle w:val="5"/>
        <w:spacing w:before="4"/>
        <w:rPr>
          <w:b/>
          <w:sz w:val="22"/>
        </w:rPr>
      </w:pPr>
    </w:p>
    <w:p>
      <w:pPr>
        <w:spacing w:before="1" w:line="232" w:lineRule="auto"/>
        <w:ind w:left="100" w:right="653" w:firstLine="422"/>
        <w:jc w:val="left"/>
        <w:rPr>
          <w:i/>
          <w:sz w:val="22"/>
        </w:rPr>
      </w:pPr>
      <w:r>
        <w:rPr>
          <w:i/>
          <w:spacing w:val="-2"/>
          <w:w w:val="95"/>
          <w:sz w:val="22"/>
        </w:rPr>
        <w:t>（本公司在每页底部对一些专业名词做了释义，这些释义为本保险条款的重要组成部分。同一专业名词在条款中出现多次的，本公司仅在该专业名词第一次出现的地方做了释义，该释</w:t>
      </w:r>
      <w:r>
        <w:rPr>
          <w:i/>
          <w:spacing w:val="-18"/>
          <w:w w:val="95"/>
          <w:sz w:val="22"/>
        </w:rPr>
        <w:t>义适用于全文。</w:t>
      </w:r>
      <w:r>
        <w:rPr>
          <w:i/>
          <w:spacing w:val="-2"/>
          <w:w w:val="95"/>
          <w:sz w:val="22"/>
        </w:rPr>
        <w:t>）</w:t>
      </w:r>
    </w:p>
    <w:p>
      <w:pPr>
        <w:pStyle w:val="5"/>
        <w:spacing w:before="6"/>
        <w:rPr>
          <w:i/>
          <w:sz w:val="30"/>
        </w:rPr>
      </w:pPr>
    </w:p>
    <w:p>
      <w:pPr>
        <w:pStyle w:val="3"/>
        <w:numPr>
          <w:ilvl w:val="0"/>
          <w:numId w:val="3"/>
        </w:numPr>
        <w:tabs>
          <w:tab w:val="left" w:pos="1362"/>
          <w:tab w:val="left" w:pos="1363"/>
        </w:tabs>
        <w:spacing w:before="0" w:after="0" w:line="240" w:lineRule="auto"/>
        <w:ind w:left="1362" w:right="0" w:hanging="1016"/>
        <w:jc w:val="left"/>
        <w:rPr>
          <w:sz w:val="36"/>
        </w:rPr>
      </w:pPr>
      <w:r>
        <w:rPr>
          <w:spacing w:val="-3"/>
          <w:w w:val="95"/>
        </w:rPr>
        <w:t>合同订立</w:t>
      </w:r>
    </w:p>
    <w:p>
      <w:pPr>
        <w:pStyle w:val="5"/>
        <w:spacing w:before="11"/>
        <w:rPr>
          <w:b/>
          <w:sz w:val="16"/>
        </w:rPr>
      </w:pPr>
      <w:r>
        <w:drawing>
          <wp:anchor distT="0" distB="0" distL="0" distR="0" simplePos="0" relativeHeight="251659264" behindDoc="0" locked="0" layoutInCell="1" allowOverlap="1">
            <wp:simplePos x="0" y="0"/>
            <wp:positionH relativeFrom="page">
              <wp:posOffset>735965</wp:posOffset>
            </wp:positionH>
            <wp:positionV relativeFrom="paragraph">
              <wp:posOffset>152400</wp:posOffset>
            </wp:positionV>
            <wp:extent cx="6289040" cy="12065"/>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a:picLocks noChangeAspect="1"/>
                    </pic:cNvPicPr>
                  </pic:nvPicPr>
                  <pic:blipFill>
                    <a:blip r:embed="rId8" cstate="print"/>
                    <a:stretch>
                      <a:fillRect/>
                    </a:stretch>
                  </pic:blipFill>
                  <pic:spPr>
                    <a:xfrm>
                      <a:off x="0" y="0"/>
                      <a:ext cx="6289086" cy="12287"/>
                    </a:xfrm>
                    <a:prstGeom prst="rect">
                      <a:avLst/>
                    </a:prstGeom>
                  </pic:spPr>
                </pic:pic>
              </a:graphicData>
            </a:graphic>
          </wp:anchor>
        </w:drawing>
      </w:r>
    </w:p>
    <w:p>
      <w:pPr>
        <w:pStyle w:val="9"/>
        <w:numPr>
          <w:ilvl w:val="1"/>
          <w:numId w:val="3"/>
        </w:numPr>
        <w:tabs>
          <w:tab w:val="left" w:pos="1362"/>
          <w:tab w:val="left" w:pos="1363"/>
          <w:tab w:val="left" w:pos="2997"/>
        </w:tabs>
        <w:spacing w:before="181" w:after="0" w:line="278" w:lineRule="auto"/>
        <w:ind w:left="2997" w:right="557" w:hanging="2650"/>
        <w:jc w:val="left"/>
        <w:rPr>
          <w:sz w:val="21"/>
        </w:rPr>
      </w:pPr>
      <w:r>
        <w:rPr>
          <w:b/>
          <w:w w:val="100"/>
          <w:sz w:val="21"/>
        </w:rPr>
        <w:t>合同构成</w:t>
      </w:r>
      <w:r>
        <w:rPr>
          <w:b/>
          <w:sz w:val="21"/>
        </w:rPr>
        <w:tab/>
      </w:r>
      <w:r>
        <w:rPr>
          <w:w w:val="100"/>
          <w:sz w:val="21"/>
        </w:rPr>
        <w:t>本保</w:t>
      </w:r>
      <w:r>
        <w:rPr>
          <w:spacing w:val="-3"/>
          <w:w w:val="100"/>
          <w:sz w:val="21"/>
        </w:rPr>
        <w:t>险</w:t>
      </w:r>
      <w:r>
        <w:rPr>
          <w:w w:val="100"/>
          <w:sz w:val="21"/>
        </w:rPr>
        <w:t>条</w:t>
      </w:r>
      <w:r>
        <w:rPr>
          <w:spacing w:val="-3"/>
          <w:w w:val="100"/>
          <w:sz w:val="21"/>
        </w:rPr>
        <w:t>款</w:t>
      </w:r>
      <w:r>
        <w:rPr>
          <w:spacing w:val="-27"/>
          <w:w w:val="100"/>
          <w:sz w:val="21"/>
        </w:rPr>
        <w:t>、</w:t>
      </w:r>
      <w:r>
        <w:rPr>
          <w:spacing w:val="-3"/>
          <w:w w:val="100"/>
          <w:sz w:val="21"/>
        </w:rPr>
        <w:t>投</w:t>
      </w:r>
      <w:r>
        <w:rPr>
          <w:w w:val="100"/>
          <w:sz w:val="21"/>
        </w:rPr>
        <w:t>保单</w:t>
      </w:r>
      <w:r>
        <w:rPr>
          <w:spacing w:val="-3"/>
          <w:w w:val="100"/>
          <w:sz w:val="21"/>
        </w:rPr>
        <w:t>或其</w:t>
      </w:r>
      <w:r>
        <w:rPr>
          <w:w w:val="100"/>
          <w:sz w:val="21"/>
        </w:rPr>
        <w:t>他投</w:t>
      </w:r>
      <w:r>
        <w:rPr>
          <w:spacing w:val="-3"/>
          <w:w w:val="100"/>
          <w:sz w:val="21"/>
        </w:rPr>
        <w:t>保</w:t>
      </w:r>
      <w:r>
        <w:rPr>
          <w:w w:val="100"/>
          <w:sz w:val="21"/>
        </w:rPr>
        <w:t>文</w:t>
      </w:r>
      <w:r>
        <w:rPr>
          <w:spacing w:val="-3"/>
          <w:w w:val="100"/>
          <w:sz w:val="21"/>
        </w:rPr>
        <w:t>件</w:t>
      </w:r>
      <w:r>
        <w:rPr>
          <w:spacing w:val="-27"/>
          <w:w w:val="100"/>
          <w:sz w:val="21"/>
        </w:rPr>
        <w:t>、</w:t>
      </w:r>
      <w:r>
        <w:rPr>
          <w:spacing w:val="-3"/>
          <w:w w:val="100"/>
          <w:sz w:val="21"/>
        </w:rPr>
        <w:t>保</w:t>
      </w:r>
      <w:r>
        <w:rPr>
          <w:w w:val="100"/>
          <w:sz w:val="21"/>
        </w:rPr>
        <w:t>险计</w:t>
      </w:r>
      <w:r>
        <w:rPr>
          <w:spacing w:val="-3"/>
          <w:w w:val="100"/>
          <w:sz w:val="21"/>
        </w:rPr>
        <w:t>划表</w:t>
      </w:r>
      <w:r>
        <w:rPr>
          <w:spacing w:val="-27"/>
          <w:w w:val="100"/>
          <w:sz w:val="21"/>
        </w:rPr>
        <w:t>、</w:t>
      </w:r>
      <w:r>
        <w:rPr>
          <w:w w:val="100"/>
          <w:sz w:val="21"/>
        </w:rPr>
        <w:t>保</w:t>
      </w:r>
      <w:r>
        <w:rPr>
          <w:spacing w:val="-3"/>
          <w:w w:val="100"/>
          <w:sz w:val="21"/>
        </w:rPr>
        <w:t>险</w:t>
      </w:r>
      <w:r>
        <w:rPr>
          <w:w w:val="100"/>
          <w:sz w:val="21"/>
        </w:rPr>
        <w:t>单</w:t>
      </w:r>
      <w:r>
        <w:rPr>
          <w:spacing w:val="-3"/>
          <w:w w:val="100"/>
          <w:sz w:val="21"/>
        </w:rPr>
        <w:t>或</w:t>
      </w:r>
      <w:r>
        <w:rPr>
          <w:w w:val="100"/>
          <w:sz w:val="21"/>
        </w:rPr>
        <w:t>其</w:t>
      </w:r>
      <w:r>
        <w:rPr>
          <w:spacing w:val="-3"/>
          <w:w w:val="100"/>
          <w:sz w:val="21"/>
        </w:rPr>
        <w:t>他</w:t>
      </w:r>
      <w:r>
        <w:rPr>
          <w:w w:val="100"/>
          <w:sz w:val="21"/>
        </w:rPr>
        <w:t>保险</w:t>
      </w:r>
      <w:r>
        <w:rPr>
          <w:spacing w:val="-3"/>
          <w:w w:val="100"/>
          <w:sz w:val="21"/>
        </w:rPr>
        <w:t>凭</w:t>
      </w:r>
      <w:r>
        <w:rPr>
          <w:w w:val="100"/>
          <w:sz w:val="21"/>
        </w:rPr>
        <w:t>证、附贴批单和其他约定书</w:t>
      </w:r>
      <w:r>
        <w:rPr>
          <w:spacing w:val="-3"/>
          <w:w w:val="100"/>
          <w:sz w:val="21"/>
        </w:rPr>
        <w:t>，</w:t>
      </w:r>
      <w:r>
        <w:rPr>
          <w:w w:val="100"/>
          <w:sz w:val="21"/>
        </w:rPr>
        <w:t>均为投保人与本公司订</w:t>
      </w:r>
      <w:r>
        <w:rPr>
          <w:spacing w:val="-3"/>
          <w:w w:val="100"/>
          <w:sz w:val="21"/>
        </w:rPr>
        <w:t>立</w:t>
      </w:r>
      <w:r>
        <w:rPr>
          <w:w w:val="100"/>
          <w:sz w:val="21"/>
        </w:rPr>
        <w:t>的《复星联合乐健一</w:t>
      </w:r>
      <w:r>
        <w:rPr>
          <w:spacing w:val="-3"/>
          <w:w w:val="100"/>
          <w:sz w:val="21"/>
        </w:rPr>
        <w:t>生</w:t>
      </w:r>
      <w:r>
        <w:rPr>
          <w:w w:val="100"/>
          <w:sz w:val="21"/>
        </w:rPr>
        <w:t>中端医</w:t>
      </w:r>
      <w:r>
        <w:rPr>
          <w:spacing w:val="-3"/>
          <w:w w:val="100"/>
          <w:sz w:val="21"/>
        </w:rPr>
        <w:t>疗</w:t>
      </w:r>
      <w:r>
        <w:rPr>
          <w:w w:val="100"/>
          <w:sz w:val="21"/>
        </w:rPr>
        <w:t>保</w:t>
      </w:r>
      <w:r>
        <w:rPr>
          <w:spacing w:val="-8"/>
          <w:w w:val="100"/>
          <w:sz w:val="21"/>
        </w:rPr>
        <w:t>险</w:t>
      </w:r>
      <w:r>
        <w:rPr>
          <w:w w:val="100"/>
          <w:sz w:val="21"/>
        </w:rPr>
        <w:t>（20</w:t>
      </w:r>
      <w:r>
        <w:rPr>
          <w:spacing w:val="-3"/>
          <w:w w:val="100"/>
          <w:sz w:val="21"/>
        </w:rPr>
        <w:t>2</w:t>
      </w:r>
      <w:r>
        <w:rPr>
          <w:w w:val="100"/>
          <w:sz w:val="21"/>
        </w:rPr>
        <w:t>1</w:t>
      </w:r>
      <w:r>
        <w:rPr>
          <w:spacing w:val="-53"/>
          <w:sz w:val="21"/>
        </w:rPr>
        <w:t xml:space="preserve"> </w:t>
      </w:r>
      <w:r>
        <w:rPr>
          <w:w w:val="100"/>
          <w:sz w:val="21"/>
        </w:rPr>
        <w:t>版</w:t>
      </w:r>
      <w:r>
        <w:rPr>
          <w:spacing w:val="-8"/>
          <w:w w:val="100"/>
          <w:sz w:val="21"/>
        </w:rPr>
        <w:t>）</w:t>
      </w:r>
      <w:r>
        <w:rPr>
          <w:spacing w:val="-3"/>
          <w:w w:val="100"/>
          <w:sz w:val="21"/>
        </w:rPr>
        <w:t>合</w:t>
      </w:r>
      <w:r>
        <w:rPr>
          <w:w w:val="100"/>
          <w:sz w:val="21"/>
        </w:rPr>
        <w:t>同</w:t>
      </w:r>
      <w:r>
        <w:rPr>
          <w:spacing w:val="-111"/>
          <w:w w:val="100"/>
          <w:sz w:val="21"/>
        </w:rPr>
        <w:t>》</w:t>
      </w:r>
      <w:r>
        <w:rPr>
          <w:w w:val="100"/>
          <w:sz w:val="21"/>
        </w:rPr>
        <w:t>（</w:t>
      </w:r>
      <w:r>
        <w:rPr>
          <w:spacing w:val="-3"/>
          <w:w w:val="100"/>
          <w:sz w:val="21"/>
        </w:rPr>
        <w:t>以</w:t>
      </w:r>
      <w:r>
        <w:rPr>
          <w:w w:val="100"/>
          <w:sz w:val="21"/>
        </w:rPr>
        <w:t>下</w:t>
      </w:r>
      <w:r>
        <w:rPr>
          <w:spacing w:val="-3"/>
          <w:w w:val="100"/>
          <w:sz w:val="21"/>
        </w:rPr>
        <w:t>简</w:t>
      </w:r>
      <w:r>
        <w:rPr>
          <w:spacing w:val="-5"/>
          <w:w w:val="100"/>
          <w:sz w:val="21"/>
        </w:rPr>
        <w:t>称</w:t>
      </w:r>
      <w:r>
        <w:rPr>
          <w:w w:val="100"/>
          <w:sz w:val="21"/>
        </w:rPr>
        <w:t>“</w:t>
      </w:r>
      <w:r>
        <w:rPr>
          <w:spacing w:val="-3"/>
          <w:w w:val="100"/>
          <w:sz w:val="21"/>
        </w:rPr>
        <w:t>本</w:t>
      </w:r>
      <w:r>
        <w:rPr>
          <w:w w:val="100"/>
          <w:sz w:val="21"/>
        </w:rPr>
        <w:t>合</w:t>
      </w:r>
      <w:r>
        <w:rPr>
          <w:spacing w:val="-3"/>
          <w:w w:val="100"/>
          <w:sz w:val="21"/>
        </w:rPr>
        <w:t>同</w:t>
      </w:r>
      <w:r>
        <w:rPr>
          <w:spacing w:val="-108"/>
          <w:w w:val="100"/>
          <w:sz w:val="21"/>
        </w:rPr>
        <w:t>”</w:t>
      </w:r>
      <w:r>
        <w:rPr>
          <w:spacing w:val="-5"/>
          <w:w w:val="100"/>
          <w:sz w:val="21"/>
        </w:rPr>
        <w:t>）</w:t>
      </w:r>
      <w:r>
        <w:rPr>
          <w:w w:val="100"/>
          <w:sz w:val="21"/>
        </w:rPr>
        <w:t>的</w:t>
      </w:r>
      <w:r>
        <w:rPr>
          <w:spacing w:val="-3"/>
          <w:w w:val="100"/>
          <w:sz w:val="21"/>
        </w:rPr>
        <w:t>构</w:t>
      </w:r>
      <w:r>
        <w:rPr>
          <w:w w:val="100"/>
          <w:sz w:val="21"/>
        </w:rPr>
        <w:t>成</w:t>
      </w:r>
      <w:r>
        <w:rPr>
          <w:spacing w:val="-3"/>
          <w:w w:val="100"/>
          <w:sz w:val="21"/>
        </w:rPr>
        <w:t>部</w:t>
      </w:r>
      <w:r>
        <w:rPr>
          <w:w w:val="100"/>
          <w:sz w:val="21"/>
        </w:rPr>
        <w:t>分</w:t>
      </w:r>
      <w:r>
        <w:rPr>
          <w:spacing w:val="-5"/>
          <w:w w:val="100"/>
          <w:sz w:val="21"/>
        </w:rPr>
        <w:t>。</w:t>
      </w:r>
      <w:r>
        <w:rPr>
          <w:spacing w:val="-3"/>
          <w:w w:val="100"/>
          <w:sz w:val="21"/>
        </w:rPr>
        <w:t>凡</w:t>
      </w:r>
      <w:r>
        <w:rPr>
          <w:w w:val="100"/>
          <w:sz w:val="21"/>
        </w:rPr>
        <w:t>涉</w:t>
      </w:r>
      <w:r>
        <w:rPr>
          <w:spacing w:val="-3"/>
          <w:w w:val="100"/>
          <w:sz w:val="21"/>
        </w:rPr>
        <w:t>及</w:t>
      </w:r>
      <w:r>
        <w:rPr>
          <w:w w:val="100"/>
          <w:sz w:val="21"/>
        </w:rPr>
        <w:t>本合同</w:t>
      </w:r>
      <w:r>
        <w:rPr>
          <w:spacing w:val="-3"/>
          <w:w w:val="100"/>
          <w:sz w:val="21"/>
        </w:rPr>
        <w:t>的</w:t>
      </w:r>
      <w:r>
        <w:rPr>
          <w:w w:val="100"/>
          <w:sz w:val="21"/>
        </w:rPr>
        <w:t>约</w:t>
      </w:r>
      <w:r>
        <w:rPr>
          <w:spacing w:val="-3"/>
          <w:w w:val="100"/>
          <w:sz w:val="21"/>
        </w:rPr>
        <w:t>定</w:t>
      </w:r>
      <w:r>
        <w:rPr>
          <w:w w:val="100"/>
          <w:sz w:val="21"/>
        </w:rPr>
        <w:t>，</w:t>
      </w:r>
      <w:r>
        <w:rPr>
          <w:spacing w:val="-3"/>
          <w:w w:val="100"/>
          <w:sz w:val="21"/>
        </w:rPr>
        <w:t>均</w:t>
      </w:r>
      <w:r>
        <w:rPr>
          <w:w w:val="100"/>
          <w:sz w:val="21"/>
        </w:rPr>
        <w:t>应</w:t>
      </w:r>
      <w:r>
        <w:rPr>
          <w:spacing w:val="-3"/>
          <w:w w:val="100"/>
          <w:sz w:val="21"/>
        </w:rPr>
        <w:t>当</w:t>
      </w:r>
      <w:r>
        <w:rPr>
          <w:w w:val="100"/>
          <w:sz w:val="21"/>
        </w:rPr>
        <w:t>采</w:t>
      </w:r>
      <w:r>
        <w:rPr>
          <w:spacing w:val="-3"/>
          <w:w w:val="100"/>
          <w:sz w:val="21"/>
        </w:rPr>
        <w:t>用</w:t>
      </w:r>
      <w:r>
        <w:rPr>
          <w:w w:val="100"/>
          <w:sz w:val="21"/>
        </w:rPr>
        <w:t>书面</w:t>
      </w:r>
      <w:r>
        <w:rPr>
          <w:spacing w:val="-3"/>
          <w:w w:val="100"/>
          <w:sz w:val="21"/>
        </w:rPr>
        <w:t>形</w:t>
      </w:r>
      <w:r>
        <w:rPr>
          <w:w w:val="100"/>
          <w:sz w:val="21"/>
        </w:rPr>
        <w:t>式。</w:t>
      </w:r>
    </w:p>
    <w:p>
      <w:pPr>
        <w:pStyle w:val="5"/>
        <w:spacing w:before="9"/>
        <w:rPr>
          <w:sz w:val="18"/>
        </w:rPr>
      </w:pPr>
    </w:p>
    <w:p>
      <w:pPr>
        <w:spacing w:after="0"/>
        <w:rPr>
          <w:sz w:val="18"/>
        </w:rPr>
        <w:sectPr>
          <w:pgSz w:w="11910" w:h="16840"/>
          <w:pgMar w:top="1200" w:right="360" w:bottom="280" w:left="920" w:header="720" w:footer="720" w:gutter="0"/>
          <w:cols w:space="720" w:num="1"/>
        </w:sectPr>
      </w:pPr>
    </w:p>
    <w:p>
      <w:pPr>
        <w:pStyle w:val="4"/>
        <w:numPr>
          <w:ilvl w:val="1"/>
          <w:numId w:val="3"/>
        </w:numPr>
        <w:tabs>
          <w:tab w:val="left" w:pos="1362"/>
          <w:tab w:val="left" w:pos="1363"/>
        </w:tabs>
        <w:spacing w:before="72" w:after="0" w:line="278" w:lineRule="auto"/>
        <w:ind w:left="1362" w:right="0" w:hanging="1016"/>
        <w:jc w:val="left"/>
      </w:pPr>
      <w:r>
        <w:rPr>
          <w:spacing w:val="-2"/>
        </w:rPr>
        <w:t>合同成立与生</w:t>
      </w:r>
      <w:r>
        <w:rPr>
          <w:spacing w:val="-10"/>
        </w:rPr>
        <w:t>效</w:t>
      </w:r>
    </w:p>
    <w:p>
      <w:pPr>
        <w:pStyle w:val="5"/>
        <w:spacing w:before="72"/>
        <w:ind w:left="327"/>
      </w:pPr>
      <w:r>
        <w:br w:type="column"/>
      </w:r>
      <w:r>
        <w:rPr>
          <w:spacing w:val="-3"/>
        </w:rPr>
        <w:t>投保人提出投保申请、本公司同意承保，本合同成立。</w:t>
      </w:r>
    </w:p>
    <w:p>
      <w:pPr>
        <w:pStyle w:val="5"/>
        <w:spacing w:before="10"/>
        <w:rPr>
          <w:sz w:val="14"/>
        </w:rPr>
      </w:pPr>
    </w:p>
    <w:p>
      <w:pPr>
        <w:pStyle w:val="5"/>
        <w:spacing w:line="278" w:lineRule="auto"/>
        <w:ind w:left="327" w:right="660"/>
      </w:pPr>
      <w:r>
        <w:rPr>
          <w:spacing w:val="-2"/>
        </w:rPr>
        <w:t>合同生效日期在本合同中载明。保单年度、保险费的</w:t>
      </w:r>
      <w:r>
        <w:rPr>
          <w:b/>
          <w:spacing w:val="-2"/>
        </w:rPr>
        <w:t>约定交纳日</w:t>
      </w:r>
      <w:r>
        <w:rPr>
          <w:b/>
          <w:spacing w:val="-2"/>
          <w:position w:val="11"/>
          <w:sz w:val="11"/>
        </w:rPr>
        <w:t>1</w:t>
      </w:r>
      <w:r>
        <w:rPr>
          <w:spacing w:val="-2"/>
        </w:rPr>
        <w:t>均以该日期</w:t>
      </w:r>
      <w:r>
        <w:rPr>
          <w:spacing w:val="-4"/>
        </w:rPr>
        <w:t>计算。</w:t>
      </w:r>
    </w:p>
    <w:p>
      <w:pPr>
        <w:spacing w:after="0" w:line="278" w:lineRule="auto"/>
        <w:sectPr>
          <w:type w:val="continuous"/>
          <w:pgSz w:w="11910" w:h="16840"/>
          <w:pgMar w:top="480" w:right="360" w:bottom="280" w:left="920" w:header="720" w:footer="720" w:gutter="0"/>
          <w:cols w:equalWidth="0" w:num="2">
            <w:col w:w="2631" w:space="40"/>
            <w:col w:w="7959"/>
          </w:cols>
        </w:sectPr>
      </w:pPr>
    </w:p>
    <w:p>
      <w:pPr>
        <w:pStyle w:val="5"/>
        <w:spacing w:before="9"/>
        <w:rPr>
          <w:sz w:val="18"/>
        </w:rPr>
      </w:pPr>
    </w:p>
    <w:p>
      <w:pPr>
        <w:pStyle w:val="9"/>
        <w:numPr>
          <w:ilvl w:val="1"/>
          <w:numId w:val="3"/>
        </w:numPr>
        <w:tabs>
          <w:tab w:val="left" w:pos="1363"/>
        </w:tabs>
        <w:spacing w:before="72" w:after="0" w:line="408" w:lineRule="auto"/>
        <w:ind w:left="2997" w:right="690" w:hanging="2650"/>
        <w:jc w:val="both"/>
        <w:rPr>
          <w:sz w:val="21"/>
        </w:rPr>
      </w:pPr>
      <w:r>
        <w:rPr>
          <w:b/>
          <w:sz w:val="21"/>
        </w:rPr>
        <w:t>投保年龄</w:t>
      </w:r>
      <w:r>
        <w:rPr>
          <w:b/>
          <w:spacing w:val="657"/>
          <w:sz w:val="21"/>
        </w:rPr>
        <w:t xml:space="preserve"> </w:t>
      </w:r>
      <w:r>
        <w:rPr>
          <w:sz w:val="21"/>
        </w:rPr>
        <w:t>符合本公司承保条件者均可向本公司投保本保险，成为本合同的被保险人。</w:t>
      </w:r>
      <w:r>
        <w:rPr>
          <w:spacing w:val="-2"/>
          <w:sz w:val="21"/>
        </w:rPr>
        <w:t>投保年龄按</w:t>
      </w:r>
      <w:r>
        <w:rPr>
          <w:b/>
          <w:spacing w:val="-2"/>
          <w:sz w:val="21"/>
        </w:rPr>
        <w:t>周岁</w:t>
      </w:r>
      <w:r>
        <w:rPr>
          <w:b/>
          <w:spacing w:val="-2"/>
          <w:position w:val="11"/>
          <w:sz w:val="11"/>
        </w:rPr>
        <w:t>2</w:t>
      </w:r>
      <w:r>
        <w:rPr>
          <w:spacing w:val="-2"/>
          <w:sz w:val="21"/>
        </w:rPr>
        <w:t>计算。</w:t>
      </w:r>
    </w:p>
    <w:p>
      <w:pPr>
        <w:pStyle w:val="9"/>
        <w:numPr>
          <w:ilvl w:val="1"/>
          <w:numId w:val="3"/>
        </w:numPr>
        <w:tabs>
          <w:tab w:val="left" w:pos="1363"/>
        </w:tabs>
        <w:spacing w:before="167" w:after="0" w:line="278" w:lineRule="auto"/>
        <w:ind w:left="2997" w:right="660" w:hanging="2650"/>
        <w:jc w:val="both"/>
        <w:rPr>
          <w:sz w:val="21"/>
        </w:rPr>
      </w:pPr>
      <w:r>
        <w:rPr>
          <w:b/>
          <w:sz w:val="21"/>
        </w:rPr>
        <w:t>犹豫期</w:t>
      </w:r>
      <w:r>
        <w:rPr>
          <w:b/>
          <w:spacing w:val="846"/>
          <w:sz w:val="21"/>
        </w:rPr>
        <w:t xml:space="preserve"> </w:t>
      </w:r>
      <w:r>
        <w:rPr>
          <w:spacing w:val="-2"/>
          <w:sz w:val="21"/>
        </w:rPr>
        <w:t xml:space="preserve">自投保人签收本合同的零时起，有 </w:t>
      </w:r>
      <w:r>
        <w:rPr>
          <w:sz w:val="21"/>
        </w:rPr>
        <w:t>5</w:t>
      </w:r>
      <w:r>
        <w:rPr>
          <w:spacing w:val="-5"/>
          <w:sz w:val="21"/>
        </w:rPr>
        <w:t xml:space="preserve"> 日的犹豫期。在此期间，请投保人认真</w:t>
      </w:r>
      <w:r>
        <w:rPr>
          <w:spacing w:val="-2"/>
          <w:sz w:val="21"/>
        </w:rPr>
        <w:t>阅读本合同，如果投保人认为本合同与投保人的需求不相符，可以在此期间提出解除本合同，</w:t>
      </w:r>
      <w:r>
        <w:rPr>
          <w:color w:val="000000"/>
          <w:spacing w:val="-2"/>
          <w:sz w:val="21"/>
          <w:shd w:val="clear" w:color="auto" w:fill="E4E4E4"/>
        </w:rPr>
        <w:t>本公司向投保人无息退还保险费。</w:t>
      </w:r>
    </w:p>
    <w:p>
      <w:pPr>
        <w:pStyle w:val="5"/>
        <w:spacing w:before="156" w:line="273" w:lineRule="auto"/>
        <w:ind w:left="2997" w:right="660"/>
        <w:jc w:val="both"/>
      </w:pPr>
      <w:r>
        <w:rPr>
          <w:spacing w:val="-2"/>
        </w:rPr>
        <w:t>解除本合同时，投保人须填写解除合同申请书，并提供保险合同和</w:t>
      </w:r>
      <w:r>
        <w:rPr>
          <w:b/>
          <w:spacing w:val="-2"/>
        </w:rPr>
        <w:t>有效身份证件</w:t>
      </w:r>
      <w:r>
        <w:rPr>
          <w:b/>
          <w:spacing w:val="-2"/>
          <w:position w:val="11"/>
          <w:sz w:val="11"/>
        </w:rPr>
        <w:t>3</w:t>
      </w:r>
      <w:r>
        <w:rPr>
          <w:spacing w:val="-2"/>
        </w:rPr>
        <w:t>，</w:t>
      </w:r>
      <w:r>
        <w:rPr>
          <w:color w:val="000000"/>
          <w:spacing w:val="-2"/>
          <w:shd w:val="clear" w:color="auto" w:fill="E4E4E4"/>
        </w:rPr>
        <w:t>自本公司收到投保人的解除合同申请书起，本合同即被解除，对于合</w:t>
      </w:r>
      <w:r>
        <w:rPr>
          <w:color w:val="000000"/>
          <w:spacing w:val="40"/>
          <w:shd w:val="clear" w:color="auto" w:fill="E4E4E4"/>
        </w:rPr>
        <w:t xml:space="preserve"> </w:t>
      </w:r>
      <w:r>
        <w:rPr>
          <w:color w:val="000000"/>
          <w:spacing w:val="-2"/>
          <w:shd w:val="clear" w:color="auto" w:fill="E4E4E4"/>
        </w:rPr>
        <w:t>同解除前发生的保险事故，本公司不承担保险责任。</w:t>
      </w:r>
    </w:p>
    <w:p>
      <w:pPr>
        <w:pStyle w:val="5"/>
        <w:spacing w:before="8"/>
        <w:rPr>
          <w:sz w:val="27"/>
        </w:rPr>
      </w:pPr>
    </w:p>
    <w:p>
      <w:pPr>
        <w:pStyle w:val="3"/>
        <w:numPr>
          <w:ilvl w:val="0"/>
          <w:numId w:val="3"/>
        </w:numPr>
        <w:tabs>
          <w:tab w:val="left" w:pos="1362"/>
          <w:tab w:val="left" w:pos="1363"/>
        </w:tabs>
        <w:spacing w:before="0" w:after="0" w:line="240" w:lineRule="auto"/>
        <w:ind w:left="1362" w:right="0" w:hanging="1016"/>
        <w:jc w:val="left"/>
        <w:rPr>
          <w:sz w:val="40"/>
        </w:rPr>
      </w:pPr>
      <w:r>
        <w:rPr>
          <w:w w:val="95"/>
        </w:rPr>
        <w:t>提供的保</w:t>
      </w:r>
      <w:r>
        <w:rPr>
          <w:spacing w:val="-10"/>
          <w:w w:val="95"/>
        </w:rPr>
        <w:t>障</w:t>
      </w:r>
    </w:p>
    <w:p>
      <w:pPr>
        <w:pStyle w:val="5"/>
        <w:spacing w:before="5"/>
        <w:rPr>
          <w:b/>
          <w:sz w:val="14"/>
        </w:rPr>
      </w:pPr>
      <w:r>
        <w:drawing>
          <wp:anchor distT="0" distB="0" distL="0" distR="0" simplePos="0" relativeHeight="251659264" behindDoc="0" locked="0" layoutInCell="1" allowOverlap="1">
            <wp:simplePos x="0" y="0"/>
            <wp:positionH relativeFrom="page">
              <wp:posOffset>735965</wp:posOffset>
            </wp:positionH>
            <wp:positionV relativeFrom="paragraph">
              <wp:posOffset>132715</wp:posOffset>
            </wp:positionV>
            <wp:extent cx="6240145" cy="12065"/>
            <wp:effectExtent l="0" t="0" r="0" b="0"/>
            <wp:wrapTopAndBottom/>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a:picLocks noChangeAspect="1"/>
                    </pic:cNvPicPr>
                  </pic:nvPicPr>
                  <pic:blipFill>
                    <a:blip r:embed="rId9" cstate="print"/>
                    <a:stretch>
                      <a:fillRect/>
                    </a:stretch>
                  </pic:blipFill>
                  <pic:spPr>
                    <a:xfrm>
                      <a:off x="0" y="0"/>
                      <a:ext cx="6240268" cy="12191"/>
                    </a:xfrm>
                    <a:prstGeom prst="rect">
                      <a:avLst/>
                    </a:prstGeom>
                  </pic:spPr>
                </pic:pic>
              </a:graphicData>
            </a:graphic>
          </wp:anchor>
        </w:drawing>
      </w:r>
    </w:p>
    <w:p>
      <w:pPr>
        <w:pStyle w:val="9"/>
        <w:numPr>
          <w:ilvl w:val="1"/>
          <w:numId w:val="3"/>
        </w:numPr>
        <w:tabs>
          <w:tab w:val="left" w:pos="1363"/>
        </w:tabs>
        <w:spacing w:before="179" w:after="0" w:line="278" w:lineRule="auto"/>
        <w:ind w:left="2997" w:right="663" w:hanging="2650"/>
        <w:jc w:val="both"/>
        <w:rPr>
          <w:sz w:val="21"/>
        </w:rPr>
      </w:pPr>
      <w:r>
        <w:rPr>
          <w:b/>
          <w:sz w:val="21"/>
        </w:rPr>
        <w:t>保险计划</w:t>
      </w:r>
      <w:r>
        <w:rPr>
          <w:b/>
          <w:spacing w:val="682"/>
          <w:sz w:val="21"/>
        </w:rPr>
        <w:t xml:space="preserve"> </w:t>
      </w:r>
      <w:r>
        <w:rPr>
          <w:sz w:val="21"/>
        </w:rPr>
        <w:t>被保险人的保险计划以及各保险责任保险计划中涉及的基本保险金额、赔付</w:t>
      </w:r>
      <w:r>
        <w:rPr>
          <w:spacing w:val="-2"/>
          <w:sz w:val="21"/>
        </w:rPr>
        <w:t>限额、各费用项目累计限额，由投保人在投保时与本公司约定，并在本合同中载明。保险计划一经选定，不得变更。</w:t>
      </w:r>
    </w:p>
    <w:p>
      <w:pPr>
        <w:pStyle w:val="5"/>
        <w:spacing w:before="9"/>
        <w:rPr>
          <w:sz w:val="18"/>
        </w:rPr>
      </w:pPr>
    </w:p>
    <w:p>
      <w:pPr>
        <w:pStyle w:val="9"/>
        <w:numPr>
          <w:ilvl w:val="1"/>
          <w:numId w:val="3"/>
        </w:numPr>
        <w:tabs>
          <w:tab w:val="left" w:pos="1362"/>
          <w:tab w:val="left" w:pos="1363"/>
          <w:tab w:val="left" w:pos="2997"/>
        </w:tabs>
        <w:spacing w:before="72" w:after="0" w:line="278" w:lineRule="auto"/>
        <w:ind w:left="2997" w:right="664" w:hanging="2650"/>
        <w:jc w:val="left"/>
        <w:rPr>
          <w:sz w:val="21"/>
        </w:rPr>
      </w:pPr>
      <w:r>
        <w:rPr>
          <w:b/>
          <w:spacing w:val="-4"/>
          <w:sz w:val="21"/>
        </w:rPr>
        <w:t>保险期间</w:t>
      </w:r>
      <w:r>
        <w:rPr>
          <w:b/>
          <w:sz w:val="21"/>
        </w:rPr>
        <w:tab/>
      </w:r>
      <w:r>
        <w:rPr>
          <w:spacing w:val="-2"/>
          <w:sz w:val="21"/>
        </w:rPr>
        <w:t>本合同的保险期间为一年。自本合同生效之日零时起至约定的终止日的二十四时止，具体由投保人与本公司约定并在本合同中载明。</w:t>
      </w:r>
    </w:p>
    <w:p>
      <w:pPr>
        <w:pStyle w:val="5"/>
        <w:spacing w:before="4"/>
        <w:rPr>
          <w:sz w:val="24"/>
        </w:rPr>
      </w:pPr>
    </w:p>
    <w:p>
      <w:pPr>
        <w:pStyle w:val="9"/>
        <w:numPr>
          <w:ilvl w:val="1"/>
          <w:numId w:val="3"/>
        </w:numPr>
        <w:tabs>
          <w:tab w:val="left" w:pos="1362"/>
          <w:tab w:val="left" w:pos="1363"/>
          <w:tab w:val="left" w:pos="2997"/>
        </w:tabs>
        <w:spacing w:before="0" w:after="0" w:line="278" w:lineRule="auto"/>
        <w:ind w:left="2997" w:right="663" w:hanging="2650"/>
        <w:jc w:val="left"/>
        <w:rPr>
          <w:sz w:val="21"/>
        </w:rPr>
      </w:pPr>
      <w:r>
        <w:rPr>
          <w:b/>
          <w:spacing w:val="-4"/>
          <w:sz w:val="21"/>
        </w:rPr>
        <w:t>保险责任</w:t>
      </w:r>
      <w:r>
        <w:rPr>
          <w:b/>
          <w:sz w:val="21"/>
        </w:rPr>
        <w:tab/>
      </w:r>
      <w:r>
        <w:rPr>
          <w:spacing w:val="-4"/>
          <w:sz w:val="21"/>
        </w:rPr>
        <w:t>本保险包括一般住院医疗保险金责任，恶性肿瘤-重度医疗保险金责任，恶性肿瘤-重度住院津贴保险金责任，门急诊医疗保险金责任。其中，门急诊医疗</w:t>
      </w:r>
    </w:p>
    <w:p>
      <w:pPr>
        <w:pStyle w:val="5"/>
        <w:spacing w:before="1"/>
      </w:pPr>
      <w:r>
        <w:drawing>
          <wp:anchor distT="0" distB="0" distL="0" distR="0" simplePos="0" relativeHeight="251659264" behindDoc="0" locked="0" layoutInCell="1" allowOverlap="1">
            <wp:simplePos x="0" y="0"/>
            <wp:positionH relativeFrom="page">
              <wp:posOffset>647700</wp:posOffset>
            </wp:positionH>
            <wp:positionV relativeFrom="paragraph">
              <wp:posOffset>186690</wp:posOffset>
            </wp:positionV>
            <wp:extent cx="1828800" cy="6350"/>
            <wp:effectExtent l="0" t="0" r="0" b="0"/>
            <wp:wrapTopAndBottom/>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a:picLocks noChangeAspect="1"/>
                    </pic:cNvPicPr>
                  </pic:nvPicPr>
                  <pic:blipFill>
                    <a:blip r:embed="rId10" cstate="print"/>
                    <a:stretch>
                      <a:fillRect/>
                    </a:stretch>
                  </pic:blipFill>
                  <pic:spPr>
                    <a:xfrm>
                      <a:off x="0" y="0"/>
                      <a:ext cx="1828901" cy="6095"/>
                    </a:xfrm>
                    <a:prstGeom prst="rect">
                      <a:avLst/>
                    </a:prstGeom>
                  </pic:spPr>
                </pic:pic>
              </a:graphicData>
            </a:graphic>
          </wp:anchor>
        </w:drawing>
      </w:r>
    </w:p>
    <w:p>
      <w:pPr>
        <w:spacing w:before="91"/>
        <w:ind w:left="100" w:right="0" w:firstLine="0"/>
        <w:jc w:val="left"/>
        <w:rPr>
          <w:rFonts w:ascii="楷体" w:eastAsia="楷体"/>
          <w:sz w:val="18"/>
        </w:rPr>
      </w:pPr>
      <w:r>
        <w:rPr>
          <w:w w:val="95"/>
          <w:position w:val="9"/>
          <w:sz w:val="9"/>
        </w:rPr>
        <w:t>1</w:t>
      </w:r>
      <w:r>
        <w:rPr>
          <w:rFonts w:hint="eastAsia" w:ascii="楷体" w:eastAsia="楷体"/>
          <w:b/>
          <w:w w:val="95"/>
          <w:sz w:val="18"/>
        </w:rPr>
        <w:t>约定交纳日</w:t>
      </w:r>
      <w:r>
        <w:rPr>
          <w:rFonts w:ascii="楷体" w:eastAsia="楷体"/>
          <w:w w:val="95"/>
          <w:sz w:val="18"/>
        </w:rPr>
        <w:t>：指本合同生效日在每月、每季或每半年（根据交费方式确定）的对应日。当月无对应的同一日，则以该月</w:t>
      </w:r>
      <w:r>
        <w:rPr>
          <w:rFonts w:ascii="楷体" w:eastAsia="楷体"/>
          <w:spacing w:val="-10"/>
          <w:w w:val="95"/>
          <w:sz w:val="18"/>
        </w:rPr>
        <w:t>最</w:t>
      </w:r>
    </w:p>
    <w:p>
      <w:pPr>
        <w:spacing w:before="2"/>
        <w:ind w:left="100" w:right="0" w:firstLine="0"/>
        <w:jc w:val="left"/>
        <w:rPr>
          <w:rFonts w:ascii="楷体" w:eastAsia="楷体"/>
          <w:sz w:val="18"/>
        </w:rPr>
      </w:pPr>
      <w:r>
        <w:rPr>
          <w:rFonts w:ascii="楷体" w:eastAsia="楷体"/>
          <w:spacing w:val="-2"/>
          <w:sz w:val="18"/>
        </w:rPr>
        <w:t>后一日为对应日。</w:t>
      </w:r>
    </w:p>
    <w:p>
      <w:pPr>
        <w:spacing w:before="2"/>
        <w:ind w:left="100" w:right="0" w:firstLine="0"/>
        <w:jc w:val="left"/>
        <w:rPr>
          <w:rFonts w:ascii="楷体" w:eastAsia="楷体"/>
          <w:sz w:val="18"/>
        </w:rPr>
      </w:pPr>
      <w:r>
        <w:rPr>
          <w:w w:val="95"/>
          <w:position w:val="9"/>
          <w:sz w:val="9"/>
        </w:rPr>
        <w:t>2</w:t>
      </w:r>
      <w:r>
        <w:rPr>
          <w:rFonts w:hint="eastAsia" w:ascii="楷体" w:eastAsia="楷体"/>
          <w:b/>
          <w:w w:val="95"/>
          <w:sz w:val="18"/>
        </w:rPr>
        <w:t>周岁</w:t>
      </w:r>
      <w:r>
        <w:rPr>
          <w:rFonts w:ascii="楷体" w:eastAsia="楷体"/>
          <w:w w:val="95"/>
          <w:sz w:val="18"/>
        </w:rPr>
        <w:t>：指按有效身份证件中记载的出生日期计算的实足年龄，自出生之日起为零周岁，每经过一年增加一岁，不足一年</w:t>
      </w:r>
      <w:r>
        <w:rPr>
          <w:rFonts w:ascii="楷体" w:eastAsia="楷体"/>
          <w:spacing w:val="-10"/>
          <w:w w:val="95"/>
          <w:sz w:val="18"/>
        </w:rPr>
        <w:t>的</w:t>
      </w:r>
    </w:p>
    <w:p>
      <w:pPr>
        <w:spacing w:before="5"/>
        <w:ind w:left="100" w:right="0" w:firstLine="0"/>
        <w:jc w:val="left"/>
        <w:rPr>
          <w:rFonts w:ascii="楷体" w:eastAsia="楷体"/>
          <w:sz w:val="18"/>
        </w:rPr>
      </w:pPr>
      <w:r>
        <w:rPr>
          <w:rFonts w:ascii="楷体" w:eastAsia="楷体"/>
          <w:spacing w:val="-4"/>
          <w:sz w:val="18"/>
        </w:rPr>
        <w:t>不计。</w:t>
      </w:r>
    </w:p>
    <w:p>
      <w:pPr>
        <w:spacing w:before="2"/>
        <w:ind w:left="100" w:right="0" w:firstLine="0"/>
        <w:jc w:val="left"/>
        <w:rPr>
          <w:rFonts w:ascii="楷体" w:eastAsia="楷体"/>
          <w:sz w:val="18"/>
        </w:rPr>
      </w:pPr>
      <w:r>
        <w:rPr>
          <w:w w:val="95"/>
          <w:position w:val="9"/>
          <w:sz w:val="9"/>
        </w:rPr>
        <w:t>3</w:t>
      </w:r>
      <w:r>
        <w:rPr>
          <w:rFonts w:hint="eastAsia" w:ascii="楷体" w:eastAsia="楷体"/>
          <w:b/>
          <w:w w:val="95"/>
          <w:sz w:val="18"/>
        </w:rPr>
        <w:t>有效身份证件</w:t>
      </w:r>
      <w:r>
        <w:rPr>
          <w:rFonts w:ascii="楷体" w:eastAsia="楷体"/>
          <w:w w:val="95"/>
          <w:sz w:val="18"/>
        </w:rPr>
        <w:t>：指由政府主管部门规定的证明个人身份的证件，如：居民身份证、按规定可使用的有效护照、军官证、</w:t>
      </w:r>
      <w:r>
        <w:rPr>
          <w:rFonts w:ascii="楷体" w:eastAsia="楷体"/>
          <w:spacing w:val="-10"/>
          <w:w w:val="95"/>
          <w:sz w:val="18"/>
        </w:rPr>
        <w:t>警</w:t>
      </w:r>
    </w:p>
    <w:p>
      <w:pPr>
        <w:spacing w:before="2"/>
        <w:ind w:left="100" w:right="0" w:firstLine="0"/>
        <w:jc w:val="left"/>
        <w:rPr>
          <w:rFonts w:ascii="楷体" w:eastAsia="楷体"/>
          <w:sz w:val="18"/>
        </w:rPr>
      </w:pPr>
      <w:r>
        <w:rPr>
          <w:rFonts w:ascii="楷体" w:eastAsia="楷体"/>
          <w:spacing w:val="-1"/>
          <w:sz w:val="18"/>
        </w:rPr>
        <w:t>官证、士兵证、户口簿等证件。</w:t>
      </w:r>
    </w:p>
    <w:p>
      <w:pPr>
        <w:spacing w:after="0"/>
        <w:jc w:val="left"/>
        <w:rPr>
          <w:rFonts w:ascii="楷体" w:eastAsia="楷体"/>
          <w:sz w:val="18"/>
        </w:rPr>
        <w:sectPr>
          <w:type w:val="continuous"/>
          <w:pgSz w:w="11910" w:h="16840"/>
          <w:pgMar w:top="480" w:right="360" w:bottom="280" w:left="920" w:header="720" w:footer="720" w:gutter="0"/>
          <w:cols w:space="720" w:num="1"/>
        </w:sectPr>
      </w:pPr>
    </w:p>
    <w:p>
      <w:pPr>
        <w:pStyle w:val="5"/>
        <w:rPr>
          <w:rFonts w:ascii="楷体"/>
          <w:sz w:val="20"/>
        </w:rPr>
      </w:pPr>
    </w:p>
    <w:p>
      <w:pPr>
        <w:pStyle w:val="5"/>
        <w:rPr>
          <w:rFonts w:ascii="楷体"/>
          <w:sz w:val="20"/>
        </w:rPr>
      </w:pPr>
    </w:p>
    <w:p>
      <w:pPr>
        <w:pStyle w:val="4"/>
        <w:numPr>
          <w:ilvl w:val="2"/>
          <w:numId w:val="3"/>
        </w:numPr>
        <w:tabs>
          <w:tab w:val="left" w:pos="1362"/>
          <w:tab w:val="left" w:pos="1363"/>
        </w:tabs>
        <w:spacing w:before="0" w:after="0" w:line="278" w:lineRule="auto"/>
        <w:ind w:left="1362" w:right="0" w:hanging="804"/>
        <w:jc w:val="left"/>
      </w:pPr>
      <w:r>
        <w:rPr>
          <w:spacing w:val="22"/>
        </w:rPr>
        <w:t>一般住院医疗</w:t>
      </w:r>
      <w:r>
        <w:rPr>
          <w:spacing w:val="-4"/>
        </w:rPr>
        <w:t>保险金</w:t>
      </w:r>
    </w:p>
    <w:p>
      <w:pPr>
        <w:pStyle w:val="5"/>
        <w:spacing w:before="44"/>
        <w:ind w:left="174"/>
      </w:pPr>
      <w:r>
        <w:br w:type="column"/>
      </w:r>
      <w:r>
        <w:rPr>
          <w:spacing w:val="-9"/>
        </w:rPr>
        <w:t>保险金责任为可选责任。</w:t>
      </w:r>
      <w:r>
        <w:rPr>
          <w:color w:val="000000"/>
          <w:spacing w:val="-3"/>
          <w:shd w:val="clear" w:color="auto" w:fill="E4E4E4"/>
        </w:rPr>
        <w:t>各计划保险责任以计划对应的保险计划表内容为准。</w:t>
      </w:r>
    </w:p>
    <w:p>
      <w:pPr>
        <w:pStyle w:val="5"/>
        <w:spacing w:before="10"/>
        <w:rPr>
          <w:sz w:val="14"/>
        </w:rPr>
      </w:pPr>
    </w:p>
    <w:p>
      <w:pPr>
        <w:spacing w:before="0" w:line="273" w:lineRule="auto"/>
        <w:ind w:left="174" w:right="661" w:firstLine="0"/>
        <w:jc w:val="both"/>
        <w:rPr>
          <w:sz w:val="21"/>
        </w:rPr>
      </w:pPr>
      <w:r>
        <w:rPr>
          <w:spacing w:val="-2"/>
          <w:sz w:val="21"/>
        </w:rPr>
        <w:t>被保险人在本合同保险期间内遭受</w:t>
      </w:r>
      <w:r>
        <w:rPr>
          <w:b/>
          <w:spacing w:val="-2"/>
          <w:sz w:val="21"/>
        </w:rPr>
        <w:t>意外</w:t>
      </w:r>
      <w:r>
        <w:rPr>
          <w:b/>
          <w:spacing w:val="-2"/>
          <w:position w:val="11"/>
          <w:sz w:val="11"/>
        </w:rPr>
        <w:t>4</w:t>
      </w:r>
      <w:r>
        <w:rPr>
          <w:spacing w:val="-2"/>
          <w:sz w:val="21"/>
        </w:rPr>
        <w:t>,或在本合同</w:t>
      </w:r>
      <w:r>
        <w:rPr>
          <w:b/>
          <w:spacing w:val="-2"/>
          <w:sz w:val="21"/>
        </w:rPr>
        <w:t>等待期</w:t>
      </w:r>
      <w:r>
        <w:rPr>
          <w:b/>
          <w:spacing w:val="-2"/>
          <w:position w:val="11"/>
          <w:sz w:val="11"/>
        </w:rPr>
        <w:t>5</w:t>
      </w:r>
      <w:r>
        <w:rPr>
          <w:spacing w:val="-2"/>
          <w:sz w:val="21"/>
        </w:rPr>
        <w:t>后，因非</w:t>
      </w:r>
      <w:r>
        <w:rPr>
          <w:b/>
          <w:spacing w:val="-2"/>
          <w:sz w:val="21"/>
        </w:rPr>
        <w:t>恶性肿瘤-重度</w:t>
      </w:r>
      <w:r>
        <w:rPr>
          <w:b/>
          <w:spacing w:val="-2"/>
          <w:position w:val="11"/>
          <w:sz w:val="11"/>
        </w:rPr>
        <w:t>6</w:t>
      </w:r>
      <w:r>
        <w:rPr>
          <w:spacing w:val="-2"/>
          <w:sz w:val="21"/>
        </w:rPr>
        <w:t>的原因，在</w:t>
      </w:r>
      <w:r>
        <w:rPr>
          <w:b/>
          <w:spacing w:val="-2"/>
          <w:sz w:val="21"/>
        </w:rPr>
        <w:t>本公司指定或认可的医疗机构</w:t>
      </w:r>
      <w:r>
        <w:rPr>
          <w:b/>
          <w:spacing w:val="-2"/>
          <w:position w:val="11"/>
          <w:sz w:val="11"/>
        </w:rPr>
        <w:t>7</w:t>
      </w:r>
      <w:r>
        <w:rPr>
          <w:spacing w:val="-2"/>
          <w:sz w:val="21"/>
        </w:rPr>
        <w:t>接受由具有相应资质的</w:t>
      </w:r>
      <w:r>
        <w:rPr>
          <w:b/>
          <w:spacing w:val="-2"/>
          <w:sz w:val="21"/>
        </w:rPr>
        <w:t>医护人员</w:t>
      </w:r>
      <w:r>
        <w:rPr>
          <w:b/>
          <w:spacing w:val="-2"/>
          <w:position w:val="11"/>
          <w:sz w:val="11"/>
        </w:rPr>
        <w:t>8</w:t>
      </w:r>
      <w:r>
        <w:rPr>
          <w:spacing w:val="-2"/>
          <w:sz w:val="21"/>
        </w:rPr>
        <w:t>提供的</w:t>
      </w:r>
      <w:r>
        <w:rPr>
          <w:b/>
          <w:spacing w:val="-2"/>
          <w:sz w:val="21"/>
        </w:rPr>
        <w:t>医学必需</w:t>
      </w:r>
      <w:r>
        <w:rPr>
          <w:b/>
          <w:spacing w:val="-2"/>
          <w:position w:val="11"/>
          <w:sz w:val="11"/>
        </w:rPr>
        <w:t>9</w:t>
      </w:r>
      <w:r>
        <w:rPr>
          <w:spacing w:val="-2"/>
          <w:sz w:val="21"/>
        </w:rPr>
        <w:t>的</w:t>
      </w:r>
      <w:r>
        <w:rPr>
          <w:b/>
          <w:spacing w:val="-2"/>
          <w:sz w:val="21"/>
        </w:rPr>
        <w:t>住院</w:t>
      </w:r>
      <w:r>
        <w:rPr>
          <w:b/>
          <w:spacing w:val="-2"/>
          <w:position w:val="11"/>
          <w:sz w:val="11"/>
        </w:rPr>
        <w:t>10</w:t>
      </w:r>
      <w:r>
        <w:rPr>
          <w:spacing w:val="-2"/>
          <w:sz w:val="21"/>
        </w:rPr>
        <w:t>医疗（包括</w:t>
      </w:r>
      <w:r>
        <w:rPr>
          <w:b/>
          <w:spacing w:val="-2"/>
          <w:sz w:val="21"/>
        </w:rPr>
        <w:t>日间住院</w:t>
      </w:r>
      <w:r>
        <w:rPr>
          <w:b/>
          <w:spacing w:val="-2"/>
          <w:position w:val="11"/>
          <w:sz w:val="11"/>
        </w:rPr>
        <w:t>11</w:t>
      </w:r>
      <w:r>
        <w:rPr>
          <w:spacing w:val="-2"/>
          <w:sz w:val="21"/>
        </w:rPr>
        <w:t>医疗</w:t>
      </w:r>
      <w:r>
        <w:rPr>
          <w:spacing w:val="-108"/>
          <w:sz w:val="21"/>
        </w:rPr>
        <w:t>）</w:t>
      </w:r>
      <w:r>
        <w:rPr>
          <w:spacing w:val="-2"/>
          <w:sz w:val="21"/>
        </w:rPr>
        <w:t>，对由此发生的符合通常惯例水平的下列费用，本公司按本合同有关约定承担给付一般住院医疗保险金的责任：</w:t>
      </w:r>
    </w:p>
    <w:p>
      <w:pPr>
        <w:pStyle w:val="9"/>
        <w:numPr>
          <w:ilvl w:val="0"/>
          <w:numId w:val="4"/>
        </w:numPr>
        <w:tabs>
          <w:tab w:val="left" w:pos="705"/>
        </w:tabs>
        <w:spacing w:before="162" w:after="0" w:line="240" w:lineRule="auto"/>
        <w:ind w:left="704" w:right="0" w:hanging="531"/>
        <w:jc w:val="left"/>
        <w:rPr>
          <w:sz w:val="21"/>
        </w:rPr>
      </w:pPr>
      <w:r>
        <w:rPr>
          <w:spacing w:val="-4"/>
          <w:sz w:val="21"/>
        </w:rPr>
        <w:t>床位费；</w:t>
      </w:r>
    </w:p>
    <w:p>
      <w:pPr>
        <w:pStyle w:val="5"/>
        <w:spacing w:before="10"/>
        <w:rPr>
          <w:sz w:val="14"/>
        </w:rPr>
      </w:pPr>
    </w:p>
    <w:p>
      <w:pPr>
        <w:pStyle w:val="9"/>
        <w:numPr>
          <w:ilvl w:val="0"/>
          <w:numId w:val="4"/>
        </w:numPr>
        <w:tabs>
          <w:tab w:val="left" w:pos="705"/>
        </w:tabs>
        <w:spacing w:before="0" w:after="0" w:line="240" w:lineRule="auto"/>
        <w:ind w:left="704" w:right="0" w:hanging="531"/>
        <w:jc w:val="left"/>
        <w:rPr>
          <w:sz w:val="21"/>
        </w:rPr>
      </w:pPr>
      <w:r>
        <w:rPr>
          <w:b/>
          <w:w w:val="95"/>
          <w:sz w:val="21"/>
        </w:rPr>
        <w:t>膳食费</w:t>
      </w:r>
      <w:r>
        <w:rPr>
          <w:b/>
          <w:w w:val="95"/>
          <w:position w:val="11"/>
          <w:sz w:val="11"/>
        </w:rPr>
        <w:t>12</w:t>
      </w:r>
      <w:r>
        <w:rPr>
          <w:w w:val="95"/>
          <w:sz w:val="21"/>
        </w:rPr>
        <w:t>、护理费</w:t>
      </w:r>
      <w:r>
        <w:rPr>
          <w:spacing w:val="-10"/>
          <w:w w:val="95"/>
          <w:sz w:val="21"/>
        </w:rPr>
        <w:t>；</w:t>
      </w:r>
    </w:p>
    <w:p>
      <w:pPr>
        <w:pStyle w:val="5"/>
        <w:spacing w:before="7"/>
        <w:rPr>
          <w:sz w:val="15"/>
        </w:rPr>
      </w:pPr>
    </w:p>
    <w:p>
      <w:pPr>
        <w:pStyle w:val="9"/>
        <w:numPr>
          <w:ilvl w:val="0"/>
          <w:numId w:val="4"/>
        </w:numPr>
        <w:tabs>
          <w:tab w:val="left" w:pos="705"/>
        </w:tabs>
        <w:spacing w:before="0" w:after="0" w:line="240" w:lineRule="auto"/>
        <w:ind w:left="704" w:right="0" w:hanging="531"/>
        <w:jc w:val="left"/>
        <w:rPr>
          <w:sz w:val="21"/>
        </w:rPr>
      </w:pPr>
      <w:r>
        <w:rPr>
          <w:spacing w:val="-4"/>
          <w:sz w:val="21"/>
        </w:rPr>
        <w:t>重症监护室费；</w:t>
      </w:r>
    </w:p>
    <w:p>
      <w:pPr>
        <w:pStyle w:val="5"/>
        <w:spacing w:before="6"/>
        <w:rPr>
          <w:sz w:val="15"/>
        </w:rPr>
      </w:pPr>
    </w:p>
    <w:p>
      <w:pPr>
        <w:pStyle w:val="9"/>
        <w:numPr>
          <w:ilvl w:val="0"/>
          <w:numId w:val="4"/>
        </w:numPr>
        <w:tabs>
          <w:tab w:val="left" w:pos="705"/>
        </w:tabs>
        <w:spacing w:before="0" w:after="0" w:line="240" w:lineRule="auto"/>
        <w:ind w:left="704" w:right="0" w:hanging="531"/>
        <w:jc w:val="left"/>
        <w:rPr>
          <w:sz w:val="21"/>
        </w:rPr>
      </w:pPr>
      <w:r>
        <w:rPr>
          <w:spacing w:val="-4"/>
          <w:sz w:val="21"/>
        </w:rPr>
        <w:t>检查检验费；</w:t>
      </w:r>
    </w:p>
    <w:p>
      <w:pPr>
        <w:pStyle w:val="5"/>
        <w:spacing w:before="10"/>
        <w:rPr>
          <w:sz w:val="14"/>
        </w:rPr>
      </w:pPr>
    </w:p>
    <w:p>
      <w:pPr>
        <w:pStyle w:val="9"/>
        <w:numPr>
          <w:ilvl w:val="0"/>
          <w:numId w:val="4"/>
        </w:numPr>
        <w:tabs>
          <w:tab w:val="left" w:pos="705"/>
        </w:tabs>
        <w:spacing w:before="1" w:after="0" w:line="268" w:lineRule="auto"/>
        <w:ind w:left="174" w:right="661" w:firstLine="0"/>
        <w:jc w:val="left"/>
        <w:rPr>
          <w:sz w:val="21"/>
        </w:rPr>
      </w:pPr>
      <w:r>
        <w:rPr>
          <w:spacing w:val="-2"/>
          <w:sz w:val="21"/>
        </w:rPr>
        <w:t>手术费、麻醉费、</w:t>
      </w:r>
      <w:r>
        <w:rPr>
          <w:b/>
          <w:spacing w:val="-2"/>
          <w:sz w:val="21"/>
        </w:rPr>
        <w:t>药品费</w:t>
      </w:r>
      <w:r>
        <w:rPr>
          <w:b/>
          <w:spacing w:val="-2"/>
          <w:position w:val="11"/>
          <w:sz w:val="11"/>
        </w:rPr>
        <w:t>13</w:t>
      </w:r>
      <w:r>
        <w:rPr>
          <w:spacing w:val="-2"/>
          <w:sz w:val="21"/>
        </w:rPr>
        <w:t>、材料费、医疗机构拥有的医疗设备（不含</w:t>
      </w:r>
      <w:r>
        <w:rPr>
          <w:b/>
          <w:spacing w:val="-2"/>
          <w:sz w:val="21"/>
        </w:rPr>
        <w:t>耐用医疗设备</w:t>
      </w:r>
      <w:r>
        <w:rPr>
          <w:b/>
          <w:spacing w:val="-2"/>
          <w:position w:val="11"/>
          <w:sz w:val="11"/>
        </w:rPr>
        <w:t>14</w:t>
      </w:r>
      <w:r>
        <w:rPr>
          <w:spacing w:val="-2"/>
          <w:sz w:val="21"/>
        </w:rPr>
        <w:t>）使用费；</w:t>
      </w:r>
    </w:p>
    <w:p>
      <w:pPr>
        <w:spacing w:after="0" w:line="268" w:lineRule="auto"/>
        <w:jc w:val="left"/>
        <w:rPr>
          <w:sz w:val="21"/>
        </w:rPr>
        <w:sectPr>
          <w:pgSz w:w="11910" w:h="16840"/>
          <w:pgMar w:top="1400" w:right="360" w:bottom="280" w:left="920" w:header="720" w:footer="720" w:gutter="0"/>
          <w:cols w:equalWidth="0" w:num="2">
            <w:col w:w="2783" w:space="40"/>
            <w:col w:w="7807"/>
          </w:cols>
        </w:sect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spacing w:before="8"/>
      </w:pPr>
    </w:p>
    <w:p>
      <w:pPr>
        <w:pStyle w:val="5"/>
        <w:spacing w:line="20" w:lineRule="exact"/>
        <w:ind w:left="160"/>
        <w:rPr>
          <w:sz w:val="2"/>
        </w:rPr>
      </w:pPr>
      <w:r>
        <w:rPr>
          <w:sz w:val="2"/>
        </w:rPr>
        <w:drawing>
          <wp:inline distT="0" distB="0" distL="0" distR="0">
            <wp:extent cx="1829435" cy="5715"/>
            <wp:effectExtent l="0" t="0" r="0" b="0"/>
            <wp:docPr id="1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5.png"/>
                    <pic:cNvPicPr>
                      <a:picLocks noChangeAspect="1"/>
                    </pic:cNvPicPr>
                  </pic:nvPicPr>
                  <pic:blipFill>
                    <a:blip r:embed="rId10" cstate="print"/>
                    <a:stretch>
                      <a:fillRect/>
                    </a:stretch>
                  </pic:blipFill>
                  <pic:spPr>
                    <a:xfrm>
                      <a:off x="0" y="0"/>
                      <a:ext cx="1829511" cy="6096"/>
                    </a:xfrm>
                    <a:prstGeom prst="rect">
                      <a:avLst/>
                    </a:prstGeom>
                  </pic:spPr>
                </pic:pic>
              </a:graphicData>
            </a:graphic>
          </wp:inline>
        </w:drawing>
      </w:r>
    </w:p>
    <w:p>
      <w:pPr>
        <w:spacing w:before="80"/>
        <w:ind w:left="160" w:right="0" w:firstLine="0"/>
        <w:jc w:val="left"/>
        <w:rPr>
          <w:rFonts w:ascii="楷体" w:eastAsia="楷体"/>
          <w:sz w:val="18"/>
        </w:rPr>
      </w:pPr>
      <w:r>
        <w:rPr>
          <w:w w:val="95"/>
          <w:position w:val="9"/>
          <w:sz w:val="9"/>
        </w:rPr>
        <w:t>4</w:t>
      </w:r>
      <w:r>
        <w:rPr>
          <w:rFonts w:hint="eastAsia" w:ascii="楷体" w:eastAsia="楷体"/>
          <w:b/>
          <w:w w:val="95"/>
          <w:sz w:val="18"/>
        </w:rPr>
        <w:t>意外：</w:t>
      </w:r>
      <w:r>
        <w:rPr>
          <w:rFonts w:ascii="楷体" w:eastAsia="楷体"/>
          <w:w w:val="95"/>
          <w:sz w:val="18"/>
        </w:rPr>
        <w:t>指外来的、突发的、非本意的、非疾病的使身体受到伤害的客观事件。</w:t>
      </w:r>
      <w:r>
        <w:rPr>
          <w:rFonts w:ascii="楷体" w:eastAsia="楷体"/>
          <w:color w:val="000000"/>
          <w:w w:val="95"/>
          <w:sz w:val="18"/>
          <w:shd w:val="clear" w:color="auto" w:fill="E4E4E4"/>
        </w:rPr>
        <w:t>不包括无明确外来意外伤害导致的后果</w:t>
      </w:r>
      <w:r>
        <w:rPr>
          <w:rFonts w:ascii="楷体" w:eastAsia="楷体"/>
          <w:color w:val="000000"/>
          <w:spacing w:val="-10"/>
          <w:w w:val="95"/>
          <w:sz w:val="18"/>
          <w:shd w:val="clear" w:color="auto" w:fill="E4E4E4"/>
        </w:rPr>
        <w:t>。</w:t>
      </w:r>
    </w:p>
    <w:p>
      <w:pPr>
        <w:spacing w:before="3" w:line="242" w:lineRule="auto"/>
        <w:ind w:left="160" w:right="715" w:firstLine="0"/>
        <w:jc w:val="left"/>
        <w:rPr>
          <w:rFonts w:ascii="楷体" w:eastAsia="楷体"/>
          <w:sz w:val="18"/>
        </w:rPr>
      </w:pPr>
      <w:r>
        <w:rPr>
          <w:rFonts w:ascii="楷体" w:eastAsia="楷体"/>
          <w:spacing w:val="-2"/>
          <w:position w:val="9"/>
          <w:sz w:val="9"/>
        </w:rPr>
        <w:t>5</w:t>
      </w:r>
      <w:r>
        <w:rPr>
          <w:rFonts w:hint="eastAsia" w:ascii="楷体" w:eastAsia="楷体"/>
          <w:b/>
          <w:spacing w:val="-2"/>
          <w:sz w:val="18"/>
        </w:rPr>
        <w:t>等待期：</w:t>
      </w:r>
      <w:r>
        <w:rPr>
          <w:rFonts w:ascii="楷体" w:eastAsia="楷体"/>
          <w:spacing w:val="-3"/>
          <w:sz w:val="18"/>
        </w:rPr>
        <w:t xml:space="preserve">是指本合同生效后本公司不承担保险责任的一段时间，本合同生效日起 </w:t>
      </w:r>
      <w:r>
        <w:rPr>
          <w:rFonts w:ascii="楷体" w:eastAsia="楷体"/>
          <w:spacing w:val="-2"/>
          <w:sz w:val="18"/>
        </w:rPr>
        <w:t>30</w:t>
      </w:r>
      <w:r>
        <w:rPr>
          <w:rFonts w:ascii="楷体" w:eastAsia="楷体"/>
          <w:spacing w:val="-12"/>
          <w:sz w:val="18"/>
        </w:rPr>
        <w:t xml:space="preserve"> 天内</w:t>
      </w:r>
      <w:r>
        <w:rPr>
          <w:rFonts w:ascii="楷体" w:eastAsia="楷体"/>
          <w:spacing w:val="-2"/>
          <w:sz w:val="18"/>
        </w:rPr>
        <w:t>（</w:t>
      </w:r>
      <w:r>
        <w:rPr>
          <w:rFonts w:ascii="楷体" w:eastAsia="楷体"/>
          <w:spacing w:val="-12"/>
          <w:sz w:val="18"/>
        </w:rPr>
        <w:t xml:space="preserve">含第 </w:t>
      </w:r>
      <w:r>
        <w:rPr>
          <w:rFonts w:ascii="楷体" w:eastAsia="楷体"/>
          <w:spacing w:val="-2"/>
          <w:sz w:val="18"/>
        </w:rPr>
        <w:t>30</w:t>
      </w:r>
      <w:r>
        <w:rPr>
          <w:rFonts w:ascii="楷体" w:eastAsia="楷体"/>
          <w:spacing w:val="-16"/>
          <w:sz w:val="18"/>
        </w:rPr>
        <w:t xml:space="preserve"> 天</w:t>
      </w:r>
      <w:r>
        <w:rPr>
          <w:rFonts w:ascii="楷体" w:eastAsia="楷体"/>
          <w:spacing w:val="-2"/>
          <w:sz w:val="18"/>
        </w:rPr>
        <w:t>）为等待期。保险期间届满时，投保人需要重新向本公司申请投保本产品，并经本公司同意，获得新的保险合同，新的保险合同无等待期。</w:t>
      </w:r>
    </w:p>
    <w:p>
      <w:pPr>
        <w:spacing w:before="0" w:line="248" w:lineRule="exact"/>
        <w:ind w:left="160" w:right="0" w:firstLine="0"/>
        <w:jc w:val="left"/>
        <w:rPr>
          <w:rFonts w:ascii="楷体" w:eastAsia="楷体"/>
          <w:sz w:val="18"/>
        </w:rPr>
      </w:pPr>
      <w:r>
        <w:rPr>
          <w:rFonts w:ascii="楷体" w:eastAsia="楷体"/>
          <w:w w:val="95"/>
          <w:position w:val="9"/>
          <w:sz w:val="9"/>
        </w:rPr>
        <w:t>6</w:t>
      </w:r>
      <w:r>
        <w:rPr>
          <w:rFonts w:hint="eastAsia" w:ascii="楷体" w:eastAsia="楷体"/>
          <w:b/>
          <w:w w:val="95"/>
          <w:sz w:val="18"/>
        </w:rPr>
        <w:t>恶性肿瘤-重度</w:t>
      </w:r>
      <w:r>
        <w:rPr>
          <w:rFonts w:hint="eastAsia" w:ascii="楷体" w:eastAsia="楷体"/>
          <w:b/>
          <w:w w:val="95"/>
          <w:sz w:val="21"/>
        </w:rPr>
        <w:t>：</w:t>
      </w:r>
      <w:r>
        <w:rPr>
          <w:rFonts w:ascii="楷体" w:eastAsia="楷体"/>
          <w:w w:val="95"/>
          <w:sz w:val="18"/>
        </w:rPr>
        <w:t>指符合本合同附表一所列的疾病定义的疾病</w:t>
      </w:r>
      <w:r>
        <w:rPr>
          <w:rFonts w:ascii="楷体" w:eastAsia="楷体"/>
          <w:spacing w:val="-10"/>
          <w:w w:val="95"/>
          <w:sz w:val="18"/>
        </w:rPr>
        <w:t>。</w:t>
      </w:r>
    </w:p>
    <w:p>
      <w:pPr>
        <w:spacing w:before="0" w:line="225" w:lineRule="exact"/>
        <w:ind w:left="160" w:right="0" w:firstLine="0"/>
        <w:jc w:val="left"/>
        <w:rPr>
          <w:rFonts w:ascii="楷体" w:eastAsia="楷体"/>
          <w:sz w:val="18"/>
        </w:rPr>
      </w:pPr>
      <w:r>
        <w:rPr>
          <w:rFonts w:ascii="楷体" w:eastAsia="楷体"/>
          <w:w w:val="95"/>
          <w:position w:val="9"/>
          <w:sz w:val="9"/>
        </w:rPr>
        <w:t>7</w:t>
      </w:r>
      <w:r>
        <w:rPr>
          <w:rFonts w:hint="eastAsia" w:ascii="楷体" w:eastAsia="楷体"/>
          <w:b/>
          <w:w w:val="95"/>
          <w:sz w:val="18"/>
        </w:rPr>
        <w:t>本公司指定或认可的医疗机构：</w:t>
      </w:r>
      <w:r>
        <w:rPr>
          <w:rFonts w:ascii="楷体" w:eastAsia="楷体"/>
          <w:w w:val="95"/>
          <w:sz w:val="18"/>
        </w:rPr>
        <w:t>包括本公司指定医疗机构（可登陆本公司官网或致电查询相关信息）</w:t>
      </w:r>
      <w:r>
        <w:rPr>
          <w:rFonts w:ascii="楷体" w:eastAsia="楷体"/>
          <w:spacing w:val="-1"/>
          <w:w w:val="95"/>
          <w:sz w:val="18"/>
        </w:rPr>
        <w:t>，以及符合下列所有条</w:t>
      </w:r>
    </w:p>
    <w:p>
      <w:pPr>
        <w:spacing w:before="2" w:line="242" w:lineRule="auto"/>
        <w:ind w:left="160" w:right="714" w:firstLine="0"/>
        <w:jc w:val="both"/>
        <w:rPr>
          <w:rFonts w:ascii="楷体" w:eastAsia="楷体"/>
          <w:sz w:val="18"/>
        </w:rPr>
      </w:pPr>
      <w:r>
        <w:rPr>
          <w:rFonts w:ascii="楷体" w:eastAsia="楷体"/>
          <w:spacing w:val="-18"/>
          <w:sz w:val="18"/>
        </w:rPr>
        <w:t>件的机构：</w:t>
      </w:r>
      <w:r>
        <w:rPr>
          <w:rFonts w:ascii="楷体" w:eastAsia="楷体"/>
          <w:sz w:val="18"/>
        </w:rPr>
        <w:t>（</w:t>
      </w:r>
      <w:r>
        <w:rPr>
          <w:rFonts w:ascii="楷体" w:eastAsia="楷体"/>
          <w:spacing w:val="1"/>
          <w:sz w:val="18"/>
        </w:rPr>
        <w:t>1</w:t>
      </w:r>
      <w:r>
        <w:rPr>
          <w:rFonts w:ascii="楷体" w:eastAsia="楷体"/>
          <w:sz w:val="18"/>
        </w:rPr>
        <w:t>）除另有约定外，位于境内，拥有合法经营执照，当地基本医疗保险管理机构最新公布的二级以上（</w:t>
      </w:r>
      <w:r>
        <w:rPr>
          <w:rFonts w:ascii="楷体" w:eastAsia="楷体"/>
          <w:spacing w:val="1"/>
          <w:sz w:val="18"/>
        </w:rPr>
        <w:t>含二级</w:t>
      </w:r>
      <w:r>
        <w:rPr>
          <w:rFonts w:ascii="楷体" w:eastAsia="楷体"/>
          <w:spacing w:val="-12"/>
          <w:sz w:val="18"/>
        </w:rPr>
        <w:t>）</w:t>
      </w:r>
      <w:r>
        <w:rPr>
          <w:rFonts w:ascii="楷体" w:eastAsia="楷体"/>
          <w:spacing w:val="-15"/>
          <w:sz w:val="18"/>
        </w:rPr>
        <w:t>的定点医院；</w:t>
      </w:r>
      <w:r>
        <w:rPr>
          <w:rFonts w:ascii="楷体" w:eastAsia="楷体"/>
          <w:spacing w:val="-1"/>
          <w:sz w:val="18"/>
        </w:rPr>
        <w:t>（</w:t>
      </w:r>
      <w:r>
        <w:rPr>
          <w:rFonts w:ascii="楷体" w:eastAsia="楷体"/>
          <w:spacing w:val="1"/>
          <w:sz w:val="18"/>
        </w:rPr>
        <w:t>2</w:t>
      </w:r>
      <w:r>
        <w:rPr>
          <w:rFonts w:ascii="楷体" w:eastAsia="楷体"/>
          <w:sz w:val="18"/>
        </w:rPr>
        <w:t>）</w:t>
      </w:r>
      <w:r>
        <w:rPr>
          <w:rFonts w:ascii="楷体" w:eastAsia="楷体"/>
          <w:spacing w:val="-4"/>
          <w:sz w:val="18"/>
        </w:rPr>
        <w:t>设立的主要目的为向受伤者和患病者提供留院治疗和护理服务；</w:t>
      </w:r>
      <w:r>
        <w:rPr>
          <w:rFonts w:ascii="楷体" w:eastAsia="楷体"/>
          <w:spacing w:val="2"/>
          <w:sz w:val="18"/>
        </w:rPr>
        <w:t>（</w:t>
      </w:r>
      <w:r>
        <w:rPr>
          <w:rFonts w:ascii="楷体" w:eastAsia="楷体"/>
          <w:spacing w:val="1"/>
          <w:sz w:val="18"/>
        </w:rPr>
        <w:t>3</w:t>
      </w:r>
      <w:r>
        <w:rPr>
          <w:rFonts w:ascii="楷体" w:eastAsia="楷体"/>
          <w:sz w:val="18"/>
        </w:rPr>
        <w:t>）</w:t>
      </w:r>
      <w:r>
        <w:rPr>
          <w:rFonts w:ascii="楷体" w:eastAsia="楷体"/>
          <w:spacing w:val="-1"/>
          <w:sz w:val="18"/>
        </w:rPr>
        <w:t>有合格的医生和护士提供全日二十四</w:t>
      </w:r>
      <w:r>
        <w:rPr>
          <w:rFonts w:ascii="楷体" w:eastAsia="楷体"/>
          <w:spacing w:val="-9"/>
          <w:sz w:val="18"/>
        </w:rPr>
        <w:t>小时的医疗和护理服务；</w:t>
      </w:r>
      <w:r>
        <w:rPr>
          <w:rFonts w:ascii="楷体" w:eastAsia="楷体"/>
          <w:sz w:val="18"/>
        </w:rPr>
        <w:t>（</w:t>
      </w:r>
      <w:r>
        <w:rPr>
          <w:rFonts w:ascii="楷体" w:eastAsia="楷体"/>
          <w:spacing w:val="1"/>
          <w:sz w:val="18"/>
        </w:rPr>
        <w:t>4</w:t>
      </w:r>
      <w:r>
        <w:rPr>
          <w:rFonts w:ascii="楷体" w:eastAsia="楷体"/>
          <w:spacing w:val="2"/>
          <w:sz w:val="18"/>
        </w:rPr>
        <w:t>）</w:t>
      </w:r>
      <w:r>
        <w:rPr>
          <w:rFonts w:ascii="楷体" w:eastAsia="楷体"/>
          <w:spacing w:val="-3"/>
          <w:sz w:val="18"/>
        </w:rPr>
        <w:t>非主要作为康复医院、诊所、护理、疗养、戒酒、戒毒或类似的医疗机构；</w:t>
      </w:r>
      <w:r>
        <w:rPr>
          <w:rFonts w:ascii="楷体" w:eastAsia="楷体"/>
          <w:spacing w:val="3"/>
          <w:sz w:val="18"/>
        </w:rPr>
        <w:t>（</w:t>
      </w:r>
      <w:r>
        <w:rPr>
          <w:rFonts w:ascii="楷体" w:eastAsia="楷体"/>
          <w:spacing w:val="1"/>
          <w:sz w:val="18"/>
        </w:rPr>
        <w:t>5</w:t>
      </w:r>
      <w:r>
        <w:rPr>
          <w:rFonts w:ascii="楷体" w:eastAsia="楷体"/>
          <w:sz w:val="18"/>
        </w:rPr>
        <w:t>）</w:t>
      </w:r>
      <w:r>
        <w:rPr>
          <w:rFonts w:ascii="楷体" w:eastAsia="楷体"/>
          <w:color w:val="000000"/>
          <w:spacing w:val="-3"/>
          <w:sz w:val="18"/>
          <w:shd w:val="clear" w:color="auto" w:fill="E4E4E4"/>
        </w:rPr>
        <w:t>以上机构中的</w:t>
      </w:r>
      <w:r>
        <w:rPr>
          <w:rFonts w:ascii="楷体" w:eastAsia="楷体"/>
          <w:color w:val="000000"/>
          <w:sz w:val="18"/>
          <w:shd w:val="clear" w:color="auto" w:fill="E4E4E4"/>
        </w:rPr>
        <w:t xml:space="preserve">                                                                                                                                                                                                                      </w:t>
      </w:r>
      <w:r>
        <w:rPr>
          <w:rFonts w:ascii="楷体" w:eastAsia="楷体"/>
          <w:color w:val="000000"/>
          <w:spacing w:val="-3"/>
          <w:sz w:val="18"/>
          <w:shd w:val="clear" w:color="auto" w:fill="E4E4E4"/>
        </w:rPr>
        <w:t>特需门诊或病房</w:t>
      </w:r>
      <w:r>
        <w:rPr>
          <w:rFonts w:ascii="楷体" w:eastAsia="楷体"/>
          <w:color w:val="000000"/>
          <w:sz w:val="18"/>
          <w:shd w:val="clear" w:color="auto" w:fill="E4E4E4"/>
        </w:rPr>
        <w:t>（</w:t>
      </w:r>
      <w:r>
        <w:rPr>
          <w:rFonts w:ascii="楷体" w:eastAsia="楷体"/>
          <w:color w:val="000000"/>
          <w:spacing w:val="-7"/>
          <w:sz w:val="18"/>
          <w:shd w:val="clear" w:color="auto" w:fill="E4E4E4"/>
        </w:rPr>
        <w:t>包含特需医疗、外宾医疗、干部病房、联合病房、国际医疗中心、</w:t>
      </w:r>
      <w:r>
        <w:rPr>
          <w:rFonts w:ascii="楷体" w:eastAsia="楷体"/>
          <w:color w:val="000000"/>
          <w:spacing w:val="1"/>
          <w:sz w:val="18"/>
          <w:shd w:val="clear" w:color="auto" w:fill="E4E4E4"/>
        </w:rPr>
        <w:t>VI</w:t>
      </w:r>
      <w:r>
        <w:rPr>
          <w:rFonts w:ascii="楷体" w:eastAsia="楷体"/>
          <w:color w:val="000000"/>
          <w:sz w:val="18"/>
          <w:shd w:val="clear" w:color="auto" w:fill="E4E4E4"/>
        </w:rPr>
        <w:t>P</w:t>
      </w:r>
      <w:r>
        <w:rPr>
          <w:rFonts w:ascii="楷体" w:eastAsia="楷体"/>
          <w:color w:val="000000"/>
          <w:spacing w:val="-10"/>
          <w:sz w:val="18"/>
          <w:shd w:val="clear" w:color="auto" w:fill="E4E4E4"/>
        </w:rPr>
        <w:t xml:space="preserve"> 部、联合医院</w:t>
      </w:r>
      <w:r>
        <w:rPr>
          <w:rFonts w:ascii="楷体" w:eastAsia="楷体"/>
          <w:color w:val="000000"/>
          <w:spacing w:val="-15"/>
          <w:sz w:val="18"/>
          <w:shd w:val="clear" w:color="auto" w:fill="E4E4E4"/>
        </w:rPr>
        <w:t>）</w:t>
      </w:r>
      <w:r>
        <w:rPr>
          <w:rFonts w:ascii="楷体" w:eastAsia="楷体"/>
          <w:color w:val="000000"/>
          <w:sz w:val="18"/>
          <w:shd w:val="clear" w:color="auto" w:fill="E4E4E4"/>
        </w:rPr>
        <w:t>是否开放视具体保险计划而定。</w:t>
      </w:r>
    </w:p>
    <w:p>
      <w:pPr>
        <w:spacing w:before="2"/>
        <w:ind w:left="160" w:right="0" w:firstLine="0"/>
        <w:jc w:val="left"/>
        <w:rPr>
          <w:rFonts w:ascii="楷体" w:eastAsia="楷体"/>
          <w:sz w:val="18"/>
        </w:rPr>
      </w:pPr>
      <w:r>
        <w:rPr>
          <w:rFonts w:ascii="楷体" w:eastAsia="楷体"/>
          <w:w w:val="95"/>
          <w:position w:val="9"/>
          <w:sz w:val="9"/>
        </w:rPr>
        <w:t>8</w:t>
      </w:r>
      <w:r>
        <w:rPr>
          <w:rFonts w:hint="eastAsia" w:ascii="楷体" w:eastAsia="楷体"/>
          <w:b/>
          <w:w w:val="95"/>
          <w:sz w:val="18"/>
        </w:rPr>
        <w:t>医护人员：</w:t>
      </w:r>
      <w:r>
        <w:rPr>
          <w:rFonts w:ascii="楷体" w:eastAsia="楷体"/>
          <w:w w:val="95"/>
          <w:sz w:val="18"/>
        </w:rPr>
        <w:t>包括医生、护士。护士，指在卫生管理机构合法注册的具有护士执业资格且正在执业的护理人员</w:t>
      </w:r>
      <w:r>
        <w:rPr>
          <w:rFonts w:ascii="楷体" w:eastAsia="楷体"/>
          <w:spacing w:val="-10"/>
          <w:w w:val="95"/>
          <w:sz w:val="18"/>
        </w:rPr>
        <w:t>。</w:t>
      </w:r>
    </w:p>
    <w:p>
      <w:pPr>
        <w:spacing w:before="2"/>
        <w:ind w:left="160" w:right="0" w:firstLine="0"/>
        <w:jc w:val="left"/>
        <w:rPr>
          <w:rFonts w:ascii="楷体" w:eastAsia="楷体"/>
          <w:sz w:val="18"/>
        </w:rPr>
      </w:pPr>
      <w:r>
        <w:rPr>
          <w:rFonts w:ascii="楷体" w:eastAsia="楷体"/>
          <w:w w:val="95"/>
          <w:position w:val="9"/>
          <w:sz w:val="9"/>
        </w:rPr>
        <w:t>9</w:t>
      </w:r>
      <w:r>
        <w:rPr>
          <w:rFonts w:hint="eastAsia" w:ascii="楷体" w:eastAsia="楷体"/>
          <w:b/>
          <w:w w:val="95"/>
          <w:sz w:val="18"/>
        </w:rPr>
        <w:t>医学必需：</w:t>
      </w:r>
      <w:r>
        <w:rPr>
          <w:rFonts w:ascii="楷体" w:eastAsia="楷体"/>
          <w:w w:val="95"/>
          <w:sz w:val="18"/>
        </w:rPr>
        <w:t>指医疗费用符合下列所有条件：（1）治疗意外伤害或者疾病所必需的项目；（2）不超过安全、足量治疗原则的</w:t>
      </w:r>
      <w:r>
        <w:rPr>
          <w:rFonts w:ascii="楷体" w:eastAsia="楷体"/>
          <w:spacing w:val="-10"/>
          <w:w w:val="95"/>
          <w:sz w:val="18"/>
        </w:rPr>
        <w:t>项</w:t>
      </w:r>
    </w:p>
    <w:p>
      <w:pPr>
        <w:spacing w:before="5" w:line="242" w:lineRule="auto"/>
        <w:ind w:left="160" w:right="717" w:firstLine="0"/>
        <w:jc w:val="left"/>
        <w:rPr>
          <w:rFonts w:ascii="楷体" w:eastAsia="楷体"/>
          <w:sz w:val="18"/>
        </w:rPr>
      </w:pPr>
      <w:r>
        <w:rPr>
          <w:rFonts w:ascii="楷体" w:eastAsia="楷体"/>
          <w:spacing w:val="-6"/>
          <w:sz w:val="18"/>
        </w:rPr>
        <w:t>目；（3）由医生开具的处方药；（4）非试验性的、非研究性的项目；（5）与接受治疗当地普遍接受的医疗专业实践标准一致</w:t>
      </w:r>
      <w:r>
        <w:rPr>
          <w:rFonts w:ascii="楷体" w:eastAsia="楷体"/>
          <w:spacing w:val="-4"/>
          <w:sz w:val="18"/>
        </w:rPr>
        <w:t>的项目。</w:t>
      </w:r>
    </w:p>
    <w:p>
      <w:pPr>
        <w:spacing w:before="0" w:line="230" w:lineRule="exact"/>
        <w:ind w:left="160" w:right="0" w:firstLine="0"/>
        <w:jc w:val="left"/>
        <w:rPr>
          <w:rFonts w:ascii="楷体" w:eastAsia="楷体"/>
          <w:sz w:val="18"/>
        </w:rPr>
      </w:pPr>
      <w:r>
        <w:rPr>
          <w:rFonts w:ascii="楷体" w:eastAsia="楷体"/>
          <w:w w:val="95"/>
          <w:position w:val="9"/>
          <w:sz w:val="9"/>
        </w:rPr>
        <w:t>10</w:t>
      </w:r>
      <w:r>
        <w:rPr>
          <w:rFonts w:hint="eastAsia" w:ascii="楷体" w:eastAsia="楷体"/>
          <w:b/>
          <w:w w:val="95"/>
          <w:sz w:val="18"/>
        </w:rPr>
        <w:t>住院：</w:t>
      </w:r>
      <w:r>
        <w:rPr>
          <w:rFonts w:ascii="楷体" w:eastAsia="楷体"/>
          <w:w w:val="95"/>
          <w:sz w:val="18"/>
        </w:rPr>
        <w:t>指确因临床需要，正式办理入院及出院手续，并确实入住医疗机构正式病房接受治疗的行为过程，</w:t>
      </w:r>
      <w:r>
        <w:rPr>
          <w:rFonts w:ascii="楷体" w:eastAsia="楷体"/>
          <w:color w:val="000000"/>
          <w:w w:val="95"/>
          <w:sz w:val="18"/>
          <w:shd w:val="clear" w:color="auto" w:fill="D9D9D9"/>
        </w:rPr>
        <w:t>但不包括入住门</w:t>
      </w:r>
      <w:r>
        <w:rPr>
          <w:rFonts w:ascii="楷体" w:eastAsia="楷体"/>
          <w:color w:val="000000"/>
          <w:spacing w:val="-10"/>
          <w:w w:val="95"/>
          <w:sz w:val="18"/>
          <w:shd w:val="clear" w:color="auto" w:fill="D9D9D9"/>
        </w:rPr>
        <w:t>诊</w:t>
      </w:r>
    </w:p>
    <w:p>
      <w:pPr>
        <w:spacing w:before="2"/>
        <w:ind w:left="160" w:right="0" w:firstLine="0"/>
        <w:jc w:val="left"/>
        <w:rPr>
          <w:rFonts w:ascii="楷体" w:eastAsia="楷体"/>
          <w:sz w:val="18"/>
        </w:rPr>
      </w:pPr>
      <w:r>
        <w:rPr>
          <w:rFonts w:ascii="楷体" w:eastAsia="楷体"/>
          <w:color w:val="000000"/>
          <w:spacing w:val="-1"/>
          <w:sz w:val="18"/>
          <w:shd w:val="clear" w:color="auto" w:fill="D9D9D9"/>
        </w:rPr>
        <w:t>观察室、家庭病床、挂床住院，以及休养、疗养、身体检查和健康护理等非治疗性行为。</w:t>
      </w:r>
    </w:p>
    <w:p>
      <w:pPr>
        <w:spacing w:before="4"/>
        <w:ind w:left="160" w:right="0" w:firstLine="0"/>
        <w:jc w:val="left"/>
        <w:rPr>
          <w:rFonts w:ascii="楷体" w:eastAsia="楷体"/>
          <w:sz w:val="18"/>
        </w:rPr>
      </w:pPr>
      <w:r>
        <w:rPr>
          <w:rFonts w:ascii="楷体" w:eastAsia="楷体"/>
          <w:w w:val="95"/>
          <w:position w:val="9"/>
          <w:sz w:val="9"/>
        </w:rPr>
        <w:t>11</w:t>
      </w:r>
      <w:r>
        <w:rPr>
          <w:rFonts w:hint="eastAsia" w:ascii="楷体" w:eastAsia="楷体"/>
          <w:b/>
          <w:w w:val="95"/>
          <w:sz w:val="18"/>
        </w:rPr>
        <w:t>日间住院：</w:t>
      </w:r>
      <w:r>
        <w:rPr>
          <w:rFonts w:ascii="楷体" w:eastAsia="楷体"/>
          <w:w w:val="95"/>
          <w:sz w:val="18"/>
        </w:rPr>
        <w:t>指完全出于接受医学必需的治疗目的被保险人以占用医疗机构病床但不过夜的方式接受的医疗</w:t>
      </w:r>
      <w:r>
        <w:rPr>
          <w:rFonts w:ascii="楷体" w:eastAsia="楷体"/>
          <w:spacing w:val="-10"/>
          <w:w w:val="95"/>
          <w:sz w:val="18"/>
        </w:rPr>
        <w:t>。</w:t>
      </w:r>
    </w:p>
    <w:p>
      <w:pPr>
        <w:spacing w:before="4"/>
        <w:ind w:left="160" w:right="0" w:firstLine="0"/>
        <w:jc w:val="left"/>
        <w:rPr>
          <w:rFonts w:ascii="楷体" w:eastAsia="楷体"/>
          <w:sz w:val="18"/>
        </w:rPr>
      </w:pPr>
      <w:r>
        <w:rPr>
          <w:rFonts w:ascii="楷体" w:eastAsia="楷体"/>
          <w:w w:val="95"/>
          <w:position w:val="9"/>
          <w:sz w:val="9"/>
        </w:rPr>
        <w:t>12</w:t>
      </w:r>
      <w:r>
        <w:rPr>
          <w:rFonts w:hint="eastAsia" w:ascii="楷体" w:eastAsia="楷体"/>
          <w:b/>
          <w:w w:val="95"/>
          <w:sz w:val="18"/>
        </w:rPr>
        <w:t>膳食费</w:t>
      </w:r>
      <w:r>
        <w:rPr>
          <w:rFonts w:hint="eastAsia" w:ascii="楷体" w:eastAsia="楷体"/>
          <w:b/>
          <w:spacing w:val="-77"/>
          <w:w w:val="95"/>
          <w:sz w:val="21"/>
        </w:rPr>
        <w:t>：</w:t>
      </w:r>
      <w:r>
        <w:rPr>
          <w:rFonts w:ascii="楷体" w:eastAsia="楷体"/>
          <w:w w:val="95"/>
          <w:sz w:val="18"/>
        </w:rPr>
        <w:t>根据医生的医嘱</w:t>
      </w:r>
      <w:r>
        <w:rPr>
          <w:rFonts w:ascii="楷体" w:eastAsia="楷体"/>
          <w:spacing w:val="-68"/>
          <w:w w:val="95"/>
          <w:sz w:val="18"/>
        </w:rPr>
        <w:t>，</w:t>
      </w:r>
      <w:r>
        <w:rPr>
          <w:rFonts w:ascii="楷体" w:eastAsia="楷体"/>
          <w:w w:val="95"/>
          <w:sz w:val="18"/>
        </w:rPr>
        <w:t>由作为医院内部专属部门的</w:t>
      </w:r>
      <w:r>
        <w:rPr>
          <w:rFonts w:ascii="楷体" w:eastAsia="楷体"/>
          <w:spacing w:val="-68"/>
          <w:w w:val="95"/>
          <w:sz w:val="18"/>
        </w:rPr>
        <w:t>、</w:t>
      </w:r>
      <w:r>
        <w:rPr>
          <w:rFonts w:ascii="楷体" w:eastAsia="楷体"/>
          <w:w w:val="95"/>
          <w:sz w:val="18"/>
        </w:rPr>
        <w:t>为住院病人配餐的食堂配送的膳食费</w:t>
      </w:r>
      <w:r>
        <w:rPr>
          <w:rFonts w:ascii="楷体" w:eastAsia="楷体"/>
          <w:spacing w:val="-68"/>
          <w:w w:val="95"/>
          <w:sz w:val="18"/>
        </w:rPr>
        <w:t>。</w:t>
      </w:r>
      <w:r>
        <w:rPr>
          <w:rFonts w:ascii="楷体" w:eastAsia="楷体"/>
          <w:w w:val="95"/>
          <w:sz w:val="18"/>
        </w:rPr>
        <w:t>膳食费应包含在医疗账单内</w:t>
      </w:r>
      <w:r>
        <w:rPr>
          <w:rFonts w:ascii="楷体" w:eastAsia="楷体"/>
          <w:spacing w:val="-10"/>
          <w:w w:val="95"/>
          <w:sz w:val="18"/>
        </w:rPr>
        <w:t>；</w:t>
      </w:r>
    </w:p>
    <w:p>
      <w:pPr>
        <w:spacing w:before="1" w:line="242" w:lineRule="auto"/>
        <w:ind w:left="160" w:right="715" w:firstLine="0"/>
        <w:jc w:val="both"/>
        <w:rPr>
          <w:rFonts w:ascii="楷体" w:eastAsia="楷体"/>
          <w:sz w:val="18"/>
        </w:rPr>
      </w:pPr>
      <w:r>
        <w:rPr>
          <w:rFonts w:ascii="楷体" w:eastAsia="楷体"/>
          <w:spacing w:val="-2"/>
          <w:sz w:val="18"/>
        </w:rPr>
        <w:t>根据各医疗机构的惯例，可以作为独立的款项、也可以合并在病房费等其他款项内。</w:t>
      </w:r>
      <w:r>
        <w:rPr>
          <w:rFonts w:ascii="楷体" w:eastAsia="楷体"/>
          <w:color w:val="000000"/>
          <w:spacing w:val="-2"/>
          <w:sz w:val="18"/>
          <w:shd w:val="clear" w:color="auto" w:fill="D9D9D9"/>
        </w:rPr>
        <w:t>若一些医疗机构自身不设内部专属的食</w:t>
      </w:r>
      <w:r>
        <w:rPr>
          <w:rFonts w:ascii="楷体" w:eastAsia="楷体"/>
          <w:color w:val="000000"/>
          <w:spacing w:val="40"/>
          <w:sz w:val="18"/>
          <w:shd w:val="clear" w:color="auto" w:fill="D9D9D9"/>
        </w:rPr>
        <w:t xml:space="preserve"> </w:t>
      </w:r>
      <w:r>
        <w:rPr>
          <w:rFonts w:ascii="楷体" w:eastAsia="楷体"/>
          <w:color w:val="000000"/>
          <w:spacing w:val="-2"/>
          <w:sz w:val="18"/>
          <w:shd w:val="clear" w:color="auto" w:fill="D9D9D9"/>
        </w:rPr>
        <w:t>堂而将病人膳食外包给独立经营的商业餐饮单位、从而膳食费不包含在医疗账单内，受益人提供证明上述情况属实并经本公</w:t>
      </w:r>
      <w:r>
        <w:rPr>
          <w:rFonts w:ascii="楷体" w:eastAsia="楷体"/>
          <w:color w:val="000000"/>
          <w:spacing w:val="-3"/>
          <w:sz w:val="18"/>
          <w:shd w:val="clear" w:color="auto" w:fill="D9D9D9"/>
        </w:rPr>
        <w:t xml:space="preserve">司证实后，按照膳食费发票金额的 </w:t>
      </w:r>
      <w:r>
        <w:rPr>
          <w:rFonts w:ascii="楷体" w:eastAsia="楷体"/>
          <w:color w:val="000000"/>
          <w:sz w:val="18"/>
          <w:shd w:val="clear" w:color="auto" w:fill="D9D9D9"/>
        </w:rPr>
        <w:t>50%作为与医疗相关的膳食费金额进行后续的理赔计算</w:t>
      </w:r>
      <w:r>
        <w:rPr>
          <w:rFonts w:ascii="楷体" w:eastAsia="楷体"/>
          <w:color w:val="000000"/>
          <w:sz w:val="18"/>
        </w:rPr>
        <w:t>。</w:t>
      </w:r>
    </w:p>
    <w:p>
      <w:pPr>
        <w:spacing w:before="2"/>
        <w:ind w:left="160" w:right="0" w:firstLine="0"/>
        <w:jc w:val="left"/>
        <w:rPr>
          <w:rFonts w:ascii="楷体" w:eastAsia="楷体"/>
          <w:sz w:val="18"/>
        </w:rPr>
      </w:pPr>
      <w:r>
        <w:rPr>
          <w:rFonts w:ascii="楷体" w:eastAsia="楷体"/>
          <w:w w:val="95"/>
          <w:position w:val="9"/>
          <w:sz w:val="9"/>
        </w:rPr>
        <w:t>13</w:t>
      </w:r>
      <w:r>
        <w:rPr>
          <w:rFonts w:hint="eastAsia" w:ascii="楷体" w:eastAsia="楷体"/>
          <w:b/>
          <w:w w:val="95"/>
          <w:sz w:val="18"/>
        </w:rPr>
        <w:t>药品费：</w:t>
      </w:r>
      <w:r>
        <w:rPr>
          <w:rFonts w:ascii="楷体" w:eastAsia="楷体"/>
          <w:w w:val="95"/>
          <w:sz w:val="18"/>
        </w:rPr>
        <w:t>指实际发生的合理且必要的、由医生开具的、具有国家药品监督管理部门核发的药品批准文号或者进口药品注册</w:t>
      </w:r>
      <w:r>
        <w:rPr>
          <w:rFonts w:ascii="楷体" w:eastAsia="楷体"/>
          <w:spacing w:val="-10"/>
          <w:w w:val="95"/>
          <w:sz w:val="18"/>
        </w:rPr>
        <w:t>证</w:t>
      </w:r>
    </w:p>
    <w:p>
      <w:pPr>
        <w:spacing w:before="5" w:line="242" w:lineRule="auto"/>
        <w:ind w:left="160" w:right="716" w:firstLine="0"/>
        <w:jc w:val="left"/>
        <w:rPr>
          <w:rFonts w:ascii="楷体" w:eastAsia="楷体"/>
          <w:sz w:val="18"/>
        </w:rPr>
      </w:pPr>
      <w:r>
        <w:drawing>
          <wp:anchor distT="0" distB="0" distL="0" distR="0" simplePos="0" relativeHeight="251667456" behindDoc="1" locked="0" layoutInCell="1" allowOverlap="1">
            <wp:simplePos x="0" y="0"/>
            <wp:positionH relativeFrom="page">
              <wp:posOffset>685800</wp:posOffset>
            </wp:positionH>
            <wp:positionV relativeFrom="paragraph">
              <wp:posOffset>298450</wp:posOffset>
            </wp:positionV>
            <wp:extent cx="6189980" cy="297180"/>
            <wp:effectExtent l="0" t="0" r="0" b="0"/>
            <wp:wrapNone/>
            <wp:docPr id="13"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6.png"/>
                    <pic:cNvPicPr>
                      <a:picLocks noChangeAspect="1"/>
                    </pic:cNvPicPr>
                  </pic:nvPicPr>
                  <pic:blipFill>
                    <a:blip r:embed="rId11" cstate="print"/>
                    <a:stretch>
                      <a:fillRect/>
                    </a:stretch>
                  </pic:blipFill>
                  <pic:spPr>
                    <a:xfrm>
                      <a:off x="0" y="0"/>
                      <a:ext cx="6190234" cy="297180"/>
                    </a:xfrm>
                    <a:prstGeom prst="rect">
                      <a:avLst/>
                    </a:prstGeom>
                  </pic:spPr>
                </pic:pic>
              </a:graphicData>
            </a:graphic>
          </wp:anchor>
        </w:drawing>
      </w:r>
      <w:r>
        <w:rPr>
          <w:rFonts w:ascii="楷体" w:eastAsia="楷体"/>
          <w:spacing w:val="-2"/>
          <w:sz w:val="18"/>
        </w:rPr>
        <w:t>书、医药产品注册证书的国产或进口药品的费用。</w:t>
      </w:r>
      <w:r>
        <w:rPr>
          <w:rFonts w:ascii="楷体" w:eastAsia="楷体"/>
          <w:color w:val="000000"/>
          <w:spacing w:val="-2"/>
          <w:sz w:val="18"/>
          <w:shd w:val="clear" w:color="auto" w:fill="E4E4E4"/>
        </w:rPr>
        <w:t>但不包括营养补充类药品，免疫功能调节类药品，美容及减肥类药品，预</w:t>
      </w:r>
      <w:r>
        <w:rPr>
          <w:rFonts w:ascii="楷体" w:eastAsia="楷体"/>
          <w:color w:val="000000"/>
          <w:spacing w:val="80"/>
          <w:w w:val="150"/>
          <w:sz w:val="18"/>
          <w:shd w:val="clear" w:color="auto" w:fill="E4E4E4"/>
        </w:rPr>
        <w:t xml:space="preserve">                                                           </w:t>
      </w:r>
      <w:r>
        <w:rPr>
          <w:rFonts w:ascii="楷体" w:eastAsia="楷体"/>
          <w:color w:val="000000"/>
          <w:spacing w:val="-2"/>
          <w:sz w:val="18"/>
          <w:shd w:val="clear" w:color="auto" w:fill="E4E4E4"/>
        </w:rPr>
        <w:t>防类药品，非就诊医院药房购买的药品以及下列中药类药品：</w:t>
      </w:r>
    </w:p>
    <w:p>
      <w:pPr>
        <w:pStyle w:val="9"/>
        <w:numPr>
          <w:ilvl w:val="0"/>
          <w:numId w:val="5"/>
        </w:numPr>
        <w:tabs>
          <w:tab w:val="left" w:pos="613"/>
        </w:tabs>
        <w:spacing w:before="0" w:after="0" w:line="242" w:lineRule="auto"/>
        <w:ind w:left="160" w:right="629" w:firstLine="0"/>
        <w:jc w:val="left"/>
        <w:rPr>
          <w:rFonts w:ascii="楷体" w:eastAsia="楷体"/>
          <w:sz w:val="16"/>
        </w:rPr>
      </w:pPr>
      <w:r>
        <w:rPr>
          <w:rFonts w:ascii="楷体" w:eastAsia="楷体"/>
          <w:spacing w:val="-4"/>
          <w:sz w:val="18"/>
        </w:rPr>
        <w:t>主要起营养滋补作用的单方、复方中药或中成药品，如花旗参，冬虫草，白糖参，朝鲜红参，玳瑁，蛤蚧，珊瑚，狗宝，</w:t>
      </w:r>
      <w:r>
        <w:rPr>
          <w:rFonts w:ascii="楷体" w:eastAsia="楷体"/>
          <w:spacing w:val="-2"/>
          <w:sz w:val="18"/>
        </w:rPr>
        <w:t>红参，琥珀，灵芝，羚羊角尖粉，马宝，玛瑙，牛黄，麝香，西红花，血竭，燕窝，野山参，移山参，珍珠（粉），紫河车，</w:t>
      </w:r>
      <w:r>
        <w:rPr>
          <w:rFonts w:ascii="楷体" w:eastAsia="楷体"/>
          <w:color w:val="000000"/>
          <w:spacing w:val="-2"/>
          <w:sz w:val="18"/>
          <w:shd w:val="clear" w:color="auto" w:fill="E4E4E4"/>
        </w:rPr>
        <w:t xml:space="preserve">阿胶，阿胶珠，血宝胶囊，红桃 </w:t>
      </w:r>
      <w:r>
        <w:rPr>
          <w:rFonts w:ascii="楷体" w:eastAsia="楷体"/>
          <w:color w:val="000000"/>
          <w:sz w:val="18"/>
          <w:shd w:val="clear" w:color="auto" w:fill="E4E4E4"/>
        </w:rPr>
        <w:t>K</w:t>
      </w:r>
      <w:r>
        <w:rPr>
          <w:rFonts w:ascii="楷体" w:eastAsia="楷体"/>
          <w:color w:val="000000"/>
          <w:spacing w:val="-5"/>
          <w:sz w:val="18"/>
          <w:shd w:val="clear" w:color="auto" w:fill="E4E4E4"/>
        </w:rPr>
        <w:t xml:space="preserve"> 口服液，十全大补丸，十全大补膏等；</w:t>
      </w:r>
    </w:p>
    <w:p>
      <w:pPr>
        <w:pStyle w:val="9"/>
        <w:numPr>
          <w:ilvl w:val="0"/>
          <w:numId w:val="5"/>
        </w:numPr>
        <w:tabs>
          <w:tab w:val="left" w:pos="613"/>
        </w:tabs>
        <w:spacing w:before="2" w:after="0" w:line="240" w:lineRule="auto"/>
        <w:ind w:left="612" w:right="0" w:hanging="453"/>
        <w:jc w:val="left"/>
        <w:rPr>
          <w:rFonts w:ascii="楷体" w:eastAsia="楷体"/>
          <w:sz w:val="16"/>
        </w:rPr>
      </w:pPr>
      <w:r>
        <w:rPr>
          <w:rFonts w:ascii="楷体" w:eastAsia="楷体"/>
          <w:color w:val="000000"/>
          <w:spacing w:val="-1"/>
          <w:sz w:val="18"/>
          <w:shd w:val="clear" w:color="auto" w:fill="E4E4E4"/>
        </w:rPr>
        <w:t>部分可以入药的动物及动物脏器，如鹿茸，海马，胎盘，鞭，尾，筋，骨等；</w:t>
      </w:r>
      <w:r>
        <w:rPr>
          <w:rFonts w:ascii="楷体" w:eastAsia="楷体"/>
          <w:color w:val="000000"/>
          <w:spacing w:val="40"/>
          <w:sz w:val="18"/>
          <w:shd w:val="clear" w:color="auto" w:fill="E4E4E4"/>
        </w:rPr>
        <w:t xml:space="preserve"> </w:t>
      </w:r>
    </w:p>
    <w:p>
      <w:pPr>
        <w:pStyle w:val="9"/>
        <w:numPr>
          <w:ilvl w:val="0"/>
          <w:numId w:val="5"/>
        </w:numPr>
        <w:tabs>
          <w:tab w:val="left" w:pos="613"/>
        </w:tabs>
        <w:spacing w:before="2" w:after="0" w:line="240" w:lineRule="auto"/>
        <w:ind w:left="612" w:right="0" w:hanging="453"/>
        <w:jc w:val="left"/>
        <w:rPr>
          <w:rFonts w:ascii="楷体" w:eastAsia="楷体"/>
          <w:sz w:val="16"/>
        </w:rPr>
      </w:pPr>
      <w:r>
        <w:rPr>
          <w:rFonts w:ascii="楷体" w:eastAsia="楷体"/>
          <w:color w:val="000000"/>
          <w:spacing w:val="-1"/>
          <w:sz w:val="18"/>
          <w:shd w:val="clear" w:color="auto" w:fill="E4E4E4"/>
        </w:rPr>
        <w:t>用中药材和中药饮片炮制的各类酒制剂等。</w:t>
      </w:r>
    </w:p>
    <w:p>
      <w:pPr>
        <w:spacing w:before="2"/>
        <w:ind w:left="160" w:right="0" w:firstLine="0"/>
        <w:jc w:val="left"/>
        <w:rPr>
          <w:rFonts w:ascii="楷体" w:eastAsia="楷体"/>
          <w:sz w:val="18"/>
        </w:rPr>
      </w:pPr>
      <w:r>
        <w:rPr>
          <w:rFonts w:ascii="楷体" w:eastAsia="楷体"/>
          <w:w w:val="95"/>
          <w:position w:val="9"/>
          <w:sz w:val="9"/>
        </w:rPr>
        <w:t>14</w:t>
      </w:r>
      <w:r>
        <w:rPr>
          <w:rFonts w:hint="eastAsia" w:ascii="楷体" w:eastAsia="楷体"/>
          <w:b/>
          <w:w w:val="95"/>
          <w:sz w:val="18"/>
        </w:rPr>
        <w:t>耐用医疗设备：</w:t>
      </w:r>
      <w:r>
        <w:rPr>
          <w:rFonts w:ascii="楷体" w:eastAsia="楷体"/>
          <w:w w:val="95"/>
          <w:sz w:val="18"/>
        </w:rPr>
        <w:t>指在就诊医院购买并能出具医院发票的</w:t>
      </w:r>
      <w:r>
        <w:rPr>
          <w:rFonts w:ascii="楷体" w:eastAsia="楷体"/>
          <w:spacing w:val="-51"/>
          <w:w w:val="95"/>
          <w:sz w:val="18"/>
        </w:rPr>
        <w:t>、</w:t>
      </w:r>
      <w:r>
        <w:rPr>
          <w:rFonts w:ascii="楷体" w:eastAsia="楷体"/>
          <w:w w:val="95"/>
          <w:sz w:val="18"/>
        </w:rPr>
        <w:t>满足基本医疗需要的康复设备</w:t>
      </w:r>
      <w:r>
        <w:rPr>
          <w:rFonts w:ascii="楷体" w:eastAsia="楷体"/>
          <w:spacing w:val="-51"/>
          <w:w w:val="95"/>
          <w:sz w:val="18"/>
        </w:rPr>
        <w:t>、</w:t>
      </w:r>
      <w:r>
        <w:rPr>
          <w:rFonts w:ascii="楷体" w:eastAsia="楷体"/>
          <w:w w:val="95"/>
          <w:sz w:val="18"/>
        </w:rPr>
        <w:t>矫形支具等</w:t>
      </w:r>
      <w:r>
        <w:rPr>
          <w:rFonts w:ascii="楷体" w:eastAsia="楷体"/>
          <w:spacing w:val="-51"/>
          <w:w w:val="95"/>
          <w:sz w:val="18"/>
        </w:rPr>
        <w:t>，</w:t>
      </w:r>
      <w:r>
        <w:rPr>
          <w:rFonts w:ascii="楷体" w:eastAsia="楷体"/>
          <w:w w:val="95"/>
          <w:sz w:val="18"/>
        </w:rPr>
        <w:t>包括但不限于腿、臂</w:t>
      </w:r>
      <w:r>
        <w:rPr>
          <w:rFonts w:ascii="楷体" w:eastAsia="楷体"/>
          <w:spacing w:val="-10"/>
          <w:w w:val="95"/>
          <w:sz w:val="18"/>
        </w:rPr>
        <w:t>、</w:t>
      </w:r>
    </w:p>
    <w:p>
      <w:pPr>
        <w:spacing w:before="5" w:line="242" w:lineRule="auto"/>
        <w:ind w:left="160" w:right="718" w:firstLine="0"/>
        <w:jc w:val="left"/>
        <w:rPr>
          <w:rFonts w:ascii="楷体" w:eastAsia="楷体"/>
          <w:sz w:val="18"/>
        </w:rPr>
      </w:pPr>
      <w:r>
        <w:rPr>
          <w:rFonts w:ascii="楷体" w:eastAsia="楷体"/>
          <w:spacing w:val="-2"/>
          <w:sz w:val="18"/>
        </w:rPr>
        <w:t>背和颈支具，人造腿、臂、眼。发生因患癌症而行属本合同保险责任范围的乳房切除术情形时，义乳及放入义乳的胸衣亦属耐用医疗设备。</w:t>
      </w:r>
    </w:p>
    <w:p>
      <w:pPr>
        <w:spacing w:after="0" w:line="242" w:lineRule="auto"/>
        <w:jc w:val="left"/>
        <w:rPr>
          <w:rFonts w:ascii="楷体" w:eastAsia="楷体"/>
          <w:sz w:val="18"/>
        </w:rPr>
        <w:sectPr>
          <w:type w:val="continuous"/>
          <w:pgSz w:w="11910" w:h="16840"/>
          <w:pgMar w:top="480" w:right="360" w:bottom="280" w:left="920" w:header="720" w:footer="720" w:gutter="0"/>
          <w:cols w:space="720" w:num="1"/>
        </w:sectPr>
      </w:pPr>
    </w:p>
    <w:p>
      <w:pPr>
        <w:pStyle w:val="9"/>
        <w:numPr>
          <w:ilvl w:val="1"/>
          <w:numId w:val="5"/>
        </w:numPr>
        <w:tabs>
          <w:tab w:val="left" w:pos="3527"/>
        </w:tabs>
        <w:spacing w:before="74" w:after="0" w:line="240" w:lineRule="auto"/>
        <w:ind w:left="3526" w:right="0" w:hanging="530"/>
        <w:jc w:val="left"/>
        <w:rPr>
          <w:sz w:val="21"/>
        </w:rPr>
      </w:pPr>
      <w:r>
        <w:rPr>
          <w:w w:val="95"/>
          <w:sz w:val="21"/>
        </w:rPr>
        <w:t>治疗费、</w:t>
      </w:r>
      <w:r>
        <w:rPr>
          <w:b/>
          <w:w w:val="95"/>
          <w:sz w:val="21"/>
        </w:rPr>
        <w:t>医生</w:t>
      </w:r>
      <w:r>
        <w:rPr>
          <w:b/>
          <w:w w:val="95"/>
          <w:position w:val="11"/>
          <w:sz w:val="11"/>
        </w:rPr>
        <w:t>15</w:t>
      </w:r>
      <w:r>
        <w:rPr>
          <w:w w:val="95"/>
          <w:sz w:val="21"/>
        </w:rPr>
        <w:t>费、会诊费</w:t>
      </w:r>
      <w:r>
        <w:rPr>
          <w:spacing w:val="-10"/>
          <w:w w:val="95"/>
          <w:sz w:val="21"/>
        </w:rPr>
        <w:t>；</w:t>
      </w:r>
    </w:p>
    <w:p>
      <w:pPr>
        <w:pStyle w:val="9"/>
        <w:numPr>
          <w:ilvl w:val="1"/>
          <w:numId w:val="5"/>
        </w:numPr>
        <w:tabs>
          <w:tab w:val="left" w:pos="3527"/>
        </w:tabs>
        <w:spacing w:before="189" w:after="0" w:line="240" w:lineRule="auto"/>
        <w:ind w:left="3526" w:right="0" w:hanging="530"/>
        <w:jc w:val="left"/>
        <w:rPr>
          <w:sz w:val="21"/>
        </w:rPr>
      </w:pPr>
      <w:r>
        <w:rPr>
          <w:b/>
          <w:w w:val="95"/>
          <w:sz w:val="21"/>
        </w:rPr>
        <w:t>手术植入器材</w:t>
      </w:r>
      <w:r>
        <w:rPr>
          <w:b/>
          <w:w w:val="95"/>
          <w:position w:val="11"/>
          <w:sz w:val="11"/>
        </w:rPr>
        <w:t>16</w:t>
      </w:r>
      <w:r>
        <w:rPr>
          <w:w w:val="95"/>
          <w:sz w:val="21"/>
        </w:rPr>
        <w:t>费</w:t>
      </w:r>
      <w:r>
        <w:rPr>
          <w:spacing w:val="-10"/>
          <w:w w:val="95"/>
          <w:sz w:val="21"/>
        </w:rPr>
        <w:t>；</w:t>
      </w:r>
    </w:p>
    <w:p>
      <w:pPr>
        <w:pStyle w:val="9"/>
        <w:numPr>
          <w:ilvl w:val="1"/>
          <w:numId w:val="5"/>
        </w:numPr>
        <w:tabs>
          <w:tab w:val="left" w:pos="3527"/>
        </w:tabs>
        <w:spacing w:before="189" w:after="0" w:line="240" w:lineRule="auto"/>
        <w:ind w:left="3526" w:right="0" w:hanging="530"/>
        <w:jc w:val="left"/>
        <w:rPr>
          <w:sz w:val="21"/>
        </w:rPr>
      </w:pPr>
      <w:r>
        <w:rPr>
          <w:w w:val="95"/>
          <w:sz w:val="21"/>
        </w:rPr>
        <w:t>西式理疗费：</w:t>
      </w:r>
      <w:r>
        <w:rPr>
          <w:b/>
          <w:w w:val="95"/>
          <w:sz w:val="21"/>
        </w:rPr>
        <w:t>物理治疗</w:t>
      </w:r>
      <w:r>
        <w:rPr>
          <w:b/>
          <w:w w:val="95"/>
          <w:position w:val="11"/>
          <w:sz w:val="11"/>
        </w:rPr>
        <w:t>17</w:t>
      </w:r>
      <w:r>
        <w:rPr>
          <w:w w:val="95"/>
          <w:sz w:val="21"/>
        </w:rPr>
        <w:t>、</w:t>
      </w:r>
      <w:r>
        <w:rPr>
          <w:b/>
          <w:w w:val="95"/>
          <w:sz w:val="21"/>
        </w:rPr>
        <w:t>职业治疗</w:t>
      </w:r>
      <w:r>
        <w:rPr>
          <w:b/>
          <w:w w:val="95"/>
          <w:position w:val="11"/>
          <w:sz w:val="11"/>
        </w:rPr>
        <w:t>18</w:t>
      </w:r>
      <w:r>
        <w:rPr>
          <w:w w:val="95"/>
          <w:sz w:val="21"/>
        </w:rPr>
        <w:t>、语言治疗费</w:t>
      </w:r>
      <w:r>
        <w:rPr>
          <w:spacing w:val="-10"/>
          <w:w w:val="95"/>
          <w:sz w:val="21"/>
        </w:rPr>
        <w:t>；</w:t>
      </w:r>
    </w:p>
    <w:p>
      <w:pPr>
        <w:pStyle w:val="5"/>
        <w:spacing w:before="7"/>
        <w:rPr>
          <w:sz w:val="15"/>
        </w:rPr>
      </w:pPr>
    </w:p>
    <w:p>
      <w:pPr>
        <w:pStyle w:val="9"/>
        <w:numPr>
          <w:ilvl w:val="1"/>
          <w:numId w:val="5"/>
        </w:numPr>
        <w:tabs>
          <w:tab w:val="left" w:pos="3527"/>
        </w:tabs>
        <w:spacing w:before="0" w:after="0" w:line="240" w:lineRule="auto"/>
        <w:ind w:left="3526" w:right="0" w:hanging="530"/>
        <w:jc w:val="left"/>
        <w:rPr>
          <w:sz w:val="21"/>
        </w:rPr>
      </w:pPr>
      <w:r>
        <w:rPr>
          <w:spacing w:val="-4"/>
          <w:sz w:val="21"/>
        </w:rPr>
        <w:t>耐用医疗设备费；</w:t>
      </w:r>
    </w:p>
    <w:p>
      <w:pPr>
        <w:pStyle w:val="5"/>
        <w:spacing w:before="7"/>
        <w:rPr>
          <w:sz w:val="15"/>
        </w:rPr>
      </w:pPr>
    </w:p>
    <w:p>
      <w:pPr>
        <w:pStyle w:val="9"/>
        <w:numPr>
          <w:ilvl w:val="1"/>
          <w:numId w:val="5"/>
        </w:numPr>
        <w:tabs>
          <w:tab w:val="left" w:pos="3633"/>
        </w:tabs>
        <w:spacing w:before="0" w:after="0" w:line="240" w:lineRule="auto"/>
        <w:ind w:left="3632" w:right="0" w:hanging="636"/>
        <w:jc w:val="left"/>
        <w:rPr>
          <w:sz w:val="21"/>
        </w:rPr>
      </w:pPr>
      <w:r>
        <w:rPr>
          <w:spacing w:val="-10"/>
          <w:sz w:val="21"/>
        </w:rPr>
        <w:t xml:space="preserve">陪床费：未满 </w:t>
      </w:r>
      <w:r>
        <w:rPr>
          <w:spacing w:val="-4"/>
          <w:sz w:val="21"/>
        </w:rPr>
        <w:t>18</w:t>
      </w:r>
      <w:r>
        <w:rPr>
          <w:spacing w:val="-10"/>
          <w:sz w:val="21"/>
        </w:rPr>
        <w:t xml:space="preserve"> 周岁被保险人住院期间其父亲或母亲</w:t>
      </w:r>
      <w:r>
        <w:rPr>
          <w:spacing w:val="-4"/>
          <w:sz w:val="21"/>
        </w:rPr>
        <w:t>（限一名）</w:t>
      </w:r>
      <w:r>
        <w:rPr>
          <w:spacing w:val="-7"/>
          <w:sz w:val="21"/>
        </w:rPr>
        <w:t>或被</w:t>
      </w:r>
    </w:p>
    <w:p>
      <w:pPr>
        <w:pStyle w:val="5"/>
        <w:spacing w:before="43" w:line="278" w:lineRule="auto"/>
        <w:ind w:left="2997" w:right="663"/>
      </w:pPr>
      <w:r>
        <w:rPr>
          <w:spacing w:val="-3"/>
        </w:rPr>
        <w:t xml:space="preserve">保险人住院期间其出生未满 </w:t>
      </w:r>
      <w:r>
        <w:t>16</w:t>
      </w:r>
      <w:r>
        <w:rPr>
          <w:spacing w:val="-8"/>
        </w:rPr>
        <w:t xml:space="preserve"> 周的新生儿</w:t>
      </w:r>
      <w:r>
        <w:t>（</w:t>
      </w:r>
      <w:r>
        <w:rPr>
          <w:spacing w:val="-11"/>
        </w:rPr>
        <w:t>以下简称“陪同人员”</w:t>
      </w:r>
      <w:r>
        <w:t>）陪同住</w:t>
      </w:r>
      <w:r>
        <w:rPr>
          <w:spacing w:val="-2"/>
        </w:rPr>
        <w:t>院加床费以及医疗机构提供的膳食费；</w:t>
      </w:r>
    </w:p>
    <w:p>
      <w:pPr>
        <w:pStyle w:val="9"/>
        <w:numPr>
          <w:ilvl w:val="1"/>
          <w:numId w:val="5"/>
        </w:numPr>
        <w:tabs>
          <w:tab w:val="left" w:pos="3633"/>
        </w:tabs>
        <w:spacing w:before="156" w:after="0" w:line="268" w:lineRule="auto"/>
        <w:ind w:left="2997" w:right="663" w:firstLine="0"/>
        <w:jc w:val="left"/>
        <w:rPr>
          <w:sz w:val="21"/>
        </w:rPr>
      </w:pPr>
      <w:r>
        <w:rPr>
          <w:spacing w:val="-2"/>
          <w:sz w:val="21"/>
        </w:rPr>
        <w:t>视为住院医疗的特殊门诊费用：门诊肾透析费；器官移植后的门诊抗排异治疗费用；</w:t>
      </w:r>
      <w:r>
        <w:rPr>
          <w:b/>
          <w:spacing w:val="-2"/>
          <w:sz w:val="21"/>
        </w:rPr>
        <w:t>门诊手术费</w:t>
      </w:r>
      <w:r>
        <w:rPr>
          <w:b/>
          <w:spacing w:val="-2"/>
          <w:position w:val="11"/>
          <w:sz w:val="11"/>
        </w:rPr>
        <w:t>19</w:t>
      </w:r>
      <w:r>
        <w:rPr>
          <w:spacing w:val="-2"/>
          <w:sz w:val="21"/>
        </w:rPr>
        <w:t>；</w:t>
      </w:r>
      <w:r>
        <w:rPr>
          <w:b/>
          <w:spacing w:val="-2"/>
          <w:sz w:val="21"/>
        </w:rPr>
        <w:t>住院前后门急诊医疗费</w:t>
      </w:r>
      <w:r>
        <w:rPr>
          <w:b/>
          <w:spacing w:val="-2"/>
          <w:position w:val="11"/>
          <w:sz w:val="11"/>
        </w:rPr>
        <w:t>20</w:t>
      </w:r>
      <w:r>
        <w:rPr>
          <w:spacing w:val="-2"/>
          <w:sz w:val="21"/>
        </w:rPr>
        <w:t>；</w:t>
      </w:r>
    </w:p>
    <w:p>
      <w:pPr>
        <w:pStyle w:val="9"/>
        <w:numPr>
          <w:ilvl w:val="1"/>
          <w:numId w:val="5"/>
        </w:numPr>
        <w:tabs>
          <w:tab w:val="left" w:pos="3633"/>
        </w:tabs>
        <w:spacing w:before="167" w:after="0" w:line="240" w:lineRule="auto"/>
        <w:ind w:left="3632" w:right="0" w:hanging="636"/>
        <w:jc w:val="left"/>
        <w:rPr>
          <w:sz w:val="21"/>
        </w:rPr>
      </w:pPr>
      <w:r>
        <w:rPr>
          <w:spacing w:val="-3"/>
          <w:sz w:val="21"/>
        </w:rPr>
        <w:t>住院前或住院期间转诊时发生的同城急救车费；</w:t>
      </w:r>
    </w:p>
    <w:p>
      <w:pPr>
        <w:pStyle w:val="5"/>
        <w:spacing w:before="10"/>
        <w:rPr>
          <w:sz w:val="14"/>
        </w:rPr>
      </w:pPr>
    </w:p>
    <w:p>
      <w:pPr>
        <w:pStyle w:val="9"/>
        <w:numPr>
          <w:ilvl w:val="1"/>
          <w:numId w:val="5"/>
        </w:numPr>
        <w:tabs>
          <w:tab w:val="left" w:pos="3633"/>
        </w:tabs>
        <w:spacing w:before="0" w:after="0" w:line="240" w:lineRule="auto"/>
        <w:ind w:left="3632" w:right="0" w:hanging="636"/>
        <w:jc w:val="left"/>
        <w:rPr>
          <w:sz w:val="21"/>
        </w:rPr>
      </w:pPr>
      <w:r>
        <w:rPr>
          <w:b/>
          <w:spacing w:val="-2"/>
          <w:sz w:val="21"/>
        </w:rPr>
        <w:t>临终关怀费用</w:t>
      </w:r>
      <w:r>
        <w:rPr>
          <w:b/>
          <w:spacing w:val="-5"/>
          <w:position w:val="11"/>
          <w:sz w:val="11"/>
        </w:rPr>
        <w:t>21</w:t>
      </w:r>
      <w:r>
        <w:rPr>
          <w:spacing w:val="-5"/>
          <w:sz w:val="21"/>
        </w:rPr>
        <w:t>；</w:t>
      </w:r>
    </w:p>
    <w:p>
      <w:pPr>
        <w:pStyle w:val="9"/>
        <w:numPr>
          <w:ilvl w:val="1"/>
          <w:numId w:val="5"/>
        </w:numPr>
        <w:tabs>
          <w:tab w:val="left" w:pos="3633"/>
        </w:tabs>
        <w:spacing w:before="189" w:after="0" w:line="240" w:lineRule="auto"/>
        <w:ind w:left="3632" w:right="0" w:hanging="636"/>
        <w:jc w:val="left"/>
        <w:rPr>
          <w:sz w:val="21"/>
        </w:rPr>
      </w:pPr>
      <w:r>
        <w:rPr>
          <w:b/>
          <w:w w:val="95"/>
          <w:sz w:val="21"/>
        </w:rPr>
        <w:t>精神和心理障碍治疗费</w:t>
      </w:r>
      <w:r>
        <w:rPr>
          <w:b/>
          <w:w w:val="95"/>
          <w:position w:val="11"/>
          <w:sz w:val="11"/>
        </w:rPr>
        <w:t>22</w:t>
      </w:r>
      <w:r>
        <w:rPr>
          <w:spacing w:val="-10"/>
          <w:w w:val="95"/>
          <w:sz w:val="21"/>
        </w:rPr>
        <w:t>。</w:t>
      </w:r>
    </w:p>
    <w:p>
      <w:pPr>
        <w:pStyle w:val="5"/>
        <w:spacing w:before="9"/>
        <w:rPr>
          <w:sz w:val="27"/>
        </w:rPr>
      </w:pPr>
    </w:p>
    <w:p>
      <w:pPr>
        <w:pStyle w:val="5"/>
        <w:spacing w:line="278" w:lineRule="auto"/>
        <w:ind w:left="2997" w:right="662"/>
        <w:jc w:val="both"/>
      </w:pPr>
      <w:r>
        <w:rPr>
          <w:spacing w:val="-7"/>
        </w:rPr>
        <w:t>对于因意外发生的一般住院医疗，或等待期后因非恶性肿瘤-重度的原因发生</w:t>
      </w:r>
      <w:r>
        <w:rPr>
          <w:spacing w:val="-2"/>
        </w:rPr>
        <w:t>的一般住院医疗，在本合同保险期间届满前发生的且延续至本合同保险期间</w:t>
      </w:r>
      <w:r>
        <w:rPr>
          <w:spacing w:val="-8"/>
        </w:rPr>
        <w:t xml:space="preserve">届满后 </w:t>
      </w:r>
      <w:r>
        <w:rPr>
          <w:spacing w:val="-2"/>
        </w:rPr>
        <w:t>30</w:t>
      </w:r>
      <w:r>
        <w:rPr>
          <w:spacing w:val="-11"/>
        </w:rPr>
        <w:t xml:space="preserve"> 日内的符合本合同约定的一般住院医疗费用，本公司仍然按照约定</w:t>
      </w:r>
      <w:r>
        <w:rPr>
          <w:spacing w:val="-2"/>
        </w:rPr>
        <w:t>的方法计算并给付一般住院医疗保险金。</w:t>
      </w:r>
    </w:p>
    <w:p>
      <w:pPr>
        <w:pStyle w:val="5"/>
        <w:spacing w:before="9"/>
        <w:rPr>
          <w:sz w:val="18"/>
        </w:rPr>
      </w:pPr>
    </w:p>
    <w:p>
      <w:pPr>
        <w:pStyle w:val="5"/>
        <w:spacing w:before="72" w:line="278" w:lineRule="auto"/>
        <w:ind w:left="2997" w:right="557"/>
      </w:pPr>
      <w:r>
        <w:rPr>
          <w:color w:val="000000"/>
          <w:spacing w:val="-2"/>
          <w:shd w:val="clear" w:color="auto" w:fill="D2D2D2"/>
        </w:rPr>
        <w:t>如保险计划仅涵盖指定或认可的医疗机构普通部，本公司不承担在普通部内</w:t>
      </w:r>
      <w:r>
        <w:rPr>
          <w:color w:val="000000"/>
          <w:spacing w:val="80"/>
          <w:w w:val="150"/>
          <w:shd w:val="clear" w:color="auto" w:fill="D2D2D2"/>
        </w:rPr>
        <w:t xml:space="preserve">                                      </w:t>
      </w:r>
      <w:r>
        <w:rPr>
          <w:color w:val="000000"/>
          <w:spacing w:val="-2"/>
          <w:shd w:val="clear" w:color="auto" w:fill="D2D2D2"/>
        </w:rPr>
        <w:t>产生的单人病房、包房、套房、特需病房、VIP</w:t>
      </w:r>
      <w:r>
        <w:rPr>
          <w:color w:val="000000"/>
          <w:spacing w:val="-9"/>
          <w:shd w:val="clear" w:color="auto" w:fill="D2D2D2"/>
        </w:rPr>
        <w:t xml:space="preserve"> 病房等的费用，包括床位费、</w:t>
      </w:r>
      <w:r>
        <w:rPr>
          <w:color w:val="000000"/>
          <w:spacing w:val="-2"/>
          <w:shd w:val="clear" w:color="auto" w:fill="D2D2D2"/>
        </w:rPr>
        <w:t>护理费和膳食费。</w:t>
      </w:r>
    </w:p>
    <w:p>
      <w:pPr>
        <w:pStyle w:val="5"/>
        <w:spacing w:before="10"/>
        <w:rPr>
          <w:sz w:val="18"/>
        </w:rPr>
      </w:pPr>
    </w:p>
    <w:p>
      <w:pPr>
        <w:pStyle w:val="5"/>
        <w:spacing w:before="71" w:line="278" w:lineRule="auto"/>
        <w:ind w:left="2997" w:right="663"/>
        <w:jc w:val="both"/>
      </w:pPr>
      <w:r>
        <w:rPr>
          <w:color w:val="000000"/>
          <w:spacing w:val="-2"/>
          <w:shd w:val="clear" w:color="auto" w:fill="D2D2D2"/>
        </w:rPr>
        <w:t>本公司在本项责任下累计给付金额之和以本合同约定的一般住院医疗保险金的基本保险金额为限，当累计给付金额之和达到一般住院医疗保险金基本保</w:t>
      </w:r>
      <w:r>
        <w:rPr>
          <w:color w:val="000000"/>
          <w:spacing w:val="40"/>
          <w:shd w:val="clear" w:color="auto" w:fill="D2D2D2"/>
        </w:rPr>
        <w:t xml:space="preserve"> </w:t>
      </w:r>
      <w:r>
        <w:rPr>
          <w:color w:val="000000"/>
          <w:spacing w:val="-2"/>
          <w:shd w:val="clear" w:color="auto" w:fill="D2D2D2"/>
        </w:rPr>
        <w:t>险金额时，本公司对被保险人的一般住院医疗保险金责任终止。</w:t>
      </w:r>
    </w:p>
    <w:p>
      <w:pPr>
        <w:pStyle w:val="9"/>
        <w:numPr>
          <w:ilvl w:val="2"/>
          <w:numId w:val="3"/>
        </w:numPr>
        <w:tabs>
          <w:tab w:val="left" w:pos="1363"/>
        </w:tabs>
        <w:spacing w:before="156" w:after="0" w:line="240" w:lineRule="auto"/>
        <w:ind w:left="1362" w:right="0" w:hanging="910"/>
        <w:jc w:val="both"/>
        <w:rPr>
          <w:b/>
          <w:sz w:val="21"/>
        </w:rPr>
      </w:pPr>
      <w:r>
        <w:rPr>
          <w:b/>
          <w:sz w:val="21"/>
        </w:rPr>
        <w:t>恶性肿瘤-重度</w:t>
      </w:r>
      <w:r>
        <w:rPr>
          <w:b/>
          <w:spacing w:val="82"/>
          <w:w w:val="150"/>
          <w:sz w:val="21"/>
        </w:rPr>
        <w:t xml:space="preserve"> </w:t>
      </w:r>
      <w:r>
        <w:rPr>
          <w:sz w:val="21"/>
        </w:rPr>
        <w:t>被保险人在本合同保险期间内，因意外或等待期后因非意外的原因</w:t>
      </w:r>
      <w:r>
        <w:rPr>
          <w:b/>
          <w:spacing w:val="-3"/>
          <w:sz w:val="21"/>
        </w:rPr>
        <w:t>确诊初次</w:t>
      </w:r>
    </w:p>
    <w:p>
      <w:pPr>
        <w:pStyle w:val="5"/>
        <w:spacing w:before="4"/>
        <w:rPr>
          <w:b/>
          <w:sz w:val="23"/>
        </w:rPr>
      </w:pPr>
      <w:r>
        <w:drawing>
          <wp:anchor distT="0" distB="0" distL="0" distR="0" simplePos="0" relativeHeight="251659264" behindDoc="0" locked="0" layoutInCell="1" allowOverlap="1">
            <wp:simplePos x="0" y="0"/>
            <wp:positionH relativeFrom="page">
              <wp:posOffset>685800</wp:posOffset>
            </wp:positionH>
            <wp:positionV relativeFrom="paragraph">
              <wp:posOffset>204470</wp:posOffset>
            </wp:positionV>
            <wp:extent cx="1829435" cy="6350"/>
            <wp:effectExtent l="0" t="0" r="0" b="0"/>
            <wp:wrapTopAndBottom/>
            <wp:docPr id="1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5.png"/>
                    <pic:cNvPicPr>
                      <a:picLocks noChangeAspect="1"/>
                    </pic:cNvPicPr>
                  </pic:nvPicPr>
                  <pic:blipFill>
                    <a:blip r:embed="rId10" cstate="print"/>
                    <a:stretch>
                      <a:fillRect/>
                    </a:stretch>
                  </pic:blipFill>
                  <pic:spPr>
                    <a:xfrm>
                      <a:off x="0" y="0"/>
                      <a:ext cx="1829511" cy="6096"/>
                    </a:xfrm>
                    <a:prstGeom prst="rect">
                      <a:avLst/>
                    </a:prstGeom>
                  </pic:spPr>
                </pic:pic>
              </a:graphicData>
            </a:graphic>
          </wp:anchor>
        </w:drawing>
      </w:r>
    </w:p>
    <w:p>
      <w:pPr>
        <w:spacing w:before="91"/>
        <w:ind w:left="160" w:right="0" w:firstLine="0"/>
        <w:jc w:val="left"/>
        <w:rPr>
          <w:rFonts w:ascii="楷体" w:eastAsia="楷体"/>
          <w:sz w:val="18"/>
        </w:rPr>
      </w:pPr>
      <w:r>
        <w:rPr>
          <w:rFonts w:ascii="楷体" w:eastAsia="楷体"/>
          <w:w w:val="95"/>
          <w:position w:val="9"/>
          <w:sz w:val="9"/>
        </w:rPr>
        <w:t>15</w:t>
      </w:r>
      <w:r>
        <w:rPr>
          <w:rFonts w:hint="eastAsia" w:ascii="楷体" w:eastAsia="楷体"/>
          <w:b/>
          <w:w w:val="95"/>
          <w:sz w:val="18"/>
        </w:rPr>
        <w:t>医生：</w:t>
      </w:r>
      <w:r>
        <w:rPr>
          <w:rFonts w:ascii="楷体" w:eastAsia="楷体"/>
          <w:w w:val="95"/>
          <w:sz w:val="18"/>
        </w:rPr>
        <w:t>指在卫生管理机构合法注册的具有医生资格、拥有处方权且正在执业的医疗服务人员，并需要满足下列全部条</w:t>
      </w:r>
      <w:r>
        <w:rPr>
          <w:rFonts w:ascii="楷体" w:eastAsia="楷体"/>
          <w:spacing w:val="-5"/>
          <w:w w:val="95"/>
          <w:sz w:val="18"/>
        </w:rPr>
        <w:t>件:</w:t>
      </w:r>
    </w:p>
    <w:p>
      <w:pPr>
        <w:spacing w:before="4"/>
        <w:ind w:left="160" w:right="0" w:firstLine="0"/>
        <w:jc w:val="left"/>
        <w:rPr>
          <w:rFonts w:ascii="楷体" w:eastAsia="楷体"/>
          <w:sz w:val="18"/>
        </w:rPr>
      </w:pPr>
      <w:r>
        <w:rPr>
          <w:rFonts w:ascii="楷体" w:eastAsia="楷体"/>
          <w:spacing w:val="-2"/>
          <w:sz w:val="18"/>
        </w:rPr>
        <w:t>（1）对其从事的医疗操作经过培训和训练从而具有相应的治疗资格；（2）</w:t>
      </w:r>
      <w:r>
        <w:rPr>
          <w:rFonts w:ascii="楷体" w:eastAsia="楷体"/>
          <w:spacing w:val="-3"/>
          <w:sz w:val="18"/>
        </w:rPr>
        <w:t>其从事的医疗操作在其执业医师资格允许的范围；</w:t>
      </w:r>
    </w:p>
    <w:p>
      <w:pPr>
        <w:pStyle w:val="9"/>
        <w:numPr>
          <w:ilvl w:val="0"/>
          <w:numId w:val="6"/>
        </w:numPr>
        <w:tabs>
          <w:tab w:val="left" w:pos="613"/>
        </w:tabs>
        <w:spacing w:before="3" w:after="0" w:line="240" w:lineRule="auto"/>
        <w:ind w:left="612" w:right="0" w:hanging="453"/>
        <w:jc w:val="left"/>
        <w:rPr>
          <w:rFonts w:ascii="楷体" w:eastAsia="楷体"/>
          <w:sz w:val="18"/>
        </w:rPr>
      </w:pPr>
      <w:r>
        <w:rPr>
          <w:rFonts w:ascii="楷体" w:eastAsia="楷体"/>
          <w:spacing w:val="-4"/>
          <w:sz w:val="18"/>
        </w:rPr>
        <w:t>不是被保险人本人或其直系亲属；（4）</w:t>
      </w:r>
      <w:r>
        <w:rPr>
          <w:rFonts w:ascii="楷体" w:eastAsia="楷体"/>
          <w:spacing w:val="-5"/>
          <w:sz w:val="18"/>
        </w:rPr>
        <w:t>与被保险人没有商业联系。</w:t>
      </w:r>
    </w:p>
    <w:p>
      <w:pPr>
        <w:spacing w:before="2"/>
        <w:ind w:left="160" w:right="0" w:firstLine="0"/>
        <w:jc w:val="left"/>
        <w:rPr>
          <w:rFonts w:ascii="楷体" w:eastAsia="楷体"/>
          <w:sz w:val="18"/>
        </w:rPr>
      </w:pPr>
      <w:r>
        <w:rPr>
          <w:rFonts w:ascii="楷体" w:eastAsia="楷体"/>
          <w:w w:val="95"/>
          <w:position w:val="9"/>
          <w:sz w:val="9"/>
        </w:rPr>
        <w:t>16</w:t>
      </w:r>
      <w:r>
        <w:rPr>
          <w:rFonts w:hint="eastAsia" w:ascii="楷体" w:eastAsia="楷体"/>
          <w:b/>
          <w:w w:val="95"/>
          <w:sz w:val="18"/>
        </w:rPr>
        <w:t>手术植入器材：</w:t>
      </w:r>
      <w:r>
        <w:rPr>
          <w:rFonts w:ascii="楷体" w:eastAsia="楷体"/>
          <w:w w:val="95"/>
          <w:sz w:val="18"/>
        </w:rPr>
        <w:t>指在就诊医院购买并能出具医院发票的、手术过程中由手术医生植入体内的组织相容性人工器材，包括</w:t>
      </w:r>
      <w:r>
        <w:rPr>
          <w:rFonts w:ascii="楷体" w:eastAsia="楷体"/>
          <w:spacing w:val="-5"/>
          <w:w w:val="95"/>
          <w:sz w:val="18"/>
        </w:rPr>
        <w:t>：a)</w:t>
      </w:r>
    </w:p>
    <w:p>
      <w:pPr>
        <w:spacing w:before="2" w:line="244" w:lineRule="auto"/>
        <w:ind w:left="160" w:right="711" w:firstLine="0"/>
        <w:jc w:val="left"/>
        <w:rPr>
          <w:rFonts w:ascii="楷体" w:eastAsia="楷体"/>
          <w:sz w:val="18"/>
        </w:rPr>
      </w:pPr>
      <w:r>
        <w:rPr>
          <w:rFonts w:ascii="楷体" w:eastAsia="楷体"/>
          <w:sz w:val="18"/>
        </w:rPr>
        <w:t>塑形性植入器材：骨板/骨钉等组织固定材料、钛网/支架等组织成型材料、义乳/骨蜡等组织缺损的充填材料等；b</w:t>
      </w:r>
      <w:r>
        <w:rPr>
          <w:rFonts w:ascii="楷体" w:eastAsia="楷体"/>
          <w:spacing w:val="-1"/>
          <w:sz w:val="18"/>
        </w:rPr>
        <w:t>) 功能性</w:t>
      </w:r>
      <w:r>
        <w:rPr>
          <w:rFonts w:ascii="楷体" w:eastAsia="楷体"/>
          <w:spacing w:val="-2"/>
          <w:sz w:val="18"/>
        </w:rPr>
        <w:t>植入材料：人工器官、脑起搏器、心脏起搏器等。手术结束后如不经再次外科手术，该器材无法去除或重置。</w:t>
      </w:r>
    </w:p>
    <w:p>
      <w:pPr>
        <w:spacing w:before="0" w:line="228" w:lineRule="exact"/>
        <w:ind w:left="160" w:right="0" w:firstLine="0"/>
        <w:jc w:val="left"/>
        <w:rPr>
          <w:rFonts w:ascii="楷体" w:eastAsia="楷体"/>
          <w:sz w:val="18"/>
        </w:rPr>
      </w:pPr>
      <w:r>
        <w:rPr>
          <w:rFonts w:ascii="楷体" w:eastAsia="楷体"/>
          <w:w w:val="95"/>
          <w:position w:val="9"/>
          <w:sz w:val="9"/>
        </w:rPr>
        <w:t>17</w:t>
      </w:r>
      <w:r>
        <w:rPr>
          <w:rFonts w:hint="eastAsia" w:ascii="楷体" w:eastAsia="楷体"/>
          <w:b/>
          <w:w w:val="95"/>
          <w:sz w:val="18"/>
        </w:rPr>
        <w:t>物理治疗：</w:t>
      </w:r>
      <w:r>
        <w:rPr>
          <w:rFonts w:ascii="楷体" w:eastAsia="楷体"/>
          <w:w w:val="95"/>
          <w:sz w:val="18"/>
        </w:rPr>
        <w:t>指应用人工物理因子（如光、电、磁、声、温热、寒冷等）治疗疾病，包括电疗、光疗、磁疗、热疗、冷疗</w:t>
      </w:r>
      <w:r>
        <w:rPr>
          <w:rFonts w:ascii="楷体" w:eastAsia="楷体"/>
          <w:spacing w:val="-5"/>
          <w:w w:val="95"/>
          <w:sz w:val="18"/>
        </w:rPr>
        <w:t>、水</w:t>
      </w:r>
    </w:p>
    <w:p>
      <w:pPr>
        <w:spacing w:before="3"/>
        <w:ind w:left="160" w:right="0" w:firstLine="0"/>
        <w:jc w:val="left"/>
        <w:rPr>
          <w:rFonts w:ascii="楷体" w:eastAsia="楷体"/>
          <w:sz w:val="18"/>
        </w:rPr>
      </w:pPr>
      <w:r>
        <w:rPr>
          <w:rFonts w:ascii="楷体" w:eastAsia="楷体"/>
          <w:spacing w:val="-1"/>
          <w:sz w:val="18"/>
        </w:rPr>
        <w:t>疗，以及超声波疗法等；符合全国医疗服务项目规范规定的项目。但不包括泥疗，蜡敷治疗，气泡浴与药物浸浴治疗。</w:t>
      </w:r>
    </w:p>
    <w:p>
      <w:pPr>
        <w:spacing w:before="4"/>
        <w:ind w:left="160" w:right="0" w:firstLine="0"/>
        <w:jc w:val="left"/>
        <w:rPr>
          <w:rFonts w:ascii="楷体" w:eastAsia="楷体"/>
          <w:sz w:val="18"/>
        </w:rPr>
      </w:pPr>
      <w:r>
        <w:rPr>
          <w:rFonts w:ascii="楷体" w:eastAsia="楷体"/>
          <w:w w:val="95"/>
          <w:position w:val="9"/>
          <w:sz w:val="9"/>
        </w:rPr>
        <w:t>18</w:t>
      </w:r>
      <w:r>
        <w:rPr>
          <w:rFonts w:hint="eastAsia" w:ascii="楷体" w:eastAsia="楷体"/>
          <w:b/>
          <w:w w:val="95"/>
          <w:sz w:val="18"/>
        </w:rPr>
        <w:t>职业疗法：</w:t>
      </w:r>
      <w:r>
        <w:rPr>
          <w:rFonts w:ascii="楷体" w:eastAsia="楷体"/>
          <w:w w:val="95"/>
          <w:sz w:val="18"/>
        </w:rPr>
        <w:t>指对因疾病或损伤而使职业能力（如职业需要的语言、运动等能力）受损的被保险人，使用特定的职业能力康</w:t>
      </w:r>
      <w:r>
        <w:rPr>
          <w:rFonts w:ascii="楷体" w:eastAsia="楷体"/>
          <w:spacing w:val="-10"/>
          <w:w w:val="95"/>
          <w:sz w:val="18"/>
        </w:rPr>
        <w:t>复</w:t>
      </w:r>
    </w:p>
    <w:p>
      <w:pPr>
        <w:spacing w:before="3"/>
        <w:ind w:left="160" w:right="0" w:firstLine="0"/>
        <w:jc w:val="left"/>
        <w:rPr>
          <w:rFonts w:ascii="楷体" w:eastAsia="楷体"/>
          <w:sz w:val="18"/>
        </w:rPr>
      </w:pPr>
      <w:r>
        <w:rPr>
          <w:rFonts w:ascii="楷体" w:eastAsia="楷体"/>
          <w:spacing w:val="-1"/>
          <w:sz w:val="18"/>
        </w:rPr>
        <w:t>手段对其能力受损进行的治疗。</w:t>
      </w:r>
    </w:p>
    <w:p>
      <w:pPr>
        <w:spacing w:before="2"/>
        <w:ind w:left="160" w:right="0" w:firstLine="0"/>
        <w:jc w:val="left"/>
        <w:rPr>
          <w:rFonts w:ascii="楷体" w:eastAsia="楷体"/>
          <w:sz w:val="18"/>
        </w:rPr>
      </w:pPr>
      <w:r>
        <w:rPr>
          <w:w w:val="95"/>
          <w:position w:val="9"/>
          <w:sz w:val="9"/>
        </w:rPr>
        <w:t>19</w:t>
      </w:r>
      <w:r>
        <w:rPr>
          <w:rFonts w:hint="eastAsia" w:ascii="楷体" w:eastAsia="楷体"/>
          <w:b/>
          <w:w w:val="95"/>
          <w:sz w:val="18"/>
        </w:rPr>
        <w:t>门诊手术费：</w:t>
      </w:r>
      <w:r>
        <w:rPr>
          <w:rFonts w:ascii="楷体" w:eastAsia="楷体"/>
          <w:w w:val="95"/>
          <w:sz w:val="18"/>
        </w:rPr>
        <w:t>指当地卫生行政部门规定的手术项目的费用，包括手术费、麻醉费、手术检测费、手术材料费、术中用药费</w:t>
      </w:r>
      <w:r>
        <w:rPr>
          <w:rFonts w:ascii="楷体" w:eastAsia="楷体"/>
          <w:spacing w:val="-10"/>
          <w:w w:val="95"/>
          <w:sz w:val="18"/>
        </w:rPr>
        <w:t>、</w:t>
      </w:r>
    </w:p>
    <w:p>
      <w:pPr>
        <w:spacing w:before="2"/>
        <w:ind w:left="160" w:right="0" w:firstLine="0"/>
        <w:jc w:val="left"/>
        <w:rPr>
          <w:rFonts w:ascii="楷体" w:eastAsia="楷体"/>
          <w:sz w:val="18"/>
        </w:rPr>
      </w:pPr>
      <w:r>
        <w:rPr>
          <w:rFonts w:ascii="楷体" w:eastAsia="楷体"/>
          <w:spacing w:val="-2"/>
          <w:sz w:val="18"/>
        </w:rPr>
        <w:t>手术设备费。</w:t>
      </w:r>
    </w:p>
    <w:p>
      <w:pPr>
        <w:spacing w:before="4" w:line="242" w:lineRule="auto"/>
        <w:ind w:left="160" w:right="716" w:firstLine="0"/>
        <w:jc w:val="left"/>
        <w:rPr>
          <w:rFonts w:ascii="楷体" w:eastAsia="楷体"/>
          <w:sz w:val="18"/>
        </w:rPr>
      </w:pPr>
      <w:r>
        <w:rPr>
          <w:spacing w:val="-2"/>
          <w:position w:val="9"/>
          <w:sz w:val="9"/>
        </w:rPr>
        <w:t>20</w:t>
      </w:r>
      <w:r>
        <w:rPr>
          <w:rFonts w:hint="eastAsia" w:ascii="楷体" w:eastAsia="楷体"/>
          <w:b/>
          <w:spacing w:val="-2"/>
          <w:sz w:val="18"/>
        </w:rPr>
        <w:t>住院前后门急诊医疗费：</w:t>
      </w:r>
      <w:r>
        <w:rPr>
          <w:rFonts w:ascii="楷体" w:eastAsia="楷体"/>
          <w:spacing w:val="-6"/>
          <w:sz w:val="18"/>
        </w:rPr>
        <w:t xml:space="preserve">指在住院前 </w:t>
      </w:r>
      <w:r>
        <w:rPr>
          <w:rFonts w:ascii="楷体" w:eastAsia="楷体"/>
          <w:spacing w:val="-2"/>
          <w:sz w:val="18"/>
        </w:rPr>
        <w:t>7</w:t>
      </w:r>
      <w:r>
        <w:rPr>
          <w:rFonts w:ascii="楷体" w:eastAsia="楷体"/>
          <w:spacing w:val="-10"/>
          <w:sz w:val="18"/>
        </w:rPr>
        <w:t xml:space="preserve"> 日及后 </w:t>
      </w:r>
      <w:r>
        <w:rPr>
          <w:rFonts w:ascii="楷体" w:eastAsia="楷体"/>
          <w:spacing w:val="-2"/>
          <w:sz w:val="18"/>
        </w:rPr>
        <w:t>30</w:t>
      </w:r>
      <w:r>
        <w:rPr>
          <w:rFonts w:ascii="楷体" w:eastAsia="楷体"/>
          <w:spacing w:val="-6"/>
          <w:sz w:val="18"/>
        </w:rPr>
        <w:t xml:space="preserve"> 日内因与该次住院相同原因接受门急诊治疗而发生的，需被保险人个人支</w:t>
      </w:r>
      <w:r>
        <w:rPr>
          <w:rFonts w:ascii="楷体" w:eastAsia="楷体"/>
          <w:spacing w:val="-2"/>
          <w:sz w:val="18"/>
        </w:rPr>
        <w:t>付的，合同且必需的门急诊医疗费用。</w:t>
      </w:r>
    </w:p>
    <w:p>
      <w:pPr>
        <w:spacing w:before="0" w:line="230" w:lineRule="exact"/>
        <w:ind w:left="160" w:right="0" w:firstLine="0"/>
        <w:jc w:val="left"/>
        <w:rPr>
          <w:rFonts w:ascii="楷体" w:eastAsia="楷体"/>
          <w:sz w:val="18"/>
        </w:rPr>
      </w:pPr>
      <w:r>
        <w:rPr>
          <w:w w:val="95"/>
          <w:position w:val="9"/>
          <w:sz w:val="9"/>
        </w:rPr>
        <w:t>21</w:t>
      </w:r>
      <w:r>
        <w:rPr>
          <w:rFonts w:hint="eastAsia" w:ascii="楷体" w:eastAsia="楷体"/>
          <w:b/>
          <w:w w:val="95"/>
          <w:sz w:val="18"/>
        </w:rPr>
        <w:t>临终关怀费用：</w:t>
      </w:r>
      <w:r>
        <w:rPr>
          <w:rFonts w:ascii="楷体" w:eastAsia="楷体"/>
          <w:w w:val="95"/>
          <w:sz w:val="18"/>
        </w:rPr>
        <w:t>指曾发生本合同保险事故的被保险人因与该事故相应的病症或相关的病症而现被诊断患终末期疾病且存</w:t>
      </w:r>
      <w:r>
        <w:rPr>
          <w:rFonts w:ascii="楷体" w:eastAsia="楷体"/>
          <w:spacing w:val="-10"/>
          <w:w w:val="95"/>
          <w:sz w:val="18"/>
        </w:rPr>
        <w:t>活</w:t>
      </w:r>
    </w:p>
    <w:p>
      <w:pPr>
        <w:spacing w:before="3" w:line="242" w:lineRule="auto"/>
        <w:ind w:left="160" w:right="714" w:firstLine="0"/>
        <w:jc w:val="both"/>
        <w:rPr>
          <w:rFonts w:ascii="楷体" w:eastAsia="楷体"/>
          <w:sz w:val="18"/>
        </w:rPr>
      </w:pPr>
      <w:r>
        <w:rPr>
          <w:rFonts w:ascii="楷体" w:eastAsia="楷体"/>
          <w:spacing w:val="-2"/>
          <w:sz w:val="18"/>
        </w:rPr>
        <w:t>期二百四十日以下（含</w:t>
      </w:r>
      <w:r>
        <w:rPr>
          <w:rFonts w:ascii="楷体" w:eastAsia="楷体"/>
          <w:spacing w:val="-55"/>
          <w:sz w:val="18"/>
        </w:rPr>
        <w:t>）</w:t>
      </w:r>
      <w:r>
        <w:rPr>
          <w:rFonts w:ascii="楷体" w:eastAsia="楷体"/>
          <w:spacing w:val="-10"/>
          <w:sz w:val="18"/>
        </w:rPr>
        <w:t>，经本公司许可，该被保险人接受具有相应资质的临终关怀机构提供的、由专业人员和志愿者组成的</w:t>
      </w:r>
      <w:r>
        <w:rPr>
          <w:rFonts w:ascii="楷体" w:eastAsia="楷体"/>
          <w:spacing w:val="-2"/>
          <w:sz w:val="18"/>
        </w:rPr>
        <w:t>跨学科队伍在医学指导下实施的姑息性、支持性医护设施而发生的费用（不包括保险期间届满后发生的临终关怀费用</w:t>
      </w:r>
      <w:r>
        <w:rPr>
          <w:rFonts w:ascii="楷体" w:eastAsia="楷体"/>
          <w:spacing w:val="-92"/>
          <w:sz w:val="18"/>
        </w:rPr>
        <w:t>）</w:t>
      </w:r>
      <w:r>
        <w:rPr>
          <w:rFonts w:ascii="楷体" w:eastAsia="楷体"/>
          <w:spacing w:val="-2"/>
          <w:sz w:val="18"/>
        </w:rPr>
        <w:t>。被保</w:t>
      </w:r>
      <w:r>
        <w:rPr>
          <w:rFonts w:ascii="楷体" w:eastAsia="楷体"/>
          <w:spacing w:val="-1"/>
          <w:sz w:val="18"/>
        </w:rPr>
        <w:t>险人入住临终关怀机构接受临终关怀的，须基于病情和家庭必要。临终关怀机构指对终末期病人提供集成家庭或住院医护服</w:t>
      </w:r>
    </w:p>
    <w:p>
      <w:pPr>
        <w:spacing w:after="0" w:line="242" w:lineRule="auto"/>
        <w:jc w:val="both"/>
        <w:rPr>
          <w:rFonts w:ascii="楷体" w:eastAsia="楷体"/>
          <w:sz w:val="18"/>
        </w:rPr>
        <w:sectPr>
          <w:pgSz w:w="11910" w:h="16840"/>
          <w:pgMar w:top="1360" w:right="360" w:bottom="280" w:left="920" w:header="720" w:footer="720" w:gutter="0"/>
          <w:cols w:space="720" w:num="1"/>
        </w:sectPr>
      </w:pPr>
    </w:p>
    <w:p>
      <w:pPr>
        <w:pStyle w:val="5"/>
        <w:spacing w:before="74" w:line="276" w:lineRule="auto"/>
        <w:ind w:left="2997" w:right="660" w:hanging="1635"/>
        <w:jc w:val="both"/>
      </w:pPr>
      <w:r>
        <w:rPr>
          <w:b/>
          <w:spacing w:val="57"/>
        </w:rPr>
        <w:t>医疗保险金 发生</w:t>
      </w:r>
      <w:r>
        <w:rPr>
          <w:b/>
          <w:position w:val="11"/>
          <w:sz w:val="11"/>
        </w:rPr>
        <w:t>23</w:t>
      </w:r>
      <w:r>
        <w:t>恶性肿瘤-重度，或在经本公司审核同意的非首次投保的保险期间内，</w:t>
      </w:r>
      <w:r>
        <w:rPr>
          <w:spacing w:val="-2"/>
        </w:rPr>
        <w:t>在本公司指定或认可的医疗机构由专科医生确诊仍处于</w:t>
      </w:r>
      <w:r>
        <w:rPr>
          <w:b/>
          <w:spacing w:val="-2"/>
        </w:rPr>
        <w:t>恶性肿瘤-重度状态</w:t>
      </w:r>
      <w:r>
        <w:rPr>
          <w:b/>
          <w:spacing w:val="-2"/>
          <w:position w:val="11"/>
          <w:sz w:val="11"/>
        </w:rPr>
        <w:t>24</w:t>
      </w:r>
      <w:r>
        <w:rPr>
          <w:spacing w:val="-2"/>
        </w:rPr>
        <w:t>的，对于被保险人在本公司指定或认可的医疗机构接受由具有相应资质的医</w:t>
      </w:r>
      <w:r>
        <w:rPr>
          <w:spacing w:val="-6"/>
        </w:rPr>
        <w:t>护人员提供的医学必需的恶性肿瘤-重度住院医疗，对由此发生的符合通常惯</w:t>
      </w:r>
      <w:r>
        <w:rPr>
          <w:spacing w:val="-11"/>
        </w:rPr>
        <w:t>例水平的下列费用，本公司按本合同有关约定承担给付恶性肿瘤-重度医疗保</w:t>
      </w:r>
      <w:r>
        <w:rPr>
          <w:spacing w:val="-2"/>
        </w:rPr>
        <w:t>险金的责任：</w:t>
      </w:r>
    </w:p>
    <w:p>
      <w:pPr>
        <w:pStyle w:val="9"/>
        <w:numPr>
          <w:ilvl w:val="1"/>
          <w:numId w:val="6"/>
        </w:numPr>
        <w:tabs>
          <w:tab w:val="left" w:pos="3527"/>
        </w:tabs>
        <w:spacing w:before="162" w:after="0" w:line="240" w:lineRule="auto"/>
        <w:ind w:left="3526" w:right="0" w:hanging="530"/>
        <w:jc w:val="left"/>
        <w:rPr>
          <w:sz w:val="21"/>
        </w:rPr>
      </w:pPr>
      <w:r>
        <w:rPr>
          <w:spacing w:val="-4"/>
          <w:sz w:val="21"/>
        </w:rPr>
        <w:t>床位费；</w:t>
      </w:r>
    </w:p>
    <w:p>
      <w:pPr>
        <w:pStyle w:val="5"/>
        <w:spacing w:before="7"/>
        <w:rPr>
          <w:sz w:val="15"/>
        </w:rPr>
      </w:pPr>
    </w:p>
    <w:p>
      <w:pPr>
        <w:pStyle w:val="9"/>
        <w:numPr>
          <w:ilvl w:val="1"/>
          <w:numId w:val="6"/>
        </w:numPr>
        <w:tabs>
          <w:tab w:val="left" w:pos="3527"/>
        </w:tabs>
        <w:spacing w:before="0" w:after="0" w:line="240" w:lineRule="auto"/>
        <w:ind w:left="3526" w:right="0" w:hanging="530"/>
        <w:jc w:val="left"/>
        <w:rPr>
          <w:sz w:val="21"/>
        </w:rPr>
      </w:pPr>
      <w:r>
        <w:rPr>
          <w:spacing w:val="-4"/>
          <w:sz w:val="21"/>
        </w:rPr>
        <w:t>膳食费、护理费；</w:t>
      </w:r>
    </w:p>
    <w:p>
      <w:pPr>
        <w:pStyle w:val="5"/>
        <w:spacing w:before="6"/>
        <w:rPr>
          <w:sz w:val="15"/>
        </w:rPr>
      </w:pPr>
    </w:p>
    <w:p>
      <w:pPr>
        <w:pStyle w:val="9"/>
        <w:numPr>
          <w:ilvl w:val="1"/>
          <w:numId w:val="6"/>
        </w:numPr>
        <w:tabs>
          <w:tab w:val="left" w:pos="3527"/>
        </w:tabs>
        <w:spacing w:before="0" w:after="0" w:line="240" w:lineRule="auto"/>
        <w:ind w:left="3526" w:right="0" w:hanging="530"/>
        <w:jc w:val="left"/>
        <w:rPr>
          <w:sz w:val="21"/>
        </w:rPr>
      </w:pPr>
      <w:r>
        <w:rPr>
          <w:spacing w:val="-4"/>
          <w:sz w:val="21"/>
        </w:rPr>
        <w:t>重症监护室费；</w:t>
      </w:r>
    </w:p>
    <w:p>
      <w:pPr>
        <w:pStyle w:val="5"/>
        <w:spacing w:before="7"/>
        <w:rPr>
          <w:sz w:val="15"/>
        </w:rPr>
      </w:pPr>
    </w:p>
    <w:p>
      <w:pPr>
        <w:pStyle w:val="9"/>
        <w:numPr>
          <w:ilvl w:val="1"/>
          <w:numId w:val="6"/>
        </w:numPr>
        <w:tabs>
          <w:tab w:val="left" w:pos="3527"/>
        </w:tabs>
        <w:spacing w:before="0" w:after="0" w:line="240" w:lineRule="auto"/>
        <w:ind w:left="3526" w:right="0" w:hanging="530"/>
        <w:jc w:val="left"/>
        <w:rPr>
          <w:sz w:val="21"/>
        </w:rPr>
      </w:pPr>
      <w:r>
        <w:rPr>
          <w:spacing w:val="-4"/>
          <w:sz w:val="21"/>
        </w:rPr>
        <w:t>检查检验费；</w:t>
      </w:r>
    </w:p>
    <w:p>
      <w:pPr>
        <w:pStyle w:val="5"/>
        <w:spacing w:before="7"/>
        <w:rPr>
          <w:sz w:val="15"/>
        </w:rPr>
      </w:pPr>
    </w:p>
    <w:p>
      <w:pPr>
        <w:pStyle w:val="9"/>
        <w:numPr>
          <w:ilvl w:val="1"/>
          <w:numId w:val="6"/>
        </w:numPr>
        <w:tabs>
          <w:tab w:val="left" w:pos="3525"/>
        </w:tabs>
        <w:spacing w:before="1" w:after="0" w:line="278" w:lineRule="auto"/>
        <w:ind w:left="2997" w:right="665" w:firstLine="0"/>
        <w:jc w:val="left"/>
        <w:rPr>
          <w:sz w:val="21"/>
        </w:rPr>
      </w:pPr>
      <w:r>
        <w:rPr>
          <w:spacing w:val="-4"/>
          <w:sz w:val="21"/>
        </w:rPr>
        <w:t>手术费、麻醉费、药品费、材料费、医疗机构拥有的医疗设备（不含耐</w:t>
      </w:r>
      <w:r>
        <w:rPr>
          <w:spacing w:val="-2"/>
          <w:sz w:val="21"/>
        </w:rPr>
        <w:t>用医疗设备）使用费；</w:t>
      </w:r>
    </w:p>
    <w:p>
      <w:pPr>
        <w:pStyle w:val="9"/>
        <w:numPr>
          <w:ilvl w:val="1"/>
          <w:numId w:val="6"/>
        </w:numPr>
        <w:tabs>
          <w:tab w:val="left" w:pos="3527"/>
        </w:tabs>
        <w:spacing w:before="155" w:after="0" w:line="240" w:lineRule="auto"/>
        <w:ind w:left="3526" w:right="0" w:hanging="530"/>
        <w:jc w:val="left"/>
        <w:rPr>
          <w:sz w:val="21"/>
        </w:rPr>
      </w:pPr>
      <w:r>
        <w:rPr>
          <w:spacing w:val="-3"/>
          <w:sz w:val="21"/>
        </w:rPr>
        <w:t>治疗费、医生费、会诊费；</w:t>
      </w:r>
    </w:p>
    <w:p>
      <w:pPr>
        <w:pStyle w:val="5"/>
        <w:spacing w:before="7"/>
        <w:rPr>
          <w:sz w:val="15"/>
        </w:rPr>
      </w:pPr>
    </w:p>
    <w:p>
      <w:pPr>
        <w:pStyle w:val="9"/>
        <w:numPr>
          <w:ilvl w:val="1"/>
          <w:numId w:val="6"/>
        </w:numPr>
        <w:tabs>
          <w:tab w:val="left" w:pos="3527"/>
        </w:tabs>
        <w:spacing w:before="0" w:after="0" w:line="240" w:lineRule="auto"/>
        <w:ind w:left="3526" w:right="0" w:hanging="530"/>
        <w:jc w:val="left"/>
        <w:rPr>
          <w:sz w:val="21"/>
        </w:rPr>
      </w:pPr>
      <w:r>
        <w:rPr>
          <w:spacing w:val="-4"/>
          <w:sz w:val="21"/>
        </w:rPr>
        <w:t>手术植入器材费；</w:t>
      </w:r>
    </w:p>
    <w:p>
      <w:pPr>
        <w:pStyle w:val="5"/>
        <w:spacing w:before="7"/>
        <w:rPr>
          <w:sz w:val="15"/>
        </w:rPr>
      </w:pPr>
    </w:p>
    <w:p>
      <w:pPr>
        <w:pStyle w:val="9"/>
        <w:numPr>
          <w:ilvl w:val="1"/>
          <w:numId w:val="6"/>
        </w:numPr>
        <w:tabs>
          <w:tab w:val="left" w:pos="3527"/>
        </w:tabs>
        <w:spacing w:before="0" w:after="0" w:line="240" w:lineRule="auto"/>
        <w:ind w:left="3526" w:right="0" w:hanging="530"/>
        <w:jc w:val="left"/>
        <w:rPr>
          <w:sz w:val="21"/>
        </w:rPr>
      </w:pPr>
      <w:r>
        <w:rPr>
          <w:spacing w:val="-3"/>
          <w:sz w:val="21"/>
        </w:rPr>
        <w:t>西式理疗费：物理治疗、职业治疗、语言治疗费；</w:t>
      </w:r>
    </w:p>
    <w:p>
      <w:pPr>
        <w:pStyle w:val="5"/>
        <w:spacing w:before="6"/>
        <w:rPr>
          <w:sz w:val="15"/>
        </w:rPr>
      </w:pPr>
    </w:p>
    <w:p>
      <w:pPr>
        <w:pStyle w:val="9"/>
        <w:numPr>
          <w:ilvl w:val="1"/>
          <w:numId w:val="6"/>
        </w:numPr>
        <w:tabs>
          <w:tab w:val="left" w:pos="3527"/>
        </w:tabs>
        <w:spacing w:before="1" w:after="0" w:line="240" w:lineRule="auto"/>
        <w:ind w:left="3526" w:right="0" w:hanging="530"/>
        <w:jc w:val="left"/>
        <w:rPr>
          <w:sz w:val="21"/>
        </w:rPr>
      </w:pPr>
      <w:r>
        <w:rPr>
          <w:spacing w:val="-4"/>
          <w:sz w:val="21"/>
        </w:rPr>
        <w:t>耐用医疗设备费；</w:t>
      </w:r>
    </w:p>
    <w:p>
      <w:pPr>
        <w:pStyle w:val="5"/>
        <w:spacing w:before="6"/>
        <w:rPr>
          <w:sz w:val="15"/>
        </w:rPr>
      </w:pPr>
    </w:p>
    <w:p>
      <w:pPr>
        <w:pStyle w:val="9"/>
        <w:numPr>
          <w:ilvl w:val="1"/>
          <w:numId w:val="6"/>
        </w:numPr>
        <w:tabs>
          <w:tab w:val="left" w:pos="3633"/>
        </w:tabs>
        <w:spacing w:before="0" w:after="0" w:line="240" w:lineRule="auto"/>
        <w:ind w:left="3632" w:right="0" w:hanging="636"/>
        <w:jc w:val="left"/>
        <w:rPr>
          <w:sz w:val="21"/>
        </w:rPr>
      </w:pPr>
      <w:r>
        <w:rPr>
          <w:spacing w:val="-3"/>
          <w:sz w:val="21"/>
        </w:rPr>
        <w:t>陪床费：陪同人员陪同住院加床费以及医疗机构提供的膳食费；</w:t>
      </w:r>
    </w:p>
    <w:p>
      <w:pPr>
        <w:pStyle w:val="5"/>
        <w:spacing w:before="7"/>
        <w:rPr>
          <w:sz w:val="15"/>
        </w:rPr>
      </w:pPr>
    </w:p>
    <w:p>
      <w:pPr>
        <w:pStyle w:val="9"/>
        <w:numPr>
          <w:ilvl w:val="1"/>
          <w:numId w:val="6"/>
        </w:numPr>
        <w:tabs>
          <w:tab w:val="left" w:pos="3633"/>
        </w:tabs>
        <w:spacing w:before="0" w:after="0" w:line="268" w:lineRule="auto"/>
        <w:ind w:left="2997" w:right="555" w:firstLine="0"/>
        <w:jc w:val="both"/>
        <w:rPr>
          <w:sz w:val="21"/>
        </w:rPr>
      </w:pPr>
      <w:r>
        <w:rPr>
          <w:spacing w:val="-2"/>
          <w:sz w:val="21"/>
        </w:rPr>
        <w:t>视为住院医疗的特殊门诊费用：门诊肾透析费；门诊恶性肿瘤-重度治疗费，包括</w:t>
      </w:r>
      <w:r>
        <w:rPr>
          <w:b/>
          <w:spacing w:val="-2"/>
          <w:sz w:val="21"/>
        </w:rPr>
        <w:t>化学疗法</w:t>
      </w:r>
      <w:r>
        <w:rPr>
          <w:b/>
          <w:spacing w:val="-2"/>
          <w:position w:val="11"/>
          <w:sz w:val="11"/>
        </w:rPr>
        <w:t>25</w:t>
      </w:r>
      <w:r>
        <w:rPr>
          <w:spacing w:val="-2"/>
          <w:sz w:val="21"/>
        </w:rPr>
        <w:t>、</w:t>
      </w:r>
      <w:r>
        <w:rPr>
          <w:b/>
          <w:spacing w:val="-2"/>
          <w:sz w:val="21"/>
        </w:rPr>
        <w:t>放射疗法</w:t>
      </w:r>
      <w:r>
        <w:rPr>
          <w:b/>
          <w:spacing w:val="-2"/>
          <w:position w:val="11"/>
          <w:sz w:val="11"/>
        </w:rPr>
        <w:t>26</w:t>
      </w:r>
      <w:r>
        <w:rPr>
          <w:spacing w:val="-2"/>
          <w:sz w:val="21"/>
        </w:rPr>
        <w:t>、</w:t>
      </w:r>
      <w:r>
        <w:rPr>
          <w:b/>
          <w:spacing w:val="-2"/>
          <w:sz w:val="21"/>
        </w:rPr>
        <w:t>肿瘤免疫疗法</w:t>
      </w:r>
      <w:r>
        <w:rPr>
          <w:b/>
          <w:spacing w:val="-2"/>
          <w:position w:val="11"/>
          <w:sz w:val="11"/>
        </w:rPr>
        <w:t>27</w:t>
      </w:r>
      <w:r>
        <w:rPr>
          <w:spacing w:val="-2"/>
          <w:sz w:val="21"/>
        </w:rPr>
        <w:t>、</w:t>
      </w:r>
      <w:r>
        <w:rPr>
          <w:b/>
          <w:spacing w:val="-2"/>
          <w:sz w:val="21"/>
        </w:rPr>
        <w:t>肿瘤内分泌疗法</w:t>
      </w:r>
      <w:r>
        <w:rPr>
          <w:b/>
          <w:spacing w:val="-2"/>
          <w:position w:val="11"/>
          <w:sz w:val="11"/>
        </w:rPr>
        <w:t>28</w:t>
      </w:r>
      <w:r>
        <w:rPr>
          <w:spacing w:val="-2"/>
          <w:sz w:val="21"/>
        </w:rPr>
        <w:t>、</w:t>
      </w:r>
      <w:r>
        <w:rPr>
          <w:b/>
          <w:spacing w:val="-2"/>
          <w:sz w:val="21"/>
        </w:rPr>
        <w:t>肿瘤靶向疗法</w:t>
      </w:r>
      <w:r>
        <w:rPr>
          <w:b/>
          <w:spacing w:val="-2"/>
          <w:position w:val="11"/>
          <w:sz w:val="11"/>
        </w:rPr>
        <w:t>29</w:t>
      </w:r>
      <w:r>
        <w:rPr>
          <w:spacing w:val="-16"/>
          <w:sz w:val="21"/>
        </w:rPr>
        <w:t>等的治疗费用；器官移植后的门诊抗排异治疗费用；门诊手术费；</w:t>
      </w:r>
    </w:p>
    <w:p>
      <w:pPr>
        <w:pStyle w:val="5"/>
        <w:rPr>
          <w:sz w:val="20"/>
        </w:rPr>
      </w:pPr>
    </w:p>
    <w:p>
      <w:pPr>
        <w:pStyle w:val="5"/>
        <w:spacing w:before="6"/>
        <w:rPr>
          <w:sz w:val="10"/>
        </w:rPr>
      </w:pPr>
      <w:r>
        <w:drawing>
          <wp:anchor distT="0" distB="0" distL="0" distR="0" simplePos="0" relativeHeight="251659264" behindDoc="0" locked="0" layoutInCell="1" allowOverlap="1">
            <wp:simplePos x="0" y="0"/>
            <wp:positionH relativeFrom="page">
              <wp:posOffset>685800</wp:posOffset>
            </wp:positionH>
            <wp:positionV relativeFrom="paragraph">
              <wp:posOffset>100330</wp:posOffset>
            </wp:positionV>
            <wp:extent cx="1829435" cy="6350"/>
            <wp:effectExtent l="0" t="0" r="0" b="0"/>
            <wp:wrapTopAndBottom/>
            <wp:docPr id="1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5.png"/>
                    <pic:cNvPicPr>
                      <a:picLocks noChangeAspect="1"/>
                    </pic:cNvPicPr>
                  </pic:nvPicPr>
                  <pic:blipFill>
                    <a:blip r:embed="rId10" cstate="print"/>
                    <a:stretch>
                      <a:fillRect/>
                    </a:stretch>
                  </pic:blipFill>
                  <pic:spPr>
                    <a:xfrm>
                      <a:off x="0" y="0"/>
                      <a:ext cx="1829396" cy="6096"/>
                    </a:xfrm>
                    <a:prstGeom prst="rect">
                      <a:avLst/>
                    </a:prstGeom>
                  </pic:spPr>
                </pic:pic>
              </a:graphicData>
            </a:graphic>
          </wp:anchor>
        </w:drawing>
      </w:r>
    </w:p>
    <w:p>
      <w:pPr>
        <w:spacing w:before="91" w:line="242" w:lineRule="auto"/>
        <w:ind w:left="160" w:right="714" w:firstLine="0"/>
        <w:jc w:val="left"/>
        <w:rPr>
          <w:rFonts w:ascii="楷体" w:eastAsia="楷体"/>
          <w:sz w:val="18"/>
        </w:rPr>
      </w:pPr>
      <w:r>
        <w:rPr>
          <w:rFonts w:ascii="楷体" w:eastAsia="楷体"/>
          <w:spacing w:val="-6"/>
          <w:sz w:val="18"/>
        </w:rPr>
        <w:t>务的机构，该机构应满足下列全部条件：（1）取得了政府相关部门的许可；（2）二十四小时提供服务；（3）有医师直接管理和监控；（4）有注册护士指挥、协调护理服务；（5）被许可从事社会服务指导和协调；（6）</w:t>
      </w:r>
      <w:r>
        <w:rPr>
          <w:rFonts w:ascii="楷体" w:eastAsia="楷体"/>
          <w:spacing w:val="-7"/>
          <w:sz w:val="18"/>
        </w:rPr>
        <w:t>主要目的为提供临终关怀服务；</w:t>
      </w:r>
    </w:p>
    <w:p>
      <w:pPr>
        <w:pStyle w:val="9"/>
        <w:numPr>
          <w:ilvl w:val="0"/>
          <w:numId w:val="7"/>
        </w:numPr>
        <w:tabs>
          <w:tab w:val="left" w:pos="613"/>
        </w:tabs>
        <w:spacing w:before="0" w:after="0" w:line="230" w:lineRule="exact"/>
        <w:ind w:left="612" w:right="0" w:hanging="453"/>
        <w:jc w:val="left"/>
        <w:rPr>
          <w:rFonts w:ascii="楷体" w:eastAsia="楷体"/>
          <w:sz w:val="18"/>
        </w:rPr>
      </w:pPr>
      <w:r>
        <w:rPr>
          <w:rFonts w:ascii="楷体" w:eastAsia="楷体"/>
          <w:spacing w:val="-4"/>
          <w:sz w:val="18"/>
        </w:rPr>
        <w:t>有全职管理人员；（8）</w:t>
      </w:r>
      <w:r>
        <w:rPr>
          <w:rFonts w:ascii="楷体" w:eastAsia="楷体"/>
          <w:spacing w:val="-5"/>
          <w:sz w:val="18"/>
        </w:rPr>
        <w:t>保存了所提供服务的全部书面记录。</w:t>
      </w:r>
    </w:p>
    <w:p>
      <w:pPr>
        <w:spacing w:before="2"/>
        <w:ind w:left="160" w:right="0" w:firstLine="0"/>
        <w:jc w:val="left"/>
        <w:rPr>
          <w:rFonts w:ascii="楷体" w:eastAsia="楷体"/>
          <w:sz w:val="18"/>
        </w:rPr>
      </w:pPr>
      <w:r>
        <w:rPr>
          <w:w w:val="95"/>
          <w:position w:val="9"/>
          <w:sz w:val="9"/>
        </w:rPr>
        <w:t>22</w:t>
      </w:r>
      <w:r>
        <w:rPr>
          <w:rFonts w:hint="eastAsia" w:ascii="楷体" w:eastAsia="楷体"/>
          <w:b/>
          <w:w w:val="95"/>
          <w:sz w:val="18"/>
        </w:rPr>
        <w:t>精神和心理障碍治疗费</w:t>
      </w:r>
      <w:r>
        <w:rPr>
          <w:rFonts w:ascii="楷体" w:eastAsia="楷体"/>
          <w:w w:val="95"/>
          <w:sz w:val="18"/>
        </w:rPr>
        <w:t>：指经医师诊断和要求被保险人在医学认可的精神心理专科医疗机构或设有精神心理科室的医疗</w:t>
      </w:r>
      <w:r>
        <w:rPr>
          <w:rFonts w:ascii="楷体" w:eastAsia="楷体"/>
          <w:spacing w:val="-10"/>
          <w:w w:val="95"/>
          <w:sz w:val="18"/>
        </w:rPr>
        <w:t>机</w:t>
      </w:r>
    </w:p>
    <w:p>
      <w:pPr>
        <w:spacing w:before="5" w:line="242" w:lineRule="auto"/>
        <w:ind w:left="160" w:right="714" w:firstLine="0"/>
        <w:jc w:val="both"/>
        <w:rPr>
          <w:rFonts w:ascii="楷体" w:eastAsia="楷体"/>
          <w:sz w:val="18"/>
        </w:rPr>
      </w:pPr>
      <w:r>
        <w:rPr>
          <w:rFonts w:ascii="楷体" w:eastAsia="楷体"/>
          <w:spacing w:val="-2"/>
          <w:sz w:val="18"/>
        </w:rPr>
        <w:t>构，为治疗精神和心理障碍接受由具有相应专业资格的医师或心理学家实施的住院或门诊医疗和咨询费用。精神和心理障碍包括但不限于神经性贪食症、神经性厌食症、悲伤辅导和悲伤治疗、注意力缺陷症、注意缺陷多动障碍，</w:t>
      </w:r>
      <w:r>
        <w:rPr>
          <w:rFonts w:ascii="楷体" w:eastAsia="楷体"/>
          <w:color w:val="000000"/>
          <w:spacing w:val="-2"/>
          <w:sz w:val="18"/>
          <w:shd w:val="clear" w:color="auto" w:fill="D9D9D9"/>
        </w:rPr>
        <w:t>但不包括酒精和药</w:t>
      </w:r>
      <w:r>
        <w:rPr>
          <w:rFonts w:ascii="楷体" w:eastAsia="楷体"/>
          <w:color w:val="000000"/>
          <w:spacing w:val="40"/>
          <w:sz w:val="18"/>
          <w:shd w:val="clear" w:color="auto" w:fill="D9D9D9"/>
        </w:rPr>
        <w:t xml:space="preserve"> </w:t>
      </w:r>
      <w:r>
        <w:rPr>
          <w:rFonts w:ascii="楷体" w:eastAsia="楷体"/>
          <w:color w:val="000000"/>
          <w:spacing w:val="-2"/>
          <w:sz w:val="18"/>
          <w:shd w:val="clear" w:color="auto" w:fill="D9D9D9"/>
        </w:rPr>
        <w:t>物滥用戒断治疗智商测试、教育测试、婚姻和家庭心理咨询。</w:t>
      </w:r>
    </w:p>
    <w:p>
      <w:pPr>
        <w:spacing w:before="0" w:line="230" w:lineRule="exact"/>
        <w:ind w:left="160" w:right="0" w:firstLine="0"/>
        <w:jc w:val="left"/>
        <w:rPr>
          <w:rFonts w:ascii="楷体" w:eastAsia="楷体"/>
          <w:sz w:val="18"/>
        </w:rPr>
      </w:pPr>
      <w:r>
        <w:rPr>
          <w:w w:val="95"/>
          <w:position w:val="9"/>
          <w:sz w:val="9"/>
        </w:rPr>
        <w:t>23</w:t>
      </w:r>
      <w:r>
        <w:rPr>
          <w:rFonts w:hint="eastAsia" w:ascii="楷体" w:eastAsia="楷体"/>
          <w:b/>
          <w:w w:val="95"/>
          <w:sz w:val="18"/>
        </w:rPr>
        <w:t>确诊初次发生：</w:t>
      </w:r>
      <w:r>
        <w:rPr>
          <w:rFonts w:ascii="楷体" w:eastAsia="楷体"/>
          <w:w w:val="95"/>
          <w:sz w:val="18"/>
        </w:rPr>
        <w:t>指被保险人自出生之日起第一次经医院诊断符合本合同所列的疾病定义，</w:t>
      </w:r>
      <w:r>
        <w:rPr>
          <w:rFonts w:ascii="楷体" w:eastAsia="楷体"/>
          <w:color w:val="000000"/>
          <w:w w:val="95"/>
          <w:sz w:val="18"/>
          <w:shd w:val="clear" w:color="auto" w:fill="E4E4E4"/>
        </w:rPr>
        <w:t>而不是指自本合同生效之后第一</w:t>
      </w:r>
      <w:r>
        <w:rPr>
          <w:rFonts w:ascii="楷体" w:eastAsia="楷体"/>
          <w:color w:val="000000"/>
          <w:spacing w:val="-10"/>
          <w:w w:val="95"/>
          <w:sz w:val="18"/>
          <w:shd w:val="clear" w:color="auto" w:fill="E4E4E4"/>
        </w:rPr>
        <w:t>次</w:t>
      </w:r>
    </w:p>
    <w:p>
      <w:pPr>
        <w:spacing w:before="4"/>
        <w:ind w:left="160" w:right="0" w:firstLine="0"/>
        <w:jc w:val="left"/>
        <w:rPr>
          <w:rFonts w:ascii="楷体" w:eastAsia="楷体"/>
          <w:sz w:val="18"/>
        </w:rPr>
      </w:pPr>
      <w:r>
        <w:rPr>
          <w:rFonts w:ascii="楷体" w:eastAsia="楷体"/>
          <w:color w:val="000000"/>
          <w:spacing w:val="-1"/>
          <w:sz w:val="18"/>
          <w:shd w:val="clear" w:color="auto" w:fill="E4E4E4"/>
        </w:rPr>
        <w:t>经医院诊断符合本合同所列的疾病定义。</w:t>
      </w:r>
    </w:p>
    <w:p>
      <w:pPr>
        <w:spacing w:before="2"/>
        <w:ind w:left="160" w:right="0" w:firstLine="0"/>
        <w:jc w:val="left"/>
        <w:rPr>
          <w:rFonts w:ascii="楷体" w:eastAsia="楷体"/>
          <w:sz w:val="18"/>
        </w:rPr>
      </w:pPr>
      <w:r>
        <w:rPr>
          <w:w w:val="95"/>
          <w:position w:val="9"/>
          <w:sz w:val="9"/>
        </w:rPr>
        <w:t>24</w:t>
      </w:r>
      <w:r>
        <w:rPr>
          <w:rFonts w:hint="eastAsia" w:ascii="楷体" w:eastAsia="楷体"/>
          <w:b/>
          <w:w w:val="95"/>
          <w:sz w:val="18"/>
        </w:rPr>
        <w:t>恶性肿瘤-重度状态：</w:t>
      </w:r>
      <w:r>
        <w:rPr>
          <w:rFonts w:ascii="楷体" w:eastAsia="楷体"/>
          <w:w w:val="95"/>
          <w:sz w:val="18"/>
        </w:rPr>
        <w:t>与在本公司指定或认可的医疗机构确诊初次发生的恶性肿瘤-重度无关的新发恶性肿瘤-重度；在本</w:t>
      </w:r>
      <w:r>
        <w:rPr>
          <w:rFonts w:ascii="楷体" w:eastAsia="楷体"/>
          <w:spacing w:val="-10"/>
          <w:w w:val="95"/>
          <w:sz w:val="18"/>
        </w:rPr>
        <w:t>公</w:t>
      </w:r>
    </w:p>
    <w:p>
      <w:pPr>
        <w:spacing w:before="3" w:line="244" w:lineRule="auto"/>
        <w:ind w:left="160" w:right="716" w:firstLine="0"/>
        <w:jc w:val="left"/>
        <w:rPr>
          <w:rFonts w:ascii="楷体" w:eastAsia="楷体"/>
          <w:sz w:val="18"/>
        </w:rPr>
      </w:pPr>
      <w:r>
        <w:rPr>
          <w:rFonts w:ascii="楷体" w:eastAsia="楷体"/>
          <w:spacing w:val="-2"/>
          <w:sz w:val="18"/>
        </w:rPr>
        <w:t>司指定或认可的医疗机构确诊初次发生的恶性肿瘤-重度复发、转移；在本公司指定或认可的医疗机构确诊初次发生的恶性肿瘤-重度仍持续存在。</w:t>
      </w:r>
    </w:p>
    <w:p>
      <w:pPr>
        <w:spacing w:before="0" w:line="228" w:lineRule="exact"/>
        <w:ind w:left="160" w:right="0" w:firstLine="0"/>
        <w:jc w:val="left"/>
        <w:rPr>
          <w:rFonts w:ascii="楷体" w:eastAsia="楷体"/>
          <w:sz w:val="18"/>
        </w:rPr>
      </w:pPr>
      <w:r>
        <w:rPr>
          <w:w w:val="95"/>
          <w:position w:val="9"/>
          <w:sz w:val="9"/>
        </w:rPr>
        <w:t>25</w:t>
      </w:r>
      <w:r>
        <w:rPr>
          <w:rFonts w:hint="eastAsia" w:ascii="楷体" w:eastAsia="楷体"/>
          <w:b/>
          <w:w w:val="95"/>
          <w:sz w:val="18"/>
        </w:rPr>
        <w:t>化学疗法：</w:t>
      </w:r>
      <w:r>
        <w:rPr>
          <w:rFonts w:ascii="楷体" w:eastAsia="楷体"/>
          <w:w w:val="95"/>
          <w:sz w:val="18"/>
        </w:rPr>
        <w:t>指针对于恶性肿瘤-重度的化学治疗。化疗是使用医学界公认的化疗药物以杀死癌细胞、抑制癌细胞生长繁</w:t>
      </w:r>
      <w:r>
        <w:rPr>
          <w:rFonts w:ascii="楷体" w:eastAsia="楷体"/>
          <w:spacing w:val="-5"/>
          <w:w w:val="95"/>
          <w:sz w:val="18"/>
        </w:rPr>
        <w:t>殖为</w:t>
      </w:r>
    </w:p>
    <w:p>
      <w:pPr>
        <w:spacing w:before="2"/>
        <w:ind w:left="160" w:right="0" w:firstLine="0"/>
        <w:jc w:val="left"/>
        <w:rPr>
          <w:rFonts w:ascii="楷体" w:eastAsia="楷体"/>
          <w:sz w:val="18"/>
        </w:rPr>
      </w:pPr>
      <w:r>
        <w:rPr>
          <w:rFonts w:ascii="楷体" w:eastAsia="楷体"/>
          <w:spacing w:val="-1"/>
          <w:sz w:val="18"/>
        </w:rPr>
        <w:t>目的而进行的治疗。本合同所指的化疗为被保险人根据医嘱，在医院进行的静脉注射化疗。</w:t>
      </w:r>
    </w:p>
    <w:p>
      <w:pPr>
        <w:spacing w:before="4"/>
        <w:ind w:left="160" w:right="0" w:firstLine="0"/>
        <w:jc w:val="left"/>
        <w:rPr>
          <w:rFonts w:ascii="楷体" w:eastAsia="楷体"/>
          <w:sz w:val="18"/>
        </w:rPr>
      </w:pPr>
      <w:r>
        <w:rPr>
          <w:w w:val="95"/>
          <w:position w:val="9"/>
          <w:sz w:val="9"/>
        </w:rPr>
        <w:t>26</w:t>
      </w:r>
      <w:r>
        <w:rPr>
          <w:rFonts w:hint="eastAsia" w:ascii="楷体" w:eastAsia="楷体"/>
          <w:b/>
          <w:w w:val="95"/>
          <w:sz w:val="18"/>
        </w:rPr>
        <w:t>放射疗法</w:t>
      </w:r>
      <w:r>
        <w:rPr>
          <w:rFonts w:hint="eastAsia" w:ascii="楷体" w:eastAsia="楷体"/>
          <w:b/>
          <w:w w:val="95"/>
          <w:sz w:val="21"/>
        </w:rPr>
        <w:t>：</w:t>
      </w:r>
      <w:r>
        <w:rPr>
          <w:rFonts w:ascii="楷体" w:eastAsia="楷体"/>
          <w:w w:val="95"/>
          <w:sz w:val="18"/>
        </w:rPr>
        <w:t>指针对恶性肿瘤-重度的放射治疗。放疗是使用各种不同能量的射线照射肿瘤组织，以抑制和杀灭癌细胞为目</w:t>
      </w:r>
      <w:r>
        <w:rPr>
          <w:rFonts w:ascii="楷体" w:eastAsia="楷体"/>
          <w:spacing w:val="-10"/>
          <w:w w:val="95"/>
          <w:sz w:val="18"/>
        </w:rPr>
        <w:t>的</w:t>
      </w:r>
    </w:p>
    <w:p>
      <w:pPr>
        <w:spacing w:before="3"/>
        <w:ind w:left="160" w:right="0" w:firstLine="0"/>
        <w:jc w:val="left"/>
        <w:rPr>
          <w:rFonts w:ascii="楷体" w:eastAsia="楷体"/>
          <w:sz w:val="18"/>
        </w:rPr>
      </w:pPr>
      <w:r>
        <w:rPr>
          <w:rFonts w:ascii="楷体" w:eastAsia="楷体"/>
          <w:spacing w:val="-1"/>
          <w:sz w:val="18"/>
        </w:rPr>
        <w:t>而进行的治疗。本合同所指的放疗为被保险人根据医嘱，在本公司指定或认可的医疗机构的专门科室进行的放疗。</w:t>
      </w:r>
    </w:p>
    <w:p>
      <w:pPr>
        <w:spacing w:before="2"/>
        <w:ind w:left="160" w:right="0" w:firstLine="0"/>
        <w:jc w:val="left"/>
        <w:rPr>
          <w:rFonts w:ascii="楷体" w:eastAsia="楷体"/>
          <w:sz w:val="18"/>
        </w:rPr>
      </w:pPr>
      <w:r>
        <w:rPr>
          <w:w w:val="95"/>
          <w:position w:val="9"/>
          <w:sz w:val="9"/>
        </w:rPr>
        <w:t>27</w:t>
      </w:r>
      <w:r>
        <w:rPr>
          <w:rFonts w:hint="eastAsia" w:ascii="楷体" w:eastAsia="楷体"/>
          <w:b/>
          <w:w w:val="95"/>
          <w:sz w:val="18"/>
        </w:rPr>
        <w:t>肿瘤免疫疗法：</w:t>
      </w:r>
      <w:r>
        <w:rPr>
          <w:rFonts w:ascii="楷体" w:eastAsia="楷体"/>
          <w:w w:val="95"/>
          <w:sz w:val="18"/>
        </w:rPr>
        <w:t>指应用免疫学原理和方法，使用肿瘤免疫治疗药物提高肿瘤细胞的免疫原性和对效应细胞杀伤的敏感性</w:t>
      </w:r>
      <w:r>
        <w:rPr>
          <w:rFonts w:ascii="楷体" w:eastAsia="楷体"/>
          <w:spacing w:val="-5"/>
          <w:w w:val="95"/>
          <w:sz w:val="18"/>
        </w:rPr>
        <w:t>，激</w:t>
      </w:r>
    </w:p>
    <w:p>
      <w:pPr>
        <w:spacing w:before="2" w:line="244" w:lineRule="auto"/>
        <w:ind w:left="160" w:right="718" w:firstLine="0"/>
        <w:jc w:val="left"/>
        <w:rPr>
          <w:rFonts w:ascii="楷体" w:eastAsia="楷体"/>
          <w:sz w:val="18"/>
        </w:rPr>
      </w:pPr>
      <w:r>
        <w:rPr>
          <w:rFonts w:ascii="楷体" w:eastAsia="楷体"/>
          <w:spacing w:val="-2"/>
          <w:sz w:val="18"/>
        </w:rPr>
        <w:t>发和增强机体抗肿瘤免疫应答。本合同所指的肿瘤免疫治疗药物需符合法律、法规要求并经过国家食品药品监督管理总局批准用于临床治疗。</w:t>
      </w:r>
    </w:p>
    <w:p>
      <w:pPr>
        <w:spacing w:before="0" w:line="228" w:lineRule="exact"/>
        <w:ind w:left="160" w:right="0" w:firstLine="0"/>
        <w:jc w:val="left"/>
        <w:rPr>
          <w:rFonts w:ascii="楷体" w:eastAsia="楷体"/>
          <w:sz w:val="18"/>
        </w:rPr>
      </w:pPr>
      <w:r>
        <w:rPr>
          <w:w w:val="95"/>
          <w:position w:val="9"/>
          <w:sz w:val="9"/>
        </w:rPr>
        <w:t>28</w:t>
      </w:r>
      <w:r>
        <w:rPr>
          <w:rFonts w:hint="eastAsia" w:ascii="楷体" w:eastAsia="楷体"/>
          <w:b/>
          <w:w w:val="95"/>
          <w:sz w:val="18"/>
        </w:rPr>
        <w:t>肿瘤内分泌疗法：</w:t>
      </w:r>
      <w:r>
        <w:rPr>
          <w:rFonts w:ascii="楷体" w:eastAsia="楷体"/>
          <w:w w:val="95"/>
          <w:sz w:val="18"/>
        </w:rPr>
        <w:t>指针对于恶性肿瘤-重度的内分泌疗法，用药物抑制激素生成和激素反应，杀死癌细胞或抑制癌细胞</w:t>
      </w:r>
      <w:r>
        <w:rPr>
          <w:rFonts w:ascii="楷体" w:eastAsia="楷体"/>
          <w:spacing w:val="-5"/>
          <w:w w:val="95"/>
          <w:sz w:val="18"/>
        </w:rPr>
        <w:t>的生</w:t>
      </w:r>
    </w:p>
    <w:p>
      <w:pPr>
        <w:spacing w:before="3"/>
        <w:ind w:left="160" w:right="0" w:firstLine="0"/>
        <w:jc w:val="left"/>
        <w:rPr>
          <w:rFonts w:ascii="楷体" w:eastAsia="楷体"/>
          <w:sz w:val="18"/>
        </w:rPr>
      </w:pPr>
      <w:r>
        <w:rPr>
          <w:rFonts w:ascii="楷体" w:eastAsia="楷体"/>
          <w:spacing w:val="-1"/>
          <w:sz w:val="18"/>
        </w:rPr>
        <w:t>长。本合同所指的内分泌治疗药物需符合法律、法规要求并经过国家食品药品监督管理总局批准用于临床治疗。</w:t>
      </w:r>
    </w:p>
    <w:p>
      <w:pPr>
        <w:spacing w:before="2"/>
        <w:ind w:left="160" w:right="0" w:firstLine="0"/>
        <w:jc w:val="left"/>
        <w:rPr>
          <w:rFonts w:ascii="楷体" w:eastAsia="楷体"/>
          <w:sz w:val="18"/>
        </w:rPr>
      </w:pPr>
      <w:r>
        <w:rPr>
          <w:w w:val="95"/>
          <w:position w:val="9"/>
          <w:sz w:val="9"/>
        </w:rPr>
        <w:t>29</w:t>
      </w:r>
      <w:r>
        <w:rPr>
          <w:rFonts w:hint="eastAsia" w:ascii="楷体" w:eastAsia="楷体"/>
          <w:b/>
          <w:w w:val="95"/>
          <w:sz w:val="18"/>
        </w:rPr>
        <w:t>肿瘤靶向疗法：</w:t>
      </w:r>
      <w:r>
        <w:rPr>
          <w:rFonts w:ascii="楷体" w:eastAsia="楷体"/>
          <w:w w:val="95"/>
          <w:sz w:val="18"/>
        </w:rPr>
        <w:t>指在细胞分子水平上，针对已经明确的致癌点来设计相应的靶向治疗药物，利用具有一定特异性的载体</w:t>
      </w:r>
      <w:r>
        <w:rPr>
          <w:rFonts w:ascii="楷体" w:eastAsia="楷体"/>
          <w:spacing w:val="-5"/>
          <w:w w:val="95"/>
          <w:sz w:val="18"/>
        </w:rPr>
        <w:t>，将</w:t>
      </w:r>
    </w:p>
    <w:p>
      <w:pPr>
        <w:spacing w:before="4" w:line="242" w:lineRule="auto"/>
        <w:ind w:left="160" w:right="718" w:firstLine="0"/>
        <w:jc w:val="left"/>
        <w:rPr>
          <w:rFonts w:ascii="楷体" w:eastAsia="楷体"/>
          <w:sz w:val="18"/>
        </w:rPr>
      </w:pPr>
      <w:r>
        <w:rPr>
          <w:rFonts w:ascii="楷体" w:eastAsia="楷体"/>
          <w:spacing w:val="-2"/>
          <w:sz w:val="18"/>
        </w:rPr>
        <w:t>药物或其他杀伤肿瘤细胞的活性物质选择性地运送到肿瘤部位攻击癌细胞的疗法。本合同所指的靶向治疗药物需符合法律、法规要求并经过国家食品药品监督管理总局批准用于临床治疗。</w:t>
      </w:r>
    </w:p>
    <w:p>
      <w:pPr>
        <w:spacing w:after="0" w:line="242" w:lineRule="auto"/>
        <w:jc w:val="left"/>
        <w:rPr>
          <w:rFonts w:ascii="楷体" w:eastAsia="楷体"/>
          <w:sz w:val="18"/>
        </w:rPr>
        <w:sectPr>
          <w:pgSz w:w="11910" w:h="16840"/>
          <w:pgMar w:top="1360" w:right="360" w:bottom="280" w:left="920" w:header="720" w:footer="720" w:gutter="0"/>
          <w:cols w:space="720" w:num="1"/>
        </w:sectPr>
      </w:pPr>
    </w:p>
    <w:tbl>
      <w:tblPr>
        <w:tblStyle w:val="6"/>
        <w:tblW w:w="0" w:type="auto"/>
        <w:tblInd w:w="41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69"/>
        <w:gridCol w:w="1721"/>
        <w:gridCol w:w="722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9" w:hRule="atLeast"/>
        </w:trPr>
        <w:tc>
          <w:tcPr>
            <w:tcW w:w="2490" w:type="dxa"/>
            <w:gridSpan w:val="2"/>
            <w:vMerge w:val="restart"/>
          </w:tcPr>
          <w:p>
            <w:pPr>
              <w:pStyle w:val="10"/>
              <w:spacing w:before="0"/>
              <w:rPr>
                <w:rFonts w:ascii="Times New Roman"/>
                <w:sz w:val="20"/>
              </w:rPr>
            </w:pPr>
          </w:p>
        </w:tc>
        <w:tc>
          <w:tcPr>
            <w:tcW w:w="7224" w:type="dxa"/>
          </w:tcPr>
          <w:p>
            <w:pPr>
              <w:pStyle w:val="10"/>
              <w:spacing w:before="0" w:line="233" w:lineRule="exact"/>
              <w:ind w:left="103"/>
              <w:rPr>
                <w:sz w:val="21"/>
              </w:rPr>
            </w:pPr>
            <w:r>
              <w:rPr>
                <w:spacing w:val="-3"/>
                <w:sz w:val="21"/>
              </w:rPr>
              <w:t>住院前后门急诊医疗费；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8" w:hRule="atLeast"/>
        </w:trPr>
        <w:tc>
          <w:tcPr>
            <w:tcW w:w="2490" w:type="dxa"/>
            <w:gridSpan w:val="2"/>
            <w:vMerge w:val="continue"/>
            <w:tcBorders>
              <w:top w:val="nil"/>
            </w:tcBorders>
          </w:tcPr>
          <w:p>
            <w:pPr>
              <w:rPr>
                <w:sz w:val="2"/>
                <w:szCs w:val="2"/>
              </w:rPr>
            </w:pPr>
          </w:p>
        </w:tc>
        <w:tc>
          <w:tcPr>
            <w:tcW w:w="7224" w:type="dxa"/>
          </w:tcPr>
          <w:p>
            <w:pPr>
              <w:pStyle w:val="10"/>
              <w:spacing w:before="93"/>
              <w:ind w:left="103"/>
              <w:rPr>
                <w:sz w:val="21"/>
              </w:rPr>
            </w:pPr>
            <w:r>
              <w:rPr>
                <w:spacing w:val="-2"/>
                <w:sz w:val="21"/>
              </w:rPr>
              <w:t>（12）</w:t>
            </w:r>
            <w:r>
              <w:rPr>
                <w:spacing w:val="-3"/>
                <w:sz w:val="21"/>
              </w:rPr>
              <w:t>质子重离子治疗费；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7" w:hRule="atLeast"/>
        </w:trPr>
        <w:tc>
          <w:tcPr>
            <w:tcW w:w="2490" w:type="dxa"/>
            <w:gridSpan w:val="2"/>
            <w:vMerge w:val="continue"/>
            <w:tcBorders>
              <w:top w:val="nil"/>
            </w:tcBorders>
          </w:tcPr>
          <w:p>
            <w:pPr>
              <w:rPr>
                <w:sz w:val="2"/>
                <w:szCs w:val="2"/>
              </w:rPr>
            </w:pPr>
          </w:p>
        </w:tc>
        <w:tc>
          <w:tcPr>
            <w:tcW w:w="7224" w:type="dxa"/>
          </w:tcPr>
          <w:p>
            <w:pPr>
              <w:pStyle w:val="10"/>
              <w:spacing w:before="92"/>
              <w:ind w:left="103"/>
              <w:rPr>
                <w:sz w:val="21"/>
              </w:rPr>
            </w:pPr>
            <w:r>
              <w:rPr>
                <w:spacing w:val="-2"/>
                <w:sz w:val="21"/>
              </w:rPr>
              <w:t>（13）</w:t>
            </w:r>
            <w:r>
              <w:rPr>
                <w:spacing w:val="-3"/>
                <w:sz w:val="21"/>
              </w:rPr>
              <w:t>住院前或住院期间转诊时发生的同城急救车费；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8" w:hRule="atLeast"/>
        </w:trPr>
        <w:tc>
          <w:tcPr>
            <w:tcW w:w="2490" w:type="dxa"/>
            <w:gridSpan w:val="2"/>
            <w:vMerge w:val="continue"/>
            <w:tcBorders>
              <w:top w:val="nil"/>
            </w:tcBorders>
          </w:tcPr>
          <w:p>
            <w:pPr>
              <w:rPr>
                <w:sz w:val="2"/>
                <w:szCs w:val="2"/>
              </w:rPr>
            </w:pPr>
          </w:p>
        </w:tc>
        <w:tc>
          <w:tcPr>
            <w:tcW w:w="7224" w:type="dxa"/>
          </w:tcPr>
          <w:p>
            <w:pPr>
              <w:pStyle w:val="10"/>
              <w:spacing w:before="93"/>
              <w:ind w:left="103"/>
              <w:rPr>
                <w:sz w:val="21"/>
              </w:rPr>
            </w:pPr>
            <w:r>
              <w:rPr>
                <w:spacing w:val="-2"/>
                <w:sz w:val="21"/>
              </w:rPr>
              <w:t>（14）</w:t>
            </w:r>
            <w:r>
              <w:rPr>
                <w:spacing w:val="-4"/>
                <w:sz w:val="21"/>
              </w:rPr>
              <w:t>临终关怀费用；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7" w:hRule="atLeast"/>
        </w:trPr>
        <w:tc>
          <w:tcPr>
            <w:tcW w:w="2490" w:type="dxa"/>
            <w:gridSpan w:val="2"/>
            <w:vMerge w:val="continue"/>
            <w:tcBorders>
              <w:top w:val="nil"/>
            </w:tcBorders>
          </w:tcPr>
          <w:p>
            <w:pPr>
              <w:rPr>
                <w:sz w:val="2"/>
                <w:szCs w:val="2"/>
              </w:rPr>
            </w:pPr>
          </w:p>
        </w:tc>
        <w:tc>
          <w:tcPr>
            <w:tcW w:w="7224" w:type="dxa"/>
          </w:tcPr>
          <w:p>
            <w:pPr>
              <w:pStyle w:val="10"/>
              <w:spacing w:before="93"/>
              <w:ind w:left="103"/>
              <w:rPr>
                <w:sz w:val="21"/>
              </w:rPr>
            </w:pPr>
            <w:r>
              <w:rPr>
                <w:spacing w:val="-2"/>
                <w:sz w:val="21"/>
              </w:rPr>
              <w:t>（15）</w:t>
            </w:r>
            <w:r>
              <w:rPr>
                <w:spacing w:val="-3"/>
                <w:sz w:val="21"/>
              </w:rPr>
              <w:t>精神和心理障碍治疗费。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0" w:hRule="atLeast"/>
        </w:trPr>
        <w:tc>
          <w:tcPr>
            <w:tcW w:w="2490" w:type="dxa"/>
            <w:gridSpan w:val="2"/>
            <w:vMerge w:val="continue"/>
            <w:tcBorders>
              <w:top w:val="nil"/>
            </w:tcBorders>
          </w:tcPr>
          <w:p>
            <w:pPr>
              <w:rPr>
                <w:sz w:val="2"/>
                <w:szCs w:val="2"/>
              </w:rPr>
            </w:pPr>
          </w:p>
        </w:tc>
        <w:tc>
          <w:tcPr>
            <w:tcW w:w="7224" w:type="dxa"/>
          </w:tcPr>
          <w:p>
            <w:pPr>
              <w:pStyle w:val="10"/>
              <w:spacing w:before="92"/>
              <w:ind w:left="103"/>
              <w:rPr>
                <w:sz w:val="21"/>
              </w:rPr>
            </w:pPr>
            <w:r>
              <w:rPr>
                <w:spacing w:val="-3"/>
                <w:sz w:val="21"/>
              </w:rPr>
              <w:t>对于等待期后，确诊初次发生恶性肿瘤-重度，且发生恶性肿瘤-重度相关的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2490" w:type="dxa"/>
            <w:gridSpan w:val="2"/>
            <w:vMerge w:val="continue"/>
            <w:tcBorders>
              <w:top w:val="nil"/>
            </w:tcBorders>
          </w:tcPr>
          <w:p>
            <w:pPr>
              <w:rPr>
                <w:sz w:val="2"/>
                <w:szCs w:val="2"/>
              </w:rPr>
            </w:pPr>
          </w:p>
        </w:tc>
        <w:tc>
          <w:tcPr>
            <w:tcW w:w="7224" w:type="dxa"/>
          </w:tcPr>
          <w:p>
            <w:pPr>
              <w:pStyle w:val="10"/>
              <w:spacing w:before="15"/>
              <w:ind w:left="103"/>
              <w:rPr>
                <w:sz w:val="21"/>
              </w:rPr>
            </w:pPr>
            <w:r>
              <w:rPr>
                <w:spacing w:val="-3"/>
                <w:sz w:val="21"/>
              </w:rPr>
              <w:t>住院医疗，在本合同保险期间届满前发生的且延续至本合同保险期间届满后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2490" w:type="dxa"/>
            <w:gridSpan w:val="2"/>
            <w:vMerge w:val="continue"/>
            <w:tcBorders>
              <w:top w:val="nil"/>
            </w:tcBorders>
          </w:tcPr>
          <w:p>
            <w:pPr>
              <w:rPr>
                <w:sz w:val="2"/>
                <w:szCs w:val="2"/>
              </w:rPr>
            </w:pPr>
          </w:p>
        </w:tc>
        <w:tc>
          <w:tcPr>
            <w:tcW w:w="7224" w:type="dxa"/>
          </w:tcPr>
          <w:p>
            <w:pPr>
              <w:pStyle w:val="10"/>
              <w:spacing w:before="15"/>
              <w:ind w:left="103"/>
              <w:rPr>
                <w:sz w:val="21"/>
              </w:rPr>
            </w:pPr>
            <w:r>
              <w:rPr>
                <w:sz w:val="21"/>
              </w:rPr>
              <w:t>30</w:t>
            </w:r>
            <w:r>
              <w:rPr>
                <w:spacing w:val="-4"/>
                <w:sz w:val="21"/>
              </w:rPr>
              <w:t xml:space="preserve"> 日内恶性肿瘤-重度相关的符合本合同约定的住院医疗费用，本公司仍然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0" w:hRule="atLeast"/>
        </w:trPr>
        <w:tc>
          <w:tcPr>
            <w:tcW w:w="2490" w:type="dxa"/>
            <w:gridSpan w:val="2"/>
            <w:vMerge w:val="continue"/>
            <w:tcBorders>
              <w:top w:val="nil"/>
            </w:tcBorders>
          </w:tcPr>
          <w:p>
            <w:pPr>
              <w:rPr>
                <w:sz w:val="2"/>
                <w:szCs w:val="2"/>
              </w:rPr>
            </w:pPr>
          </w:p>
        </w:tc>
        <w:tc>
          <w:tcPr>
            <w:tcW w:w="7224" w:type="dxa"/>
          </w:tcPr>
          <w:p>
            <w:pPr>
              <w:pStyle w:val="10"/>
              <w:spacing w:before="14"/>
              <w:ind w:left="103"/>
              <w:rPr>
                <w:sz w:val="21"/>
              </w:rPr>
            </w:pPr>
            <w:r>
              <w:rPr>
                <w:spacing w:val="-3"/>
                <w:sz w:val="21"/>
              </w:rPr>
              <w:t>按照约定的方法计算并给付恶性肿瘤-重度医疗保险金。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0" w:hRule="atLeast"/>
        </w:trPr>
        <w:tc>
          <w:tcPr>
            <w:tcW w:w="2490" w:type="dxa"/>
            <w:gridSpan w:val="2"/>
            <w:vMerge w:val="continue"/>
            <w:tcBorders>
              <w:top w:val="nil"/>
            </w:tcBorders>
          </w:tcPr>
          <w:p>
            <w:pPr>
              <w:rPr>
                <w:sz w:val="2"/>
                <w:szCs w:val="2"/>
              </w:rPr>
            </w:pPr>
          </w:p>
        </w:tc>
        <w:tc>
          <w:tcPr>
            <w:tcW w:w="7224" w:type="dxa"/>
          </w:tcPr>
          <w:p>
            <w:pPr>
              <w:pStyle w:val="10"/>
              <w:spacing w:before="93"/>
              <w:ind w:left="103"/>
              <w:rPr>
                <w:sz w:val="21"/>
              </w:rPr>
            </w:pPr>
            <w:r>
              <w:rPr>
                <w:color w:val="000000"/>
                <w:spacing w:val="-3"/>
                <w:sz w:val="21"/>
                <w:shd w:val="clear" w:color="auto" w:fill="D2D2D2"/>
              </w:rPr>
              <w:t>如保险计划仅涵盖指定或认可的医疗机构普通部，本公司不承担在普通部内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2490" w:type="dxa"/>
            <w:gridSpan w:val="2"/>
            <w:vMerge w:val="continue"/>
            <w:tcBorders>
              <w:top w:val="nil"/>
            </w:tcBorders>
          </w:tcPr>
          <w:p>
            <w:pPr>
              <w:rPr>
                <w:sz w:val="2"/>
                <w:szCs w:val="2"/>
              </w:rPr>
            </w:pPr>
          </w:p>
        </w:tc>
        <w:tc>
          <w:tcPr>
            <w:tcW w:w="7224" w:type="dxa"/>
          </w:tcPr>
          <w:p>
            <w:pPr>
              <w:pStyle w:val="10"/>
              <w:spacing w:before="15"/>
              <w:ind w:left="103"/>
              <w:rPr>
                <w:sz w:val="21"/>
              </w:rPr>
            </w:pPr>
            <w:r>
              <w:rPr>
                <w:color w:val="000000"/>
                <w:spacing w:val="-2"/>
                <w:sz w:val="21"/>
                <w:shd w:val="clear" w:color="auto" w:fill="D2D2D2"/>
              </w:rPr>
              <w:t>产生的单人病房、包房、套房、特需病房、VIP</w:t>
            </w:r>
            <w:r>
              <w:rPr>
                <w:color w:val="000000"/>
                <w:spacing w:val="-10"/>
                <w:sz w:val="21"/>
                <w:shd w:val="clear" w:color="auto" w:fill="D2D2D2"/>
              </w:rPr>
              <w:t xml:space="preserve"> 病房等的费用，包括床位费、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0" w:hRule="atLeast"/>
        </w:trPr>
        <w:tc>
          <w:tcPr>
            <w:tcW w:w="2490" w:type="dxa"/>
            <w:gridSpan w:val="2"/>
            <w:vMerge w:val="continue"/>
            <w:tcBorders>
              <w:top w:val="nil"/>
            </w:tcBorders>
          </w:tcPr>
          <w:p>
            <w:pPr>
              <w:rPr>
                <w:sz w:val="2"/>
                <w:szCs w:val="2"/>
              </w:rPr>
            </w:pPr>
          </w:p>
        </w:tc>
        <w:tc>
          <w:tcPr>
            <w:tcW w:w="7224" w:type="dxa"/>
          </w:tcPr>
          <w:p>
            <w:pPr>
              <w:pStyle w:val="10"/>
              <w:spacing w:before="14"/>
              <w:ind w:left="103"/>
              <w:rPr>
                <w:sz w:val="21"/>
              </w:rPr>
            </w:pPr>
            <w:r>
              <w:rPr>
                <w:color w:val="000000"/>
                <w:spacing w:val="-4"/>
                <w:sz w:val="21"/>
                <w:shd w:val="clear" w:color="auto" w:fill="D2D2D2"/>
              </w:rPr>
              <w:t>护理费和膳食费。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0" w:hRule="atLeast"/>
        </w:trPr>
        <w:tc>
          <w:tcPr>
            <w:tcW w:w="2490" w:type="dxa"/>
            <w:gridSpan w:val="2"/>
            <w:vMerge w:val="continue"/>
            <w:tcBorders>
              <w:top w:val="nil"/>
            </w:tcBorders>
          </w:tcPr>
          <w:p>
            <w:pPr>
              <w:rPr>
                <w:sz w:val="2"/>
                <w:szCs w:val="2"/>
              </w:rPr>
            </w:pPr>
          </w:p>
        </w:tc>
        <w:tc>
          <w:tcPr>
            <w:tcW w:w="7224" w:type="dxa"/>
          </w:tcPr>
          <w:p>
            <w:pPr>
              <w:pStyle w:val="10"/>
              <w:spacing w:before="93"/>
              <w:ind w:left="103"/>
              <w:rPr>
                <w:sz w:val="21"/>
              </w:rPr>
            </w:pPr>
            <w:r>
              <w:rPr>
                <w:color w:val="000000"/>
                <w:spacing w:val="-1"/>
                <w:sz w:val="21"/>
                <w:shd w:val="clear" w:color="auto" w:fill="D2D2D2"/>
              </w:rPr>
              <w:t>本公司在本项责任下累计给付金额之和以本合同约定的恶性肿瘤-重度医疗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2490" w:type="dxa"/>
            <w:gridSpan w:val="2"/>
            <w:vMerge w:val="continue"/>
            <w:tcBorders>
              <w:top w:val="nil"/>
            </w:tcBorders>
          </w:tcPr>
          <w:p>
            <w:pPr>
              <w:rPr>
                <w:sz w:val="2"/>
                <w:szCs w:val="2"/>
              </w:rPr>
            </w:pPr>
          </w:p>
        </w:tc>
        <w:tc>
          <w:tcPr>
            <w:tcW w:w="7224" w:type="dxa"/>
          </w:tcPr>
          <w:p>
            <w:pPr>
              <w:pStyle w:val="10"/>
              <w:spacing w:before="15"/>
              <w:ind w:left="103"/>
              <w:rPr>
                <w:sz w:val="21"/>
              </w:rPr>
            </w:pPr>
            <w:r>
              <w:rPr>
                <w:color w:val="000000"/>
                <w:spacing w:val="-9"/>
                <w:sz w:val="21"/>
                <w:shd w:val="clear" w:color="auto" w:fill="D2D2D2"/>
              </w:rPr>
              <w:t>保险金的基本保险金额为限，当累计给付金额之和达到恶性肿瘤-重度医疗保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2490" w:type="dxa"/>
            <w:gridSpan w:val="2"/>
            <w:vMerge w:val="continue"/>
            <w:tcBorders>
              <w:top w:val="nil"/>
            </w:tcBorders>
          </w:tcPr>
          <w:p>
            <w:pPr>
              <w:rPr>
                <w:sz w:val="2"/>
                <w:szCs w:val="2"/>
              </w:rPr>
            </w:pPr>
          </w:p>
        </w:tc>
        <w:tc>
          <w:tcPr>
            <w:tcW w:w="7224" w:type="dxa"/>
          </w:tcPr>
          <w:p>
            <w:pPr>
              <w:pStyle w:val="10"/>
              <w:spacing w:before="14"/>
              <w:ind w:left="103"/>
              <w:rPr>
                <w:sz w:val="21"/>
              </w:rPr>
            </w:pPr>
            <w:r>
              <w:rPr>
                <w:color w:val="000000"/>
                <w:spacing w:val="-10"/>
                <w:sz w:val="21"/>
                <w:shd w:val="clear" w:color="auto" w:fill="D2D2D2"/>
              </w:rPr>
              <w:t>险金基本保险金额时，本公司对被保险人的恶性肿瘤-重度医疗保险金责任终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0" w:hRule="atLeast"/>
        </w:trPr>
        <w:tc>
          <w:tcPr>
            <w:tcW w:w="2490" w:type="dxa"/>
            <w:gridSpan w:val="2"/>
            <w:vMerge w:val="continue"/>
            <w:tcBorders>
              <w:top w:val="nil"/>
            </w:tcBorders>
          </w:tcPr>
          <w:p>
            <w:pPr>
              <w:rPr>
                <w:sz w:val="2"/>
                <w:szCs w:val="2"/>
              </w:rPr>
            </w:pPr>
          </w:p>
        </w:tc>
        <w:tc>
          <w:tcPr>
            <w:tcW w:w="7224" w:type="dxa"/>
          </w:tcPr>
          <w:p>
            <w:pPr>
              <w:pStyle w:val="10"/>
              <w:spacing w:before="14"/>
              <w:ind w:left="103"/>
              <w:rPr>
                <w:sz w:val="21"/>
              </w:rPr>
            </w:pPr>
            <w:r>
              <w:rPr>
                <w:color w:val="000000"/>
                <w:spacing w:val="-5"/>
                <w:sz w:val="21"/>
                <w:shd w:val="clear" w:color="auto" w:fill="D2D2D2"/>
              </w:rPr>
              <w:t>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0" w:hRule="atLeast"/>
        </w:trPr>
        <w:tc>
          <w:tcPr>
            <w:tcW w:w="769" w:type="dxa"/>
          </w:tcPr>
          <w:p>
            <w:pPr>
              <w:pStyle w:val="10"/>
              <w:spacing w:before="92"/>
              <w:ind w:left="50"/>
              <w:rPr>
                <w:b/>
                <w:sz w:val="21"/>
              </w:rPr>
            </w:pPr>
            <w:r>
              <w:rPr>
                <w:b/>
                <w:spacing w:val="-2"/>
                <w:sz w:val="21"/>
              </w:rPr>
              <w:t>2.3.3</w:t>
            </w:r>
          </w:p>
        </w:tc>
        <w:tc>
          <w:tcPr>
            <w:tcW w:w="1721" w:type="dxa"/>
          </w:tcPr>
          <w:p>
            <w:pPr>
              <w:pStyle w:val="10"/>
              <w:spacing w:before="92"/>
              <w:ind w:left="190"/>
              <w:rPr>
                <w:b/>
                <w:sz w:val="21"/>
              </w:rPr>
            </w:pPr>
            <w:r>
              <w:rPr>
                <w:b/>
                <w:w w:val="95"/>
                <w:sz w:val="21"/>
              </w:rPr>
              <w:t>恶性肿瘤-重</w:t>
            </w:r>
            <w:r>
              <w:rPr>
                <w:b/>
                <w:spacing w:val="-10"/>
                <w:w w:val="95"/>
                <w:sz w:val="21"/>
              </w:rPr>
              <w:t>度</w:t>
            </w:r>
          </w:p>
        </w:tc>
        <w:tc>
          <w:tcPr>
            <w:tcW w:w="7224" w:type="dxa"/>
          </w:tcPr>
          <w:p>
            <w:pPr>
              <w:pStyle w:val="10"/>
              <w:spacing w:before="92"/>
              <w:ind w:left="103"/>
              <w:rPr>
                <w:sz w:val="21"/>
              </w:rPr>
            </w:pPr>
            <w:r>
              <w:rPr>
                <w:spacing w:val="-3"/>
                <w:sz w:val="21"/>
              </w:rPr>
              <w:t>被保险人在本合同保险期间内，因意外或在等待期后因非意外的原因确诊初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769" w:type="dxa"/>
          </w:tcPr>
          <w:p>
            <w:pPr>
              <w:pStyle w:val="10"/>
              <w:spacing w:before="0"/>
              <w:rPr>
                <w:rFonts w:ascii="Times New Roman"/>
                <w:sz w:val="20"/>
              </w:rPr>
            </w:pPr>
          </w:p>
        </w:tc>
        <w:tc>
          <w:tcPr>
            <w:tcW w:w="1721" w:type="dxa"/>
          </w:tcPr>
          <w:p>
            <w:pPr>
              <w:pStyle w:val="10"/>
              <w:spacing w:before="14"/>
              <w:ind w:left="190"/>
              <w:rPr>
                <w:b/>
                <w:sz w:val="21"/>
              </w:rPr>
            </w:pPr>
            <w:r>
              <w:rPr>
                <w:b/>
                <w:spacing w:val="23"/>
                <w:sz w:val="21"/>
              </w:rPr>
              <w:t>住院津贴保险</w:t>
            </w:r>
          </w:p>
        </w:tc>
        <w:tc>
          <w:tcPr>
            <w:tcW w:w="7224" w:type="dxa"/>
          </w:tcPr>
          <w:p>
            <w:pPr>
              <w:pStyle w:val="10"/>
              <w:spacing w:before="14"/>
              <w:ind w:left="103"/>
              <w:rPr>
                <w:sz w:val="21"/>
              </w:rPr>
            </w:pPr>
            <w:r>
              <w:rPr>
                <w:spacing w:val="-10"/>
                <w:sz w:val="21"/>
              </w:rPr>
              <w:t>次发生恶性肿瘤-重度，在本公司指定或认可的医疗机构接受由具有相应资质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769" w:type="dxa"/>
          </w:tcPr>
          <w:p>
            <w:pPr>
              <w:pStyle w:val="10"/>
              <w:spacing w:before="0"/>
              <w:rPr>
                <w:rFonts w:ascii="Times New Roman"/>
                <w:sz w:val="20"/>
              </w:rPr>
            </w:pPr>
          </w:p>
        </w:tc>
        <w:tc>
          <w:tcPr>
            <w:tcW w:w="1721" w:type="dxa"/>
          </w:tcPr>
          <w:p>
            <w:pPr>
              <w:pStyle w:val="10"/>
              <w:spacing w:before="15"/>
              <w:ind w:left="190"/>
              <w:rPr>
                <w:b/>
                <w:sz w:val="21"/>
              </w:rPr>
            </w:pPr>
            <w:r>
              <w:rPr>
                <w:b/>
                <w:w w:val="100"/>
                <w:sz w:val="21"/>
              </w:rPr>
              <w:t>金</w:t>
            </w:r>
          </w:p>
        </w:tc>
        <w:tc>
          <w:tcPr>
            <w:tcW w:w="7224" w:type="dxa"/>
          </w:tcPr>
          <w:p>
            <w:pPr>
              <w:pStyle w:val="10"/>
              <w:spacing w:before="15"/>
              <w:ind w:left="103"/>
              <w:rPr>
                <w:sz w:val="21"/>
              </w:rPr>
            </w:pPr>
            <w:r>
              <w:rPr>
                <w:spacing w:val="-6"/>
                <w:sz w:val="21"/>
              </w:rPr>
              <w:t>的医护人员提供的医学必需的恶性肿瘤-重度住院医疗</w:t>
            </w:r>
            <w:r>
              <w:rPr>
                <w:spacing w:val="-2"/>
                <w:sz w:val="21"/>
              </w:rPr>
              <w:t>（包括日间住院医疗</w:t>
            </w:r>
            <w:r>
              <w:rPr>
                <w:spacing w:val="-111"/>
                <w:sz w:val="21"/>
              </w:rPr>
              <w:t>）</w:t>
            </w:r>
            <w:r>
              <w:rPr>
                <w:spacing w:val="-5"/>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769" w:type="dxa"/>
          </w:tcPr>
          <w:p>
            <w:pPr>
              <w:pStyle w:val="10"/>
              <w:spacing w:before="0"/>
              <w:rPr>
                <w:rFonts w:ascii="Times New Roman"/>
                <w:sz w:val="20"/>
              </w:rPr>
            </w:pPr>
          </w:p>
        </w:tc>
        <w:tc>
          <w:tcPr>
            <w:tcW w:w="1721" w:type="dxa"/>
          </w:tcPr>
          <w:p>
            <w:pPr>
              <w:pStyle w:val="10"/>
              <w:spacing w:before="0"/>
              <w:rPr>
                <w:rFonts w:ascii="Times New Roman"/>
                <w:sz w:val="20"/>
              </w:rPr>
            </w:pPr>
          </w:p>
        </w:tc>
        <w:tc>
          <w:tcPr>
            <w:tcW w:w="7224" w:type="dxa"/>
          </w:tcPr>
          <w:p>
            <w:pPr>
              <w:pStyle w:val="10"/>
              <w:spacing w:before="15"/>
              <w:ind w:left="103"/>
              <w:rPr>
                <w:sz w:val="21"/>
              </w:rPr>
            </w:pPr>
            <w:r>
              <w:rPr>
                <w:spacing w:val="-3"/>
                <w:sz w:val="21"/>
              </w:rPr>
              <w:t>本公司按本合同约定的每日住院津贴保险金基本保险金额乘以其实际住院日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0" w:hRule="atLeast"/>
        </w:trPr>
        <w:tc>
          <w:tcPr>
            <w:tcW w:w="769" w:type="dxa"/>
          </w:tcPr>
          <w:p>
            <w:pPr>
              <w:pStyle w:val="10"/>
              <w:spacing w:before="0"/>
              <w:rPr>
                <w:rFonts w:ascii="Times New Roman"/>
                <w:sz w:val="20"/>
              </w:rPr>
            </w:pPr>
          </w:p>
        </w:tc>
        <w:tc>
          <w:tcPr>
            <w:tcW w:w="1721" w:type="dxa"/>
          </w:tcPr>
          <w:p>
            <w:pPr>
              <w:pStyle w:val="10"/>
              <w:spacing w:before="0"/>
              <w:rPr>
                <w:rFonts w:ascii="Times New Roman"/>
                <w:sz w:val="20"/>
              </w:rPr>
            </w:pPr>
          </w:p>
        </w:tc>
        <w:tc>
          <w:tcPr>
            <w:tcW w:w="7224" w:type="dxa"/>
          </w:tcPr>
          <w:p>
            <w:pPr>
              <w:pStyle w:val="10"/>
              <w:spacing w:before="15"/>
              <w:ind w:left="103"/>
              <w:rPr>
                <w:sz w:val="21"/>
              </w:rPr>
            </w:pPr>
            <w:r>
              <w:rPr>
                <w:spacing w:val="-3"/>
                <w:sz w:val="21"/>
              </w:rPr>
              <w:t>数给付恶性肿瘤-重度住院津贴保险金。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0" w:hRule="atLeast"/>
        </w:trPr>
        <w:tc>
          <w:tcPr>
            <w:tcW w:w="769" w:type="dxa"/>
          </w:tcPr>
          <w:p>
            <w:pPr>
              <w:pStyle w:val="10"/>
              <w:spacing w:before="0"/>
              <w:rPr>
                <w:rFonts w:ascii="Times New Roman"/>
                <w:sz w:val="20"/>
              </w:rPr>
            </w:pPr>
          </w:p>
        </w:tc>
        <w:tc>
          <w:tcPr>
            <w:tcW w:w="1721" w:type="dxa"/>
          </w:tcPr>
          <w:p>
            <w:pPr>
              <w:pStyle w:val="10"/>
              <w:spacing w:before="0"/>
              <w:rPr>
                <w:rFonts w:ascii="Times New Roman"/>
                <w:sz w:val="20"/>
              </w:rPr>
            </w:pPr>
          </w:p>
        </w:tc>
        <w:tc>
          <w:tcPr>
            <w:tcW w:w="7224" w:type="dxa"/>
          </w:tcPr>
          <w:p>
            <w:pPr>
              <w:pStyle w:val="10"/>
              <w:spacing w:before="93"/>
              <w:ind w:left="103"/>
              <w:rPr>
                <w:sz w:val="21"/>
              </w:rPr>
            </w:pPr>
            <w:r>
              <w:rPr>
                <w:spacing w:val="-10"/>
                <w:sz w:val="21"/>
              </w:rPr>
              <w:t>在本合同的保险期间内，对于被保险人恶性肿瘤-重度住院津贴保险金的累计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769" w:type="dxa"/>
          </w:tcPr>
          <w:p>
            <w:pPr>
              <w:pStyle w:val="10"/>
              <w:spacing w:before="0"/>
              <w:rPr>
                <w:rFonts w:ascii="Times New Roman"/>
                <w:sz w:val="20"/>
              </w:rPr>
            </w:pPr>
          </w:p>
        </w:tc>
        <w:tc>
          <w:tcPr>
            <w:tcW w:w="1721" w:type="dxa"/>
          </w:tcPr>
          <w:p>
            <w:pPr>
              <w:pStyle w:val="10"/>
              <w:spacing w:before="0"/>
              <w:rPr>
                <w:rFonts w:ascii="Times New Roman"/>
                <w:sz w:val="20"/>
              </w:rPr>
            </w:pPr>
          </w:p>
        </w:tc>
        <w:tc>
          <w:tcPr>
            <w:tcW w:w="7224" w:type="dxa"/>
          </w:tcPr>
          <w:p>
            <w:pPr>
              <w:pStyle w:val="10"/>
              <w:spacing w:before="15"/>
              <w:ind w:left="103"/>
              <w:rPr>
                <w:sz w:val="21"/>
              </w:rPr>
            </w:pPr>
            <w:r>
              <w:rPr>
                <w:spacing w:val="-7"/>
                <w:sz w:val="21"/>
              </w:rPr>
              <w:t xml:space="preserve">给付天数最高以 </w:t>
            </w:r>
            <w:r>
              <w:rPr>
                <w:spacing w:val="-2"/>
                <w:sz w:val="21"/>
              </w:rPr>
              <w:t>60</w:t>
            </w:r>
            <w:r>
              <w:rPr>
                <w:spacing w:val="-11"/>
                <w:sz w:val="21"/>
              </w:rPr>
              <w:t xml:space="preserve"> 日为限。当累计给付天数之和达到 </w:t>
            </w:r>
            <w:r>
              <w:rPr>
                <w:spacing w:val="-2"/>
                <w:sz w:val="21"/>
              </w:rPr>
              <w:t>60</w:t>
            </w:r>
            <w:r>
              <w:rPr>
                <w:spacing w:val="-10"/>
                <w:sz w:val="21"/>
              </w:rPr>
              <w:t xml:space="preserve"> 日时，本公司对被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0" w:hRule="atLeast"/>
        </w:trPr>
        <w:tc>
          <w:tcPr>
            <w:tcW w:w="769" w:type="dxa"/>
          </w:tcPr>
          <w:p>
            <w:pPr>
              <w:pStyle w:val="10"/>
              <w:spacing w:before="0"/>
              <w:rPr>
                <w:rFonts w:ascii="Times New Roman"/>
                <w:sz w:val="20"/>
              </w:rPr>
            </w:pPr>
          </w:p>
        </w:tc>
        <w:tc>
          <w:tcPr>
            <w:tcW w:w="1721" w:type="dxa"/>
          </w:tcPr>
          <w:p>
            <w:pPr>
              <w:pStyle w:val="10"/>
              <w:spacing w:before="0"/>
              <w:rPr>
                <w:rFonts w:ascii="Times New Roman"/>
                <w:sz w:val="20"/>
              </w:rPr>
            </w:pPr>
          </w:p>
        </w:tc>
        <w:tc>
          <w:tcPr>
            <w:tcW w:w="7224" w:type="dxa"/>
          </w:tcPr>
          <w:p>
            <w:pPr>
              <w:pStyle w:val="10"/>
              <w:spacing w:before="15"/>
              <w:ind w:left="103"/>
              <w:rPr>
                <w:sz w:val="21"/>
              </w:rPr>
            </w:pPr>
            <w:r>
              <w:rPr>
                <w:spacing w:val="-3"/>
                <w:sz w:val="21"/>
              </w:rPr>
              <w:t>保险人的恶性肿瘤-重度住院津贴保险金责任终止。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0" w:hRule="atLeast"/>
        </w:trPr>
        <w:tc>
          <w:tcPr>
            <w:tcW w:w="769" w:type="dxa"/>
          </w:tcPr>
          <w:p>
            <w:pPr>
              <w:pStyle w:val="10"/>
              <w:spacing w:before="93"/>
              <w:ind w:left="50"/>
              <w:rPr>
                <w:b/>
                <w:sz w:val="21"/>
              </w:rPr>
            </w:pPr>
            <w:r>
              <w:rPr>
                <w:b/>
                <w:spacing w:val="-2"/>
                <w:sz w:val="21"/>
              </w:rPr>
              <w:t>2.3.4</w:t>
            </w:r>
          </w:p>
        </w:tc>
        <w:tc>
          <w:tcPr>
            <w:tcW w:w="1721" w:type="dxa"/>
          </w:tcPr>
          <w:p>
            <w:pPr>
              <w:pStyle w:val="10"/>
              <w:spacing w:before="93"/>
              <w:ind w:left="190"/>
              <w:rPr>
                <w:b/>
                <w:sz w:val="21"/>
              </w:rPr>
            </w:pPr>
            <w:r>
              <w:rPr>
                <w:b/>
                <w:spacing w:val="23"/>
                <w:sz w:val="21"/>
              </w:rPr>
              <w:t>门急诊医疗保</w:t>
            </w:r>
          </w:p>
        </w:tc>
        <w:tc>
          <w:tcPr>
            <w:tcW w:w="7224" w:type="dxa"/>
          </w:tcPr>
          <w:p>
            <w:pPr>
              <w:pStyle w:val="10"/>
              <w:spacing w:before="93"/>
              <w:ind w:left="103"/>
              <w:rPr>
                <w:sz w:val="21"/>
              </w:rPr>
            </w:pPr>
            <w:r>
              <w:rPr>
                <w:spacing w:val="-3"/>
                <w:sz w:val="21"/>
              </w:rPr>
              <w:t>被保险人在本合同的保险期间内因意外，或在等待期后因非意外的原因，在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23" w:hRule="atLeast"/>
        </w:trPr>
        <w:tc>
          <w:tcPr>
            <w:tcW w:w="769" w:type="dxa"/>
          </w:tcPr>
          <w:p>
            <w:pPr>
              <w:pStyle w:val="10"/>
              <w:spacing w:before="0"/>
              <w:rPr>
                <w:rFonts w:ascii="Times New Roman"/>
                <w:sz w:val="20"/>
              </w:rPr>
            </w:pPr>
          </w:p>
        </w:tc>
        <w:tc>
          <w:tcPr>
            <w:tcW w:w="1721" w:type="dxa"/>
          </w:tcPr>
          <w:p>
            <w:pPr>
              <w:pStyle w:val="10"/>
              <w:spacing w:before="15"/>
              <w:ind w:left="190"/>
              <w:rPr>
                <w:b/>
                <w:sz w:val="21"/>
              </w:rPr>
            </w:pPr>
            <w:r>
              <w:rPr>
                <w:b/>
                <w:spacing w:val="-5"/>
                <w:sz w:val="21"/>
              </w:rPr>
              <w:t>险金</w:t>
            </w:r>
          </w:p>
        </w:tc>
        <w:tc>
          <w:tcPr>
            <w:tcW w:w="7224" w:type="dxa"/>
          </w:tcPr>
          <w:p>
            <w:pPr>
              <w:pStyle w:val="10"/>
              <w:spacing w:before="15"/>
              <w:ind w:left="103"/>
              <w:rPr>
                <w:sz w:val="21"/>
              </w:rPr>
            </w:pPr>
            <w:r>
              <w:rPr>
                <w:spacing w:val="-3"/>
                <w:sz w:val="21"/>
              </w:rPr>
              <w:t>本公司指定或认可的医疗机构接受由具有相应资质的医护人员提供的医学必</w:t>
            </w:r>
          </w:p>
          <w:p>
            <w:pPr>
              <w:pStyle w:val="10"/>
              <w:spacing w:before="32"/>
              <w:ind w:left="103"/>
              <w:rPr>
                <w:sz w:val="21"/>
              </w:rPr>
            </w:pPr>
            <w:r>
              <w:rPr>
                <w:w w:val="95"/>
                <w:sz w:val="21"/>
              </w:rPr>
              <w:t>需的</w:t>
            </w:r>
            <w:r>
              <w:rPr>
                <w:b/>
                <w:w w:val="95"/>
                <w:sz w:val="21"/>
              </w:rPr>
              <w:t>门急诊</w:t>
            </w:r>
            <w:r>
              <w:rPr>
                <w:b/>
                <w:w w:val="95"/>
                <w:position w:val="11"/>
                <w:sz w:val="11"/>
              </w:rPr>
              <w:t>30</w:t>
            </w:r>
            <w:r>
              <w:rPr>
                <w:w w:val="95"/>
                <w:sz w:val="21"/>
              </w:rPr>
              <w:t>医疗，对由此发生的符合通常惯例水平的下列费用，本公司按</w:t>
            </w:r>
            <w:r>
              <w:rPr>
                <w:spacing w:val="-10"/>
                <w:w w:val="95"/>
                <w:sz w:val="21"/>
              </w:rPr>
              <w:t>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0" w:hRule="atLeast"/>
        </w:trPr>
        <w:tc>
          <w:tcPr>
            <w:tcW w:w="769" w:type="dxa"/>
          </w:tcPr>
          <w:p>
            <w:pPr>
              <w:pStyle w:val="10"/>
              <w:spacing w:before="0"/>
              <w:rPr>
                <w:rFonts w:ascii="Times New Roman"/>
                <w:sz w:val="20"/>
              </w:rPr>
            </w:pPr>
          </w:p>
        </w:tc>
        <w:tc>
          <w:tcPr>
            <w:tcW w:w="1721" w:type="dxa"/>
          </w:tcPr>
          <w:p>
            <w:pPr>
              <w:pStyle w:val="10"/>
              <w:spacing w:before="0"/>
              <w:rPr>
                <w:rFonts w:ascii="Times New Roman"/>
                <w:sz w:val="20"/>
              </w:rPr>
            </w:pPr>
          </w:p>
        </w:tc>
        <w:tc>
          <w:tcPr>
            <w:tcW w:w="7224" w:type="dxa"/>
          </w:tcPr>
          <w:p>
            <w:pPr>
              <w:pStyle w:val="10"/>
              <w:spacing w:before="14"/>
              <w:ind w:left="103"/>
              <w:rPr>
                <w:sz w:val="21"/>
              </w:rPr>
            </w:pPr>
            <w:r>
              <w:rPr>
                <w:spacing w:val="-3"/>
                <w:sz w:val="21"/>
              </w:rPr>
              <w:t>合同有关约定承担给付门急诊医疗保险金的责任：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8" w:hRule="atLeast"/>
        </w:trPr>
        <w:tc>
          <w:tcPr>
            <w:tcW w:w="769" w:type="dxa"/>
          </w:tcPr>
          <w:p>
            <w:pPr>
              <w:pStyle w:val="10"/>
              <w:spacing w:before="0"/>
              <w:rPr>
                <w:rFonts w:ascii="Times New Roman"/>
                <w:sz w:val="20"/>
              </w:rPr>
            </w:pPr>
          </w:p>
        </w:tc>
        <w:tc>
          <w:tcPr>
            <w:tcW w:w="1721" w:type="dxa"/>
          </w:tcPr>
          <w:p>
            <w:pPr>
              <w:pStyle w:val="10"/>
              <w:spacing w:before="0"/>
              <w:rPr>
                <w:rFonts w:ascii="Times New Roman"/>
                <w:sz w:val="20"/>
              </w:rPr>
            </w:pPr>
          </w:p>
        </w:tc>
        <w:tc>
          <w:tcPr>
            <w:tcW w:w="7224" w:type="dxa"/>
          </w:tcPr>
          <w:p>
            <w:pPr>
              <w:pStyle w:val="10"/>
              <w:spacing w:before="92"/>
              <w:ind w:left="103"/>
              <w:rPr>
                <w:sz w:val="21"/>
              </w:rPr>
            </w:pPr>
            <w:r>
              <w:rPr>
                <w:spacing w:val="-2"/>
                <w:sz w:val="21"/>
              </w:rPr>
              <w:t>（1）</w:t>
            </w:r>
            <w:r>
              <w:rPr>
                <w:spacing w:val="-5"/>
                <w:sz w:val="21"/>
              </w:rPr>
              <w:t>挂号费；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7" w:hRule="atLeast"/>
        </w:trPr>
        <w:tc>
          <w:tcPr>
            <w:tcW w:w="769" w:type="dxa"/>
          </w:tcPr>
          <w:p>
            <w:pPr>
              <w:pStyle w:val="10"/>
              <w:spacing w:before="0"/>
              <w:rPr>
                <w:rFonts w:ascii="Times New Roman"/>
                <w:sz w:val="20"/>
              </w:rPr>
            </w:pPr>
          </w:p>
        </w:tc>
        <w:tc>
          <w:tcPr>
            <w:tcW w:w="1721" w:type="dxa"/>
          </w:tcPr>
          <w:p>
            <w:pPr>
              <w:pStyle w:val="10"/>
              <w:spacing w:before="0"/>
              <w:rPr>
                <w:rFonts w:ascii="Times New Roman"/>
                <w:sz w:val="20"/>
              </w:rPr>
            </w:pPr>
          </w:p>
        </w:tc>
        <w:tc>
          <w:tcPr>
            <w:tcW w:w="7224" w:type="dxa"/>
          </w:tcPr>
          <w:p>
            <w:pPr>
              <w:pStyle w:val="10"/>
              <w:spacing w:before="92"/>
              <w:ind w:left="103"/>
              <w:rPr>
                <w:sz w:val="21"/>
              </w:rPr>
            </w:pPr>
            <w:r>
              <w:rPr>
                <w:spacing w:val="-2"/>
                <w:sz w:val="21"/>
              </w:rPr>
              <w:t>（2）</w:t>
            </w:r>
            <w:r>
              <w:rPr>
                <w:spacing w:val="-5"/>
                <w:sz w:val="21"/>
              </w:rPr>
              <w:t>诊察费；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8" w:hRule="atLeast"/>
        </w:trPr>
        <w:tc>
          <w:tcPr>
            <w:tcW w:w="769" w:type="dxa"/>
          </w:tcPr>
          <w:p>
            <w:pPr>
              <w:pStyle w:val="10"/>
              <w:spacing w:before="0"/>
              <w:rPr>
                <w:rFonts w:ascii="Times New Roman"/>
                <w:sz w:val="20"/>
              </w:rPr>
            </w:pPr>
          </w:p>
        </w:tc>
        <w:tc>
          <w:tcPr>
            <w:tcW w:w="1721" w:type="dxa"/>
          </w:tcPr>
          <w:p>
            <w:pPr>
              <w:pStyle w:val="10"/>
              <w:spacing w:before="0"/>
              <w:rPr>
                <w:rFonts w:ascii="Times New Roman"/>
                <w:sz w:val="20"/>
              </w:rPr>
            </w:pPr>
          </w:p>
        </w:tc>
        <w:tc>
          <w:tcPr>
            <w:tcW w:w="7224" w:type="dxa"/>
          </w:tcPr>
          <w:p>
            <w:pPr>
              <w:pStyle w:val="10"/>
              <w:spacing w:before="93"/>
              <w:ind w:left="103"/>
              <w:rPr>
                <w:sz w:val="21"/>
              </w:rPr>
            </w:pPr>
            <w:r>
              <w:rPr>
                <w:spacing w:val="-2"/>
                <w:sz w:val="21"/>
              </w:rPr>
              <w:t>（3）</w:t>
            </w:r>
            <w:r>
              <w:rPr>
                <w:spacing w:val="-5"/>
                <w:sz w:val="21"/>
              </w:rPr>
              <w:t>治疗费；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8" w:hRule="atLeast"/>
        </w:trPr>
        <w:tc>
          <w:tcPr>
            <w:tcW w:w="769" w:type="dxa"/>
          </w:tcPr>
          <w:p>
            <w:pPr>
              <w:pStyle w:val="10"/>
              <w:spacing w:before="0"/>
              <w:rPr>
                <w:rFonts w:ascii="Times New Roman"/>
                <w:sz w:val="20"/>
              </w:rPr>
            </w:pPr>
          </w:p>
        </w:tc>
        <w:tc>
          <w:tcPr>
            <w:tcW w:w="1721" w:type="dxa"/>
          </w:tcPr>
          <w:p>
            <w:pPr>
              <w:pStyle w:val="10"/>
              <w:spacing w:before="0"/>
              <w:rPr>
                <w:rFonts w:ascii="Times New Roman"/>
                <w:sz w:val="20"/>
              </w:rPr>
            </w:pPr>
          </w:p>
        </w:tc>
        <w:tc>
          <w:tcPr>
            <w:tcW w:w="7224" w:type="dxa"/>
          </w:tcPr>
          <w:p>
            <w:pPr>
              <w:pStyle w:val="10"/>
              <w:spacing w:before="93"/>
              <w:ind w:left="103"/>
              <w:rPr>
                <w:sz w:val="21"/>
              </w:rPr>
            </w:pPr>
            <w:r>
              <w:rPr>
                <w:spacing w:val="-2"/>
                <w:sz w:val="21"/>
              </w:rPr>
              <w:t>（4）</w:t>
            </w:r>
            <w:r>
              <w:rPr>
                <w:spacing w:val="-5"/>
                <w:sz w:val="21"/>
              </w:rPr>
              <w:t>药品费；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67" w:hRule="atLeast"/>
        </w:trPr>
        <w:tc>
          <w:tcPr>
            <w:tcW w:w="769" w:type="dxa"/>
          </w:tcPr>
          <w:p>
            <w:pPr>
              <w:pStyle w:val="10"/>
              <w:spacing w:before="0"/>
              <w:rPr>
                <w:rFonts w:ascii="Times New Roman"/>
                <w:sz w:val="20"/>
              </w:rPr>
            </w:pPr>
          </w:p>
        </w:tc>
        <w:tc>
          <w:tcPr>
            <w:tcW w:w="1721" w:type="dxa"/>
          </w:tcPr>
          <w:p>
            <w:pPr>
              <w:pStyle w:val="10"/>
              <w:spacing w:before="0"/>
              <w:rPr>
                <w:rFonts w:ascii="Times New Roman"/>
                <w:sz w:val="20"/>
              </w:rPr>
            </w:pPr>
          </w:p>
        </w:tc>
        <w:tc>
          <w:tcPr>
            <w:tcW w:w="7224" w:type="dxa"/>
          </w:tcPr>
          <w:p>
            <w:pPr>
              <w:pStyle w:val="10"/>
              <w:spacing w:before="93"/>
              <w:ind w:left="103"/>
              <w:rPr>
                <w:sz w:val="21"/>
              </w:rPr>
            </w:pPr>
            <w:r>
              <w:rPr>
                <w:spacing w:val="-2"/>
                <w:sz w:val="21"/>
              </w:rPr>
              <w:t>（5）</w:t>
            </w:r>
            <w:r>
              <w:rPr>
                <w:spacing w:val="-4"/>
                <w:sz w:val="21"/>
              </w:rPr>
              <w:t>检查检验费；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39" w:hRule="atLeast"/>
        </w:trPr>
        <w:tc>
          <w:tcPr>
            <w:tcW w:w="769" w:type="dxa"/>
          </w:tcPr>
          <w:p>
            <w:pPr>
              <w:pStyle w:val="10"/>
              <w:spacing w:before="0"/>
              <w:rPr>
                <w:rFonts w:ascii="Times New Roman"/>
                <w:sz w:val="20"/>
              </w:rPr>
            </w:pPr>
          </w:p>
        </w:tc>
        <w:tc>
          <w:tcPr>
            <w:tcW w:w="1721" w:type="dxa"/>
          </w:tcPr>
          <w:p>
            <w:pPr>
              <w:pStyle w:val="10"/>
              <w:spacing w:before="0"/>
              <w:rPr>
                <w:rFonts w:ascii="Times New Roman"/>
                <w:sz w:val="20"/>
              </w:rPr>
            </w:pPr>
          </w:p>
        </w:tc>
        <w:tc>
          <w:tcPr>
            <w:tcW w:w="7224" w:type="dxa"/>
          </w:tcPr>
          <w:p>
            <w:pPr>
              <w:pStyle w:val="10"/>
              <w:spacing w:before="92" w:line="227" w:lineRule="exact"/>
              <w:ind w:left="103"/>
              <w:rPr>
                <w:sz w:val="21"/>
              </w:rPr>
            </w:pPr>
            <w:r>
              <w:rPr>
                <w:spacing w:val="-2"/>
                <w:sz w:val="21"/>
              </w:rPr>
              <w:t>（6）</w:t>
            </w:r>
            <w:r>
              <w:rPr>
                <w:spacing w:val="-5"/>
                <w:sz w:val="21"/>
              </w:rPr>
              <w:t>手术费；</w:t>
            </w:r>
          </w:p>
        </w:tc>
      </w:tr>
    </w:tbl>
    <w:p>
      <w:pPr>
        <w:pStyle w:val="5"/>
        <w:rPr>
          <w:rFonts w:ascii="楷体"/>
          <w:sz w:val="20"/>
        </w:rPr>
      </w:pPr>
    </w:p>
    <w:p>
      <w:pPr>
        <w:pStyle w:val="5"/>
        <w:spacing w:before="6"/>
        <w:rPr>
          <w:rFonts w:ascii="楷体"/>
          <w:sz w:val="17"/>
        </w:rPr>
      </w:pPr>
      <w:r>
        <w:drawing>
          <wp:anchor distT="0" distB="0" distL="0" distR="0" simplePos="0" relativeHeight="251659264" behindDoc="0" locked="0" layoutInCell="1" allowOverlap="1">
            <wp:simplePos x="0" y="0"/>
            <wp:positionH relativeFrom="page">
              <wp:posOffset>685800</wp:posOffset>
            </wp:positionH>
            <wp:positionV relativeFrom="paragraph">
              <wp:posOffset>157480</wp:posOffset>
            </wp:positionV>
            <wp:extent cx="1829435" cy="6350"/>
            <wp:effectExtent l="0" t="0" r="0" b="0"/>
            <wp:wrapTopAndBottom/>
            <wp:docPr id="19"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7.png"/>
                    <pic:cNvPicPr>
                      <a:picLocks noChangeAspect="1"/>
                    </pic:cNvPicPr>
                  </pic:nvPicPr>
                  <pic:blipFill>
                    <a:blip r:embed="rId12" cstate="print"/>
                    <a:stretch>
                      <a:fillRect/>
                    </a:stretch>
                  </pic:blipFill>
                  <pic:spPr>
                    <a:xfrm>
                      <a:off x="0" y="0"/>
                      <a:ext cx="1829511" cy="6096"/>
                    </a:xfrm>
                    <a:prstGeom prst="rect">
                      <a:avLst/>
                    </a:prstGeom>
                  </pic:spPr>
                </pic:pic>
              </a:graphicData>
            </a:graphic>
          </wp:anchor>
        </w:drawing>
      </w:r>
    </w:p>
    <w:p>
      <w:pPr>
        <w:spacing w:before="91"/>
        <w:ind w:left="160" w:right="0" w:firstLine="0"/>
        <w:jc w:val="left"/>
        <w:rPr>
          <w:rFonts w:ascii="楷体" w:eastAsia="楷体"/>
          <w:sz w:val="18"/>
        </w:rPr>
      </w:pPr>
      <w:r>
        <w:rPr>
          <w:rFonts w:ascii="楷体" w:eastAsia="楷体"/>
          <w:w w:val="95"/>
          <w:position w:val="9"/>
          <w:sz w:val="9"/>
        </w:rPr>
        <w:t>30</w:t>
      </w:r>
      <w:r>
        <w:rPr>
          <w:rFonts w:hint="eastAsia" w:ascii="楷体" w:eastAsia="楷体"/>
          <w:b/>
          <w:w w:val="95"/>
          <w:sz w:val="18"/>
        </w:rPr>
        <w:t>门急诊：</w:t>
      </w:r>
      <w:r>
        <w:rPr>
          <w:rFonts w:ascii="楷体" w:eastAsia="楷体"/>
          <w:w w:val="95"/>
          <w:sz w:val="18"/>
        </w:rPr>
        <w:t>指确因临床需要，正式办理挂号手续，并确实在医疗机构的门诊部或急诊部接受治疗的行为过程，</w:t>
      </w:r>
      <w:r>
        <w:rPr>
          <w:rFonts w:ascii="楷体" w:eastAsia="楷体"/>
          <w:color w:val="000000"/>
          <w:w w:val="95"/>
          <w:sz w:val="18"/>
          <w:shd w:val="clear" w:color="auto" w:fill="D9D9D9"/>
        </w:rPr>
        <w:t>但不包括休养</w:t>
      </w:r>
      <w:r>
        <w:rPr>
          <w:rFonts w:ascii="楷体" w:eastAsia="楷体"/>
          <w:color w:val="000000"/>
          <w:spacing w:val="-10"/>
          <w:w w:val="95"/>
          <w:sz w:val="18"/>
          <w:shd w:val="clear" w:color="auto" w:fill="D9D9D9"/>
        </w:rPr>
        <w:t>、</w:t>
      </w:r>
    </w:p>
    <w:p>
      <w:pPr>
        <w:spacing w:before="2"/>
        <w:ind w:left="160" w:right="0" w:firstLine="0"/>
        <w:jc w:val="left"/>
        <w:rPr>
          <w:rFonts w:ascii="楷体" w:eastAsia="楷体"/>
          <w:sz w:val="18"/>
        </w:rPr>
      </w:pPr>
      <w:r>
        <w:rPr>
          <w:rFonts w:ascii="楷体" w:eastAsia="楷体"/>
          <w:color w:val="000000"/>
          <w:spacing w:val="-1"/>
          <w:sz w:val="18"/>
          <w:shd w:val="clear" w:color="auto" w:fill="D9D9D9"/>
        </w:rPr>
        <w:t>疗养、身体检查和健康护理等非治疗性行为。</w:t>
      </w:r>
    </w:p>
    <w:p>
      <w:pPr>
        <w:spacing w:after="0"/>
        <w:jc w:val="left"/>
        <w:rPr>
          <w:rFonts w:ascii="楷体" w:eastAsia="楷体"/>
          <w:sz w:val="18"/>
        </w:rPr>
        <w:sectPr>
          <w:pgSz w:w="11910" w:h="16840"/>
          <w:pgMar w:top="1480" w:right="360" w:bottom="280" w:left="920" w:header="720" w:footer="720" w:gutter="0"/>
          <w:cols w:space="720" w:num="1"/>
        </w:sectPr>
      </w:pPr>
    </w:p>
    <w:p>
      <w:pPr>
        <w:pStyle w:val="9"/>
        <w:numPr>
          <w:ilvl w:val="1"/>
          <w:numId w:val="7"/>
        </w:numPr>
        <w:tabs>
          <w:tab w:val="left" w:pos="3527"/>
        </w:tabs>
        <w:spacing w:before="44" w:after="0" w:line="240" w:lineRule="auto"/>
        <w:ind w:left="3526" w:right="0" w:hanging="530"/>
        <w:jc w:val="left"/>
        <w:rPr>
          <w:sz w:val="21"/>
        </w:rPr>
      </w:pPr>
      <w:r>
        <w:rPr>
          <w:spacing w:val="-3"/>
          <w:sz w:val="21"/>
        </w:rPr>
        <w:t>非正式住院的留院观察费用；</w:t>
      </w:r>
    </w:p>
    <w:p>
      <w:pPr>
        <w:pStyle w:val="5"/>
        <w:spacing w:before="10"/>
        <w:rPr>
          <w:sz w:val="14"/>
        </w:rPr>
      </w:pPr>
    </w:p>
    <w:p>
      <w:pPr>
        <w:pStyle w:val="9"/>
        <w:numPr>
          <w:ilvl w:val="1"/>
          <w:numId w:val="7"/>
        </w:numPr>
        <w:tabs>
          <w:tab w:val="left" w:pos="3527"/>
        </w:tabs>
        <w:spacing w:before="0" w:after="0" w:line="240" w:lineRule="auto"/>
        <w:ind w:left="3526" w:right="0" w:hanging="530"/>
        <w:jc w:val="left"/>
        <w:rPr>
          <w:sz w:val="21"/>
        </w:rPr>
      </w:pPr>
      <w:r>
        <w:rPr>
          <w:w w:val="95"/>
          <w:sz w:val="21"/>
        </w:rPr>
        <w:t>中式理疗费：</w:t>
      </w:r>
      <w:r>
        <w:rPr>
          <w:b/>
          <w:w w:val="95"/>
          <w:sz w:val="21"/>
        </w:rPr>
        <w:t>顺势疗法</w:t>
      </w:r>
      <w:r>
        <w:rPr>
          <w:b/>
          <w:w w:val="95"/>
          <w:position w:val="11"/>
          <w:sz w:val="11"/>
        </w:rPr>
        <w:t>31</w:t>
      </w:r>
      <w:r>
        <w:rPr>
          <w:w w:val="95"/>
          <w:sz w:val="21"/>
        </w:rPr>
        <w:t>、正骨治疗、</w:t>
      </w:r>
      <w:r>
        <w:rPr>
          <w:b/>
          <w:w w:val="95"/>
          <w:sz w:val="21"/>
        </w:rPr>
        <w:t>针灸治疗</w:t>
      </w:r>
      <w:r>
        <w:rPr>
          <w:b/>
          <w:w w:val="95"/>
          <w:position w:val="11"/>
          <w:sz w:val="11"/>
        </w:rPr>
        <w:t>32</w:t>
      </w:r>
      <w:r>
        <w:rPr>
          <w:w w:val="95"/>
          <w:sz w:val="21"/>
        </w:rPr>
        <w:t>费</w:t>
      </w:r>
      <w:r>
        <w:rPr>
          <w:spacing w:val="-10"/>
          <w:w w:val="95"/>
          <w:sz w:val="21"/>
        </w:rPr>
        <w:t>；</w:t>
      </w:r>
    </w:p>
    <w:p>
      <w:pPr>
        <w:pStyle w:val="5"/>
        <w:spacing w:before="7"/>
        <w:rPr>
          <w:sz w:val="15"/>
        </w:rPr>
      </w:pPr>
    </w:p>
    <w:p>
      <w:pPr>
        <w:pStyle w:val="9"/>
        <w:numPr>
          <w:ilvl w:val="1"/>
          <w:numId w:val="7"/>
        </w:numPr>
        <w:tabs>
          <w:tab w:val="left" w:pos="3527"/>
        </w:tabs>
        <w:spacing w:before="0" w:after="0" w:line="240" w:lineRule="auto"/>
        <w:ind w:left="3526" w:right="0" w:hanging="530"/>
        <w:jc w:val="left"/>
        <w:rPr>
          <w:sz w:val="21"/>
        </w:rPr>
      </w:pPr>
      <w:r>
        <w:rPr>
          <w:spacing w:val="-3"/>
          <w:sz w:val="21"/>
        </w:rPr>
        <w:t>西式理疗费：物理治疗、美式脊椎矫正、职业疗法、语音治疗费；</w:t>
      </w:r>
    </w:p>
    <w:p>
      <w:pPr>
        <w:pStyle w:val="5"/>
        <w:spacing w:before="6"/>
        <w:rPr>
          <w:sz w:val="15"/>
        </w:rPr>
      </w:pPr>
    </w:p>
    <w:p>
      <w:pPr>
        <w:pStyle w:val="9"/>
        <w:numPr>
          <w:ilvl w:val="1"/>
          <w:numId w:val="7"/>
        </w:numPr>
        <w:tabs>
          <w:tab w:val="left" w:pos="3633"/>
        </w:tabs>
        <w:spacing w:before="1" w:after="0" w:line="240" w:lineRule="auto"/>
        <w:ind w:left="3632" w:right="0" w:hanging="636"/>
        <w:jc w:val="left"/>
        <w:rPr>
          <w:sz w:val="21"/>
        </w:rPr>
      </w:pPr>
      <w:r>
        <w:rPr>
          <w:spacing w:val="-4"/>
          <w:sz w:val="21"/>
        </w:rPr>
        <w:t>耐用医疗设备费；</w:t>
      </w:r>
    </w:p>
    <w:p>
      <w:pPr>
        <w:pStyle w:val="5"/>
        <w:spacing w:before="9"/>
        <w:rPr>
          <w:sz w:val="14"/>
        </w:rPr>
      </w:pPr>
    </w:p>
    <w:p>
      <w:pPr>
        <w:pStyle w:val="9"/>
        <w:numPr>
          <w:ilvl w:val="1"/>
          <w:numId w:val="7"/>
        </w:numPr>
        <w:tabs>
          <w:tab w:val="left" w:pos="3633"/>
        </w:tabs>
        <w:spacing w:before="0" w:after="0" w:line="278" w:lineRule="auto"/>
        <w:ind w:left="2997" w:right="555" w:firstLine="0"/>
        <w:jc w:val="left"/>
        <w:rPr>
          <w:sz w:val="21"/>
        </w:rPr>
      </w:pPr>
      <w:r>
        <w:rPr>
          <w:spacing w:val="-6"/>
          <w:sz w:val="21"/>
        </w:rPr>
        <w:t>中医(不含中式理疗)费用：含</w:t>
      </w:r>
      <w:r>
        <w:rPr>
          <w:b/>
          <w:spacing w:val="-2"/>
          <w:sz w:val="21"/>
        </w:rPr>
        <w:t>中草药</w:t>
      </w:r>
      <w:r>
        <w:rPr>
          <w:b/>
          <w:spacing w:val="-2"/>
          <w:position w:val="11"/>
          <w:sz w:val="11"/>
        </w:rPr>
        <w:t>33</w:t>
      </w:r>
      <w:r>
        <w:rPr>
          <w:spacing w:val="-10"/>
          <w:sz w:val="21"/>
        </w:rPr>
        <w:t>费，但不含顺势疗法、正骨治疗</w:t>
      </w:r>
      <w:r>
        <w:rPr>
          <w:spacing w:val="-2"/>
          <w:sz w:val="21"/>
        </w:rPr>
        <w:t>、针灸治疗及其他中式理疗费；</w:t>
      </w:r>
    </w:p>
    <w:p>
      <w:pPr>
        <w:pStyle w:val="9"/>
        <w:numPr>
          <w:ilvl w:val="1"/>
          <w:numId w:val="7"/>
        </w:numPr>
        <w:tabs>
          <w:tab w:val="left" w:pos="3633"/>
        </w:tabs>
        <w:spacing w:before="156" w:after="0" w:line="240" w:lineRule="auto"/>
        <w:ind w:left="3632" w:right="0" w:hanging="636"/>
        <w:jc w:val="left"/>
        <w:rPr>
          <w:sz w:val="21"/>
        </w:rPr>
      </w:pPr>
      <w:r>
        <w:rPr>
          <w:spacing w:val="-3"/>
          <w:sz w:val="21"/>
        </w:rPr>
        <w:t>牙科意外伤害医疗费用；</w:t>
      </w:r>
    </w:p>
    <w:p>
      <w:pPr>
        <w:pStyle w:val="5"/>
        <w:spacing w:before="6"/>
        <w:rPr>
          <w:sz w:val="15"/>
        </w:rPr>
      </w:pPr>
    </w:p>
    <w:p>
      <w:pPr>
        <w:pStyle w:val="9"/>
        <w:numPr>
          <w:ilvl w:val="1"/>
          <w:numId w:val="7"/>
        </w:numPr>
        <w:tabs>
          <w:tab w:val="left" w:pos="3633"/>
        </w:tabs>
        <w:spacing w:before="1" w:after="0" w:line="240" w:lineRule="auto"/>
        <w:ind w:left="3632" w:right="0" w:hanging="636"/>
        <w:jc w:val="left"/>
        <w:rPr>
          <w:sz w:val="21"/>
        </w:rPr>
      </w:pPr>
      <w:r>
        <w:rPr>
          <w:spacing w:val="-3"/>
          <w:sz w:val="21"/>
        </w:rPr>
        <w:t>视为门诊医疗的临终关怀费用；</w:t>
      </w:r>
    </w:p>
    <w:p>
      <w:pPr>
        <w:pStyle w:val="5"/>
        <w:spacing w:before="6"/>
        <w:rPr>
          <w:sz w:val="15"/>
        </w:rPr>
      </w:pPr>
    </w:p>
    <w:p>
      <w:pPr>
        <w:pStyle w:val="9"/>
        <w:numPr>
          <w:ilvl w:val="1"/>
          <w:numId w:val="7"/>
        </w:numPr>
        <w:tabs>
          <w:tab w:val="left" w:pos="3633"/>
        </w:tabs>
        <w:spacing w:before="0" w:after="0" w:line="240" w:lineRule="auto"/>
        <w:ind w:left="3632" w:right="0" w:hanging="636"/>
        <w:jc w:val="left"/>
        <w:rPr>
          <w:sz w:val="21"/>
        </w:rPr>
      </w:pPr>
      <w:r>
        <w:rPr>
          <w:spacing w:val="-3"/>
          <w:sz w:val="21"/>
        </w:rPr>
        <w:t>精神和心理障碍治疗费用。</w:t>
      </w:r>
    </w:p>
    <w:p>
      <w:pPr>
        <w:pStyle w:val="5"/>
        <w:spacing w:before="8"/>
        <w:rPr>
          <w:sz w:val="15"/>
        </w:rPr>
      </w:pPr>
    </w:p>
    <w:p>
      <w:pPr>
        <w:pStyle w:val="5"/>
        <w:spacing w:line="278" w:lineRule="auto"/>
        <w:ind w:left="2997" w:right="557"/>
      </w:pPr>
      <w:r>
        <w:rPr>
          <w:spacing w:val="-3"/>
          <w:w w:val="100"/>
        </w:rPr>
        <w:t>本公司在本项下累计给付金额之和以本合同约定的门急诊医疗保险金的基本</w:t>
      </w:r>
      <w:r>
        <w:rPr>
          <w:spacing w:val="-11"/>
          <w:w w:val="100"/>
        </w:rPr>
        <w:t>保险金额为限，当累计给付金额之和达到门急诊医疗保险金基本保险金额时，</w:t>
      </w:r>
      <w:r>
        <w:rPr>
          <w:spacing w:val="-6"/>
          <w:w w:val="100"/>
        </w:rPr>
        <w:t>本公司对被保险人的门急诊医疗保险金责任终止。</w:t>
      </w:r>
    </w:p>
    <w:p>
      <w:pPr>
        <w:pStyle w:val="5"/>
        <w:spacing w:before="4"/>
        <w:rPr>
          <w:sz w:val="24"/>
        </w:rPr>
      </w:pPr>
    </w:p>
    <w:p>
      <w:pPr>
        <w:pStyle w:val="9"/>
        <w:numPr>
          <w:ilvl w:val="2"/>
          <w:numId w:val="8"/>
        </w:numPr>
        <w:tabs>
          <w:tab w:val="left" w:pos="1362"/>
          <w:tab w:val="left" w:pos="1363"/>
          <w:tab w:val="left" w:pos="2997"/>
        </w:tabs>
        <w:spacing w:before="0" w:after="0" w:line="278" w:lineRule="auto"/>
        <w:ind w:left="2997" w:right="690" w:hanging="2544"/>
        <w:jc w:val="left"/>
        <w:rPr>
          <w:sz w:val="21"/>
        </w:rPr>
      </w:pPr>
      <w:r>
        <w:rPr>
          <w:b/>
          <w:spacing w:val="-4"/>
          <w:sz w:val="21"/>
        </w:rPr>
        <w:t>因子选择</w:t>
      </w:r>
      <w:r>
        <w:rPr>
          <w:b/>
          <w:sz w:val="21"/>
        </w:rPr>
        <w:tab/>
      </w:r>
      <w:r>
        <w:rPr>
          <w:spacing w:val="-2"/>
          <w:sz w:val="21"/>
        </w:rPr>
        <w:t>被保险人可选择适用的免赔额、赔付比例予以投保，确定具体的保险保障，并在本合同中载明。</w:t>
      </w:r>
    </w:p>
    <w:p>
      <w:pPr>
        <w:pStyle w:val="5"/>
        <w:spacing w:before="5"/>
        <w:rPr>
          <w:sz w:val="10"/>
        </w:rPr>
      </w:pPr>
    </w:p>
    <w:tbl>
      <w:tblPr>
        <w:tblStyle w:val="6"/>
        <w:tblW w:w="0" w:type="auto"/>
        <w:tblInd w:w="30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61"/>
        <w:gridCol w:w="510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661" w:type="dxa"/>
            <w:tcBorders>
              <w:left w:val="single" w:color="000000" w:sz="6" w:space="0"/>
            </w:tcBorders>
          </w:tcPr>
          <w:p>
            <w:pPr>
              <w:pStyle w:val="10"/>
              <w:spacing w:before="178"/>
              <w:ind w:left="105"/>
              <w:rPr>
                <w:sz w:val="21"/>
              </w:rPr>
            </w:pPr>
            <w:r>
              <w:rPr>
                <w:spacing w:val="-4"/>
                <w:sz w:val="21"/>
              </w:rPr>
              <w:t>选择项目</w:t>
            </w:r>
          </w:p>
        </w:tc>
        <w:tc>
          <w:tcPr>
            <w:tcW w:w="5103" w:type="dxa"/>
          </w:tcPr>
          <w:p>
            <w:pPr>
              <w:pStyle w:val="10"/>
              <w:spacing w:before="178"/>
              <w:ind w:left="108"/>
              <w:rPr>
                <w:sz w:val="21"/>
              </w:rPr>
            </w:pPr>
            <w:r>
              <w:rPr>
                <w:spacing w:val="-4"/>
                <w:sz w:val="21"/>
              </w:rPr>
              <w:t>可选项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661" w:type="dxa"/>
            <w:tcBorders>
              <w:left w:val="single" w:color="000000" w:sz="6" w:space="0"/>
            </w:tcBorders>
          </w:tcPr>
          <w:p>
            <w:pPr>
              <w:pStyle w:val="10"/>
              <w:spacing w:before="178"/>
              <w:ind w:left="105"/>
              <w:rPr>
                <w:sz w:val="21"/>
              </w:rPr>
            </w:pPr>
            <w:r>
              <w:rPr>
                <w:spacing w:val="-4"/>
                <w:sz w:val="21"/>
              </w:rPr>
              <w:t>免赔额</w:t>
            </w:r>
          </w:p>
        </w:tc>
        <w:tc>
          <w:tcPr>
            <w:tcW w:w="5103" w:type="dxa"/>
          </w:tcPr>
          <w:p>
            <w:pPr>
              <w:pStyle w:val="10"/>
              <w:spacing w:before="168"/>
              <w:ind w:left="108"/>
              <w:rPr>
                <w:sz w:val="11"/>
              </w:rPr>
            </w:pPr>
            <w:r>
              <w:rPr>
                <w:b/>
                <w:spacing w:val="-2"/>
                <w:sz w:val="21"/>
              </w:rPr>
              <w:t>次免赔额</w:t>
            </w:r>
            <w:r>
              <w:rPr>
                <w:spacing w:val="-2"/>
                <w:position w:val="11"/>
                <w:sz w:val="11"/>
              </w:rPr>
              <w:t>34</w:t>
            </w:r>
            <w:r>
              <w:rPr>
                <w:spacing w:val="-2"/>
                <w:sz w:val="21"/>
              </w:rPr>
              <w:t>或</w:t>
            </w:r>
            <w:r>
              <w:rPr>
                <w:b/>
                <w:spacing w:val="-2"/>
                <w:sz w:val="21"/>
              </w:rPr>
              <w:t>年免赔额</w:t>
            </w:r>
            <w:r>
              <w:rPr>
                <w:spacing w:val="-5"/>
                <w:position w:val="11"/>
                <w:sz w:val="11"/>
              </w:rPr>
              <w:t>35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1661" w:type="dxa"/>
            <w:tcBorders>
              <w:left w:val="single" w:color="000000" w:sz="6" w:space="0"/>
            </w:tcBorders>
          </w:tcPr>
          <w:p>
            <w:pPr>
              <w:pStyle w:val="10"/>
              <w:spacing w:before="168"/>
              <w:ind w:left="105"/>
              <w:rPr>
                <w:sz w:val="11"/>
              </w:rPr>
            </w:pPr>
            <w:r>
              <w:rPr>
                <w:b/>
                <w:spacing w:val="-2"/>
                <w:sz w:val="21"/>
              </w:rPr>
              <w:t>赔付比例</w:t>
            </w:r>
            <w:r>
              <w:rPr>
                <w:spacing w:val="-5"/>
                <w:position w:val="11"/>
                <w:sz w:val="11"/>
              </w:rPr>
              <w:t>36</w:t>
            </w:r>
          </w:p>
        </w:tc>
        <w:tc>
          <w:tcPr>
            <w:tcW w:w="5103" w:type="dxa"/>
          </w:tcPr>
          <w:p>
            <w:pPr>
              <w:pStyle w:val="10"/>
              <w:spacing w:before="178"/>
              <w:ind w:left="108"/>
              <w:rPr>
                <w:sz w:val="21"/>
              </w:rPr>
            </w:pPr>
            <w:r>
              <w:rPr>
                <w:sz w:val="21"/>
              </w:rPr>
              <w:t>100%、90%、80%、70</w:t>
            </w:r>
            <w:r>
              <w:rPr>
                <w:spacing w:val="-7"/>
                <w:sz w:val="21"/>
              </w:rPr>
              <w:t>% 、</w:t>
            </w:r>
            <w:r>
              <w:rPr>
                <w:sz w:val="21"/>
              </w:rPr>
              <w:t>60%、</w:t>
            </w:r>
            <w:r>
              <w:rPr>
                <w:spacing w:val="-5"/>
                <w:sz w:val="21"/>
              </w:rPr>
              <w:t>50%</w:t>
            </w:r>
          </w:p>
        </w:tc>
      </w:tr>
    </w:tbl>
    <w:p>
      <w:pPr>
        <w:pStyle w:val="5"/>
        <w:spacing w:before="6"/>
        <w:rPr>
          <w:sz w:val="8"/>
        </w:rPr>
      </w:pPr>
    </w:p>
    <w:p>
      <w:pPr>
        <w:spacing w:after="0"/>
        <w:rPr>
          <w:sz w:val="8"/>
        </w:rPr>
        <w:sectPr>
          <w:pgSz w:w="11910" w:h="16840"/>
          <w:pgMar w:top="1400" w:right="360" w:bottom="280" w:left="920" w:header="720" w:footer="720" w:gutter="0"/>
          <w:cols w:space="720" w:num="1"/>
        </w:sectPr>
      </w:pPr>
    </w:p>
    <w:p>
      <w:pPr>
        <w:pStyle w:val="4"/>
        <w:numPr>
          <w:ilvl w:val="2"/>
          <w:numId w:val="8"/>
        </w:numPr>
        <w:tabs>
          <w:tab w:val="left" w:pos="1362"/>
          <w:tab w:val="left" w:pos="1363"/>
        </w:tabs>
        <w:spacing w:before="71" w:after="0" w:line="278" w:lineRule="auto"/>
        <w:ind w:left="1362" w:right="0" w:hanging="910"/>
        <w:jc w:val="left"/>
      </w:pPr>
      <w:r>
        <w:rPr>
          <w:spacing w:val="-2"/>
        </w:rPr>
        <w:t>免赔额与赔付</w:t>
      </w:r>
      <w:r>
        <w:rPr>
          <w:spacing w:val="-6"/>
        </w:rPr>
        <w:t>比例</w:t>
      </w:r>
    </w:p>
    <w:p>
      <w:pPr>
        <w:pStyle w:val="5"/>
        <w:spacing w:before="71" w:line="278" w:lineRule="auto"/>
        <w:ind w:left="327" w:right="663"/>
      </w:pPr>
      <w:r>
        <w:br w:type="column"/>
      </w:r>
      <w:r>
        <w:rPr>
          <w:spacing w:val="-2"/>
        </w:rPr>
        <w:t>免赔额与赔付比例由投保人与本公司在订立本合同时协商确定，并在本合同</w:t>
      </w:r>
      <w:r>
        <w:rPr>
          <w:spacing w:val="-4"/>
        </w:rPr>
        <w:t>中载明。</w:t>
      </w:r>
    </w:p>
    <w:p>
      <w:pPr>
        <w:pStyle w:val="5"/>
        <w:spacing w:before="156" w:line="273" w:lineRule="auto"/>
        <w:ind w:left="327" w:right="558"/>
      </w:pPr>
      <w:r>
        <w:rPr>
          <w:spacing w:val="-4"/>
        </w:rPr>
        <w:t>本合同中的免赔额，是指在本合同保险期间内，约定应由被保险人自行承担，</w:t>
      </w:r>
      <w:r>
        <w:rPr>
          <w:spacing w:val="-2"/>
        </w:rPr>
        <w:t>本合同不予赔付的部分。</w:t>
      </w:r>
      <w:r>
        <w:rPr>
          <w:color w:val="000000"/>
          <w:spacing w:val="-2"/>
          <w:shd w:val="clear" w:color="auto" w:fill="E4E4E4"/>
        </w:rPr>
        <w:t>被保险人从其他途径已获得的医疗费用补偿可用于</w:t>
      </w:r>
      <w:r>
        <w:rPr>
          <w:color w:val="000000"/>
          <w:spacing w:val="80"/>
          <w:w w:val="150"/>
          <w:shd w:val="clear" w:color="auto" w:fill="E4E4E4"/>
        </w:rPr>
        <w:t xml:space="preserve">                                      </w:t>
      </w:r>
      <w:r>
        <w:rPr>
          <w:color w:val="000000"/>
          <w:spacing w:val="-2"/>
          <w:shd w:val="clear" w:color="auto" w:fill="E4E4E4"/>
        </w:rPr>
        <w:t>抵扣免赔额，但通过</w:t>
      </w:r>
      <w:r>
        <w:rPr>
          <w:b/>
          <w:color w:val="000000"/>
          <w:spacing w:val="-2"/>
          <w:shd w:val="clear" w:color="auto" w:fill="E4E4E4"/>
        </w:rPr>
        <w:t>基本医疗保险</w:t>
      </w:r>
      <w:r>
        <w:rPr>
          <w:b/>
          <w:color w:val="000000"/>
          <w:spacing w:val="-2"/>
          <w:position w:val="11"/>
          <w:sz w:val="11"/>
        </w:rPr>
        <w:t>37</w:t>
      </w:r>
      <w:r>
        <w:rPr>
          <w:color w:val="000000"/>
          <w:spacing w:val="-2"/>
          <w:shd w:val="clear" w:color="auto" w:fill="E4E4E4"/>
        </w:rPr>
        <w:t>和公费医疗保险获得的补偿，不可用于抵</w:t>
      </w:r>
    </w:p>
    <w:p>
      <w:pPr>
        <w:spacing w:after="0" w:line="273" w:lineRule="auto"/>
        <w:sectPr>
          <w:type w:val="continuous"/>
          <w:pgSz w:w="11910" w:h="16840"/>
          <w:pgMar w:top="480" w:right="360" w:bottom="280" w:left="920" w:header="720" w:footer="720" w:gutter="0"/>
          <w:cols w:equalWidth="0" w:num="2">
            <w:col w:w="2631" w:space="40"/>
            <w:col w:w="7959"/>
          </w:cols>
        </w:sectPr>
      </w:pPr>
    </w:p>
    <w:p>
      <w:pPr>
        <w:pStyle w:val="5"/>
        <w:rPr>
          <w:sz w:val="20"/>
        </w:rPr>
      </w:pPr>
    </w:p>
    <w:p>
      <w:pPr>
        <w:pStyle w:val="5"/>
        <w:spacing w:before="3"/>
        <w:rPr>
          <w:sz w:val="11"/>
        </w:rPr>
      </w:pPr>
    </w:p>
    <w:p>
      <w:pPr>
        <w:pStyle w:val="5"/>
        <w:spacing w:line="20" w:lineRule="exact"/>
        <w:ind w:left="160"/>
        <w:rPr>
          <w:sz w:val="2"/>
        </w:rPr>
      </w:pPr>
      <w:r>
        <w:rPr>
          <w:sz w:val="2"/>
        </w:rPr>
        <w:drawing>
          <wp:inline distT="0" distB="0" distL="0" distR="0">
            <wp:extent cx="1829435" cy="5715"/>
            <wp:effectExtent l="0" t="0" r="0" b="0"/>
            <wp:docPr id="2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5.png"/>
                    <pic:cNvPicPr>
                      <a:picLocks noChangeAspect="1"/>
                    </pic:cNvPicPr>
                  </pic:nvPicPr>
                  <pic:blipFill>
                    <a:blip r:embed="rId10" cstate="print"/>
                    <a:stretch>
                      <a:fillRect/>
                    </a:stretch>
                  </pic:blipFill>
                  <pic:spPr>
                    <a:xfrm>
                      <a:off x="0" y="0"/>
                      <a:ext cx="1829511" cy="6095"/>
                    </a:xfrm>
                    <a:prstGeom prst="rect">
                      <a:avLst/>
                    </a:prstGeom>
                  </pic:spPr>
                </pic:pic>
              </a:graphicData>
            </a:graphic>
          </wp:inline>
        </w:drawing>
      </w:r>
    </w:p>
    <w:p>
      <w:pPr>
        <w:spacing w:before="80"/>
        <w:ind w:left="160" w:right="0" w:firstLine="0"/>
        <w:jc w:val="left"/>
        <w:rPr>
          <w:rFonts w:ascii="楷体" w:eastAsia="楷体"/>
          <w:sz w:val="18"/>
        </w:rPr>
      </w:pPr>
      <w:r>
        <w:rPr>
          <w:rFonts w:ascii="楷体" w:eastAsia="楷体"/>
          <w:w w:val="95"/>
          <w:position w:val="9"/>
          <w:sz w:val="9"/>
        </w:rPr>
        <w:t>31</w:t>
      </w:r>
      <w:r>
        <w:rPr>
          <w:rFonts w:hint="eastAsia" w:ascii="楷体" w:eastAsia="楷体"/>
          <w:b/>
          <w:w w:val="95"/>
          <w:sz w:val="18"/>
        </w:rPr>
        <w:t>顺势疗法：</w:t>
      </w:r>
      <w:r>
        <w:rPr>
          <w:rFonts w:ascii="楷体" w:eastAsia="楷体"/>
          <w:w w:val="95"/>
          <w:sz w:val="18"/>
        </w:rPr>
        <w:t>一种通过小剂量药物治疗以使病人症状渐渐接近常人的治疗方法，比如通过给予小剂量的放松剂治疗腹泻</w:t>
      </w:r>
      <w:r>
        <w:rPr>
          <w:rFonts w:ascii="楷体" w:eastAsia="楷体"/>
          <w:spacing w:val="-10"/>
          <w:w w:val="95"/>
          <w:sz w:val="18"/>
        </w:rPr>
        <w:t>。</w:t>
      </w:r>
    </w:p>
    <w:p>
      <w:pPr>
        <w:spacing w:before="3"/>
        <w:ind w:left="160" w:right="0" w:firstLine="0"/>
        <w:jc w:val="left"/>
        <w:rPr>
          <w:rFonts w:ascii="楷体" w:eastAsia="楷体"/>
          <w:sz w:val="18"/>
        </w:rPr>
      </w:pPr>
      <w:r>
        <w:rPr>
          <w:rFonts w:ascii="楷体" w:eastAsia="楷体"/>
          <w:w w:val="95"/>
          <w:position w:val="9"/>
          <w:sz w:val="9"/>
        </w:rPr>
        <w:t>32</w:t>
      </w:r>
      <w:r>
        <w:rPr>
          <w:rFonts w:hint="eastAsia" w:ascii="楷体" w:eastAsia="楷体"/>
          <w:b/>
          <w:w w:val="95"/>
          <w:sz w:val="18"/>
        </w:rPr>
        <w:t>针灸治疗：</w:t>
      </w:r>
      <w:r>
        <w:rPr>
          <w:rFonts w:ascii="楷体" w:eastAsia="楷体"/>
          <w:w w:val="95"/>
          <w:sz w:val="18"/>
        </w:rPr>
        <w:t>针法和灸法的合称。针法是把毫针按一定穴位刺入患者体内，用捻、提等手法来实施治疗。灸法是把燃烧着的</w:t>
      </w:r>
      <w:r>
        <w:rPr>
          <w:rFonts w:ascii="楷体" w:eastAsia="楷体"/>
          <w:spacing w:val="-10"/>
          <w:w w:val="95"/>
          <w:sz w:val="18"/>
        </w:rPr>
        <w:t>艾</w:t>
      </w:r>
    </w:p>
    <w:p>
      <w:pPr>
        <w:spacing w:before="2"/>
        <w:ind w:left="160" w:right="0" w:firstLine="0"/>
        <w:jc w:val="left"/>
        <w:rPr>
          <w:rFonts w:ascii="楷体" w:eastAsia="楷体"/>
          <w:sz w:val="18"/>
        </w:rPr>
      </w:pPr>
      <w:r>
        <w:rPr>
          <w:rFonts w:ascii="楷体" w:eastAsia="楷体"/>
          <w:spacing w:val="-1"/>
          <w:sz w:val="18"/>
        </w:rPr>
        <w:t>绒按一定穴位熏灼皮肤，利用热的刺激实施治疗。针灸治疗应当由具有相应资格的医师实施。</w:t>
      </w:r>
    </w:p>
    <w:p>
      <w:pPr>
        <w:spacing w:before="4"/>
        <w:ind w:left="160" w:right="0" w:firstLine="0"/>
        <w:jc w:val="left"/>
        <w:rPr>
          <w:rFonts w:ascii="楷体" w:eastAsia="楷体"/>
          <w:sz w:val="18"/>
        </w:rPr>
      </w:pPr>
      <w:r>
        <w:rPr>
          <w:rFonts w:ascii="楷体" w:eastAsia="楷体"/>
          <w:w w:val="95"/>
          <w:position w:val="9"/>
          <w:sz w:val="9"/>
        </w:rPr>
        <w:t>33</w:t>
      </w:r>
      <w:r>
        <w:rPr>
          <w:rFonts w:hint="eastAsia" w:ascii="楷体" w:eastAsia="楷体"/>
          <w:b/>
          <w:w w:val="95"/>
          <w:sz w:val="18"/>
        </w:rPr>
        <w:t>中草药：</w:t>
      </w:r>
      <w:r>
        <w:rPr>
          <w:rFonts w:ascii="楷体" w:eastAsia="楷体"/>
          <w:w w:val="95"/>
          <w:sz w:val="18"/>
        </w:rPr>
        <w:t>中医理论指导下应用的天然药物及其制品，包括中药材和中药饮片。</w:t>
      </w:r>
      <w:r>
        <w:rPr>
          <w:rFonts w:ascii="楷体" w:eastAsia="楷体"/>
          <w:color w:val="000000"/>
          <w:w w:val="95"/>
          <w:sz w:val="18"/>
          <w:shd w:val="clear" w:color="auto" w:fill="D9D9D9"/>
        </w:rPr>
        <w:t>不含主要起营养滋补作用的药品，包括但不</w:t>
      </w:r>
      <w:r>
        <w:rPr>
          <w:rFonts w:ascii="楷体" w:eastAsia="楷体"/>
          <w:color w:val="000000"/>
          <w:spacing w:val="-10"/>
          <w:w w:val="95"/>
          <w:sz w:val="18"/>
          <w:shd w:val="clear" w:color="auto" w:fill="D9D9D9"/>
        </w:rPr>
        <w:t>限</w:t>
      </w:r>
    </w:p>
    <w:p>
      <w:pPr>
        <w:spacing w:before="3"/>
        <w:ind w:left="160" w:right="0" w:firstLine="0"/>
        <w:jc w:val="left"/>
        <w:rPr>
          <w:rFonts w:ascii="楷体" w:eastAsia="楷体"/>
          <w:sz w:val="18"/>
        </w:rPr>
      </w:pPr>
      <w:r>
        <w:rPr>
          <w:rFonts w:ascii="楷体" w:eastAsia="楷体"/>
          <w:color w:val="000000"/>
          <w:spacing w:val="-5"/>
          <w:sz w:val="18"/>
          <w:shd w:val="clear" w:color="auto" w:fill="D9D9D9"/>
        </w:rPr>
        <w:t>于：</w:t>
      </w:r>
    </w:p>
    <w:p>
      <w:pPr>
        <w:pStyle w:val="9"/>
        <w:numPr>
          <w:ilvl w:val="0"/>
          <w:numId w:val="9"/>
        </w:numPr>
        <w:tabs>
          <w:tab w:val="left" w:pos="613"/>
        </w:tabs>
        <w:spacing w:before="2" w:after="0" w:line="244" w:lineRule="auto"/>
        <w:ind w:left="160" w:right="626" w:firstLine="0"/>
        <w:jc w:val="left"/>
        <w:rPr>
          <w:rFonts w:ascii="楷体" w:eastAsia="楷体"/>
          <w:sz w:val="16"/>
        </w:rPr>
      </w:pPr>
      <w:r>
        <w:drawing>
          <wp:anchor distT="0" distB="0" distL="0" distR="0" simplePos="0" relativeHeight="251668480" behindDoc="1" locked="0" layoutInCell="1" allowOverlap="1">
            <wp:simplePos x="0" y="0"/>
            <wp:positionH relativeFrom="page">
              <wp:posOffset>685800</wp:posOffset>
            </wp:positionH>
            <wp:positionV relativeFrom="paragraph">
              <wp:posOffset>635</wp:posOffset>
            </wp:positionV>
            <wp:extent cx="6189980" cy="297180"/>
            <wp:effectExtent l="0" t="0" r="0" b="0"/>
            <wp:wrapNone/>
            <wp:docPr id="23"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8.png"/>
                    <pic:cNvPicPr>
                      <a:picLocks noChangeAspect="1"/>
                    </pic:cNvPicPr>
                  </pic:nvPicPr>
                  <pic:blipFill>
                    <a:blip r:embed="rId13" cstate="print"/>
                    <a:stretch>
                      <a:fillRect/>
                    </a:stretch>
                  </pic:blipFill>
                  <pic:spPr>
                    <a:xfrm>
                      <a:off x="0" y="0"/>
                      <a:ext cx="6190234" cy="297484"/>
                    </a:xfrm>
                    <a:prstGeom prst="rect">
                      <a:avLst/>
                    </a:prstGeom>
                  </pic:spPr>
                </pic:pic>
              </a:graphicData>
            </a:graphic>
          </wp:anchor>
        </w:drawing>
      </w:r>
      <w:r>
        <w:rPr>
          <w:rFonts w:ascii="楷体" w:eastAsia="楷体"/>
          <w:spacing w:val="-2"/>
          <w:sz w:val="18"/>
        </w:rPr>
        <w:t>单味或复方情形下的中药饮片及药材:鹿茸、猴枣、狗宝、海马、海龙、玛瑙、玳瑁、冬虫夏草、马宝、牛黄、珊瑚、麝香、羚羊角尖粉、犀角、燕窝、人参（生晒参除外），以及各种可以药用的动物脏器（鸡内金除外）和胎、鞭、尾、筋、骨。</w:t>
      </w:r>
    </w:p>
    <w:p>
      <w:pPr>
        <w:pStyle w:val="9"/>
        <w:numPr>
          <w:ilvl w:val="0"/>
          <w:numId w:val="9"/>
        </w:numPr>
        <w:tabs>
          <w:tab w:val="left" w:pos="613"/>
        </w:tabs>
        <w:spacing w:before="0" w:after="0" w:line="228" w:lineRule="exact"/>
        <w:ind w:left="612" w:right="0" w:hanging="453"/>
        <w:jc w:val="left"/>
        <w:rPr>
          <w:rFonts w:ascii="楷体" w:eastAsia="楷体"/>
          <w:sz w:val="16"/>
        </w:rPr>
      </w:pPr>
      <w:r>
        <w:rPr>
          <w:rFonts w:ascii="楷体" w:eastAsia="楷体"/>
          <w:color w:val="000000"/>
          <w:spacing w:val="-1"/>
          <w:sz w:val="18"/>
          <w:shd w:val="clear" w:color="auto" w:fill="D9D9D9"/>
        </w:rPr>
        <w:t>单味使用情形下的中药饮片及药材:</w:t>
      </w:r>
    </w:p>
    <w:p>
      <w:pPr>
        <w:spacing w:before="3"/>
        <w:ind w:left="160" w:right="0" w:firstLine="0"/>
        <w:jc w:val="left"/>
        <w:rPr>
          <w:rFonts w:ascii="楷体" w:eastAsia="楷体"/>
          <w:sz w:val="18"/>
        </w:rPr>
      </w:pPr>
      <w:r>
        <w:rPr>
          <w:rFonts w:ascii="楷体" w:eastAsia="楷体"/>
          <w:color w:val="000000"/>
          <w:spacing w:val="-1"/>
          <w:sz w:val="18"/>
          <w:shd w:val="clear" w:color="auto" w:fill="D9D9D9"/>
        </w:rPr>
        <w:t>阿胶、阿胶珠、鹿角胶、鳖甲胶、三七、龟角胶、龟鹿二仙胶、龟板胶、藏红花、生晒参、羚羊角粉。</w:t>
      </w:r>
      <w:r>
        <w:rPr>
          <w:rFonts w:ascii="楷体" w:eastAsia="楷体"/>
          <w:color w:val="000000"/>
          <w:spacing w:val="40"/>
          <w:sz w:val="18"/>
          <w:shd w:val="clear" w:color="auto" w:fill="D9D9D9"/>
        </w:rPr>
        <w:t xml:space="preserve"> </w:t>
      </w:r>
    </w:p>
    <w:p>
      <w:pPr>
        <w:pStyle w:val="9"/>
        <w:numPr>
          <w:ilvl w:val="0"/>
          <w:numId w:val="9"/>
        </w:numPr>
        <w:tabs>
          <w:tab w:val="left" w:pos="613"/>
        </w:tabs>
        <w:spacing w:before="2" w:after="0" w:line="240" w:lineRule="auto"/>
        <w:ind w:left="612" w:right="0" w:hanging="453"/>
        <w:jc w:val="left"/>
        <w:rPr>
          <w:rFonts w:ascii="楷体" w:eastAsia="楷体"/>
          <w:sz w:val="16"/>
        </w:rPr>
      </w:pPr>
      <w:r>
        <w:rPr>
          <w:rFonts w:ascii="楷体" w:eastAsia="楷体"/>
          <w:color w:val="000000"/>
          <w:spacing w:val="-1"/>
          <w:sz w:val="18"/>
          <w:shd w:val="clear" w:color="auto" w:fill="D9D9D9"/>
        </w:rPr>
        <w:t>以上所列药品包括生药及炮制后的饮片及药材、中药贴敷贴、中药熏蒸。</w:t>
      </w:r>
    </w:p>
    <w:p>
      <w:pPr>
        <w:spacing w:before="4"/>
        <w:ind w:left="160" w:right="0" w:firstLine="0"/>
        <w:jc w:val="left"/>
        <w:rPr>
          <w:rFonts w:ascii="楷体" w:eastAsia="楷体"/>
          <w:sz w:val="18"/>
        </w:rPr>
      </w:pPr>
      <w:r>
        <w:rPr>
          <w:rFonts w:ascii="楷体" w:eastAsia="楷体"/>
          <w:w w:val="95"/>
          <w:position w:val="9"/>
          <w:sz w:val="9"/>
        </w:rPr>
        <w:t>34</w:t>
      </w:r>
      <w:r>
        <w:rPr>
          <w:rFonts w:hint="eastAsia" w:ascii="楷体" w:eastAsia="楷体"/>
          <w:b/>
          <w:w w:val="95"/>
          <w:sz w:val="18"/>
        </w:rPr>
        <w:t>次免赔额：</w:t>
      </w:r>
      <w:r>
        <w:rPr>
          <w:rFonts w:ascii="楷体" w:eastAsia="楷体"/>
          <w:w w:val="95"/>
          <w:sz w:val="18"/>
        </w:rPr>
        <w:t>指被保险人每次门急诊治疗发生的保险责任范围内的费用中须先由被保险人自行负担的金额，本公司对此不负</w:t>
      </w:r>
      <w:r>
        <w:rPr>
          <w:rFonts w:ascii="楷体" w:eastAsia="楷体"/>
          <w:spacing w:val="-10"/>
          <w:w w:val="95"/>
          <w:sz w:val="18"/>
        </w:rPr>
        <w:t>责</w:t>
      </w:r>
    </w:p>
    <w:p>
      <w:pPr>
        <w:spacing w:before="2"/>
        <w:ind w:left="160" w:right="0" w:firstLine="0"/>
        <w:jc w:val="left"/>
        <w:rPr>
          <w:rFonts w:ascii="楷体" w:eastAsia="楷体"/>
          <w:sz w:val="18"/>
        </w:rPr>
      </w:pPr>
      <w:r>
        <w:rPr>
          <w:rFonts w:ascii="楷体" w:eastAsia="楷体"/>
          <w:spacing w:val="-2"/>
          <w:sz w:val="18"/>
        </w:rPr>
        <w:t>给付保险金。</w:t>
      </w:r>
    </w:p>
    <w:p>
      <w:pPr>
        <w:spacing w:before="3"/>
        <w:ind w:left="160" w:right="0" w:firstLine="0"/>
        <w:jc w:val="left"/>
        <w:rPr>
          <w:rFonts w:ascii="楷体" w:eastAsia="楷体"/>
          <w:sz w:val="18"/>
        </w:rPr>
      </w:pPr>
      <w:r>
        <w:rPr>
          <w:rFonts w:ascii="楷体" w:eastAsia="楷体"/>
          <w:w w:val="95"/>
          <w:position w:val="9"/>
          <w:sz w:val="9"/>
        </w:rPr>
        <w:t>35</w:t>
      </w:r>
      <w:r>
        <w:rPr>
          <w:rFonts w:hint="eastAsia" w:ascii="楷体" w:eastAsia="楷体"/>
          <w:b/>
          <w:w w:val="95"/>
          <w:sz w:val="18"/>
        </w:rPr>
        <w:t>年免赔额：</w:t>
      </w:r>
      <w:r>
        <w:rPr>
          <w:rFonts w:ascii="楷体" w:eastAsia="楷体"/>
          <w:w w:val="95"/>
          <w:sz w:val="18"/>
        </w:rPr>
        <w:t>指保险期间内被保险人发生的保险责任范围内的累计费用中须先由被保险人自行负担的金额，本公司对此不负</w:t>
      </w:r>
      <w:r>
        <w:rPr>
          <w:rFonts w:ascii="楷体" w:eastAsia="楷体"/>
          <w:spacing w:val="-10"/>
          <w:w w:val="95"/>
          <w:sz w:val="18"/>
        </w:rPr>
        <w:t>责</w:t>
      </w:r>
    </w:p>
    <w:p>
      <w:pPr>
        <w:spacing w:before="2"/>
        <w:ind w:left="160" w:right="0" w:firstLine="0"/>
        <w:jc w:val="left"/>
        <w:rPr>
          <w:rFonts w:ascii="楷体" w:eastAsia="楷体"/>
          <w:sz w:val="18"/>
        </w:rPr>
      </w:pPr>
      <w:r>
        <w:rPr>
          <w:rFonts w:ascii="楷体" w:eastAsia="楷体"/>
          <w:spacing w:val="-2"/>
          <w:sz w:val="18"/>
        </w:rPr>
        <w:t>给付保险金。</w:t>
      </w:r>
    </w:p>
    <w:p>
      <w:pPr>
        <w:spacing w:before="4"/>
        <w:ind w:left="160" w:right="0" w:firstLine="0"/>
        <w:jc w:val="left"/>
        <w:rPr>
          <w:rFonts w:ascii="楷体" w:eastAsia="楷体"/>
          <w:sz w:val="18"/>
        </w:rPr>
      </w:pPr>
      <w:r>
        <w:rPr>
          <w:rFonts w:ascii="楷体" w:eastAsia="楷体"/>
          <w:w w:val="95"/>
          <w:position w:val="9"/>
          <w:sz w:val="9"/>
        </w:rPr>
        <w:t>36</w:t>
      </w:r>
      <w:r>
        <w:rPr>
          <w:rFonts w:hint="eastAsia" w:ascii="楷体" w:eastAsia="楷体"/>
          <w:b/>
          <w:w w:val="95"/>
          <w:sz w:val="18"/>
        </w:rPr>
        <w:t>赔付比例：</w:t>
      </w:r>
      <w:r>
        <w:rPr>
          <w:rFonts w:ascii="楷体" w:eastAsia="楷体"/>
          <w:w w:val="95"/>
          <w:sz w:val="18"/>
        </w:rPr>
        <w:t>指被保险人发生的保险责任范围内的费用扣除免赔额后的剩余部分、考虑补偿原则后须由本公司负担的比例</w:t>
      </w:r>
      <w:r>
        <w:rPr>
          <w:rFonts w:ascii="楷体" w:eastAsia="楷体"/>
          <w:spacing w:val="-10"/>
          <w:w w:val="95"/>
          <w:sz w:val="18"/>
        </w:rPr>
        <w:t>。</w:t>
      </w:r>
    </w:p>
    <w:p>
      <w:pPr>
        <w:spacing w:before="2"/>
        <w:ind w:left="160" w:right="0" w:firstLine="0"/>
        <w:jc w:val="left"/>
        <w:rPr>
          <w:rFonts w:ascii="楷体" w:eastAsia="楷体"/>
          <w:sz w:val="18"/>
        </w:rPr>
      </w:pPr>
      <w:r>
        <w:rPr>
          <w:rFonts w:ascii="楷体" w:eastAsia="楷体"/>
          <w:w w:val="95"/>
          <w:position w:val="9"/>
          <w:sz w:val="9"/>
        </w:rPr>
        <w:t>37</w:t>
      </w:r>
      <w:r>
        <w:rPr>
          <w:rFonts w:hint="eastAsia" w:ascii="楷体" w:eastAsia="楷体"/>
          <w:b/>
          <w:w w:val="95"/>
          <w:sz w:val="18"/>
        </w:rPr>
        <w:t>基本医疗保险：</w:t>
      </w:r>
      <w:r>
        <w:rPr>
          <w:rFonts w:ascii="楷体" w:eastAsia="楷体"/>
          <w:w w:val="95"/>
          <w:sz w:val="18"/>
        </w:rPr>
        <w:t>基本医疗保险包括城镇职工基本医疗保险、城镇居民基本医疗保险、新型农村合作医疗</w:t>
      </w:r>
      <w:r>
        <w:rPr>
          <w:rFonts w:ascii="楷体" w:eastAsia="楷体"/>
          <w:spacing w:val="-10"/>
          <w:w w:val="95"/>
          <w:sz w:val="18"/>
        </w:rPr>
        <w:t>。</w:t>
      </w:r>
    </w:p>
    <w:p>
      <w:pPr>
        <w:spacing w:after="0"/>
        <w:jc w:val="left"/>
        <w:rPr>
          <w:rFonts w:ascii="楷体" w:eastAsia="楷体"/>
          <w:sz w:val="18"/>
        </w:rPr>
        <w:sectPr>
          <w:type w:val="continuous"/>
          <w:pgSz w:w="11910" w:h="16840"/>
          <w:pgMar w:top="480" w:right="360" w:bottom="280" w:left="920" w:header="720" w:footer="720" w:gutter="0"/>
          <w:cols w:space="720" w:num="1"/>
        </w:sectPr>
      </w:pPr>
    </w:p>
    <w:p>
      <w:pPr>
        <w:pStyle w:val="5"/>
        <w:spacing w:before="44"/>
        <w:ind w:left="2997"/>
      </w:pPr>
      <w:r>
        <w:rPr>
          <w:color w:val="000000"/>
          <w:spacing w:val="-4"/>
          <w:shd w:val="clear" w:color="auto" w:fill="E4E4E4"/>
        </w:rPr>
        <w:t>扣免赔额。</w:t>
      </w:r>
    </w:p>
    <w:p>
      <w:pPr>
        <w:pStyle w:val="5"/>
        <w:spacing w:before="9"/>
        <w:rPr>
          <w:sz w:val="27"/>
        </w:rPr>
      </w:pPr>
    </w:p>
    <w:p>
      <w:pPr>
        <w:pStyle w:val="9"/>
        <w:numPr>
          <w:ilvl w:val="2"/>
          <w:numId w:val="8"/>
        </w:numPr>
        <w:tabs>
          <w:tab w:val="left" w:pos="1363"/>
        </w:tabs>
        <w:spacing w:before="1" w:after="0" w:line="278" w:lineRule="auto"/>
        <w:ind w:left="2997" w:right="664" w:hanging="2544"/>
        <w:jc w:val="both"/>
        <w:rPr>
          <w:sz w:val="21"/>
        </w:rPr>
      </w:pPr>
      <w:r>
        <w:rPr>
          <w:b/>
          <w:sz w:val="21"/>
        </w:rPr>
        <w:t>补偿原则</w:t>
      </w:r>
      <w:r>
        <w:rPr>
          <w:b/>
          <w:spacing w:val="682"/>
          <w:sz w:val="21"/>
        </w:rPr>
        <w:t xml:space="preserve"> </w:t>
      </w:r>
      <w:r>
        <w:rPr>
          <w:color w:val="000000"/>
          <w:sz w:val="21"/>
          <w:shd w:val="clear" w:color="auto" w:fill="E4E4E4"/>
        </w:rPr>
        <w:t>若被保险人已从其他途径（包括基本医疗保险、公费医疗、工作单位、本公</w:t>
      </w:r>
      <w:r>
        <w:rPr>
          <w:color w:val="000000"/>
          <w:spacing w:val="-2"/>
          <w:sz w:val="21"/>
          <w:shd w:val="clear" w:color="auto" w:fill="E4E4E4"/>
        </w:rPr>
        <w:t>司在内的任何商业保险机构等）获得医疗费用补偿，则本公司仅对被保险人</w:t>
      </w:r>
      <w:r>
        <w:rPr>
          <w:color w:val="000000"/>
          <w:spacing w:val="13440"/>
          <w:sz w:val="21"/>
          <w:shd w:val="clear" w:color="auto" w:fill="E4E4E4"/>
        </w:rPr>
        <w:t xml:space="preserve"> </w:t>
      </w:r>
      <w:r>
        <w:rPr>
          <w:color w:val="000000"/>
          <w:spacing w:val="-2"/>
          <w:sz w:val="21"/>
          <w:shd w:val="clear" w:color="auto" w:fill="E4E4E4"/>
        </w:rPr>
        <w:t>实际发生的医疗费用扣除其所获医疗费用补偿后的余额按照本合同的约定进行赔付。基本医疗保险个人账户支出部分视为个人支付，不属于已获得的医疗费用补偿。</w:t>
      </w:r>
    </w:p>
    <w:p>
      <w:pPr>
        <w:pStyle w:val="5"/>
        <w:spacing w:before="155" w:line="278" w:lineRule="auto"/>
        <w:ind w:left="2997" w:right="664"/>
      </w:pPr>
      <w:r>
        <w:rPr>
          <w:color w:val="000000"/>
          <w:spacing w:val="-2"/>
          <w:shd w:val="clear" w:color="auto" w:fill="E4E4E4"/>
        </w:rPr>
        <w:t>若被保险人以参加基本医疗保险身份投保，但未以参加基本医疗保险身份就</w:t>
      </w:r>
      <w:r>
        <w:rPr>
          <w:color w:val="000000"/>
          <w:spacing w:val="80"/>
          <w:w w:val="150"/>
          <w:shd w:val="clear" w:color="auto" w:fill="E4E4E4"/>
        </w:rPr>
        <w:t xml:space="preserve">                                      </w:t>
      </w:r>
      <w:r>
        <w:rPr>
          <w:color w:val="000000"/>
          <w:spacing w:val="-3"/>
          <w:shd w:val="clear" w:color="auto" w:fill="E4E4E4"/>
        </w:rPr>
        <w:t xml:space="preserve">诊并结算的，则本公司按照保险金的 </w:t>
      </w:r>
      <w:r>
        <w:rPr>
          <w:color w:val="000000"/>
          <w:shd w:val="clear" w:color="auto" w:fill="E4E4E4"/>
        </w:rPr>
        <w:t>60%进行赔付。</w:t>
      </w:r>
    </w:p>
    <w:p>
      <w:pPr>
        <w:pStyle w:val="5"/>
        <w:spacing w:before="9"/>
        <w:rPr>
          <w:sz w:val="18"/>
        </w:rPr>
      </w:pPr>
    </w:p>
    <w:p>
      <w:pPr>
        <w:pStyle w:val="4"/>
        <w:numPr>
          <w:ilvl w:val="1"/>
          <w:numId w:val="3"/>
        </w:numPr>
        <w:tabs>
          <w:tab w:val="left" w:pos="1362"/>
          <w:tab w:val="left" w:pos="1363"/>
        </w:tabs>
        <w:spacing w:before="72" w:after="0" w:line="240" w:lineRule="auto"/>
        <w:ind w:left="1362" w:right="0" w:hanging="1016"/>
        <w:jc w:val="left"/>
      </w:pPr>
      <w:r>
        <w:rPr>
          <w:spacing w:val="-3"/>
        </w:rPr>
        <w:t>责任免除</w:t>
      </w:r>
    </w:p>
    <w:p>
      <w:pPr>
        <w:pStyle w:val="5"/>
        <w:spacing w:before="9"/>
        <w:rPr>
          <w:b/>
          <w:sz w:val="27"/>
        </w:rPr>
      </w:pPr>
    </w:p>
    <w:p>
      <w:pPr>
        <w:pStyle w:val="9"/>
        <w:numPr>
          <w:ilvl w:val="2"/>
          <w:numId w:val="3"/>
        </w:numPr>
        <w:tabs>
          <w:tab w:val="left" w:pos="1362"/>
          <w:tab w:val="left" w:pos="1363"/>
          <w:tab w:val="left" w:pos="2997"/>
        </w:tabs>
        <w:spacing w:before="1" w:after="0" w:line="240" w:lineRule="auto"/>
        <w:ind w:left="1362" w:right="0" w:hanging="1016"/>
        <w:jc w:val="left"/>
        <w:rPr>
          <w:sz w:val="21"/>
        </w:rPr>
      </w:pPr>
      <w:r>
        <w:rPr>
          <w:b/>
          <w:sz w:val="21"/>
        </w:rPr>
        <w:t>一般责任免</w:t>
      </w:r>
      <w:r>
        <w:rPr>
          <w:b/>
          <w:spacing w:val="-10"/>
          <w:sz w:val="21"/>
        </w:rPr>
        <w:t>除</w:t>
      </w:r>
      <w:r>
        <w:rPr>
          <w:b/>
          <w:sz w:val="21"/>
        </w:rPr>
        <w:tab/>
      </w:r>
      <w:r>
        <w:rPr>
          <w:color w:val="000000"/>
          <w:spacing w:val="-2"/>
          <w:sz w:val="21"/>
          <w:shd w:val="clear" w:color="auto" w:fill="E4E4E4"/>
        </w:rPr>
        <w:t>对于被保险人发生的以下费用，本公司不承担给付保险金的责任</w:t>
      </w:r>
      <w:r>
        <w:rPr>
          <w:color w:val="000000"/>
          <w:spacing w:val="-10"/>
          <w:sz w:val="21"/>
          <w:shd w:val="clear" w:color="auto" w:fill="E4E4E4"/>
        </w:rPr>
        <w:t>：</w:t>
      </w:r>
    </w:p>
    <w:p>
      <w:pPr>
        <w:pStyle w:val="5"/>
        <w:spacing w:before="12"/>
        <w:rPr>
          <w:sz w:val="9"/>
        </w:rPr>
      </w:pPr>
    </w:p>
    <w:p>
      <w:pPr>
        <w:pStyle w:val="9"/>
        <w:numPr>
          <w:ilvl w:val="3"/>
          <w:numId w:val="3"/>
        </w:numPr>
        <w:tabs>
          <w:tab w:val="left" w:pos="3718"/>
        </w:tabs>
        <w:spacing w:before="71" w:after="0" w:line="240" w:lineRule="auto"/>
        <w:ind w:left="3717" w:right="0" w:hanging="3636"/>
        <w:jc w:val="left"/>
        <w:rPr>
          <w:sz w:val="21"/>
        </w:rPr>
      </w:pPr>
      <w:r>
        <w:rPr>
          <w:color w:val="000000"/>
          <w:spacing w:val="-3"/>
          <w:sz w:val="21"/>
          <w:shd w:val="clear" w:color="auto" w:fill="E4E4E4"/>
        </w:rPr>
        <w:t>投保人对被保险人的故意杀害或故意伤害；</w:t>
      </w:r>
    </w:p>
    <w:p>
      <w:pPr>
        <w:pStyle w:val="5"/>
        <w:spacing w:before="12"/>
        <w:rPr>
          <w:sz w:val="9"/>
        </w:rPr>
      </w:pPr>
    </w:p>
    <w:p>
      <w:pPr>
        <w:pStyle w:val="9"/>
        <w:numPr>
          <w:ilvl w:val="3"/>
          <w:numId w:val="3"/>
        </w:numPr>
        <w:tabs>
          <w:tab w:val="left" w:pos="3718"/>
        </w:tabs>
        <w:spacing w:before="72" w:after="0" w:line="278" w:lineRule="auto"/>
        <w:ind w:left="3717" w:right="663" w:hanging="721"/>
        <w:jc w:val="left"/>
        <w:rPr>
          <w:sz w:val="21"/>
        </w:rPr>
      </w:pPr>
      <w:r>
        <w:rPr>
          <w:color w:val="000000"/>
          <w:spacing w:val="-9"/>
          <w:sz w:val="21"/>
          <w:shd w:val="clear" w:color="auto" w:fill="E4E4E4"/>
        </w:rPr>
        <w:t>被保险人故意犯罪、抗拒依法采取的刑事强制措施被政府依法拘禁或</w:t>
      </w:r>
      <w:r>
        <w:rPr>
          <w:color w:val="000000"/>
          <w:spacing w:val="12075"/>
          <w:sz w:val="21"/>
          <w:shd w:val="clear" w:color="auto" w:fill="E4E4E4"/>
        </w:rPr>
        <w:t xml:space="preserve"> </w:t>
      </w:r>
      <w:r>
        <w:rPr>
          <w:color w:val="000000"/>
          <w:spacing w:val="-2"/>
          <w:sz w:val="21"/>
          <w:shd w:val="clear" w:color="auto" w:fill="E4E4E4"/>
        </w:rPr>
        <w:t>入狱期间；</w:t>
      </w:r>
    </w:p>
    <w:p>
      <w:pPr>
        <w:pStyle w:val="9"/>
        <w:numPr>
          <w:ilvl w:val="3"/>
          <w:numId w:val="3"/>
        </w:numPr>
        <w:tabs>
          <w:tab w:val="left" w:pos="3718"/>
        </w:tabs>
        <w:spacing w:before="156" w:after="0" w:line="240" w:lineRule="auto"/>
        <w:ind w:left="3717" w:right="0" w:hanging="721"/>
        <w:jc w:val="left"/>
        <w:rPr>
          <w:sz w:val="21"/>
        </w:rPr>
      </w:pPr>
      <w:r>
        <w:rPr>
          <w:color w:val="000000"/>
          <w:spacing w:val="-3"/>
          <w:sz w:val="21"/>
          <w:shd w:val="clear" w:color="auto" w:fill="E4E4E4"/>
        </w:rPr>
        <w:t>被保险人自杀，但被保险人自杀时为无民事行为能力人的除外；</w:t>
      </w:r>
    </w:p>
    <w:p>
      <w:pPr>
        <w:pStyle w:val="5"/>
        <w:spacing w:before="12"/>
        <w:rPr>
          <w:sz w:val="9"/>
        </w:rPr>
      </w:pPr>
    </w:p>
    <w:p>
      <w:pPr>
        <w:pStyle w:val="9"/>
        <w:numPr>
          <w:ilvl w:val="3"/>
          <w:numId w:val="3"/>
        </w:numPr>
        <w:tabs>
          <w:tab w:val="left" w:pos="3718"/>
        </w:tabs>
        <w:spacing w:before="71" w:after="0" w:line="278" w:lineRule="auto"/>
        <w:ind w:left="3717" w:right="660" w:hanging="721"/>
        <w:jc w:val="left"/>
        <w:rPr>
          <w:sz w:val="21"/>
        </w:rPr>
      </w:pPr>
      <w:r>
        <w:rPr>
          <w:color w:val="000000"/>
          <w:spacing w:val="-5"/>
          <w:sz w:val="21"/>
          <w:shd w:val="clear" w:color="auto" w:fill="E4E4E4"/>
        </w:rPr>
        <w:t>被保险人故意自伤或因被保险人挑衅或故意行为而导致的打斗、被袭</w:t>
      </w:r>
      <w:r>
        <w:rPr>
          <w:color w:val="000000"/>
          <w:spacing w:val="-2"/>
          <w:sz w:val="21"/>
          <w:shd w:val="clear" w:color="auto" w:fill="E4E4E4"/>
        </w:rPr>
        <w:t>击、被谋杀；</w:t>
      </w:r>
    </w:p>
    <w:p>
      <w:pPr>
        <w:pStyle w:val="9"/>
        <w:numPr>
          <w:ilvl w:val="3"/>
          <w:numId w:val="3"/>
        </w:numPr>
        <w:tabs>
          <w:tab w:val="left" w:pos="3718"/>
        </w:tabs>
        <w:spacing w:before="146" w:after="0" w:line="240" w:lineRule="auto"/>
        <w:ind w:left="3717" w:right="0" w:hanging="721"/>
        <w:jc w:val="left"/>
        <w:rPr>
          <w:b/>
          <w:sz w:val="21"/>
        </w:rPr>
      </w:pPr>
      <w:r>
        <w:drawing>
          <wp:anchor distT="0" distB="0" distL="0" distR="0" simplePos="0" relativeHeight="251668480" behindDoc="1" locked="0" layoutInCell="1" allowOverlap="1">
            <wp:simplePos x="0" y="0"/>
            <wp:positionH relativeFrom="page">
              <wp:posOffset>2944495</wp:posOffset>
            </wp:positionH>
            <wp:positionV relativeFrom="paragraph">
              <wp:posOffset>294640</wp:posOffset>
            </wp:positionV>
            <wp:extent cx="815340" cy="173990"/>
            <wp:effectExtent l="0" t="0" r="0" b="0"/>
            <wp:wrapNone/>
            <wp:docPr id="25"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9.png"/>
                    <pic:cNvPicPr>
                      <a:picLocks noChangeAspect="1"/>
                    </pic:cNvPicPr>
                  </pic:nvPicPr>
                  <pic:blipFill>
                    <a:blip r:embed="rId14" cstate="print"/>
                    <a:stretch>
                      <a:fillRect/>
                    </a:stretch>
                  </pic:blipFill>
                  <pic:spPr>
                    <a:xfrm>
                      <a:off x="0" y="0"/>
                      <a:ext cx="815339" cy="173736"/>
                    </a:xfrm>
                    <a:prstGeom prst="rect">
                      <a:avLst/>
                    </a:prstGeom>
                  </pic:spPr>
                </pic:pic>
              </a:graphicData>
            </a:graphic>
          </wp:anchor>
        </w:drawing>
      </w:r>
      <w:r>
        <w:pict>
          <v:shape id="docshape2" o:spid="_x0000_s1027" o:spt="202" type="#_x0000_t202" style="position:absolute;left:0pt;margin-left:231.85pt;margin-top:23.2pt;height:13.7pt;width:64.2pt;mso-position-horizontal-relative:page;mso-wrap-distance-bottom:0pt;mso-wrap-distance-top:0pt;z-index:-251645952;mso-width-relative:page;mso-height-relative:page;" filled="f" stroked="f" coordsize="21600,21600">
            <v:path/>
            <v:fill on="f" focussize="0,0"/>
            <v:stroke on="f" joinstyle="miter"/>
            <v:imagedata o:title=""/>
            <o:lock v:ext="edit"/>
            <v:textbox inset="0mm,0mm,0mm,0mm">
              <w:txbxContent>
                <w:p>
                  <w:pPr>
                    <w:spacing w:before="0" w:line="273" w:lineRule="exact"/>
                    <w:ind w:left="0" w:right="-15" w:firstLine="0"/>
                    <w:jc w:val="left"/>
                    <w:rPr>
                      <w:sz w:val="21"/>
                    </w:rPr>
                  </w:pPr>
                  <w:r>
                    <w:rPr>
                      <w:b/>
                      <w:w w:val="95"/>
                      <w:position w:val="11"/>
                      <w:sz w:val="11"/>
                    </w:rPr>
                    <w:t>40</w:t>
                  </w:r>
                  <w:r>
                    <w:rPr>
                      <w:w w:val="95"/>
                      <w:sz w:val="21"/>
                    </w:rPr>
                    <w:t>的</w:t>
                  </w:r>
                  <w:r>
                    <w:rPr>
                      <w:b/>
                      <w:w w:val="95"/>
                      <w:sz w:val="21"/>
                    </w:rPr>
                    <w:t>机动车</w:t>
                  </w:r>
                  <w:r>
                    <w:rPr>
                      <w:b/>
                      <w:spacing w:val="-5"/>
                      <w:w w:val="95"/>
                      <w:position w:val="11"/>
                      <w:sz w:val="11"/>
                    </w:rPr>
                    <w:t>41</w:t>
                  </w:r>
                  <w:r>
                    <w:rPr>
                      <w:spacing w:val="-5"/>
                      <w:w w:val="95"/>
                      <w:sz w:val="21"/>
                    </w:rPr>
                    <w:t>；</w:t>
                  </w:r>
                </w:p>
              </w:txbxContent>
            </v:textbox>
            <w10:wrap type="topAndBottom"/>
          </v:shape>
        </w:pict>
      </w:r>
      <w:r>
        <w:rPr>
          <w:color w:val="000000"/>
          <w:w w:val="95"/>
          <w:sz w:val="21"/>
          <w:shd w:val="clear" w:color="auto" w:fill="E4E4E4"/>
        </w:rPr>
        <w:t>被保险人</w:t>
      </w:r>
      <w:r>
        <w:rPr>
          <w:b/>
          <w:color w:val="000000"/>
          <w:w w:val="95"/>
          <w:sz w:val="21"/>
          <w:shd w:val="clear" w:color="auto" w:fill="E4E4E4"/>
        </w:rPr>
        <w:t>酒后驾驶</w:t>
      </w:r>
      <w:r>
        <w:rPr>
          <w:b/>
          <w:color w:val="000000"/>
          <w:w w:val="95"/>
          <w:position w:val="11"/>
          <w:sz w:val="11"/>
        </w:rPr>
        <w:t>38</w:t>
      </w:r>
      <w:r>
        <w:rPr>
          <w:color w:val="000000"/>
          <w:w w:val="95"/>
          <w:sz w:val="21"/>
          <w:shd w:val="clear" w:color="auto" w:fill="E4E4E4"/>
        </w:rPr>
        <w:t>、</w:t>
      </w:r>
      <w:r>
        <w:rPr>
          <w:b/>
          <w:color w:val="000000"/>
          <w:w w:val="95"/>
          <w:sz w:val="21"/>
          <w:shd w:val="clear" w:color="auto" w:fill="E4E4E4"/>
        </w:rPr>
        <w:t>无合法有效驾驶证驾驶</w:t>
      </w:r>
      <w:r>
        <w:rPr>
          <w:b/>
          <w:color w:val="000000"/>
          <w:w w:val="95"/>
          <w:position w:val="11"/>
          <w:sz w:val="11"/>
        </w:rPr>
        <w:t>39</w:t>
      </w:r>
      <w:r>
        <w:rPr>
          <w:color w:val="000000"/>
          <w:w w:val="95"/>
          <w:sz w:val="21"/>
          <w:shd w:val="clear" w:color="auto" w:fill="E4E4E4"/>
        </w:rPr>
        <w:t>，或驾驶</w:t>
      </w:r>
      <w:r>
        <w:rPr>
          <w:b/>
          <w:color w:val="000000"/>
          <w:w w:val="95"/>
          <w:sz w:val="21"/>
          <w:shd w:val="clear" w:color="auto" w:fill="E4E4E4"/>
        </w:rPr>
        <w:t>无有</w:t>
      </w:r>
      <w:r>
        <w:rPr>
          <w:b/>
          <w:color w:val="000000"/>
          <w:spacing w:val="-3"/>
          <w:w w:val="95"/>
          <w:sz w:val="21"/>
          <w:shd w:val="clear" w:color="auto" w:fill="E4E4E4"/>
        </w:rPr>
        <w:t>效行驶证</w:t>
      </w:r>
    </w:p>
    <w:p>
      <w:pPr>
        <w:pStyle w:val="5"/>
        <w:rPr>
          <w:b/>
          <w:sz w:val="8"/>
        </w:rPr>
      </w:pPr>
    </w:p>
    <w:p>
      <w:pPr>
        <w:pStyle w:val="9"/>
        <w:numPr>
          <w:ilvl w:val="3"/>
          <w:numId w:val="3"/>
        </w:numPr>
        <w:tabs>
          <w:tab w:val="left" w:pos="3718"/>
        </w:tabs>
        <w:spacing w:before="86" w:after="0" w:line="278" w:lineRule="auto"/>
        <w:ind w:left="3717" w:right="660" w:hanging="721"/>
        <w:jc w:val="left"/>
        <w:rPr>
          <w:sz w:val="21"/>
        </w:rPr>
      </w:pPr>
      <w:r>
        <w:rPr>
          <w:color w:val="000000"/>
          <w:spacing w:val="-6"/>
          <w:sz w:val="21"/>
          <w:shd w:val="clear" w:color="auto" w:fill="E4E4E4"/>
        </w:rPr>
        <w:t>被保险人服用、吸食或注射</w:t>
      </w:r>
      <w:r>
        <w:rPr>
          <w:b/>
          <w:color w:val="000000"/>
          <w:spacing w:val="-6"/>
          <w:sz w:val="21"/>
          <w:shd w:val="clear" w:color="auto" w:fill="E4E4E4"/>
        </w:rPr>
        <w:t>毒品</w:t>
      </w:r>
      <w:r>
        <w:rPr>
          <w:rFonts w:hint="eastAsia" w:ascii="黑体" w:eastAsia="黑体"/>
          <w:b/>
          <w:color w:val="000000"/>
          <w:spacing w:val="-6"/>
          <w:position w:val="11"/>
          <w:sz w:val="11"/>
        </w:rPr>
        <w:t>42</w:t>
      </w:r>
      <w:r>
        <w:rPr>
          <w:color w:val="000000"/>
          <w:spacing w:val="-6"/>
          <w:sz w:val="21"/>
          <w:shd w:val="clear" w:color="auto" w:fill="E4E4E4"/>
        </w:rPr>
        <w:t>，或未遵医嘱，擅自服用、涂用、注</w:t>
      </w:r>
      <w:r>
        <w:rPr>
          <w:color w:val="000000"/>
          <w:spacing w:val="-4"/>
          <w:sz w:val="21"/>
          <w:shd w:val="clear" w:color="auto" w:fill="E4E4E4"/>
        </w:rPr>
        <w:t>射药物；</w:t>
      </w:r>
    </w:p>
    <w:p>
      <w:pPr>
        <w:pStyle w:val="9"/>
        <w:numPr>
          <w:ilvl w:val="3"/>
          <w:numId w:val="3"/>
        </w:numPr>
        <w:tabs>
          <w:tab w:val="left" w:pos="3718"/>
        </w:tabs>
        <w:spacing w:before="145" w:after="0" w:line="240" w:lineRule="auto"/>
        <w:ind w:left="3717" w:right="0" w:hanging="721"/>
        <w:jc w:val="left"/>
        <w:rPr>
          <w:sz w:val="21"/>
        </w:rPr>
      </w:pPr>
      <w:r>
        <w:rPr>
          <w:b/>
          <w:color w:val="000000"/>
          <w:spacing w:val="-2"/>
          <w:sz w:val="21"/>
          <w:shd w:val="clear" w:color="auto" w:fill="E4E4E4"/>
        </w:rPr>
        <w:t>既往症</w:t>
      </w:r>
      <w:r>
        <w:rPr>
          <w:color w:val="000000"/>
          <w:spacing w:val="-2"/>
          <w:position w:val="11"/>
          <w:sz w:val="11"/>
        </w:rPr>
        <w:t>43</w:t>
      </w:r>
      <w:r>
        <w:rPr>
          <w:color w:val="000000"/>
          <w:spacing w:val="-2"/>
          <w:sz w:val="21"/>
          <w:shd w:val="clear" w:color="auto" w:fill="E4E4E4"/>
        </w:rPr>
        <w:t>（被保险人已如实告知且经本公司审核同意的除外</w:t>
      </w:r>
      <w:r>
        <w:rPr>
          <w:color w:val="000000"/>
          <w:spacing w:val="-111"/>
          <w:sz w:val="21"/>
          <w:shd w:val="clear" w:color="auto" w:fill="E4E4E4"/>
        </w:rPr>
        <w:t>）</w:t>
      </w:r>
      <w:r>
        <w:rPr>
          <w:color w:val="000000"/>
          <w:spacing w:val="-5"/>
          <w:sz w:val="21"/>
          <w:shd w:val="clear" w:color="auto" w:fill="E4E4E4"/>
        </w:rPr>
        <w:t>；</w:t>
      </w: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rPr>
          <w:sz w:val="20"/>
        </w:rPr>
      </w:pPr>
    </w:p>
    <w:p>
      <w:pPr>
        <w:pStyle w:val="5"/>
        <w:spacing w:before="1"/>
        <w:rPr>
          <w:sz w:val="17"/>
        </w:rPr>
      </w:pPr>
      <w:r>
        <w:drawing>
          <wp:anchor distT="0" distB="0" distL="0" distR="0" simplePos="0" relativeHeight="251659264" behindDoc="0" locked="0" layoutInCell="1" allowOverlap="1">
            <wp:simplePos x="0" y="0"/>
            <wp:positionH relativeFrom="page">
              <wp:posOffset>685800</wp:posOffset>
            </wp:positionH>
            <wp:positionV relativeFrom="paragraph">
              <wp:posOffset>154305</wp:posOffset>
            </wp:positionV>
            <wp:extent cx="1829435" cy="6350"/>
            <wp:effectExtent l="0" t="0" r="0" b="0"/>
            <wp:wrapTopAndBottom/>
            <wp:docPr id="2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5.png"/>
                    <pic:cNvPicPr>
                      <a:picLocks noChangeAspect="1"/>
                    </pic:cNvPicPr>
                  </pic:nvPicPr>
                  <pic:blipFill>
                    <a:blip r:embed="rId10" cstate="print"/>
                    <a:stretch>
                      <a:fillRect/>
                    </a:stretch>
                  </pic:blipFill>
                  <pic:spPr>
                    <a:xfrm>
                      <a:off x="0" y="0"/>
                      <a:ext cx="1829511" cy="6095"/>
                    </a:xfrm>
                    <a:prstGeom prst="rect">
                      <a:avLst/>
                    </a:prstGeom>
                  </pic:spPr>
                </pic:pic>
              </a:graphicData>
            </a:graphic>
          </wp:anchor>
        </w:drawing>
      </w:r>
    </w:p>
    <w:p>
      <w:pPr>
        <w:spacing w:before="91"/>
        <w:ind w:left="160" w:right="0" w:firstLine="0"/>
        <w:jc w:val="left"/>
        <w:rPr>
          <w:rFonts w:ascii="楷体" w:eastAsia="楷体"/>
          <w:sz w:val="18"/>
        </w:rPr>
      </w:pPr>
      <w:r>
        <w:rPr>
          <w:w w:val="95"/>
          <w:position w:val="9"/>
          <w:sz w:val="9"/>
        </w:rPr>
        <w:t>38</w:t>
      </w:r>
      <w:r>
        <w:rPr>
          <w:rFonts w:hint="eastAsia" w:ascii="楷体" w:eastAsia="楷体"/>
          <w:b/>
          <w:w w:val="95"/>
          <w:sz w:val="18"/>
        </w:rPr>
        <w:t>酒后驾驶：</w:t>
      </w:r>
      <w:r>
        <w:rPr>
          <w:rFonts w:ascii="楷体" w:eastAsia="楷体"/>
          <w:w w:val="95"/>
          <w:sz w:val="18"/>
        </w:rPr>
        <w:t>指经检测或鉴定，发生事故时车辆驾驶人员每百毫升血液中的酒精含量达到或超过一定的标准，公安机关交通</w:t>
      </w:r>
      <w:r>
        <w:rPr>
          <w:rFonts w:ascii="楷体" w:eastAsia="楷体"/>
          <w:spacing w:val="-10"/>
          <w:w w:val="95"/>
          <w:sz w:val="18"/>
        </w:rPr>
        <w:t>管</w:t>
      </w:r>
    </w:p>
    <w:p>
      <w:pPr>
        <w:spacing w:before="4"/>
        <w:ind w:left="160" w:right="0" w:firstLine="0"/>
        <w:jc w:val="left"/>
        <w:rPr>
          <w:rFonts w:ascii="楷体" w:eastAsia="楷体"/>
          <w:sz w:val="18"/>
        </w:rPr>
      </w:pPr>
      <w:r>
        <w:rPr>
          <w:rFonts w:ascii="楷体" w:eastAsia="楷体"/>
          <w:spacing w:val="-1"/>
          <w:sz w:val="18"/>
        </w:rPr>
        <w:t>理部门依据《道路交通安全法》的规定认定为饮酒后驾驶或醉酒后驾驶。</w:t>
      </w:r>
    </w:p>
    <w:p>
      <w:pPr>
        <w:spacing w:before="3"/>
        <w:ind w:left="160" w:right="0" w:firstLine="0"/>
        <w:jc w:val="left"/>
        <w:rPr>
          <w:rFonts w:ascii="楷体" w:eastAsia="楷体"/>
          <w:sz w:val="18"/>
        </w:rPr>
      </w:pPr>
      <w:r>
        <w:rPr>
          <w:w w:val="95"/>
          <w:position w:val="9"/>
          <w:sz w:val="9"/>
        </w:rPr>
        <w:t>39</w:t>
      </w:r>
      <w:r>
        <w:rPr>
          <w:rFonts w:hint="eastAsia" w:ascii="楷体" w:eastAsia="楷体"/>
          <w:b/>
          <w:w w:val="95"/>
          <w:sz w:val="18"/>
        </w:rPr>
        <w:t>无合法有效驾驶证驾驶：</w:t>
      </w:r>
      <w:r>
        <w:rPr>
          <w:rFonts w:ascii="楷体" w:eastAsia="楷体"/>
          <w:w w:val="95"/>
          <w:sz w:val="18"/>
        </w:rPr>
        <w:t>指下列任何驾驶情形：（1）没有取得驾驶资格；（2）驾驶与驾驶证准驾车型不相符合的车辆</w:t>
      </w:r>
      <w:r>
        <w:rPr>
          <w:rFonts w:ascii="楷体" w:eastAsia="楷体"/>
          <w:spacing w:val="-4"/>
          <w:w w:val="95"/>
          <w:sz w:val="18"/>
        </w:rPr>
        <w:t>；（3）</w:t>
      </w:r>
    </w:p>
    <w:p>
      <w:pPr>
        <w:spacing w:before="2" w:line="244" w:lineRule="auto"/>
        <w:ind w:left="160" w:right="713" w:firstLine="0"/>
        <w:jc w:val="left"/>
        <w:rPr>
          <w:sz w:val="18"/>
        </w:rPr>
      </w:pPr>
      <w:r>
        <w:rPr>
          <w:rFonts w:ascii="楷体" w:eastAsia="楷体"/>
          <w:spacing w:val="-2"/>
          <w:sz w:val="18"/>
        </w:rPr>
        <w:t>持审验不合格的驾驶证驾驶；（4）在驾驶证有效期内未按照中华人民共和国法律、行政法规的规定，定期对机动车驾驶证实</w:t>
      </w:r>
      <w:r>
        <w:rPr>
          <w:rFonts w:ascii="楷体" w:eastAsia="楷体"/>
          <w:spacing w:val="-22"/>
          <w:sz w:val="18"/>
        </w:rPr>
        <w:t>施审验的；</w:t>
      </w:r>
      <w:r>
        <w:rPr>
          <w:rFonts w:ascii="楷体" w:eastAsia="楷体"/>
          <w:spacing w:val="27"/>
          <w:sz w:val="18"/>
        </w:rPr>
        <w:t>（</w:t>
      </w:r>
      <w:r>
        <w:rPr>
          <w:rFonts w:ascii="楷体" w:eastAsia="楷体"/>
          <w:spacing w:val="28"/>
          <w:sz w:val="18"/>
        </w:rPr>
        <w:t>5</w:t>
      </w:r>
      <w:r>
        <w:rPr>
          <w:rFonts w:ascii="楷体" w:eastAsia="楷体"/>
          <w:spacing w:val="5"/>
          <w:sz w:val="18"/>
        </w:rPr>
        <w:t>）</w:t>
      </w:r>
      <w:r>
        <w:rPr>
          <w:rFonts w:ascii="楷体" w:eastAsia="楷体"/>
          <w:spacing w:val="-9"/>
          <w:sz w:val="18"/>
        </w:rPr>
        <w:t>持学习驾驶证学习驾车时，无教练员随车指导，或不按指定时间、路线学习驾车；</w:t>
      </w:r>
      <w:r>
        <w:rPr>
          <w:rFonts w:ascii="楷体" w:eastAsia="楷体"/>
          <w:spacing w:val="28"/>
          <w:sz w:val="18"/>
        </w:rPr>
        <w:t>（6</w:t>
      </w:r>
      <w:r>
        <w:rPr>
          <w:rFonts w:ascii="楷体" w:eastAsia="楷体"/>
          <w:spacing w:val="5"/>
          <w:sz w:val="18"/>
        </w:rPr>
        <w:t>）</w:t>
      </w:r>
      <w:r>
        <w:rPr>
          <w:rFonts w:ascii="楷体" w:eastAsia="楷体"/>
          <w:spacing w:val="-6"/>
          <w:sz w:val="18"/>
        </w:rPr>
        <w:t>驾驶证已过有效期的</w:t>
      </w:r>
      <w:r>
        <w:rPr>
          <w:spacing w:val="-10"/>
          <w:sz w:val="18"/>
        </w:rPr>
        <w:t>。</w:t>
      </w:r>
    </w:p>
    <w:p>
      <w:pPr>
        <w:spacing w:before="0" w:line="228" w:lineRule="exact"/>
        <w:ind w:left="160" w:right="0" w:firstLine="0"/>
        <w:jc w:val="left"/>
        <w:rPr>
          <w:rFonts w:ascii="楷体" w:eastAsia="楷体"/>
          <w:sz w:val="18"/>
        </w:rPr>
      </w:pPr>
      <w:r>
        <w:rPr>
          <w:w w:val="95"/>
          <w:position w:val="9"/>
          <w:sz w:val="9"/>
        </w:rPr>
        <w:t>40</w:t>
      </w:r>
      <w:r>
        <w:rPr>
          <w:rFonts w:hint="eastAsia" w:ascii="楷体" w:eastAsia="楷体"/>
          <w:b/>
          <w:w w:val="95"/>
          <w:sz w:val="18"/>
        </w:rPr>
        <w:t>无有效行驶证：</w:t>
      </w:r>
      <w:r>
        <w:rPr>
          <w:rFonts w:ascii="楷体" w:eastAsia="楷体"/>
          <w:w w:val="95"/>
          <w:sz w:val="18"/>
        </w:rPr>
        <w:t>指下列任何</w:t>
      </w:r>
      <w:r>
        <w:rPr>
          <w:rFonts w:ascii="楷体" w:eastAsia="楷体"/>
          <w:spacing w:val="-25"/>
          <w:w w:val="95"/>
          <w:sz w:val="18"/>
        </w:rPr>
        <w:t>情形：</w:t>
      </w:r>
      <w:r>
        <w:rPr>
          <w:rFonts w:ascii="楷体" w:eastAsia="楷体"/>
          <w:spacing w:val="27"/>
          <w:w w:val="95"/>
          <w:sz w:val="18"/>
        </w:rPr>
        <w:t>（</w:t>
      </w:r>
      <w:r>
        <w:rPr>
          <w:rFonts w:ascii="楷体" w:eastAsia="楷体"/>
          <w:spacing w:val="28"/>
          <w:w w:val="95"/>
          <w:sz w:val="18"/>
        </w:rPr>
        <w:t>1</w:t>
      </w:r>
      <w:r>
        <w:rPr>
          <w:rFonts w:ascii="楷体" w:eastAsia="楷体"/>
          <w:spacing w:val="17"/>
          <w:w w:val="95"/>
          <w:sz w:val="18"/>
        </w:rPr>
        <w:t>）</w:t>
      </w:r>
      <w:r>
        <w:rPr>
          <w:rFonts w:ascii="楷体" w:eastAsia="楷体"/>
          <w:w w:val="95"/>
          <w:sz w:val="18"/>
        </w:rPr>
        <w:t>未取得行驶证</w:t>
      </w:r>
      <w:r>
        <w:rPr>
          <w:rFonts w:ascii="楷体" w:eastAsia="楷体"/>
          <w:spacing w:val="-74"/>
          <w:w w:val="95"/>
          <w:sz w:val="18"/>
        </w:rPr>
        <w:t>；</w:t>
      </w:r>
      <w:r>
        <w:rPr>
          <w:rFonts w:ascii="楷体" w:eastAsia="楷体"/>
          <w:spacing w:val="26"/>
          <w:w w:val="95"/>
          <w:sz w:val="18"/>
        </w:rPr>
        <w:t>（</w:t>
      </w:r>
      <w:r>
        <w:rPr>
          <w:rFonts w:ascii="楷体" w:eastAsia="楷体"/>
          <w:spacing w:val="28"/>
          <w:w w:val="95"/>
          <w:sz w:val="18"/>
        </w:rPr>
        <w:t>2</w:t>
      </w:r>
      <w:r>
        <w:rPr>
          <w:rFonts w:ascii="楷体" w:eastAsia="楷体"/>
          <w:spacing w:val="17"/>
          <w:w w:val="95"/>
          <w:sz w:val="18"/>
        </w:rPr>
        <w:t>）</w:t>
      </w:r>
      <w:r>
        <w:rPr>
          <w:rFonts w:ascii="楷体" w:eastAsia="楷体"/>
          <w:w w:val="95"/>
          <w:sz w:val="18"/>
        </w:rPr>
        <w:t>机动车被依法注销登记的</w:t>
      </w:r>
      <w:r>
        <w:rPr>
          <w:rFonts w:ascii="楷体" w:eastAsia="楷体"/>
          <w:spacing w:val="-74"/>
          <w:w w:val="95"/>
          <w:sz w:val="18"/>
        </w:rPr>
        <w:t>；</w:t>
      </w:r>
      <w:r>
        <w:rPr>
          <w:rFonts w:ascii="楷体" w:eastAsia="楷体"/>
          <w:spacing w:val="27"/>
          <w:w w:val="95"/>
          <w:sz w:val="18"/>
        </w:rPr>
        <w:t>（</w:t>
      </w:r>
      <w:r>
        <w:rPr>
          <w:rFonts w:ascii="楷体" w:eastAsia="楷体"/>
          <w:spacing w:val="28"/>
          <w:w w:val="95"/>
          <w:sz w:val="18"/>
        </w:rPr>
        <w:t>3</w:t>
      </w:r>
      <w:r>
        <w:rPr>
          <w:rFonts w:ascii="楷体" w:eastAsia="楷体"/>
          <w:spacing w:val="17"/>
          <w:w w:val="95"/>
          <w:sz w:val="18"/>
        </w:rPr>
        <w:t>）</w:t>
      </w:r>
      <w:r>
        <w:rPr>
          <w:rFonts w:ascii="楷体" w:eastAsia="楷体"/>
          <w:w w:val="95"/>
          <w:sz w:val="18"/>
        </w:rPr>
        <w:t>未依法按时进行或通过机动车</w:t>
      </w:r>
      <w:r>
        <w:rPr>
          <w:rFonts w:ascii="楷体" w:eastAsia="楷体"/>
          <w:spacing w:val="-10"/>
          <w:w w:val="95"/>
          <w:sz w:val="18"/>
        </w:rPr>
        <w:t>安</w:t>
      </w:r>
    </w:p>
    <w:p>
      <w:pPr>
        <w:spacing w:before="3"/>
        <w:ind w:left="160" w:right="0" w:firstLine="0"/>
        <w:jc w:val="left"/>
        <w:rPr>
          <w:rFonts w:ascii="楷体" w:eastAsia="楷体"/>
          <w:sz w:val="18"/>
        </w:rPr>
      </w:pPr>
      <w:r>
        <w:rPr>
          <w:rFonts w:ascii="楷体" w:eastAsia="楷体"/>
          <w:spacing w:val="-2"/>
          <w:sz w:val="18"/>
        </w:rPr>
        <w:t>全技术检验。</w:t>
      </w:r>
    </w:p>
    <w:p>
      <w:pPr>
        <w:spacing w:before="2"/>
        <w:ind w:left="160" w:right="0" w:firstLine="0"/>
        <w:jc w:val="left"/>
        <w:rPr>
          <w:rFonts w:ascii="楷体" w:eastAsia="楷体"/>
          <w:sz w:val="18"/>
        </w:rPr>
      </w:pPr>
      <w:r>
        <w:rPr>
          <w:w w:val="95"/>
          <w:position w:val="9"/>
          <w:sz w:val="9"/>
        </w:rPr>
        <w:t>41</w:t>
      </w:r>
      <w:r>
        <w:rPr>
          <w:rFonts w:hint="eastAsia" w:ascii="楷体" w:eastAsia="楷体"/>
          <w:b/>
          <w:w w:val="95"/>
          <w:sz w:val="18"/>
        </w:rPr>
        <w:t>机动车：</w:t>
      </w:r>
      <w:r>
        <w:rPr>
          <w:rFonts w:ascii="楷体" w:eastAsia="楷体"/>
          <w:w w:val="95"/>
          <w:sz w:val="18"/>
        </w:rPr>
        <w:t>指以动力装置驱动或者牵引，上道路行驶的供人员乘用或者用于运送物品以及进行工程专项作业的轮式车辆</w:t>
      </w:r>
      <w:r>
        <w:rPr>
          <w:rFonts w:ascii="楷体" w:eastAsia="楷体"/>
          <w:spacing w:val="-10"/>
          <w:w w:val="95"/>
          <w:sz w:val="18"/>
        </w:rPr>
        <w:t>。</w:t>
      </w:r>
    </w:p>
    <w:p>
      <w:pPr>
        <w:spacing w:before="4"/>
        <w:ind w:left="160" w:right="0" w:firstLine="0"/>
        <w:jc w:val="left"/>
        <w:rPr>
          <w:rFonts w:ascii="楷体" w:eastAsia="楷体"/>
          <w:sz w:val="18"/>
        </w:rPr>
      </w:pPr>
      <w:r>
        <w:rPr>
          <w:rFonts w:ascii="楷体" w:eastAsia="楷体"/>
          <w:w w:val="95"/>
          <w:position w:val="9"/>
          <w:sz w:val="9"/>
        </w:rPr>
        <w:t>42</w:t>
      </w:r>
      <w:r>
        <w:rPr>
          <w:rFonts w:hint="eastAsia" w:ascii="楷体" w:eastAsia="楷体"/>
          <w:b/>
          <w:w w:val="95"/>
          <w:sz w:val="18"/>
        </w:rPr>
        <w:t>毒品</w:t>
      </w:r>
      <w:r>
        <w:rPr>
          <w:rFonts w:ascii="楷体" w:eastAsia="楷体"/>
          <w:w w:val="95"/>
          <w:sz w:val="18"/>
        </w:rPr>
        <w:t>：指中华人民共和国刑法规定的鸦片、海洛因、甲基苯丙胺（冰毒</w:t>
      </w:r>
      <w:r>
        <w:rPr>
          <w:rFonts w:ascii="楷体" w:eastAsia="楷体"/>
          <w:spacing w:val="-89"/>
          <w:w w:val="95"/>
          <w:sz w:val="18"/>
        </w:rPr>
        <w:t>）</w:t>
      </w:r>
      <w:r>
        <w:rPr>
          <w:rFonts w:ascii="楷体" w:eastAsia="楷体"/>
          <w:w w:val="95"/>
          <w:sz w:val="18"/>
        </w:rPr>
        <w:t>、吗啡、大麻、可卡因以及国家规定管制的其他</w:t>
      </w:r>
      <w:r>
        <w:rPr>
          <w:rFonts w:ascii="楷体" w:eastAsia="楷体"/>
          <w:spacing w:val="-10"/>
          <w:w w:val="95"/>
          <w:sz w:val="18"/>
        </w:rPr>
        <w:t>能</w:t>
      </w:r>
    </w:p>
    <w:p>
      <w:pPr>
        <w:spacing w:before="3"/>
        <w:ind w:left="160" w:right="0" w:firstLine="0"/>
        <w:jc w:val="left"/>
        <w:rPr>
          <w:rFonts w:ascii="楷体" w:eastAsia="楷体"/>
          <w:sz w:val="18"/>
        </w:rPr>
      </w:pPr>
      <w:r>
        <w:rPr>
          <w:rFonts w:ascii="楷体" w:eastAsia="楷体"/>
          <w:spacing w:val="-1"/>
          <w:sz w:val="18"/>
        </w:rPr>
        <w:t>够使人形成瘾癖的麻醉药品和精神药品，但不包括由医生开具并遵医嘱使用的用于治疗疾病但含有毒品成分的处方药品。</w:t>
      </w:r>
    </w:p>
    <w:p>
      <w:pPr>
        <w:spacing w:before="2"/>
        <w:ind w:left="160" w:right="0" w:firstLine="0"/>
        <w:jc w:val="left"/>
        <w:rPr>
          <w:rFonts w:ascii="楷体" w:eastAsia="楷体"/>
          <w:sz w:val="18"/>
        </w:rPr>
      </w:pPr>
      <w:r>
        <w:rPr>
          <w:w w:val="95"/>
          <w:position w:val="9"/>
          <w:sz w:val="9"/>
        </w:rPr>
        <w:t>43</w:t>
      </w:r>
      <w:r>
        <w:rPr>
          <w:rFonts w:hint="eastAsia" w:ascii="楷体" w:eastAsia="楷体"/>
          <w:b/>
          <w:w w:val="95"/>
          <w:sz w:val="18"/>
        </w:rPr>
        <w:t>既往症：</w:t>
      </w:r>
      <w:r>
        <w:rPr>
          <w:rFonts w:ascii="楷体" w:eastAsia="楷体"/>
          <w:w w:val="95"/>
          <w:sz w:val="18"/>
        </w:rPr>
        <w:t>指在本公司对被保险人保险责任生效之前被保险人已知或应该知道的有关疾病或症状。通常有以下情况：（1）</w:t>
      </w:r>
      <w:r>
        <w:rPr>
          <w:rFonts w:ascii="楷体" w:eastAsia="楷体"/>
          <w:spacing w:val="-10"/>
          <w:w w:val="95"/>
          <w:sz w:val="18"/>
        </w:rPr>
        <w:t>在</w:t>
      </w:r>
    </w:p>
    <w:p>
      <w:pPr>
        <w:spacing w:before="2" w:line="242" w:lineRule="auto"/>
        <w:ind w:left="160" w:right="743" w:firstLine="0"/>
        <w:jc w:val="both"/>
        <w:rPr>
          <w:rFonts w:ascii="楷体" w:eastAsia="楷体"/>
          <w:sz w:val="18"/>
        </w:rPr>
      </w:pPr>
      <w:r>
        <w:rPr>
          <w:rFonts w:ascii="楷体" w:eastAsia="楷体"/>
          <w:spacing w:val="-2"/>
          <w:sz w:val="18"/>
        </w:rPr>
        <w:t>本公司对被保险人保险责任生效之前，医生已有明确诊断，长期治疗未间断；（2）在本公司对被保险人保险责任生效之前，医生已有明确诊断，治疗后症状未完全消失，有间断治疗情况；（3）在本公司对被保险人保险责任生效之前，未经医生诊断和治疗，但症状明显且持续存在，以普通人医学常识应当知晓。</w:t>
      </w:r>
    </w:p>
    <w:p>
      <w:pPr>
        <w:spacing w:after="0" w:line="242" w:lineRule="auto"/>
        <w:jc w:val="both"/>
        <w:rPr>
          <w:rFonts w:ascii="楷体" w:eastAsia="楷体"/>
          <w:sz w:val="18"/>
        </w:rPr>
        <w:sectPr>
          <w:pgSz w:w="11910" w:h="16840"/>
          <w:pgMar w:top="1400" w:right="360" w:bottom="280" w:left="920" w:header="720" w:footer="720" w:gutter="0"/>
          <w:cols w:space="720" w:num="1"/>
        </w:sectPr>
      </w:pPr>
    </w:p>
    <w:p>
      <w:pPr>
        <w:pStyle w:val="9"/>
        <w:numPr>
          <w:ilvl w:val="3"/>
          <w:numId w:val="3"/>
        </w:numPr>
        <w:tabs>
          <w:tab w:val="left" w:pos="3718"/>
        </w:tabs>
        <w:spacing w:before="74" w:after="0" w:line="268" w:lineRule="auto"/>
        <w:ind w:left="3717" w:right="663" w:hanging="721"/>
        <w:jc w:val="both"/>
        <w:rPr>
          <w:sz w:val="21"/>
        </w:rPr>
      </w:pPr>
      <w:r>
        <w:rPr>
          <w:b/>
          <w:color w:val="000000"/>
          <w:spacing w:val="-2"/>
          <w:sz w:val="21"/>
          <w:shd w:val="clear" w:color="auto" w:fill="E4E4E4"/>
        </w:rPr>
        <w:t>先天性疾病</w:t>
      </w:r>
      <w:r>
        <w:rPr>
          <w:color w:val="000000"/>
          <w:spacing w:val="-2"/>
          <w:position w:val="11"/>
          <w:sz w:val="11"/>
        </w:rPr>
        <w:t>44</w:t>
      </w:r>
      <w:r>
        <w:rPr>
          <w:color w:val="000000"/>
          <w:spacing w:val="-2"/>
          <w:sz w:val="21"/>
          <w:shd w:val="clear" w:color="auto" w:fill="E4E4E4"/>
        </w:rPr>
        <w:t>，</w:t>
      </w:r>
      <w:r>
        <w:rPr>
          <w:b/>
          <w:color w:val="000000"/>
          <w:spacing w:val="-2"/>
          <w:sz w:val="21"/>
          <w:shd w:val="clear" w:color="auto" w:fill="E4E4E4"/>
        </w:rPr>
        <w:t>遗传性疾病</w:t>
      </w:r>
      <w:r>
        <w:rPr>
          <w:b/>
          <w:color w:val="000000"/>
          <w:spacing w:val="-2"/>
          <w:position w:val="11"/>
          <w:sz w:val="11"/>
        </w:rPr>
        <w:t>45</w:t>
      </w:r>
      <w:r>
        <w:rPr>
          <w:color w:val="000000"/>
          <w:spacing w:val="-2"/>
          <w:sz w:val="21"/>
          <w:shd w:val="clear" w:color="auto" w:fill="E4E4E4"/>
        </w:rPr>
        <w:t>，</w:t>
      </w:r>
      <w:r>
        <w:rPr>
          <w:b/>
          <w:color w:val="000000"/>
          <w:spacing w:val="-2"/>
          <w:sz w:val="21"/>
          <w:shd w:val="clear" w:color="auto" w:fill="E4E4E4"/>
        </w:rPr>
        <w:t>先天性畸形、变形或染色体异常</w:t>
      </w:r>
      <w:r>
        <w:rPr>
          <w:b/>
          <w:color w:val="000000"/>
          <w:spacing w:val="-2"/>
          <w:position w:val="11"/>
          <w:sz w:val="11"/>
        </w:rPr>
        <w:t>46</w:t>
      </w:r>
      <w:r>
        <w:rPr>
          <w:color w:val="000000"/>
          <w:spacing w:val="-2"/>
          <w:sz w:val="21"/>
          <w:shd w:val="clear" w:color="auto" w:fill="E4E4E4"/>
        </w:rPr>
        <w:t>治疗</w:t>
      </w:r>
      <w:r>
        <w:rPr>
          <w:color w:val="000000"/>
          <w:spacing w:val="11931"/>
          <w:sz w:val="21"/>
          <w:shd w:val="clear" w:color="auto" w:fill="E4E4E4"/>
        </w:rPr>
        <w:t xml:space="preserve"> </w:t>
      </w:r>
      <w:r>
        <w:rPr>
          <w:color w:val="000000"/>
          <w:spacing w:val="-2"/>
          <w:sz w:val="21"/>
          <w:shd w:val="clear" w:color="auto" w:fill="E4E4E4"/>
        </w:rPr>
        <w:t>及其他相关费用，对性传播疾病、</w:t>
      </w:r>
      <w:r>
        <w:rPr>
          <w:b/>
          <w:color w:val="000000"/>
          <w:spacing w:val="-2"/>
          <w:sz w:val="21"/>
          <w:shd w:val="clear" w:color="auto" w:fill="E4E4E4"/>
        </w:rPr>
        <w:t>艾滋病</w:t>
      </w:r>
      <w:r>
        <w:rPr>
          <w:b/>
          <w:color w:val="000000"/>
          <w:spacing w:val="-2"/>
          <w:position w:val="11"/>
          <w:sz w:val="11"/>
        </w:rPr>
        <w:t>47</w:t>
      </w:r>
      <w:r>
        <w:rPr>
          <w:color w:val="000000"/>
          <w:spacing w:val="-2"/>
          <w:sz w:val="21"/>
          <w:shd w:val="clear" w:color="auto" w:fill="E4E4E4"/>
        </w:rPr>
        <w:t>（AIDS）或者感染</w:t>
      </w:r>
      <w:r>
        <w:rPr>
          <w:b/>
          <w:color w:val="000000"/>
          <w:spacing w:val="-2"/>
          <w:sz w:val="21"/>
          <w:shd w:val="clear" w:color="auto" w:fill="E4E4E4"/>
        </w:rPr>
        <w:t>艾滋病</w:t>
      </w:r>
      <w:r>
        <w:rPr>
          <w:b/>
          <w:color w:val="000000"/>
          <w:sz w:val="21"/>
          <w:shd w:val="clear" w:color="auto" w:fill="E4E4E4"/>
        </w:rPr>
        <w:t>病毒</w:t>
      </w:r>
      <w:r>
        <w:rPr>
          <w:b/>
          <w:color w:val="000000"/>
          <w:position w:val="11"/>
          <w:sz w:val="11"/>
        </w:rPr>
        <w:t>48</w:t>
      </w:r>
      <w:r>
        <w:rPr>
          <w:color w:val="000000"/>
          <w:sz w:val="21"/>
          <w:shd w:val="clear" w:color="auto" w:fill="E4E4E4"/>
        </w:rPr>
        <w:t>（HIV</w:t>
      </w:r>
      <w:r>
        <w:rPr>
          <w:color w:val="000000"/>
          <w:spacing w:val="-15"/>
          <w:sz w:val="21"/>
          <w:shd w:val="clear" w:color="auto" w:fill="E4E4E4"/>
        </w:rPr>
        <w:t xml:space="preserve"> 阳性</w:t>
      </w:r>
      <w:r>
        <w:rPr>
          <w:color w:val="000000"/>
          <w:sz w:val="21"/>
          <w:shd w:val="clear" w:color="auto" w:fill="E4E4E4"/>
        </w:rPr>
        <w:t>）的治疗及其他相关费用；</w:t>
      </w:r>
    </w:p>
    <w:p>
      <w:pPr>
        <w:pStyle w:val="9"/>
        <w:numPr>
          <w:ilvl w:val="3"/>
          <w:numId w:val="3"/>
        </w:numPr>
        <w:tabs>
          <w:tab w:val="left" w:pos="3718"/>
        </w:tabs>
        <w:spacing w:before="168" w:after="0" w:line="278" w:lineRule="auto"/>
        <w:ind w:left="3717" w:right="560" w:hanging="721"/>
        <w:jc w:val="left"/>
        <w:rPr>
          <w:sz w:val="21"/>
        </w:rPr>
      </w:pPr>
      <w:r>
        <w:rPr>
          <w:color w:val="000000"/>
          <w:spacing w:val="-2"/>
          <w:sz w:val="21"/>
          <w:shd w:val="clear" w:color="auto" w:fill="E4E4E4"/>
        </w:rPr>
        <w:t>整容费用，对未表现出可疑细胞行为（如近期大小、形状、颜色发生</w:t>
      </w:r>
      <w:r>
        <w:rPr>
          <w:color w:val="000000"/>
          <w:spacing w:val="80"/>
          <w:w w:val="150"/>
          <w:sz w:val="21"/>
          <w:shd w:val="clear" w:color="auto" w:fill="E4E4E4"/>
        </w:rPr>
        <w:t xml:space="preserve">                                   </w:t>
      </w:r>
      <w:r>
        <w:rPr>
          <w:color w:val="000000"/>
          <w:spacing w:val="-6"/>
          <w:sz w:val="21"/>
          <w:shd w:val="clear" w:color="auto" w:fill="E4E4E4"/>
        </w:rPr>
        <w:t>改变）的良性皮肤损害的治疗、祛除及其他相关费用，痤疮、白癫风、</w:t>
      </w:r>
      <w:r>
        <w:rPr>
          <w:color w:val="000000"/>
          <w:spacing w:val="-2"/>
          <w:sz w:val="21"/>
          <w:shd w:val="clear" w:color="auto" w:fill="E4E4E4"/>
        </w:rPr>
        <w:t>蜘蛛脉、除瘢痕疙瘩型外的其他瘢痕、纹身去除、皮肤变色治疗及其他相关费用，非医学必需的对浅表静脉曲张的治疗及其他相关费用，</w:t>
      </w:r>
      <w:r>
        <w:rPr>
          <w:color w:val="000000"/>
          <w:spacing w:val="-6"/>
          <w:sz w:val="21"/>
          <w:shd w:val="clear" w:color="auto" w:fill="E4E4E4"/>
        </w:rPr>
        <w:t>与脱发相关的治疗及其他相关费用，丰胸或缩胸手术及其并发症治疗</w:t>
      </w:r>
      <w:r>
        <w:rPr>
          <w:color w:val="000000"/>
          <w:spacing w:val="-2"/>
          <w:sz w:val="21"/>
          <w:shd w:val="clear" w:color="auto" w:fill="E4E4E4"/>
        </w:rPr>
        <w:t>及其他相关费用，戒烟治疗及其他相关费用，减肥和任何为减肥接受的治疗、咨询、饮食费，减肥代餐费，与单纯性肥胖和病理性肥胖相</w:t>
      </w:r>
      <w:r>
        <w:rPr>
          <w:color w:val="000000"/>
          <w:spacing w:val="-6"/>
          <w:sz w:val="21"/>
          <w:shd w:val="clear" w:color="auto" w:fill="E4E4E4"/>
        </w:rPr>
        <w:t>关治疗及相应并发症治疗及其他相关费用，常规足部治疗及其他相关</w:t>
      </w:r>
      <w:r>
        <w:rPr>
          <w:color w:val="000000"/>
          <w:spacing w:val="-4"/>
          <w:sz w:val="21"/>
          <w:shd w:val="clear" w:color="auto" w:fill="E4E4E4"/>
        </w:rPr>
        <w:t>费用；</w:t>
      </w:r>
    </w:p>
    <w:p>
      <w:pPr>
        <w:pStyle w:val="9"/>
        <w:numPr>
          <w:ilvl w:val="3"/>
          <w:numId w:val="3"/>
        </w:numPr>
        <w:tabs>
          <w:tab w:val="left" w:pos="3718"/>
        </w:tabs>
        <w:spacing w:before="156" w:after="0" w:line="278" w:lineRule="auto"/>
        <w:ind w:left="3717" w:right="663" w:hanging="721"/>
        <w:jc w:val="left"/>
        <w:rPr>
          <w:sz w:val="21"/>
        </w:rPr>
      </w:pPr>
      <w:r>
        <w:rPr>
          <w:color w:val="000000"/>
          <w:spacing w:val="-2"/>
          <w:sz w:val="21"/>
          <w:shd w:val="clear" w:color="auto" w:fill="E4E4E4"/>
        </w:rPr>
        <w:t>被保险人怀孕（含宫外孕</w:t>
      </w:r>
      <w:r>
        <w:rPr>
          <w:color w:val="000000"/>
          <w:spacing w:val="-108"/>
          <w:sz w:val="21"/>
          <w:shd w:val="clear" w:color="auto" w:fill="E4E4E4"/>
        </w:rPr>
        <w:t>）</w:t>
      </w:r>
      <w:r>
        <w:rPr>
          <w:color w:val="000000"/>
          <w:spacing w:val="-2"/>
          <w:sz w:val="21"/>
          <w:shd w:val="clear" w:color="auto" w:fill="E4E4E4"/>
        </w:rPr>
        <w:t>、流产、分娩（含剖腹产</w:t>
      </w:r>
      <w:r>
        <w:rPr>
          <w:color w:val="000000"/>
          <w:spacing w:val="-108"/>
          <w:sz w:val="21"/>
          <w:shd w:val="clear" w:color="auto" w:fill="E4E4E4"/>
        </w:rPr>
        <w:t>）</w:t>
      </w:r>
      <w:r>
        <w:rPr>
          <w:color w:val="000000"/>
          <w:spacing w:val="-2"/>
          <w:sz w:val="21"/>
          <w:shd w:val="clear" w:color="auto" w:fill="E4E4E4"/>
        </w:rPr>
        <w:t>、避孕、绝育手</w:t>
      </w:r>
      <w:r>
        <w:rPr>
          <w:color w:val="000000"/>
          <w:spacing w:val="80"/>
          <w:w w:val="150"/>
          <w:sz w:val="21"/>
          <w:shd w:val="clear" w:color="auto" w:fill="E4E4E4"/>
        </w:rPr>
        <w:t xml:space="preserve">                                  </w:t>
      </w:r>
      <w:r>
        <w:rPr>
          <w:color w:val="000000"/>
          <w:sz w:val="21"/>
          <w:shd w:val="clear" w:color="auto" w:fill="E4E4E4"/>
        </w:rPr>
        <w:t>术、 治疗不孕不育症、人工受孕及由此导致的并发症；</w:t>
      </w:r>
    </w:p>
    <w:p>
      <w:pPr>
        <w:pStyle w:val="9"/>
        <w:numPr>
          <w:ilvl w:val="3"/>
          <w:numId w:val="3"/>
        </w:numPr>
        <w:tabs>
          <w:tab w:val="left" w:pos="3633"/>
        </w:tabs>
        <w:spacing w:before="156" w:after="0" w:line="240" w:lineRule="auto"/>
        <w:ind w:left="3632" w:right="0" w:hanging="636"/>
        <w:jc w:val="left"/>
        <w:rPr>
          <w:sz w:val="21"/>
        </w:rPr>
      </w:pPr>
      <w:r>
        <w:pict>
          <v:shape id="docshape3" o:spid="_x0000_s1028" o:spt="202" type="#_x0000_t202" style="position:absolute;left:0pt;margin-left:231.85pt;margin-top:23.2pt;height:13.7pt;width:312.05pt;mso-position-horizontal-relative:page;mso-wrap-distance-bottom:0pt;mso-wrap-distance-top:0pt;z-index:-251644928;mso-width-relative:page;mso-height-relative:page;" fillcolor="#E4E4E4" filled="t" stroked="f" coordsize="21600,21600">
            <v:path/>
            <v:fill on="t" focussize="0,0"/>
            <v:stroke on="f" joinstyle="miter"/>
            <v:imagedata o:title=""/>
            <o:lock v:ext="edit"/>
            <v:textbox inset="0mm,0mm,0mm,0mm">
              <w:txbxContent>
                <w:p>
                  <w:pPr>
                    <w:pStyle w:val="5"/>
                    <w:spacing w:before="3"/>
                    <w:rPr>
                      <w:color w:val="000000"/>
                    </w:rPr>
                  </w:pPr>
                  <w:r>
                    <w:rPr>
                      <w:color w:val="000000"/>
                      <w:spacing w:val="-2"/>
                    </w:rPr>
                    <w:t>食物或咀嚼其他外物引起的牙齿伤害的医疗费、咨询费、检查费</w:t>
                  </w:r>
                  <w:r>
                    <w:rPr>
                      <w:color w:val="000000"/>
                      <w:spacing w:val="-113"/>
                    </w:rPr>
                    <w:t>）</w:t>
                  </w:r>
                  <w:r>
                    <w:rPr>
                      <w:color w:val="000000"/>
                      <w:spacing w:val="-5"/>
                    </w:rPr>
                    <w:t>；</w:t>
                  </w:r>
                </w:p>
              </w:txbxContent>
            </v:textbox>
            <w10:wrap type="topAndBottom"/>
          </v:shape>
        </w:pict>
      </w:r>
      <w:r>
        <w:pict>
          <v:shape id="docshape4" o:spid="_x0000_s1029" o:spt="202" type="#_x0000_t202" style="position:absolute;left:0pt;margin-left:231.85pt;margin-top:7.6pt;height:13.7pt;width:312.05pt;mso-position-horizontal-relative:page;z-index:251662336;mso-width-relative:page;mso-height-relative:page;" fillcolor="#E4E4E4" filled="t" stroked="f" coordsize="21600,21600">
            <v:path/>
            <v:fill on="t" focussize="0,0"/>
            <v:stroke on="f" joinstyle="miter"/>
            <v:imagedata o:title=""/>
            <o:lock v:ext="edit"/>
            <v:textbox inset="0mm,0mm,0mm,0mm">
              <w:txbxContent>
                <w:p>
                  <w:pPr>
                    <w:pStyle w:val="5"/>
                    <w:spacing w:before="3"/>
                    <w:ind w:right="-15"/>
                    <w:rPr>
                      <w:color w:val="000000"/>
                    </w:rPr>
                  </w:pPr>
                  <w:r>
                    <w:rPr>
                      <w:color w:val="000000"/>
                      <w:spacing w:val="-5"/>
                    </w:rPr>
                    <w:t>除齿科意外伤害治疗外的其他齿科医疗及其他相关费用</w:t>
                  </w:r>
                  <w:r>
                    <w:rPr>
                      <w:color w:val="000000"/>
                      <w:spacing w:val="-2"/>
                    </w:rPr>
                    <w:t>（</w:t>
                  </w:r>
                  <w:r>
                    <w:rPr>
                      <w:color w:val="000000"/>
                      <w:spacing w:val="-4"/>
                    </w:rPr>
                    <w:t>包括对咀嚼</w:t>
                  </w:r>
                </w:p>
              </w:txbxContent>
            </v:textbox>
          </v:shape>
        </w:pict>
      </w:r>
      <w:r>
        <w:rPr>
          <w:spacing w:val="-4"/>
          <w:sz w:val="21"/>
        </w:rPr>
        <w:t>（11）</w:t>
      </w:r>
    </w:p>
    <w:p>
      <w:pPr>
        <w:pStyle w:val="5"/>
        <w:spacing w:before="11"/>
        <w:rPr>
          <w:sz w:val="9"/>
        </w:rPr>
      </w:pPr>
    </w:p>
    <w:p>
      <w:pPr>
        <w:pStyle w:val="9"/>
        <w:numPr>
          <w:ilvl w:val="3"/>
          <w:numId w:val="3"/>
        </w:numPr>
        <w:tabs>
          <w:tab w:val="left" w:pos="3718"/>
        </w:tabs>
        <w:spacing w:before="71" w:after="0" w:line="278" w:lineRule="auto"/>
        <w:ind w:left="3717" w:right="663" w:hanging="721"/>
        <w:jc w:val="both"/>
        <w:rPr>
          <w:sz w:val="21"/>
        </w:rPr>
      </w:pPr>
      <w:r>
        <w:rPr>
          <w:color w:val="000000"/>
          <w:spacing w:val="-2"/>
          <w:sz w:val="21"/>
          <w:shd w:val="clear" w:color="auto" w:fill="E4E4E4"/>
        </w:rPr>
        <w:t>被保险人因预防、康复、保健性或非疾病治疗类项目发生的医疗费用</w:t>
      </w:r>
      <w:r>
        <w:rPr>
          <w:color w:val="000000"/>
          <w:spacing w:val="12075"/>
          <w:sz w:val="21"/>
          <w:shd w:val="clear" w:color="auto" w:fill="E4E4E4"/>
        </w:rPr>
        <w:t xml:space="preserve"> </w:t>
      </w:r>
      <w:r>
        <w:rPr>
          <w:color w:val="000000"/>
          <w:spacing w:val="-8"/>
          <w:sz w:val="21"/>
          <w:shd w:val="clear" w:color="auto" w:fill="E4E4E4"/>
        </w:rPr>
        <w:t>与眼镜、 义齿、义眼、义肢、助听器等康复性器具包皮环切术、包皮</w:t>
      </w:r>
      <w:r>
        <w:rPr>
          <w:color w:val="000000"/>
          <w:spacing w:val="-2"/>
          <w:sz w:val="21"/>
          <w:shd w:val="clear" w:color="auto" w:fill="E4E4E4"/>
        </w:rPr>
        <w:t>剥离术、包皮气囊扩张术、性功能障碍治疗；</w:t>
      </w:r>
    </w:p>
    <w:p>
      <w:pPr>
        <w:pStyle w:val="9"/>
        <w:numPr>
          <w:ilvl w:val="3"/>
          <w:numId w:val="3"/>
        </w:numPr>
        <w:tabs>
          <w:tab w:val="left" w:pos="3718"/>
        </w:tabs>
        <w:spacing w:before="146" w:after="0" w:line="278" w:lineRule="auto"/>
        <w:ind w:left="3717" w:right="557" w:hanging="721"/>
        <w:jc w:val="left"/>
        <w:rPr>
          <w:sz w:val="21"/>
        </w:rPr>
      </w:pPr>
      <w:r>
        <w:rPr>
          <w:color w:val="000000"/>
          <w:w w:val="100"/>
          <w:sz w:val="21"/>
          <w:shd w:val="clear" w:color="auto" w:fill="E4E4E4"/>
        </w:rPr>
        <w:t>基因咨询、筛查、检查和治疗及其他相关费用，</w:t>
      </w:r>
      <w:r>
        <w:rPr>
          <w:b/>
          <w:color w:val="000000"/>
          <w:w w:val="100"/>
          <w:sz w:val="21"/>
          <w:shd w:val="clear" w:color="auto" w:fill="E4E4E4"/>
        </w:rPr>
        <w:t>试验性治疗</w:t>
      </w:r>
      <w:r>
        <w:rPr>
          <w:b/>
          <w:color w:val="000000"/>
          <w:spacing w:val="2"/>
          <w:w w:val="99"/>
          <w:position w:val="11"/>
          <w:sz w:val="11"/>
        </w:rPr>
        <w:t>49</w:t>
      </w:r>
      <w:r>
        <w:rPr>
          <w:color w:val="000000"/>
          <w:w w:val="100"/>
          <w:sz w:val="21"/>
          <w:shd w:val="clear" w:color="auto" w:fill="E4E4E4"/>
        </w:rPr>
        <w:t xml:space="preserve">费用，                                                                                                                      </w:t>
      </w:r>
      <w:r>
        <w:rPr>
          <w:color w:val="000000"/>
          <w:spacing w:val="-6"/>
          <w:w w:val="100"/>
          <w:sz w:val="21"/>
          <w:shd w:val="clear" w:color="auto" w:fill="E4E4E4"/>
        </w:rPr>
        <w:t>仅为改善或提高目前身体状况</w:t>
      </w:r>
      <w:r>
        <w:rPr>
          <w:color w:val="000000"/>
          <w:spacing w:val="-3"/>
          <w:w w:val="100"/>
          <w:sz w:val="21"/>
          <w:shd w:val="clear" w:color="auto" w:fill="E4E4E4"/>
        </w:rPr>
        <w:t>（包括但不限于中医调理</w:t>
      </w:r>
      <w:r>
        <w:rPr>
          <w:color w:val="000000"/>
          <w:spacing w:val="-34"/>
          <w:w w:val="100"/>
          <w:sz w:val="21"/>
          <w:shd w:val="clear" w:color="auto" w:fill="E4E4E4"/>
        </w:rPr>
        <w:t>）</w:t>
      </w:r>
      <w:r>
        <w:rPr>
          <w:color w:val="000000"/>
          <w:spacing w:val="-3"/>
          <w:w w:val="100"/>
          <w:sz w:val="21"/>
          <w:shd w:val="clear" w:color="auto" w:fill="E4E4E4"/>
        </w:rPr>
        <w:t>而发生的费</w:t>
      </w:r>
      <w:r>
        <w:rPr>
          <w:color w:val="000000"/>
          <w:spacing w:val="-9"/>
          <w:w w:val="100"/>
          <w:sz w:val="21"/>
          <w:shd w:val="clear" w:color="auto" w:fill="E4E4E4"/>
        </w:rPr>
        <w:t>用，成瘾性症状治疗费用，功能医学检查</w:t>
      </w:r>
      <w:r>
        <w:rPr>
          <w:color w:val="000000"/>
          <w:w w:val="100"/>
          <w:sz w:val="21"/>
          <w:shd w:val="clear" w:color="auto" w:fill="E4E4E4"/>
        </w:rPr>
        <w:t>（</w:t>
      </w:r>
      <w:r>
        <w:rPr>
          <w:color w:val="000000"/>
          <w:spacing w:val="-3"/>
          <w:w w:val="100"/>
          <w:sz w:val="21"/>
          <w:shd w:val="clear" w:color="auto" w:fill="E4E4E4"/>
        </w:rPr>
        <w:t>包括但不限于全套个人化</w:t>
      </w:r>
      <w:r>
        <w:rPr>
          <w:color w:val="000000"/>
          <w:spacing w:val="-17"/>
          <w:w w:val="100"/>
          <w:sz w:val="21"/>
          <w:shd w:val="clear" w:color="auto" w:fill="E4E4E4"/>
        </w:rPr>
        <w:t>营养评估、抗氧化维生素分析、氧化压力分析、营养与毒性元素分析、</w:t>
      </w:r>
      <w:r>
        <w:rPr>
          <w:color w:val="000000"/>
          <w:spacing w:val="-6"/>
          <w:w w:val="100"/>
          <w:sz w:val="21"/>
          <w:shd w:val="clear" w:color="auto" w:fill="E4E4E4"/>
        </w:rPr>
        <w:t>肠道免疫功能分析</w:t>
      </w:r>
      <w:r>
        <w:rPr>
          <w:color w:val="000000"/>
          <w:w w:val="100"/>
          <w:sz w:val="21"/>
          <w:shd w:val="clear" w:color="auto" w:fill="E4E4E4"/>
        </w:rPr>
        <w:t>）费。因恶性肿瘤-重度治疗需要在本公司指定或</w:t>
      </w:r>
      <w:r>
        <w:rPr>
          <w:color w:val="000000"/>
          <w:spacing w:val="-6"/>
          <w:w w:val="100"/>
          <w:sz w:val="21"/>
          <w:shd w:val="clear" w:color="auto" w:fill="E4E4E4"/>
        </w:rPr>
        <w:t>认可的医疗机构发生的基因检测费用不在此限，包括适配靶向药而发</w:t>
      </w:r>
      <w:r>
        <w:rPr>
          <w:color w:val="000000"/>
          <w:spacing w:val="-4"/>
          <w:w w:val="100"/>
          <w:sz w:val="21"/>
          <w:shd w:val="clear" w:color="auto" w:fill="E4E4E4"/>
        </w:rPr>
        <w:t>生的基因检测费用；</w:t>
      </w:r>
    </w:p>
    <w:p>
      <w:pPr>
        <w:pStyle w:val="9"/>
        <w:numPr>
          <w:ilvl w:val="3"/>
          <w:numId w:val="3"/>
        </w:numPr>
        <w:tabs>
          <w:tab w:val="left" w:pos="3718"/>
        </w:tabs>
        <w:spacing w:before="156" w:after="0" w:line="278" w:lineRule="auto"/>
        <w:ind w:left="3717" w:right="600" w:hanging="721"/>
        <w:jc w:val="both"/>
        <w:rPr>
          <w:sz w:val="21"/>
        </w:rPr>
      </w:pPr>
      <w:r>
        <w:rPr>
          <w:color w:val="000000"/>
          <w:spacing w:val="-2"/>
          <w:sz w:val="21"/>
          <w:shd w:val="clear" w:color="auto" w:fill="E4E4E4"/>
        </w:rPr>
        <w:t>非处方开具的药品和设备费用，抗光老化药物、美容用品、大剂量维</w:t>
      </w:r>
      <w:r>
        <w:rPr>
          <w:color w:val="000000"/>
          <w:spacing w:val="12075"/>
          <w:sz w:val="21"/>
          <w:shd w:val="clear" w:color="auto" w:fill="E4E4E4"/>
        </w:rPr>
        <w:t xml:space="preserve"> </w:t>
      </w:r>
      <w:r>
        <w:rPr>
          <w:color w:val="000000"/>
          <w:spacing w:val="-2"/>
          <w:sz w:val="21"/>
          <w:shd w:val="clear" w:color="auto" w:fill="E4E4E4"/>
        </w:rPr>
        <w:t>生素、维他命、健康滋补类中草药、膏方费，中草药代加工成粉剂、药丸、胶囊、胶或其他制剂发生的加工费，生长激素治疗及其他相关费用，眼镜、隐形眼镜费用；</w:t>
      </w:r>
    </w:p>
    <w:p>
      <w:pPr>
        <w:pStyle w:val="9"/>
        <w:numPr>
          <w:ilvl w:val="3"/>
          <w:numId w:val="3"/>
        </w:numPr>
        <w:tabs>
          <w:tab w:val="left" w:pos="3633"/>
        </w:tabs>
        <w:spacing w:before="155" w:after="0" w:line="240" w:lineRule="auto"/>
        <w:ind w:left="3632" w:right="0" w:hanging="636"/>
        <w:jc w:val="left"/>
        <w:rPr>
          <w:sz w:val="21"/>
        </w:rPr>
      </w:pPr>
      <w:r>
        <w:pict>
          <v:shape id="docshape5" o:spid="_x0000_s1030" o:spt="202" type="#_x0000_t202" style="position:absolute;left:0pt;margin-left:231.85pt;margin-top:23.15pt;height:13.7pt;width:312.05pt;mso-position-horizontal-relative:page;mso-wrap-distance-bottom:0pt;mso-wrap-distance-top:0pt;z-index:-251643904;mso-width-relative:page;mso-height-relative:page;" fillcolor="#E4E4E4" filled="t" stroked="f" coordsize="21600,21600">
            <v:path/>
            <v:fill on="t" focussize="0,0"/>
            <v:stroke on="f" joinstyle="miter"/>
            <v:imagedata o:title=""/>
            <o:lock v:ext="edit"/>
            <v:textbox inset="0mm,0mm,0mm,0mm">
              <w:txbxContent>
                <w:p>
                  <w:pPr>
                    <w:pStyle w:val="5"/>
                    <w:spacing w:before="3"/>
                    <w:ind w:right="-15"/>
                    <w:rPr>
                      <w:color w:val="000000"/>
                    </w:rPr>
                  </w:pPr>
                  <w:r>
                    <w:rPr>
                      <w:color w:val="000000"/>
                      <w:spacing w:val="-4"/>
                    </w:rPr>
                    <w:t>光原位角膜磨镶术，老视，屈光不正（近视、远视、散光）</w:t>
                  </w:r>
                  <w:r>
                    <w:rPr>
                      <w:color w:val="000000"/>
                      <w:spacing w:val="-6"/>
                    </w:rPr>
                    <w:t>校正手术</w:t>
                  </w:r>
                </w:p>
              </w:txbxContent>
            </v:textbox>
            <w10:wrap type="topAndBottom"/>
          </v:shape>
        </w:pict>
      </w:r>
      <w:r>
        <w:drawing>
          <wp:anchor distT="0" distB="0" distL="0" distR="0" simplePos="0" relativeHeight="251659264" behindDoc="0" locked="0" layoutInCell="1" allowOverlap="1">
            <wp:simplePos x="0" y="0"/>
            <wp:positionH relativeFrom="page">
              <wp:posOffset>685800</wp:posOffset>
            </wp:positionH>
            <wp:positionV relativeFrom="paragraph">
              <wp:posOffset>571500</wp:posOffset>
            </wp:positionV>
            <wp:extent cx="1829435" cy="6350"/>
            <wp:effectExtent l="0" t="0" r="0" b="0"/>
            <wp:wrapTopAndBottom/>
            <wp:docPr id="2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5.png"/>
                    <pic:cNvPicPr>
                      <a:picLocks noChangeAspect="1"/>
                    </pic:cNvPicPr>
                  </pic:nvPicPr>
                  <pic:blipFill>
                    <a:blip r:embed="rId10" cstate="print"/>
                    <a:stretch>
                      <a:fillRect/>
                    </a:stretch>
                  </pic:blipFill>
                  <pic:spPr>
                    <a:xfrm>
                      <a:off x="0" y="0"/>
                      <a:ext cx="1829511" cy="6095"/>
                    </a:xfrm>
                    <a:prstGeom prst="rect">
                      <a:avLst/>
                    </a:prstGeom>
                  </pic:spPr>
                </pic:pic>
              </a:graphicData>
            </a:graphic>
          </wp:anchor>
        </w:drawing>
      </w:r>
      <w:r>
        <w:pict>
          <v:shape id="docshape6" o:spid="_x0000_s1031" o:spt="202" type="#_x0000_t202" style="position:absolute;left:0pt;margin-left:231.85pt;margin-top:7.55pt;height:13.7pt;width:312.05pt;mso-position-horizontal-relative:page;z-index:251661312;mso-width-relative:page;mso-height-relative:page;" fillcolor="#E4E4E4" filled="t" stroked="f" coordsize="21600,21600">
            <v:path/>
            <v:fill on="t" focussize="0,0"/>
            <v:stroke on="f" joinstyle="miter"/>
            <v:imagedata o:title=""/>
            <o:lock v:ext="edit"/>
            <v:textbox inset="0mm,0mm,0mm,0mm">
              <w:txbxContent>
                <w:p>
                  <w:pPr>
                    <w:pStyle w:val="5"/>
                    <w:spacing w:before="3"/>
                    <w:ind w:right="-15"/>
                    <w:rPr>
                      <w:color w:val="000000"/>
                    </w:rPr>
                  </w:pPr>
                  <w:r>
                    <w:rPr>
                      <w:color w:val="000000"/>
                      <w:spacing w:val="-4"/>
                    </w:rPr>
                    <w:t>视觉治疗及其他相关费用（</w:t>
                  </w:r>
                  <w:r>
                    <w:rPr>
                      <w:color w:val="000000"/>
                      <w:spacing w:val="-5"/>
                    </w:rPr>
                    <w:t>包括但不限于激光角膜切开术，准分子激</w:t>
                  </w:r>
                </w:p>
              </w:txbxContent>
            </v:textbox>
          </v:shape>
        </w:pict>
      </w:r>
      <w:r>
        <w:rPr>
          <w:spacing w:val="-4"/>
          <w:sz w:val="21"/>
        </w:rPr>
        <w:t>（15）</w:t>
      </w:r>
    </w:p>
    <w:p>
      <w:pPr>
        <w:pStyle w:val="5"/>
        <w:spacing w:before="11"/>
        <w:rPr>
          <w:sz w:val="10"/>
        </w:rPr>
      </w:pPr>
    </w:p>
    <w:p>
      <w:pPr>
        <w:spacing w:before="91"/>
        <w:ind w:left="160" w:right="0" w:firstLine="0"/>
        <w:jc w:val="left"/>
        <w:rPr>
          <w:rFonts w:ascii="楷体" w:eastAsia="楷体"/>
          <w:sz w:val="18"/>
        </w:rPr>
      </w:pPr>
      <w:r>
        <w:rPr>
          <w:rFonts w:ascii="楷体" w:eastAsia="楷体"/>
          <w:w w:val="95"/>
          <w:position w:val="9"/>
          <w:sz w:val="9"/>
        </w:rPr>
        <w:t>44</w:t>
      </w:r>
      <w:r>
        <w:rPr>
          <w:rFonts w:hint="eastAsia" w:ascii="楷体" w:eastAsia="楷体"/>
          <w:b/>
          <w:w w:val="95"/>
          <w:sz w:val="18"/>
        </w:rPr>
        <w:t>先天性疾病：</w:t>
      </w:r>
      <w:r>
        <w:rPr>
          <w:rFonts w:ascii="楷体" w:eastAsia="楷体"/>
          <w:w w:val="95"/>
          <w:sz w:val="18"/>
        </w:rPr>
        <w:t>指被保险人一出生时就具有的疾病（症状或体征</w:t>
      </w:r>
      <w:r>
        <w:rPr>
          <w:rFonts w:ascii="楷体" w:eastAsia="楷体"/>
          <w:spacing w:val="-89"/>
          <w:w w:val="95"/>
          <w:sz w:val="18"/>
        </w:rPr>
        <w:t>）</w:t>
      </w:r>
      <w:r>
        <w:rPr>
          <w:rFonts w:ascii="楷体" w:eastAsia="楷体"/>
          <w:w w:val="95"/>
          <w:sz w:val="18"/>
        </w:rPr>
        <w:t>。这些疾病是指因人的遗传物质（包括染色体以及位于</w:t>
      </w:r>
      <w:r>
        <w:rPr>
          <w:rFonts w:ascii="楷体" w:eastAsia="楷体"/>
          <w:spacing w:val="-5"/>
          <w:w w:val="95"/>
          <w:sz w:val="18"/>
        </w:rPr>
        <w:t>其中</w:t>
      </w:r>
    </w:p>
    <w:p>
      <w:pPr>
        <w:spacing w:before="3" w:line="242" w:lineRule="auto"/>
        <w:ind w:left="160" w:right="715" w:firstLine="0"/>
        <w:jc w:val="both"/>
        <w:rPr>
          <w:rFonts w:ascii="楷体" w:eastAsia="楷体"/>
          <w:sz w:val="18"/>
        </w:rPr>
      </w:pPr>
      <w:r>
        <w:rPr>
          <w:rFonts w:ascii="楷体" w:eastAsia="楷体"/>
          <w:spacing w:val="-2"/>
          <w:sz w:val="18"/>
        </w:rPr>
        <w:t>的基因）发生了对人体有害的改变而引起的，或因母亲怀孕期间受到内外环境中某些物理、化学和生物等因素的作用，使胎儿局部体细胞发育异常，导致婴儿出生时有关器官、系统在结构或功能上呈现异常。以世界卫生组织颁布的《疾病和有关健康问题的国际统计分类（ICD-10）》为准。</w:t>
      </w:r>
    </w:p>
    <w:p>
      <w:pPr>
        <w:spacing w:before="2" w:line="242" w:lineRule="auto"/>
        <w:ind w:left="160" w:right="827" w:firstLine="0"/>
        <w:jc w:val="left"/>
        <w:rPr>
          <w:rFonts w:ascii="楷体" w:eastAsia="楷体"/>
          <w:sz w:val="18"/>
        </w:rPr>
      </w:pPr>
      <w:r>
        <w:rPr>
          <w:position w:val="9"/>
          <w:sz w:val="9"/>
        </w:rPr>
        <w:t>45</w:t>
      </w:r>
      <w:r>
        <w:rPr>
          <w:rFonts w:hint="eastAsia" w:ascii="楷体" w:eastAsia="楷体"/>
          <w:b/>
          <w:sz w:val="18"/>
        </w:rPr>
        <w:t>遗传性疾病</w:t>
      </w:r>
      <w:r>
        <w:rPr>
          <w:rFonts w:hint="eastAsia" w:ascii="楷体" w:eastAsia="楷体"/>
          <w:b/>
          <w:spacing w:val="-12"/>
          <w:sz w:val="18"/>
        </w:rPr>
        <w:t xml:space="preserve">: </w:t>
      </w:r>
      <w:r>
        <w:rPr>
          <w:rFonts w:ascii="楷体" w:eastAsia="楷体"/>
          <w:sz w:val="18"/>
        </w:rPr>
        <w:t>指生殖细胞或受精卵的遗传物质（染色体和基因）发生突变或畸变所引起的疾病，通常具有由亲代传至后代</w:t>
      </w:r>
      <w:r>
        <w:rPr>
          <w:rFonts w:ascii="楷体" w:eastAsia="楷体"/>
          <w:spacing w:val="-2"/>
          <w:sz w:val="18"/>
        </w:rPr>
        <w:t>的垂直传递的特征。</w:t>
      </w:r>
    </w:p>
    <w:p>
      <w:pPr>
        <w:spacing w:before="2" w:line="242" w:lineRule="auto"/>
        <w:ind w:left="160" w:right="820" w:firstLine="0"/>
        <w:jc w:val="left"/>
        <w:rPr>
          <w:rFonts w:ascii="楷体" w:eastAsia="楷体"/>
          <w:sz w:val="18"/>
        </w:rPr>
      </w:pPr>
      <w:r>
        <w:rPr>
          <w:position w:val="9"/>
          <w:sz w:val="9"/>
        </w:rPr>
        <w:t>46</w:t>
      </w:r>
      <w:r>
        <w:rPr>
          <w:rFonts w:hint="eastAsia" w:ascii="楷体" w:eastAsia="楷体"/>
          <w:b/>
          <w:sz w:val="18"/>
        </w:rPr>
        <w:t>先天性畸形、变形或染色体异</w:t>
      </w:r>
      <w:r>
        <w:rPr>
          <w:rFonts w:hint="eastAsia" w:ascii="楷体" w:eastAsia="楷体"/>
          <w:b/>
          <w:spacing w:val="-8"/>
          <w:sz w:val="18"/>
        </w:rPr>
        <w:t xml:space="preserve">常: </w:t>
      </w:r>
      <w:r>
        <w:rPr>
          <w:rFonts w:ascii="楷体" w:eastAsia="楷体"/>
          <w:sz w:val="18"/>
        </w:rPr>
        <w:t>指被保险人出生时就具有的畸形、变形或染色体异常。先天性畸形、变形和染色体异常</w:t>
      </w:r>
      <w:r>
        <w:rPr>
          <w:rFonts w:ascii="楷体" w:eastAsia="楷体"/>
          <w:spacing w:val="-6"/>
          <w:sz w:val="18"/>
        </w:rPr>
        <w:t>依照世界卫生组织《疾病和有关健康问题的国际统计分类》</w:t>
      </w:r>
      <w:r>
        <w:rPr>
          <w:rFonts w:ascii="楷体" w:eastAsia="楷体"/>
          <w:spacing w:val="-2"/>
          <w:sz w:val="18"/>
        </w:rPr>
        <w:t>（ICD-10）确定。</w:t>
      </w:r>
    </w:p>
    <w:p>
      <w:pPr>
        <w:spacing w:before="0" w:line="230" w:lineRule="exact"/>
        <w:ind w:left="160" w:right="0" w:firstLine="0"/>
        <w:jc w:val="left"/>
        <w:rPr>
          <w:rFonts w:ascii="楷体" w:eastAsia="楷体"/>
          <w:sz w:val="18"/>
        </w:rPr>
      </w:pPr>
      <w:r>
        <w:rPr>
          <w:rFonts w:ascii="楷体" w:eastAsia="楷体"/>
          <w:w w:val="95"/>
          <w:position w:val="9"/>
          <w:sz w:val="9"/>
        </w:rPr>
        <w:t>47</w:t>
      </w:r>
      <w:r>
        <w:rPr>
          <w:rFonts w:hint="eastAsia" w:ascii="楷体" w:eastAsia="楷体"/>
          <w:b/>
          <w:w w:val="95"/>
          <w:sz w:val="18"/>
        </w:rPr>
        <w:t>艾滋病：</w:t>
      </w:r>
      <w:r>
        <w:rPr>
          <w:rFonts w:ascii="楷体" w:eastAsia="楷体"/>
          <w:w w:val="95"/>
          <w:sz w:val="18"/>
        </w:rPr>
        <w:t>指获得性免疫缺陷综合症的简称。获得性免疫缺陷综合症的定义，以世界卫生组织制定的定义为准。如果在被</w:t>
      </w:r>
      <w:r>
        <w:rPr>
          <w:rFonts w:ascii="楷体" w:eastAsia="楷体"/>
          <w:spacing w:val="-10"/>
          <w:w w:val="95"/>
          <w:sz w:val="18"/>
        </w:rPr>
        <w:t>保</w:t>
      </w:r>
    </w:p>
    <w:p>
      <w:pPr>
        <w:spacing w:before="2"/>
        <w:ind w:left="160" w:right="0" w:firstLine="0"/>
        <w:jc w:val="left"/>
        <w:rPr>
          <w:rFonts w:ascii="楷体" w:eastAsia="楷体"/>
          <w:sz w:val="18"/>
        </w:rPr>
      </w:pPr>
      <w:r>
        <w:rPr>
          <w:rFonts w:ascii="楷体" w:eastAsia="楷体"/>
          <w:spacing w:val="-1"/>
          <w:sz w:val="18"/>
        </w:rPr>
        <w:t>险人的血液样本中发现艾滋病病毒或其抗体，则认定被保险人己被艾滋病病毒感染或患艾滋病。</w:t>
      </w:r>
    </w:p>
    <w:p>
      <w:pPr>
        <w:spacing w:before="4"/>
        <w:ind w:left="160" w:right="0" w:firstLine="0"/>
        <w:jc w:val="left"/>
        <w:rPr>
          <w:rFonts w:ascii="楷体" w:eastAsia="楷体"/>
          <w:sz w:val="18"/>
        </w:rPr>
      </w:pPr>
      <w:r>
        <w:rPr>
          <w:rFonts w:ascii="楷体" w:eastAsia="楷体"/>
          <w:w w:val="95"/>
          <w:position w:val="9"/>
          <w:sz w:val="9"/>
        </w:rPr>
        <w:t>48</w:t>
      </w:r>
      <w:r>
        <w:rPr>
          <w:rFonts w:hint="eastAsia" w:ascii="楷体" w:eastAsia="楷体"/>
          <w:b/>
          <w:w w:val="95"/>
          <w:sz w:val="18"/>
        </w:rPr>
        <w:t>艾滋病病毒：</w:t>
      </w:r>
      <w:r>
        <w:rPr>
          <w:rFonts w:ascii="楷体" w:eastAsia="楷体"/>
          <w:w w:val="95"/>
          <w:sz w:val="18"/>
        </w:rPr>
        <w:t>指获得性免疫缺陷病毒的简称</w:t>
      </w:r>
      <w:r>
        <w:rPr>
          <w:rFonts w:ascii="楷体" w:eastAsia="楷体"/>
          <w:spacing w:val="-10"/>
          <w:w w:val="95"/>
          <w:sz w:val="18"/>
        </w:rPr>
        <w:t>。</w:t>
      </w:r>
    </w:p>
    <w:p>
      <w:pPr>
        <w:spacing w:before="3"/>
        <w:ind w:left="160" w:right="0" w:firstLine="0"/>
        <w:jc w:val="left"/>
        <w:rPr>
          <w:rFonts w:ascii="楷体" w:eastAsia="楷体"/>
          <w:sz w:val="18"/>
        </w:rPr>
      </w:pPr>
      <w:r>
        <w:rPr>
          <w:rFonts w:ascii="楷体" w:eastAsia="楷体"/>
          <w:w w:val="95"/>
          <w:position w:val="9"/>
          <w:sz w:val="9"/>
        </w:rPr>
        <w:t>49</w:t>
      </w:r>
      <w:r>
        <w:rPr>
          <w:rFonts w:hint="eastAsia" w:ascii="楷体" w:eastAsia="楷体"/>
          <w:b/>
          <w:w w:val="95"/>
          <w:sz w:val="18"/>
        </w:rPr>
        <w:t>试验性治疗：</w:t>
      </w:r>
      <w:r>
        <w:rPr>
          <w:rFonts w:ascii="楷体" w:eastAsia="楷体"/>
          <w:w w:val="95"/>
          <w:sz w:val="18"/>
        </w:rPr>
        <w:t>指不符合被保险人接受医疗所在地医学界认可实践的治疗方法、手段、设备、药品等</w:t>
      </w:r>
      <w:r>
        <w:rPr>
          <w:rFonts w:ascii="楷体" w:eastAsia="楷体"/>
          <w:spacing w:val="-10"/>
          <w:w w:val="95"/>
          <w:sz w:val="18"/>
        </w:rPr>
        <w:t>。</w:t>
      </w:r>
    </w:p>
    <w:p>
      <w:pPr>
        <w:spacing w:after="0"/>
        <w:jc w:val="left"/>
        <w:rPr>
          <w:rFonts w:ascii="楷体" w:eastAsia="楷体"/>
          <w:sz w:val="18"/>
        </w:rPr>
        <w:sectPr>
          <w:pgSz w:w="11910" w:h="16840"/>
          <w:pgMar w:top="1360" w:right="360" w:bottom="280" w:left="920" w:header="720" w:footer="720" w:gutter="0"/>
          <w:cols w:space="720" w:num="1"/>
        </w:sectPr>
      </w:pPr>
    </w:p>
    <w:p>
      <w:pPr>
        <w:pStyle w:val="5"/>
        <w:spacing w:before="44" w:line="278" w:lineRule="auto"/>
        <w:ind w:left="3717" w:right="663"/>
        <w:jc w:val="both"/>
      </w:pPr>
      <w:r>
        <w:rPr>
          <w:color w:val="000000"/>
          <w:spacing w:val="-6"/>
          <w:shd w:val="clear" w:color="auto" w:fill="E4E4E4"/>
        </w:rPr>
        <w:t>及其他相关费用</w:t>
      </w:r>
      <w:r>
        <w:rPr>
          <w:color w:val="000000"/>
          <w:spacing w:val="-75"/>
          <w:shd w:val="clear" w:color="auto" w:fill="E4E4E4"/>
        </w:rPr>
        <w:t>）</w:t>
      </w:r>
      <w:r>
        <w:rPr>
          <w:color w:val="000000"/>
          <w:spacing w:val="-15"/>
          <w:shd w:val="clear" w:color="auto" w:fill="E4E4E4"/>
        </w:rPr>
        <w:t>，任何用于治疗弱足、矫形足、不稳足、扁平足或足</w:t>
      </w:r>
      <w:r>
        <w:rPr>
          <w:color w:val="000000"/>
          <w:spacing w:val="40"/>
          <w:shd w:val="clear" w:color="auto" w:fill="E4E4E4"/>
        </w:rPr>
        <w:t xml:space="preserve"> </w:t>
      </w:r>
      <w:r>
        <w:rPr>
          <w:color w:val="000000"/>
          <w:spacing w:val="-20"/>
          <w:shd w:val="clear" w:color="auto" w:fill="E4E4E4"/>
        </w:rPr>
        <w:t>弓塌陷的器材费，任何与跗骨、跖骨相关的治疗费，对脚表面损害</w:t>
      </w:r>
      <w:r>
        <w:rPr>
          <w:color w:val="000000"/>
          <w:spacing w:val="-2"/>
          <w:shd w:val="clear" w:color="auto" w:fill="E4E4E4"/>
        </w:rPr>
        <w:t>（如鸡眼、老茧、角质化）医疗（但有关骨外露、肌腱或韧带的手术不在此限）费；</w:t>
      </w:r>
    </w:p>
    <w:p>
      <w:pPr>
        <w:pStyle w:val="9"/>
        <w:numPr>
          <w:ilvl w:val="3"/>
          <w:numId w:val="3"/>
        </w:numPr>
        <w:tabs>
          <w:tab w:val="left" w:pos="3633"/>
        </w:tabs>
        <w:spacing w:before="156" w:after="0" w:line="240" w:lineRule="auto"/>
        <w:ind w:left="3632" w:right="0" w:hanging="636"/>
        <w:jc w:val="left"/>
        <w:rPr>
          <w:sz w:val="21"/>
        </w:rPr>
      </w:pPr>
      <w:r>
        <w:pict>
          <v:shape id="docshape7" o:spid="_x0000_s1032" o:spt="202" type="#_x0000_t202" style="position:absolute;left:0pt;margin-left:231.85pt;margin-top:7.6pt;height:60.4pt;width:312.05pt;mso-position-horizontal-relative:page;z-index:251663360;mso-width-relative:page;mso-height-relative:page;" filled="f" stroked="f" coordsize="21600,21600">
            <v:path/>
            <v:fill on="f" focussize="0,0"/>
            <v:stroke on="f" joinstyle="miter"/>
            <v:imagedata o:title=""/>
            <o:lock v:ext="edit"/>
            <v:textbox inset="0mm,0mm,0mm,0mm">
              <w:txbxContent>
                <w:tbl>
                  <w:tblPr>
                    <w:tblStyle w:val="6"/>
                    <w:tblW w:w="0" w:type="auto"/>
                    <w:tblCellSpacing w:w="19" w:type="dxa"/>
                    <w:tblInd w:w="2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62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70" w:hRule="atLeast"/>
                      <w:tblCellSpacing w:w="19" w:type="dxa"/>
                    </w:trPr>
                    <w:tc>
                      <w:tcPr>
                        <w:tcW w:w="6241" w:type="dxa"/>
                        <w:tcBorders>
                          <w:bottom w:val="nil"/>
                        </w:tcBorders>
                        <w:shd w:val="clear" w:color="auto" w:fill="E4E4E4"/>
                      </w:tcPr>
                      <w:p>
                        <w:pPr>
                          <w:pStyle w:val="10"/>
                          <w:spacing w:before="3" w:line="247" w:lineRule="exact"/>
                          <w:rPr>
                            <w:sz w:val="21"/>
                          </w:rPr>
                        </w:pPr>
                        <w:r>
                          <w:rPr>
                            <w:spacing w:val="-4"/>
                            <w:sz w:val="21"/>
                          </w:rPr>
                          <w:t>自动轮椅或自动床、舒适设备（如电话托臂和床上多用桌）</w:t>
                        </w:r>
                        <w:r>
                          <w:rPr>
                            <w:spacing w:val="-6"/>
                            <w:sz w:val="21"/>
                          </w:rPr>
                          <w:t>费，空气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6" w:hRule="atLeast"/>
                      <w:tblCellSpacing w:w="19" w:type="dxa"/>
                    </w:trPr>
                    <w:tc>
                      <w:tcPr>
                        <w:tcW w:w="6241" w:type="dxa"/>
                        <w:tcBorders>
                          <w:top w:val="nil"/>
                          <w:bottom w:val="nil"/>
                        </w:tcBorders>
                        <w:shd w:val="clear" w:color="auto" w:fill="E4E4E4"/>
                      </w:tcPr>
                      <w:p>
                        <w:pPr>
                          <w:pStyle w:val="10"/>
                          <w:spacing w:before="0" w:line="247" w:lineRule="exact"/>
                          <w:ind w:right="-72"/>
                          <w:rPr>
                            <w:sz w:val="21"/>
                          </w:rPr>
                        </w:pPr>
                        <w:r>
                          <w:rPr>
                            <w:spacing w:val="-2"/>
                            <w:sz w:val="21"/>
                          </w:rPr>
                          <w:t>质量或温度调控设备（如空调、湿度调节器、除湿器和空气净化器</w:t>
                        </w:r>
                        <w:r>
                          <w:rPr>
                            <w:spacing w:val="-10"/>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7" w:hRule="atLeast"/>
                      <w:tblCellSpacing w:w="19" w:type="dxa"/>
                    </w:trPr>
                    <w:tc>
                      <w:tcPr>
                        <w:tcW w:w="6241" w:type="dxa"/>
                        <w:tcBorders>
                          <w:top w:val="nil"/>
                          <w:bottom w:val="nil"/>
                        </w:tcBorders>
                        <w:shd w:val="clear" w:color="auto" w:fill="E4E4E4"/>
                      </w:tcPr>
                      <w:p>
                        <w:pPr>
                          <w:pStyle w:val="10"/>
                          <w:spacing w:before="0" w:line="247" w:lineRule="exact"/>
                          <w:ind w:right="-15"/>
                          <w:rPr>
                            <w:sz w:val="21"/>
                          </w:rPr>
                        </w:pPr>
                        <w:r>
                          <w:rPr>
                            <w:spacing w:val="-5"/>
                            <w:sz w:val="21"/>
                          </w:rPr>
                          <w:t>费，健身脚踏车、太阳能或加热灯、加热垫、坐浴盆、盥洗凳、浴缸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70" w:hRule="atLeast"/>
                      <w:tblCellSpacing w:w="19" w:type="dxa"/>
                    </w:trPr>
                    <w:tc>
                      <w:tcPr>
                        <w:tcW w:w="6241" w:type="dxa"/>
                        <w:tcBorders>
                          <w:top w:val="nil"/>
                        </w:tcBorders>
                        <w:shd w:val="clear" w:color="auto" w:fill="E4E4E4"/>
                      </w:tcPr>
                      <w:p>
                        <w:pPr>
                          <w:pStyle w:val="10"/>
                          <w:spacing w:before="0" w:line="250" w:lineRule="exact"/>
                          <w:rPr>
                            <w:sz w:val="21"/>
                          </w:rPr>
                        </w:pPr>
                        <w:r>
                          <w:rPr>
                            <w:spacing w:val="-3"/>
                            <w:sz w:val="21"/>
                          </w:rPr>
                          <w:t>凳、桑拿浴、升降机、涡流按摩浴、健身器材及其他类似设备费；</w:t>
                        </w:r>
                      </w:p>
                    </w:tc>
                  </w:tr>
                </w:tbl>
                <w:p>
                  <w:pPr>
                    <w:pStyle w:val="5"/>
                  </w:pPr>
                </w:p>
              </w:txbxContent>
            </v:textbox>
          </v:shape>
        </w:pict>
      </w:r>
      <w:r>
        <w:rPr>
          <w:spacing w:val="-4"/>
          <w:sz w:val="21"/>
        </w:rPr>
        <w:t>（16）</w:t>
      </w:r>
    </w:p>
    <w:p>
      <w:pPr>
        <w:pStyle w:val="5"/>
        <w:rPr>
          <w:sz w:val="20"/>
        </w:rPr>
      </w:pPr>
    </w:p>
    <w:p>
      <w:pPr>
        <w:pStyle w:val="5"/>
        <w:rPr>
          <w:sz w:val="20"/>
        </w:rPr>
      </w:pPr>
    </w:p>
    <w:p>
      <w:pPr>
        <w:pStyle w:val="5"/>
        <w:rPr>
          <w:sz w:val="20"/>
        </w:rPr>
      </w:pPr>
    </w:p>
    <w:p>
      <w:pPr>
        <w:pStyle w:val="5"/>
        <w:spacing w:before="2"/>
      </w:pPr>
    </w:p>
    <w:p>
      <w:pPr>
        <w:pStyle w:val="9"/>
        <w:numPr>
          <w:ilvl w:val="3"/>
          <w:numId w:val="3"/>
        </w:numPr>
        <w:tabs>
          <w:tab w:val="left" w:pos="3718"/>
        </w:tabs>
        <w:spacing w:before="85" w:after="0" w:line="278" w:lineRule="auto"/>
        <w:ind w:left="3717" w:right="661" w:hanging="721"/>
        <w:jc w:val="both"/>
        <w:rPr>
          <w:sz w:val="21"/>
        </w:rPr>
      </w:pPr>
      <w:r>
        <w:rPr>
          <w:b/>
          <w:color w:val="000000"/>
          <w:spacing w:val="-4"/>
          <w:sz w:val="21"/>
          <w:shd w:val="clear" w:color="auto" w:fill="E4E4E4"/>
        </w:rPr>
        <w:t>恐怖袭击</w:t>
      </w:r>
      <w:r>
        <w:rPr>
          <w:b/>
          <w:color w:val="000000"/>
          <w:spacing w:val="-4"/>
          <w:position w:val="11"/>
          <w:sz w:val="11"/>
        </w:rPr>
        <w:t>50</w:t>
      </w:r>
      <w:r>
        <w:rPr>
          <w:color w:val="000000"/>
          <w:spacing w:val="-4"/>
          <w:sz w:val="21"/>
          <w:shd w:val="clear" w:color="auto" w:fill="E4E4E4"/>
        </w:rPr>
        <w:t>、</w:t>
      </w:r>
      <w:r>
        <w:rPr>
          <w:b/>
          <w:color w:val="000000"/>
          <w:spacing w:val="-4"/>
          <w:sz w:val="21"/>
          <w:shd w:val="clear" w:color="auto" w:fill="E4E4E4"/>
        </w:rPr>
        <w:t>战争</w:t>
      </w:r>
      <w:r>
        <w:rPr>
          <w:b/>
          <w:color w:val="000000"/>
          <w:spacing w:val="-4"/>
          <w:position w:val="11"/>
          <w:sz w:val="11"/>
        </w:rPr>
        <w:t>51</w:t>
      </w:r>
      <w:r>
        <w:rPr>
          <w:color w:val="000000"/>
          <w:spacing w:val="-4"/>
          <w:sz w:val="21"/>
          <w:shd w:val="clear" w:color="auto" w:fill="E4E4E4"/>
        </w:rPr>
        <w:t>、</w:t>
      </w:r>
      <w:r>
        <w:rPr>
          <w:b/>
          <w:color w:val="000000"/>
          <w:spacing w:val="-4"/>
          <w:sz w:val="21"/>
          <w:shd w:val="clear" w:color="auto" w:fill="E4E4E4"/>
        </w:rPr>
        <w:t>军事冲突</w:t>
      </w:r>
      <w:r>
        <w:rPr>
          <w:b/>
          <w:color w:val="000000"/>
          <w:spacing w:val="-4"/>
          <w:position w:val="11"/>
          <w:sz w:val="11"/>
        </w:rPr>
        <w:t>52</w:t>
      </w:r>
      <w:r>
        <w:rPr>
          <w:color w:val="000000"/>
          <w:spacing w:val="-4"/>
          <w:sz w:val="21"/>
          <w:shd w:val="clear" w:color="auto" w:fill="E4E4E4"/>
        </w:rPr>
        <w:t>、</w:t>
      </w:r>
      <w:r>
        <w:rPr>
          <w:b/>
          <w:color w:val="000000"/>
          <w:spacing w:val="-4"/>
          <w:sz w:val="21"/>
          <w:shd w:val="clear" w:color="auto" w:fill="E4E4E4"/>
        </w:rPr>
        <w:t>暴乱</w:t>
      </w:r>
      <w:r>
        <w:rPr>
          <w:b/>
          <w:color w:val="000000"/>
          <w:spacing w:val="-4"/>
          <w:position w:val="11"/>
          <w:sz w:val="11"/>
        </w:rPr>
        <w:t>53</w:t>
      </w:r>
      <w:r>
        <w:rPr>
          <w:color w:val="000000"/>
          <w:spacing w:val="-4"/>
          <w:sz w:val="21"/>
          <w:shd w:val="clear" w:color="auto" w:fill="E4E4E4"/>
        </w:rPr>
        <w:t>或武装叛乱，核爆炸、核辐射</w:t>
      </w:r>
      <w:r>
        <w:rPr>
          <w:color w:val="000000"/>
          <w:spacing w:val="-2"/>
          <w:sz w:val="21"/>
          <w:shd w:val="clear" w:color="auto" w:fill="E4E4E4"/>
        </w:rPr>
        <w:t>或核污染；</w:t>
      </w:r>
    </w:p>
    <w:p>
      <w:pPr>
        <w:pStyle w:val="9"/>
        <w:numPr>
          <w:ilvl w:val="3"/>
          <w:numId w:val="3"/>
        </w:numPr>
        <w:tabs>
          <w:tab w:val="left" w:pos="3718"/>
        </w:tabs>
        <w:spacing w:before="146" w:after="0" w:line="276" w:lineRule="auto"/>
        <w:ind w:left="3717" w:right="661" w:hanging="721"/>
        <w:jc w:val="both"/>
        <w:rPr>
          <w:sz w:val="21"/>
        </w:rPr>
      </w:pPr>
      <w:r>
        <w:rPr>
          <w:color w:val="000000"/>
          <w:spacing w:val="-2"/>
          <w:sz w:val="21"/>
          <w:shd w:val="clear" w:color="auto" w:fill="E4E4E4"/>
        </w:rPr>
        <w:t>被保险人从事</w:t>
      </w:r>
      <w:r>
        <w:rPr>
          <w:b/>
          <w:color w:val="000000"/>
          <w:spacing w:val="-2"/>
          <w:sz w:val="21"/>
          <w:shd w:val="clear" w:color="auto" w:fill="E4E4E4"/>
        </w:rPr>
        <w:t>潜水</w:t>
      </w:r>
      <w:r>
        <w:rPr>
          <w:b/>
          <w:color w:val="000000"/>
          <w:spacing w:val="-2"/>
          <w:position w:val="11"/>
          <w:sz w:val="11"/>
        </w:rPr>
        <w:t>54</w:t>
      </w:r>
      <w:r>
        <w:rPr>
          <w:color w:val="000000"/>
          <w:spacing w:val="-2"/>
          <w:sz w:val="21"/>
          <w:shd w:val="clear" w:color="auto" w:fill="E4E4E4"/>
        </w:rPr>
        <w:t>、跳伞、</w:t>
      </w:r>
      <w:r>
        <w:rPr>
          <w:b/>
          <w:color w:val="000000"/>
          <w:spacing w:val="-2"/>
          <w:sz w:val="21"/>
          <w:shd w:val="clear" w:color="auto" w:fill="E4E4E4"/>
        </w:rPr>
        <w:t>攀岩</w:t>
      </w:r>
      <w:r>
        <w:rPr>
          <w:b/>
          <w:color w:val="000000"/>
          <w:spacing w:val="-2"/>
          <w:position w:val="11"/>
          <w:sz w:val="11"/>
        </w:rPr>
        <w:t>55</w:t>
      </w:r>
      <w:r>
        <w:rPr>
          <w:color w:val="000000"/>
          <w:spacing w:val="-2"/>
          <w:sz w:val="21"/>
          <w:shd w:val="clear" w:color="auto" w:fill="E4E4E4"/>
        </w:rPr>
        <w:t>、蹦极、驾驶滑翔机/滑翔伞、</w:t>
      </w:r>
      <w:r>
        <w:rPr>
          <w:b/>
          <w:color w:val="000000"/>
          <w:spacing w:val="-2"/>
          <w:sz w:val="21"/>
          <w:shd w:val="clear" w:color="auto" w:fill="E4E4E4"/>
        </w:rPr>
        <w:t>探</w:t>
      </w:r>
      <w:r>
        <w:rPr>
          <w:b/>
          <w:color w:val="000000"/>
          <w:spacing w:val="40"/>
          <w:sz w:val="21"/>
          <w:shd w:val="clear" w:color="auto" w:fill="E4E4E4"/>
        </w:rPr>
        <w:t xml:space="preserve"> </w:t>
      </w:r>
      <w:r>
        <w:rPr>
          <w:b/>
          <w:color w:val="000000"/>
          <w:spacing w:val="-2"/>
          <w:sz w:val="21"/>
          <w:shd w:val="clear" w:color="auto" w:fill="E4E4E4"/>
        </w:rPr>
        <w:t>险</w:t>
      </w:r>
      <w:r>
        <w:rPr>
          <w:b/>
          <w:color w:val="000000"/>
          <w:spacing w:val="-2"/>
          <w:position w:val="11"/>
          <w:sz w:val="11"/>
        </w:rPr>
        <w:t>56</w:t>
      </w:r>
      <w:r>
        <w:rPr>
          <w:color w:val="000000"/>
          <w:spacing w:val="-2"/>
          <w:sz w:val="21"/>
          <w:shd w:val="clear" w:color="auto" w:fill="E4E4E4"/>
        </w:rPr>
        <w:t>、摔跤、</w:t>
      </w:r>
      <w:r>
        <w:rPr>
          <w:b/>
          <w:color w:val="000000"/>
          <w:spacing w:val="-2"/>
          <w:sz w:val="21"/>
          <w:shd w:val="clear" w:color="auto" w:fill="E4E4E4"/>
        </w:rPr>
        <w:t>武术比赛</w:t>
      </w:r>
      <w:r>
        <w:rPr>
          <w:b/>
          <w:color w:val="000000"/>
          <w:spacing w:val="-2"/>
          <w:position w:val="11"/>
          <w:sz w:val="11"/>
        </w:rPr>
        <w:t>57</w:t>
      </w:r>
      <w:r>
        <w:rPr>
          <w:color w:val="000000"/>
          <w:spacing w:val="-2"/>
          <w:sz w:val="21"/>
          <w:shd w:val="clear" w:color="auto" w:fill="E4E4E4"/>
        </w:rPr>
        <w:t>、</w:t>
      </w:r>
      <w:r>
        <w:rPr>
          <w:b/>
          <w:color w:val="000000"/>
          <w:spacing w:val="-2"/>
          <w:sz w:val="21"/>
          <w:shd w:val="clear" w:color="auto" w:fill="E4E4E4"/>
        </w:rPr>
        <w:t>特技表演</w:t>
      </w:r>
      <w:r>
        <w:rPr>
          <w:b/>
          <w:color w:val="000000"/>
          <w:spacing w:val="-2"/>
          <w:position w:val="11"/>
          <w:sz w:val="11"/>
        </w:rPr>
        <w:t>58</w:t>
      </w:r>
      <w:r>
        <w:rPr>
          <w:color w:val="000000"/>
          <w:spacing w:val="-2"/>
          <w:sz w:val="21"/>
          <w:shd w:val="clear" w:color="auto" w:fill="E4E4E4"/>
        </w:rPr>
        <w:t>、赛马、赛车等高风险运动；被保险人参与任何水、陆、空交通工具的竞赛，或作为职业运动员参与任何体育竞赛；</w:t>
      </w:r>
    </w:p>
    <w:p>
      <w:pPr>
        <w:pStyle w:val="5"/>
        <w:spacing w:before="5"/>
        <w:rPr>
          <w:sz w:val="24"/>
        </w:rPr>
      </w:pPr>
    </w:p>
    <w:p>
      <w:pPr>
        <w:pStyle w:val="9"/>
        <w:numPr>
          <w:ilvl w:val="2"/>
          <w:numId w:val="3"/>
        </w:numPr>
        <w:tabs>
          <w:tab w:val="left" w:pos="1363"/>
        </w:tabs>
        <w:spacing w:before="0" w:after="0" w:line="278" w:lineRule="auto"/>
        <w:ind w:left="2997" w:right="663" w:hanging="2650"/>
        <w:jc w:val="both"/>
        <w:rPr>
          <w:sz w:val="21"/>
        </w:rPr>
      </w:pPr>
      <w:r>
        <w:rPr>
          <w:b/>
          <w:spacing w:val="11"/>
          <w:sz w:val="21"/>
        </w:rPr>
        <w:t xml:space="preserve">其他责任免除 </w:t>
      </w:r>
      <w:r>
        <w:rPr>
          <w:color w:val="000000"/>
          <w:sz w:val="21"/>
          <w:shd w:val="clear" w:color="auto" w:fill="E4E4E4"/>
        </w:rPr>
        <w:t>除“2.4.1</w:t>
      </w:r>
      <w:r>
        <w:rPr>
          <w:color w:val="000000"/>
          <w:spacing w:val="-6"/>
          <w:sz w:val="21"/>
          <w:shd w:val="clear" w:color="auto" w:fill="E4E4E4"/>
        </w:rPr>
        <w:t xml:space="preserve"> 一般责任免除”外，本合同还有一些免除本公司责任的条款，详见</w:t>
      </w:r>
      <w:r>
        <w:rPr>
          <w:color w:val="000000"/>
          <w:sz w:val="21"/>
        </w:rPr>
        <w:t xml:space="preserve"> </w:t>
      </w:r>
      <w:r>
        <w:rPr>
          <w:color w:val="000000"/>
          <w:w w:val="95"/>
          <w:sz w:val="21"/>
          <w:shd w:val="clear" w:color="auto" w:fill="E4E4E4"/>
        </w:rPr>
        <w:t>“1.4</w:t>
      </w:r>
      <w:r>
        <w:rPr>
          <w:color w:val="000000"/>
          <w:spacing w:val="-32"/>
          <w:w w:val="95"/>
          <w:sz w:val="21"/>
          <w:shd w:val="clear" w:color="auto" w:fill="E4E4E4"/>
        </w:rPr>
        <w:t xml:space="preserve"> 犹豫期”、“</w:t>
      </w:r>
      <w:r>
        <w:rPr>
          <w:color w:val="000000"/>
          <w:w w:val="95"/>
          <w:sz w:val="21"/>
          <w:shd w:val="clear" w:color="auto" w:fill="E4E4E4"/>
        </w:rPr>
        <w:t>3.2 保险事故</w:t>
      </w:r>
      <w:r>
        <w:rPr>
          <w:color w:val="000000"/>
          <w:spacing w:val="-27"/>
          <w:w w:val="95"/>
          <w:sz w:val="21"/>
          <w:shd w:val="clear" w:color="auto" w:fill="E4E4E4"/>
        </w:rPr>
        <w:t>通知”、</w:t>
      </w:r>
      <w:r>
        <w:rPr>
          <w:color w:val="000000"/>
          <w:spacing w:val="40"/>
          <w:sz w:val="21"/>
          <w:shd w:val="clear" w:color="auto" w:fill="E4E4E4"/>
        </w:rPr>
        <w:t xml:space="preserve"> </w:t>
      </w:r>
      <w:r>
        <w:rPr>
          <w:color w:val="000000"/>
          <w:w w:val="95"/>
          <w:sz w:val="21"/>
          <w:shd w:val="clear" w:color="auto" w:fill="E4E4E4"/>
        </w:rPr>
        <w:t>“3.3 保险金申</w:t>
      </w:r>
      <w:r>
        <w:rPr>
          <w:color w:val="000000"/>
          <w:spacing w:val="-54"/>
          <w:w w:val="95"/>
          <w:sz w:val="21"/>
          <w:shd w:val="clear" w:color="auto" w:fill="E4E4E4"/>
        </w:rPr>
        <w:t>请”、“</w:t>
      </w:r>
      <w:r>
        <w:rPr>
          <w:color w:val="000000"/>
          <w:w w:val="95"/>
          <w:sz w:val="21"/>
          <w:shd w:val="clear" w:color="auto" w:fill="E4E4E4"/>
        </w:rPr>
        <w:t>5.1 解除合同</w:t>
      </w:r>
      <w:r>
        <w:rPr>
          <w:color w:val="000000"/>
          <w:spacing w:val="13440"/>
          <w:w w:val="95"/>
          <w:sz w:val="21"/>
          <w:shd w:val="clear" w:color="auto" w:fill="E4E4E4"/>
        </w:rPr>
        <w:t xml:space="preserve"> </w:t>
      </w:r>
      <w:r>
        <w:rPr>
          <w:color w:val="000000"/>
          <w:w w:val="95"/>
          <w:sz w:val="21"/>
          <w:shd w:val="clear" w:color="auto" w:fill="E4E4E4"/>
        </w:rPr>
        <w:t>的手</w:t>
      </w:r>
      <w:r>
        <w:rPr>
          <w:color w:val="000000"/>
          <w:spacing w:val="-33"/>
          <w:w w:val="95"/>
          <w:sz w:val="21"/>
          <w:shd w:val="clear" w:color="auto" w:fill="E4E4E4"/>
        </w:rPr>
        <w:t>续及风险”、“</w:t>
      </w:r>
      <w:r>
        <w:rPr>
          <w:color w:val="000000"/>
          <w:w w:val="95"/>
          <w:sz w:val="21"/>
          <w:shd w:val="clear" w:color="auto" w:fill="E4E4E4"/>
        </w:rPr>
        <w:t>6.1</w:t>
      </w:r>
      <w:r>
        <w:rPr>
          <w:color w:val="000000"/>
          <w:spacing w:val="37"/>
          <w:sz w:val="21"/>
          <w:shd w:val="clear" w:color="auto" w:fill="E4E4E4"/>
        </w:rPr>
        <w:t xml:space="preserve"> </w:t>
      </w:r>
      <w:r>
        <w:rPr>
          <w:color w:val="000000"/>
          <w:w w:val="95"/>
          <w:sz w:val="21"/>
          <w:shd w:val="clear" w:color="auto" w:fill="E4E4E4"/>
        </w:rPr>
        <w:t>明确说</w:t>
      </w:r>
      <w:r>
        <w:rPr>
          <w:color w:val="000000"/>
          <w:spacing w:val="-26"/>
          <w:w w:val="95"/>
          <w:sz w:val="21"/>
          <w:shd w:val="clear" w:color="auto" w:fill="E4E4E4"/>
        </w:rPr>
        <w:t>明与如实告知”、“</w:t>
      </w:r>
      <w:r>
        <w:rPr>
          <w:color w:val="000000"/>
          <w:w w:val="95"/>
          <w:sz w:val="21"/>
          <w:shd w:val="clear" w:color="auto" w:fill="E4E4E4"/>
        </w:rPr>
        <w:t>6.3</w:t>
      </w:r>
      <w:r>
        <w:rPr>
          <w:color w:val="000000"/>
          <w:spacing w:val="40"/>
          <w:sz w:val="21"/>
          <w:shd w:val="clear" w:color="auto" w:fill="E4E4E4"/>
        </w:rPr>
        <w:t xml:space="preserve"> </w:t>
      </w:r>
      <w:r>
        <w:rPr>
          <w:color w:val="000000"/>
          <w:spacing w:val="-33"/>
          <w:w w:val="95"/>
          <w:sz w:val="21"/>
          <w:shd w:val="clear" w:color="auto" w:fill="E4E4E4"/>
        </w:rPr>
        <w:t>年龄错误”、“</w:t>
      </w:r>
      <w:r>
        <w:rPr>
          <w:color w:val="000000"/>
          <w:w w:val="95"/>
          <w:sz w:val="21"/>
          <w:shd w:val="clear" w:color="auto" w:fill="E4E4E4"/>
        </w:rPr>
        <w:t>6.4</w:t>
      </w:r>
      <w:r>
        <w:rPr>
          <w:color w:val="000000"/>
          <w:spacing w:val="37"/>
          <w:sz w:val="21"/>
          <w:shd w:val="clear" w:color="auto" w:fill="E4E4E4"/>
        </w:rPr>
        <w:t xml:space="preserve"> </w:t>
      </w:r>
      <w:r>
        <w:rPr>
          <w:color w:val="000000"/>
          <w:w w:val="95"/>
          <w:sz w:val="21"/>
          <w:shd w:val="clear" w:color="auto" w:fill="E4E4E4"/>
        </w:rPr>
        <w:t>职业或</w:t>
      </w:r>
      <w:r>
        <w:rPr>
          <w:color w:val="000000"/>
          <w:spacing w:val="-19"/>
          <w:sz w:val="21"/>
          <w:shd w:val="clear" w:color="auto" w:fill="E4E4E4"/>
        </w:rPr>
        <w:t>工种的变更” 、“附表一”中背景突出显示的内容；“</w:t>
      </w:r>
      <w:r>
        <w:rPr>
          <w:color w:val="000000"/>
          <w:spacing w:val="18"/>
          <w:sz w:val="21"/>
          <w:shd w:val="clear" w:color="auto" w:fill="E4E4E4"/>
        </w:rPr>
        <w:t>2.3</w:t>
      </w:r>
      <w:r>
        <w:rPr>
          <w:color w:val="000000"/>
          <w:spacing w:val="-8"/>
          <w:sz w:val="21"/>
          <w:shd w:val="clear" w:color="auto" w:fill="E4E4E4"/>
        </w:rPr>
        <w:t xml:space="preserve"> 保险责任”中脚注</w:t>
      </w:r>
      <w:r>
        <w:rPr>
          <w:color w:val="000000"/>
          <w:spacing w:val="-2"/>
          <w:sz w:val="21"/>
          <w:shd w:val="clear" w:color="auto" w:fill="E4E4E4"/>
        </w:rPr>
        <w:t>背景突出显示的内容。</w:t>
      </w:r>
    </w:p>
    <w:p>
      <w:pPr>
        <w:pStyle w:val="5"/>
        <w:spacing w:before="1"/>
        <w:rPr>
          <w:sz w:val="27"/>
        </w:rPr>
      </w:pPr>
    </w:p>
    <w:p>
      <w:pPr>
        <w:pStyle w:val="3"/>
        <w:numPr>
          <w:ilvl w:val="0"/>
          <w:numId w:val="3"/>
        </w:numPr>
        <w:tabs>
          <w:tab w:val="left" w:pos="1362"/>
          <w:tab w:val="left" w:pos="1363"/>
        </w:tabs>
        <w:spacing w:before="0" w:after="0" w:line="240" w:lineRule="auto"/>
        <w:ind w:left="1362" w:right="0" w:hanging="1016"/>
        <w:jc w:val="left"/>
        <w:rPr>
          <w:sz w:val="40"/>
        </w:rPr>
      </w:pPr>
      <w:r>
        <w:rPr>
          <w:w w:val="95"/>
        </w:rPr>
        <w:t>保险金申</w:t>
      </w:r>
      <w:r>
        <w:rPr>
          <w:spacing w:val="-10"/>
          <w:w w:val="95"/>
        </w:rPr>
        <w:t>领</w:t>
      </w:r>
    </w:p>
    <w:p>
      <w:pPr>
        <w:pStyle w:val="5"/>
        <w:spacing w:before="6"/>
        <w:rPr>
          <w:b/>
          <w:sz w:val="14"/>
        </w:rPr>
      </w:pPr>
      <w:r>
        <w:drawing>
          <wp:anchor distT="0" distB="0" distL="0" distR="0" simplePos="0" relativeHeight="251659264" behindDoc="0" locked="0" layoutInCell="1" allowOverlap="1">
            <wp:simplePos x="0" y="0"/>
            <wp:positionH relativeFrom="page">
              <wp:posOffset>735965</wp:posOffset>
            </wp:positionH>
            <wp:positionV relativeFrom="paragraph">
              <wp:posOffset>132715</wp:posOffset>
            </wp:positionV>
            <wp:extent cx="6289040" cy="12065"/>
            <wp:effectExtent l="0" t="0" r="0" b="0"/>
            <wp:wrapTopAndBottom/>
            <wp:docPr id="3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3.png"/>
                    <pic:cNvPicPr>
                      <a:picLocks noChangeAspect="1"/>
                    </pic:cNvPicPr>
                  </pic:nvPicPr>
                  <pic:blipFill>
                    <a:blip r:embed="rId8" cstate="print"/>
                    <a:stretch>
                      <a:fillRect/>
                    </a:stretch>
                  </pic:blipFill>
                  <pic:spPr>
                    <a:xfrm>
                      <a:off x="0" y="0"/>
                      <a:ext cx="6289217" cy="12287"/>
                    </a:xfrm>
                    <a:prstGeom prst="rect">
                      <a:avLst/>
                    </a:prstGeom>
                  </pic:spPr>
                </pic:pic>
              </a:graphicData>
            </a:graphic>
          </wp:anchor>
        </w:drawing>
      </w:r>
    </w:p>
    <w:p>
      <w:pPr>
        <w:pStyle w:val="9"/>
        <w:numPr>
          <w:ilvl w:val="1"/>
          <w:numId w:val="3"/>
        </w:numPr>
        <w:tabs>
          <w:tab w:val="left" w:pos="1362"/>
          <w:tab w:val="left" w:pos="1363"/>
          <w:tab w:val="left" w:pos="2997"/>
        </w:tabs>
        <w:spacing w:before="179" w:after="0" w:line="240" w:lineRule="auto"/>
        <w:ind w:left="1362" w:right="0" w:hanging="1016"/>
        <w:jc w:val="left"/>
        <w:rPr>
          <w:sz w:val="21"/>
        </w:rPr>
      </w:pPr>
      <w:r>
        <w:rPr>
          <w:b/>
          <w:sz w:val="21"/>
        </w:rPr>
        <w:t>受益</w:t>
      </w:r>
      <w:r>
        <w:rPr>
          <w:b/>
          <w:spacing w:val="-10"/>
          <w:sz w:val="21"/>
        </w:rPr>
        <w:t>人</w:t>
      </w:r>
      <w:r>
        <w:rPr>
          <w:b/>
          <w:sz w:val="21"/>
        </w:rPr>
        <w:tab/>
      </w:r>
      <w:r>
        <w:rPr>
          <w:spacing w:val="-2"/>
          <w:sz w:val="21"/>
        </w:rPr>
        <w:t>除另有约定外，保险金受益人为被保险人本人</w:t>
      </w:r>
      <w:r>
        <w:rPr>
          <w:spacing w:val="-10"/>
          <w:sz w:val="21"/>
        </w:rPr>
        <w:t>。</w:t>
      </w:r>
    </w:p>
    <w:p>
      <w:pPr>
        <w:pStyle w:val="5"/>
        <w:spacing w:before="1"/>
        <w:rPr>
          <w:sz w:val="22"/>
        </w:rPr>
      </w:pPr>
    </w:p>
    <w:p>
      <w:pPr>
        <w:pStyle w:val="9"/>
        <w:numPr>
          <w:ilvl w:val="1"/>
          <w:numId w:val="3"/>
        </w:numPr>
        <w:tabs>
          <w:tab w:val="left" w:pos="1362"/>
          <w:tab w:val="left" w:pos="1363"/>
          <w:tab w:val="left" w:pos="2997"/>
        </w:tabs>
        <w:spacing w:before="72" w:after="0" w:line="240" w:lineRule="auto"/>
        <w:ind w:left="1362" w:right="0" w:hanging="1016"/>
        <w:jc w:val="left"/>
        <w:rPr>
          <w:sz w:val="21"/>
        </w:rPr>
      </w:pPr>
      <w:r>
        <w:rPr>
          <w:b/>
          <w:sz w:val="21"/>
        </w:rPr>
        <w:t>保险事故通</w:t>
      </w:r>
      <w:r>
        <w:rPr>
          <w:b/>
          <w:spacing w:val="-10"/>
          <w:sz w:val="21"/>
        </w:rPr>
        <w:t>知</w:t>
      </w:r>
      <w:r>
        <w:rPr>
          <w:b/>
          <w:sz w:val="21"/>
        </w:rPr>
        <w:tab/>
      </w:r>
      <w:r>
        <w:rPr>
          <w:color w:val="000000"/>
          <w:spacing w:val="-2"/>
          <w:sz w:val="21"/>
          <w:shd w:val="clear" w:color="auto" w:fill="E4E4E4"/>
        </w:rPr>
        <w:t>请投保人、被保险人或受益人在知道保险事故发生后</w:t>
      </w:r>
      <w:r>
        <w:rPr>
          <w:color w:val="000000"/>
          <w:spacing w:val="-40"/>
          <w:sz w:val="21"/>
          <w:shd w:val="clear" w:color="auto" w:fill="E4E4E4"/>
        </w:rPr>
        <w:t xml:space="preserve"> </w:t>
      </w:r>
      <w:r>
        <w:rPr>
          <w:color w:val="000000"/>
          <w:spacing w:val="-2"/>
          <w:sz w:val="21"/>
          <w:shd w:val="clear" w:color="auto" w:fill="E4E4E4"/>
        </w:rPr>
        <w:t>10</w:t>
      </w:r>
      <w:r>
        <w:rPr>
          <w:color w:val="000000"/>
          <w:spacing w:val="-42"/>
          <w:sz w:val="21"/>
          <w:shd w:val="clear" w:color="auto" w:fill="E4E4E4"/>
        </w:rPr>
        <w:t xml:space="preserve"> </w:t>
      </w:r>
      <w:r>
        <w:rPr>
          <w:color w:val="000000"/>
          <w:spacing w:val="-2"/>
          <w:sz w:val="21"/>
          <w:shd w:val="clear" w:color="auto" w:fill="E4E4E4"/>
        </w:rPr>
        <w:t>日内通知本公司</w:t>
      </w:r>
      <w:r>
        <w:rPr>
          <w:color w:val="000000"/>
          <w:spacing w:val="-10"/>
          <w:sz w:val="21"/>
          <w:shd w:val="clear" w:color="auto" w:fill="E4E4E4"/>
        </w:rPr>
        <w:t>。</w:t>
      </w:r>
    </w:p>
    <w:p>
      <w:pPr>
        <w:pStyle w:val="5"/>
        <w:spacing w:before="12"/>
        <w:rPr>
          <w:sz w:val="9"/>
        </w:rPr>
      </w:pPr>
    </w:p>
    <w:p>
      <w:pPr>
        <w:pStyle w:val="5"/>
        <w:spacing w:before="71" w:line="278" w:lineRule="auto"/>
        <w:ind w:left="2997" w:right="663"/>
        <w:jc w:val="both"/>
      </w:pPr>
      <w:r>
        <w:rPr>
          <w:color w:val="000000"/>
          <w:spacing w:val="-2"/>
          <w:shd w:val="clear" w:color="auto" w:fill="E4E4E4"/>
        </w:rPr>
        <w:t>若投保人、被保险人或受益人故意或因重大过失未及时通知，致使保险事故</w:t>
      </w:r>
      <w:r>
        <w:rPr>
          <w:color w:val="000000"/>
          <w:spacing w:val="40"/>
          <w:shd w:val="clear" w:color="auto" w:fill="E4E4E4"/>
        </w:rPr>
        <w:t xml:space="preserve"> </w:t>
      </w:r>
      <w:r>
        <w:rPr>
          <w:color w:val="000000"/>
          <w:spacing w:val="-2"/>
          <w:shd w:val="clear" w:color="auto" w:fill="E4E4E4"/>
        </w:rPr>
        <w:t>的性质、原因、损失程度等难以确定的，本公司对无法确定的部分，不承担给付保险金的责任，</w:t>
      </w:r>
      <w:r>
        <w:rPr>
          <w:color w:val="000000"/>
          <w:spacing w:val="-2"/>
        </w:rPr>
        <w:t>但本公司通过其他途径已经及时知道或应当及时知道保险事故发生或虽未及时通知但不影响本公司确定保险事故的性质、原因、损失程度的除外。</w:t>
      </w:r>
    </w:p>
    <w:p>
      <w:pPr>
        <w:pStyle w:val="5"/>
        <w:spacing w:before="5"/>
        <w:rPr>
          <w:sz w:val="24"/>
        </w:rPr>
      </w:pPr>
      <w:r>
        <w:drawing>
          <wp:anchor distT="0" distB="0" distL="0" distR="0" simplePos="0" relativeHeight="251659264" behindDoc="0" locked="0" layoutInCell="1" allowOverlap="1">
            <wp:simplePos x="0" y="0"/>
            <wp:positionH relativeFrom="page">
              <wp:posOffset>685800</wp:posOffset>
            </wp:positionH>
            <wp:positionV relativeFrom="paragraph">
              <wp:posOffset>213995</wp:posOffset>
            </wp:positionV>
            <wp:extent cx="1829435" cy="6350"/>
            <wp:effectExtent l="0" t="0" r="0" b="0"/>
            <wp:wrapTopAndBottom/>
            <wp:docPr id="33"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5.png"/>
                    <pic:cNvPicPr>
                      <a:picLocks noChangeAspect="1"/>
                    </pic:cNvPicPr>
                  </pic:nvPicPr>
                  <pic:blipFill>
                    <a:blip r:embed="rId10" cstate="print"/>
                    <a:stretch>
                      <a:fillRect/>
                    </a:stretch>
                  </pic:blipFill>
                  <pic:spPr>
                    <a:xfrm>
                      <a:off x="0" y="0"/>
                      <a:ext cx="1829511" cy="6095"/>
                    </a:xfrm>
                    <a:prstGeom prst="rect">
                      <a:avLst/>
                    </a:prstGeom>
                  </pic:spPr>
                </pic:pic>
              </a:graphicData>
            </a:graphic>
          </wp:anchor>
        </w:drawing>
      </w:r>
    </w:p>
    <w:p>
      <w:pPr>
        <w:spacing w:before="91"/>
        <w:ind w:left="160" w:right="0" w:firstLine="0"/>
        <w:jc w:val="left"/>
        <w:rPr>
          <w:rFonts w:ascii="楷体" w:eastAsia="楷体"/>
          <w:sz w:val="18"/>
        </w:rPr>
      </w:pPr>
      <w:r>
        <w:rPr>
          <w:w w:val="95"/>
          <w:position w:val="9"/>
          <w:sz w:val="9"/>
        </w:rPr>
        <w:t>50</w:t>
      </w:r>
      <w:r>
        <w:rPr>
          <w:rFonts w:hint="eastAsia" w:ascii="楷体" w:eastAsia="楷体"/>
          <w:b/>
          <w:w w:val="95"/>
          <w:sz w:val="18"/>
        </w:rPr>
        <w:t>恐怖袭击：</w:t>
      </w:r>
      <w:r>
        <w:rPr>
          <w:rFonts w:ascii="楷体" w:eastAsia="楷体"/>
          <w:w w:val="95"/>
          <w:sz w:val="18"/>
        </w:rPr>
        <w:t>指以制造社会恐慌、危害公共安全或胁迫国家机关、国际组织为目的，采取暴力、破坏、恐吓等手段，造成</w:t>
      </w:r>
      <w:r>
        <w:rPr>
          <w:rFonts w:ascii="楷体" w:eastAsia="楷体"/>
          <w:spacing w:val="-10"/>
          <w:w w:val="95"/>
          <w:sz w:val="18"/>
        </w:rPr>
        <w:t>或</w:t>
      </w:r>
    </w:p>
    <w:p>
      <w:pPr>
        <w:spacing w:before="2" w:line="242" w:lineRule="auto"/>
        <w:ind w:left="160" w:right="744" w:firstLine="0"/>
        <w:jc w:val="left"/>
        <w:rPr>
          <w:rFonts w:ascii="楷体" w:eastAsia="楷体"/>
          <w:sz w:val="18"/>
        </w:rPr>
      </w:pPr>
      <w:r>
        <w:rPr>
          <w:rFonts w:ascii="楷体" w:eastAsia="楷体"/>
          <w:spacing w:val="-2"/>
          <w:sz w:val="18"/>
        </w:rPr>
        <w:t>意图造成人员伤亡、重大财产损失、公共设施损坏、社会秩序混乱等严重社会危害的行为，以及煽动、资助或以其他方式协助实施上述活动的行为。</w:t>
      </w:r>
    </w:p>
    <w:p>
      <w:pPr>
        <w:spacing w:before="3"/>
        <w:ind w:left="160" w:right="0" w:firstLine="0"/>
        <w:jc w:val="left"/>
        <w:rPr>
          <w:rFonts w:ascii="楷体" w:eastAsia="楷体"/>
          <w:sz w:val="18"/>
        </w:rPr>
      </w:pPr>
      <w:r>
        <w:rPr>
          <w:w w:val="95"/>
          <w:position w:val="9"/>
          <w:sz w:val="9"/>
        </w:rPr>
        <w:t>51</w:t>
      </w:r>
      <w:r>
        <w:rPr>
          <w:rFonts w:hint="eastAsia" w:ascii="楷体" w:eastAsia="楷体"/>
          <w:b/>
          <w:w w:val="95"/>
          <w:sz w:val="18"/>
        </w:rPr>
        <w:t>战争：</w:t>
      </w:r>
      <w:r>
        <w:rPr>
          <w:rFonts w:ascii="楷体" w:eastAsia="楷体"/>
          <w:w w:val="95"/>
          <w:sz w:val="18"/>
        </w:rPr>
        <w:t>指国家与国家、民族与民族、政治集团与政治集团之间为了一定的政治、经济目的而进行的武装斗争，以政府宣</w:t>
      </w:r>
      <w:r>
        <w:rPr>
          <w:rFonts w:ascii="楷体" w:eastAsia="楷体"/>
          <w:spacing w:val="-10"/>
          <w:w w:val="95"/>
          <w:sz w:val="18"/>
        </w:rPr>
        <w:t>布</w:t>
      </w:r>
    </w:p>
    <w:p>
      <w:pPr>
        <w:spacing w:before="2"/>
        <w:ind w:left="160" w:right="0" w:firstLine="0"/>
        <w:jc w:val="left"/>
        <w:rPr>
          <w:rFonts w:ascii="楷体" w:eastAsia="楷体"/>
          <w:sz w:val="18"/>
        </w:rPr>
      </w:pPr>
      <w:r>
        <w:rPr>
          <w:rFonts w:ascii="楷体" w:eastAsia="楷体"/>
          <w:spacing w:val="-4"/>
          <w:sz w:val="18"/>
        </w:rPr>
        <w:t>为准。</w:t>
      </w:r>
    </w:p>
    <w:p>
      <w:pPr>
        <w:spacing w:before="2"/>
        <w:ind w:left="160" w:right="0" w:firstLine="0"/>
        <w:jc w:val="left"/>
        <w:rPr>
          <w:rFonts w:ascii="楷体" w:eastAsia="楷体"/>
          <w:sz w:val="18"/>
        </w:rPr>
      </w:pPr>
      <w:r>
        <w:rPr>
          <w:w w:val="95"/>
          <w:position w:val="9"/>
          <w:sz w:val="9"/>
        </w:rPr>
        <w:t>52</w:t>
      </w:r>
      <w:r>
        <w:rPr>
          <w:rFonts w:hint="eastAsia" w:ascii="楷体" w:eastAsia="楷体"/>
          <w:b/>
          <w:w w:val="95"/>
          <w:sz w:val="18"/>
        </w:rPr>
        <w:t>军事冲突：</w:t>
      </w:r>
      <w:r>
        <w:rPr>
          <w:rFonts w:ascii="楷体" w:eastAsia="楷体"/>
          <w:w w:val="95"/>
          <w:sz w:val="18"/>
        </w:rPr>
        <w:t>指国家或民族之间在一定范围内的武装对抗，以政府宣布为准</w:t>
      </w:r>
      <w:r>
        <w:rPr>
          <w:rFonts w:ascii="楷体" w:eastAsia="楷体"/>
          <w:spacing w:val="-10"/>
          <w:w w:val="95"/>
          <w:sz w:val="18"/>
        </w:rPr>
        <w:t>。</w:t>
      </w:r>
    </w:p>
    <w:p>
      <w:pPr>
        <w:spacing w:before="2"/>
        <w:ind w:left="160" w:right="0" w:firstLine="0"/>
        <w:jc w:val="left"/>
        <w:rPr>
          <w:rFonts w:ascii="楷体" w:eastAsia="楷体"/>
          <w:sz w:val="18"/>
        </w:rPr>
      </w:pPr>
      <w:r>
        <w:rPr>
          <w:w w:val="95"/>
          <w:position w:val="9"/>
          <w:sz w:val="9"/>
        </w:rPr>
        <w:t>53</w:t>
      </w:r>
      <w:r>
        <w:rPr>
          <w:rFonts w:hint="eastAsia" w:ascii="楷体" w:eastAsia="楷体"/>
          <w:b/>
          <w:w w:val="95"/>
          <w:sz w:val="18"/>
        </w:rPr>
        <w:t>暴乱：</w:t>
      </w:r>
      <w:r>
        <w:rPr>
          <w:rFonts w:ascii="楷体" w:eastAsia="楷体"/>
          <w:w w:val="95"/>
          <w:sz w:val="18"/>
        </w:rPr>
        <w:t>指破坏社会秩序的武装骚动，以政府宣布为准</w:t>
      </w:r>
      <w:r>
        <w:rPr>
          <w:rFonts w:ascii="楷体" w:eastAsia="楷体"/>
          <w:spacing w:val="-10"/>
          <w:w w:val="95"/>
          <w:sz w:val="18"/>
        </w:rPr>
        <w:t>。</w:t>
      </w:r>
    </w:p>
    <w:p>
      <w:pPr>
        <w:spacing w:before="5"/>
        <w:ind w:left="160" w:right="0" w:firstLine="0"/>
        <w:jc w:val="left"/>
        <w:rPr>
          <w:rFonts w:ascii="楷体" w:eastAsia="楷体"/>
          <w:sz w:val="18"/>
        </w:rPr>
      </w:pPr>
      <w:r>
        <w:rPr>
          <w:w w:val="95"/>
          <w:position w:val="9"/>
          <w:sz w:val="9"/>
        </w:rPr>
        <w:t>54</w:t>
      </w:r>
      <w:r>
        <w:rPr>
          <w:rFonts w:hint="eastAsia" w:ascii="楷体" w:eastAsia="楷体"/>
          <w:b/>
          <w:w w:val="95"/>
          <w:sz w:val="18"/>
        </w:rPr>
        <w:t>潜水</w:t>
      </w:r>
      <w:r>
        <w:rPr>
          <w:rFonts w:ascii="楷体" w:eastAsia="楷体"/>
          <w:w w:val="95"/>
          <w:sz w:val="18"/>
        </w:rPr>
        <w:t>：指使用辅助呼吸器材在江、河、湖、海、水库、运河等水域进行的水下运动</w:t>
      </w:r>
      <w:r>
        <w:rPr>
          <w:rFonts w:ascii="楷体" w:eastAsia="楷体"/>
          <w:spacing w:val="-10"/>
          <w:w w:val="95"/>
          <w:sz w:val="18"/>
        </w:rPr>
        <w:t>。</w:t>
      </w:r>
    </w:p>
    <w:p>
      <w:pPr>
        <w:spacing w:before="2"/>
        <w:ind w:left="160" w:right="0" w:firstLine="0"/>
        <w:jc w:val="left"/>
        <w:rPr>
          <w:rFonts w:ascii="楷体" w:eastAsia="楷体"/>
          <w:sz w:val="18"/>
        </w:rPr>
      </w:pPr>
      <w:r>
        <w:rPr>
          <w:w w:val="95"/>
          <w:position w:val="9"/>
          <w:sz w:val="9"/>
        </w:rPr>
        <w:t>55</w:t>
      </w:r>
      <w:r>
        <w:rPr>
          <w:rFonts w:hint="eastAsia" w:ascii="楷体" w:eastAsia="楷体"/>
          <w:b/>
          <w:w w:val="95"/>
          <w:sz w:val="18"/>
        </w:rPr>
        <w:t>攀岩</w:t>
      </w:r>
      <w:r>
        <w:rPr>
          <w:rFonts w:ascii="楷体" w:eastAsia="楷体"/>
          <w:w w:val="95"/>
          <w:sz w:val="18"/>
        </w:rPr>
        <w:t>：指攀登悬崖、楼宇外墙、人造悬崖、冰崖、冰山等运动</w:t>
      </w:r>
      <w:r>
        <w:rPr>
          <w:rFonts w:ascii="楷体" w:eastAsia="楷体"/>
          <w:spacing w:val="-10"/>
          <w:w w:val="95"/>
          <w:sz w:val="18"/>
        </w:rPr>
        <w:t>。</w:t>
      </w:r>
    </w:p>
    <w:p>
      <w:pPr>
        <w:spacing w:before="2"/>
        <w:ind w:left="160" w:right="0" w:firstLine="0"/>
        <w:jc w:val="left"/>
        <w:rPr>
          <w:rFonts w:ascii="楷体" w:eastAsia="楷体"/>
          <w:sz w:val="18"/>
        </w:rPr>
      </w:pPr>
      <w:r>
        <w:rPr>
          <w:w w:val="95"/>
          <w:position w:val="9"/>
          <w:sz w:val="9"/>
        </w:rPr>
        <w:t>56</w:t>
      </w:r>
      <w:r>
        <w:rPr>
          <w:rFonts w:hint="eastAsia" w:ascii="楷体" w:eastAsia="楷体"/>
          <w:b/>
          <w:w w:val="95"/>
          <w:sz w:val="18"/>
        </w:rPr>
        <w:t>探险</w:t>
      </w:r>
      <w:r>
        <w:rPr>
          <w:rFonts w:ascii="楷体" w:eastAsia="楷体"/>
          <w:w w:val="95"/>
          <w:sz w:val="18"/>
        </w:rPr>
        <w:t>：指明知在某种特定的自然条件下有失去生命或使身体受到伤害的危险，而故意使自己置身于其中的行为，如：江</w:t>
      </w:r>
      <w:r>
        <w:rPr>
          <w:rFonts w:ascii="楷体" w:eastAsia="楷体"/>
          <w:spacing w:val="-10"/>
          <w:w w:val="95"/>
          <w:sz w:val="18"/>
        </w:rPr>
        <w:t>河</w:t>
      </w:r>
    </w:p>
    <w:p>
      <w:pPr>
        <w:spacing w:before="2"/>
        <w:ind w:left="160" w:right="0" w:firstLine="0"/>
        <w:jc w:val="left"/>
        <w:rPr>
          <w:rFonts w:ascii="楷体" w:eastAsia="楷体"/>
          <w:sz w:val="18"/>
        </w:rPr>
      </w:pPr>
      <w:r>
        <w:rPr>
          <w:rFonts w:ascii="楷体" w:eastAsia="楷体"/>
          <w:spacing w:val="-1"/>
          <w:sz w:val="18"/>
        </w:rPr>
        <w:t>漂流、登山、徒步穿越沙漠或人迹罕至的原始森林等活动。</w:t>
      </w:r>
    </w:p>
    <w:p>
      <w:pPr>
        <w:spacing w:before="5"/>
        <w:ind w:left="160" w:right="0" w:firstLine="0"/>
        <w:jc w:val="left"/>
        <w:rPr>
          <w:rFonts w:ascii="楷体" w:eastAsia="楷体"/>
          <w:sz w:val="18"/>
        </w:rPr>
      </w:pPr>
      <w:r>
        <w:rPr>
          <w:w w:val="95"/>
          <w:position w:val="9"/>
          <w:sz w:val="9"/>
        </w:rPr>
        <w:t>57</w:t>
      </w:r>
      <w:r>
        <w:rPr>
          <w:rFonts w:hint="eastAsia" w:ascii="楷体" w:eastAsia="楷体"/>
          <w:b/>
          <w:w w:val="95"/>
          <w:sz w:val="18"/>
        </w:rPr>
        <w:t>武术比赛</w:t>
      </w:r>
      <w:r>
        <w:rPr>
          <w:rFonts w:ascii="楷体" w:eastAsia="楷体"/>
          <w:w w:val="95"/>
          <w:sz w:val="18"/>
        </w:rPr>
        <w:t>：指两人或两人以上对抗性柔道、空手道、跆拳道、散打、拳击等各种拳术及使用器械的对抗性比赛</w:t>
      </w:r>
      <w:r>
        <w:rPr>
          <w:rFonts w:ascii="楷体" w:eastAsia="楷体"/>
          <w:spacing w:val="-10"/>
          <w:w w:val="95"/>
          <w:sz w:val="18"/>
        </w:rPr>
        <w:t>。</w:t>
      </w:r>
    </w:p>
    <w:p>
      <w:pPr>
        <w:spacing w:before="2"/>
        <w:ind w:left="160" w:right="0" w:firstLine="0"/>
        <w:jc w:val="left"/>
        <w:rPr>
          <w:rFonts w:ascii="楷体" w:eastAsia="楷体"/>
          <w:sz w:val="18"/>
        </w:rPr>
      </w:pPr>
      <w:r>
        <w:rPr>
          <w:w w:val="95"/>
          <w:position w:val="9"/>
          <w:sz w:val="9"/>
        </w:rPr>
        <w:t>58</w:t>
      </w:r>
      <w:r>
        <w:rPr>
          <w:rFonts w:hint="eastAsia" w:ascii="楷体" w:eastAsia="楷体"/>
          <w:b/>
          <w:w w:val="95"/>
          <w:sz w:val="18"/>
        </w:rPr>
        <w:t>特技表演</w:t>
      </w:r>
      <w:r>
        <w:rPr>
          <w:rFonts w:ascii="楷体" w:eastAsia="楷体"/>
          <w:w w:val="95"/>
          <w:sz w:val="18"/>
        </w:rPr>
        <w:t>：指进行马术、杂技、驯兽等表演</w:t>
      </w:r>
      <w:r>
        <w:rPr>
          <w:rFonts w:ascii="楷体" w:eastAsia="楷体"/>
          <w:spacing w:val="-10"/>
          <w:w w:val="95"/>
          <w:sz w:val="18"/>
        </w:rPr>
        <w:t>。</w:t>
      </w:r>
    </w:p>
    <w:p>
      <w:pPr>
        <w:spacing w:after="0"/>
        <w:jc w:val="left"/>
        <w:rPr>
          <w:rFonts w:ascii="楷体" w:eastAsia="楷体"/>
          <w:sz w:val="18"/>
        </w:rPr>
        <w:sectPr>
          <w:pgSz w:w="11910" w:h="16840"/>
          <w:pgMar w:top="1400" w:right="360" w:bottom="280" w:left="920" w:header="720" w:footer="720" w:gutter="0"/>
          <w:cols w:space="720" w:num="1"/>
        </w:sectPr>
      </w:pPr>
    </w:p>
    <w:p>
      <w:pPr>
        <w:pStyle w:val="9"/>
        <w:numPr>
          <w:ilvl w:val="1"/>
          <w:numId w:val="3"/>
        </w:numPr>
        <w:tabs>
          <w:tab w:val="left" w:pos="1363"/>
        </w:tabs>
        <w:spacing w:before="60" w:after="0" w:line="278" w:lineRule="auto"/>
        <w:ind w:left="2997" w:right="663" w:hanging="2650"/>
        <w:jc w:val="both"/>
        <w:rPr>
          <w:sz w:val="21"/>
        </w:rPr>
      </w:pPr>
      <w:r>
        <w:rPr>
          <w:b/>
          <w:spacing w:val="78"/>
          <w:sz w:val="21"/>
        </w:rPr>
        <w:t xml:space="preserve">保险金申请 </w:t>
      </w:r>
      <w:r>
        <w:rPr>
          <w:sz w:val="21"/>
        </w:rPr>
        <w:t>受益人向本公司申请给付保险金时，应当填写保险金给付申请书，并以书面</w:t>
      </w:r>
      <w:r>
        <w:rPr>
          <w:spacing w:val="-2"/>
          <w:sz w:val="21"/>
        </w:rPr>
        <w:t>形式提交下列证明和资料。</w:t>
      </w:r>
      <w:r>
        <w:rPr>
          <w:color w:val="000000"/>
          <w:spacing w:val="-2"/>
          <w:sz w:val="21"/>
          <w:shd w:val="clear" w:color="auto" w:fill="E4E4E4"/>
        </w:rPr>
        <w:t>受益人未能提供有关证明和资料，导致本公司无</w:t>
      </w:r>
      <w:r>
        <w:rPr>
          <w:color w:val="000000"/>
          <w:spacing w:val="13440"/>
          <w:sz w:val="21"/>
          <w:shd w:val="clear" w:color="auto" w:fill="E4E4E4"/>
        </w:rPr>
        <w:t xml:space="preserve"> </w:t>
      </w:r>
      <w:r>
        <w:rPr>
          <w:color w:val="000000"/>
          <w:spacing w:val="-2"/>
          <w:sz w:val="21"/>
          <w:shd w:val="clear" w:color="auto" w:fill="E4E4E4"/>
        </w:rPr>
        <w:t>法核实事故的性质、原因、损失程度的，本公司对无法核实部分不承担给付保险金的责任。</w:t>
      </w:r>
    </w:p>
    <w:p>
      <w:pPr>
        <w:pStyle w:val="5"/>
        <w:spacing w:before="156"/>
        <w:ind w:left="2997"/>
      </w:pPr>
      <w:r>
        <w:rPr>
          <w:spacing w:val="-3"/>
        </w:rPr>
        <w:t>须提供的证明和资料：</w:t>
      </w:r>
    </w:p>
    <w:p>
      <w:pPr>
        <w:pStyle w:val="5"/>
        <w:spacing w:before="7"/>
        <w:rPr>
          <w:sz w:val="15"/>
        </w:rPr>
      </w:pPr>
    </w:p>
    <w:p>
      <w:pPr>
        <w:pStyle w:val="9"/>
        <w:numPr>
          <w:ilvl w:val="0"/>
          <w:numId w:val="10"/>
        </w:numPr>
        <w:tabs>
          <w:tab w:val="left" w:pos="3527"/>
        </w:tabs>
        <w:spacing w:before="0" w:after="0" w:line="240" w:lineRule="auto"/>
        <w:ind w:left="3526" w:right="0" w:hanging="530"/>
        <w:jc w:val="left"/>
        <w:rPr>
          <w:sz w:val="21"/>
        </w:rPr>
      </w:pPr>
      <w:r>
        <w:rPr>
          <w:spacing w:val="-3"/>
          <w:sz w:val="21"/>
        </w:rPr>
        <w:t>受益人有效身份证件；</w:t>
      </w:r>
    </w:p>
    <w:p>
      <w:pPr>
        <w:pStyle w:val="5"/>
        <w:spacing w:before="6"/>
        <w:rPr>
          <w:sz w:val="15"/>
        </w:rPr>
      </w:pPr>
    </w:p>
    <w:p>
      <w:pPr>
        <w:pStyle w:val="9"/>
        <w:numPr>
          <w:ilvl w:val="0"/>
          <w:numId w:val="10"/>
        </w:numPr>
        <w:tabs>
          <w:tab w:val="left" w:pos="3527"/>
        </w:tabs>
        <w:spacing w:before="1" w:after="0" w:line="278" w:lineRule="auto"/>
        <w:ind w:left="2997" w:right="586" w:firstLine="0"/>
        <w:jc w:val="left"/>
        <w:rPr>
          <w:sz w:val="21"/>
        </w:rPr>
      </w:pPr>
      <w:r>
        <w:rPr>
          <w:spacing w:val="-2"/>
          <w:sz w:val="21"/>
        </w:rPr>
        <w:t>本公司指定或认可的医疗机构出具的被保险人诊断证明、门急诊病历、出院小结或出院病历（加盖医院病历专用章</w:t>
      </w:r>
      <w:r>
        <w:rPr>
          <w:spacing w:val="-108"/>
          <w:sz w:val="21"/>
        </w:rPr>
        <w:t>）</w:t>
      </w:r>
      <w:r>
        <w:rPr>
          <w:spacing w:val="-2"/>
          <w:sz w:val="21"/>
        </w:rPr>
        <w:t>、医疗费用发票及明细；</w:t>
      </w:r>
    </w:p>
    <w:p>
      <w:pPr>
        <w:pStyle w:val="9"/>
        <w:numPr>
          <w:ilvl w:val="0"/>
          <w:numId w:val="10"/>
        </w:numPr>
        <w:tabs>
          <w:tab w:val="left" w:pos="3527"/>
        </w:tabs>
        <w:spacing w:before="155" w:after="0" w:line="240" w:lineRule="auto"/>
        <w:ind w:left="3526" w:right="0" w:hanging="530"/>
        <w:jc w:val="left"/>
        <w:rPr>
          <w:sz w:val="21"/>
        </w:rPr>
      </w:pPr>
      <w:r>
        <w:rPr>
          <w:spacing w:val="-3"/>
          <w:sz w:val="21"/>
        </w:rPr>
        <w:t>所能提供的与确认事故的性质、原因等有关的其他证明和资料。</w:t>
      </w:r>
    </w:p>
    <w:p>
      <w:pPr>
        <w:pStyle w:val="5"/>
        <w:spacing w:before="7"/>
        <w:rPr>
          <w:sz w:val="15"/>
        </w:rPr>
      </w:pPr>
    </w:p>
    <w:p>
      <w:pPr>
        <w:pStyle w:val="5"/>
        <w:spacing w:line="278" w:lineRule="auto"/>
        <w:ind w:left="2997" w:right="664"/>
      </w:pPr>
      <w:r>
        <w:rPr>
          <w:spacing w:val="-2"/>
        </w:rPr>
        <w:t>以上证明和资料不完整的，本公司将及时一次性通知补充提供有关的证明和</w:t>
      </w:r>
      <w:r>
        <w:rPr>
          <w:spacing w:val="-4"/>
        </w:rPr>
        <w:t>资料。</w:t>
      </w:r>
    </w:p>
    <w:p>
      <w:pPr>
        <w:pStyle w:val="5"/>
        <w:spacing w:before="10"/>
        <w:rPr>
          <w:sz w:val="18"/>
        </w:rPr>
      </w:pPr>
    </w:p>
    <w:p>
      <w:pPr>
        <w:spacing w:after="0"/>
        <w:rPr>
          <w:sz w:val="18"/>
        </w:rPr>
        <w:sectPr>
          <w:pgSz w:w="11910" w:h="16840"/>
          <w:pgMar w:top="1540" w:right="360" w:bottom="280" w:left="920" w:header="720" w:footer="720" w:gutter="0"/>
          <w:cols w:space="720" w:num="1"/>
        </w:sectPr>
      </w:pPr>
    </w:p>
    <w:p>
      <w:pPr>
        <w:pStyle w:val="4"/>
        <w:numPr>
          <w:ilvl w:val="1"/>
          <w:numId w:val="3"/>
        </w:numPr>
        <w:tabs>
          <w:tab w:val="left" w:pos="1362"/>
          <w:tab w:val="left" w:pos="1363"/>
        </w:tabs>
        <w:spacing w:before="72" w:after="0" w:line="278" w:lineRule="auto"/>
        <w:ind w:left="1362" w:right="0" w:hanging="1016"/>
        <w:jc w:val="left"/>
      </w:pPr>
      <w:r>
        <w:rPr>
          <w:spacing w:val="22"/>
        </w:rPr>
        <w:t>代理申请及其</w:t>
      </w:r>
      <w:r>
        <w:rPr>
          <w:spacing w:val="-10"/>
        </w:rPr>
        <w:t>他</w:t>
      </w:r>
    </w:p>
    <w:p>
      <w:pPr>
        <w:pStyle w:val="5"/>
        <w:spacing w:before="72" w:line="278" w:lineRule="auto"/>
        <w:ind w:left="174" w:right="664"/>
        <w:jc w:val="both"/>
      </w:pPr>
      <w:r>
        <w:br w:type="column"/>
      </w:r>
      <w:r>
        <w:rPr>
          <w:spacing w:val="-2"/>
        </w:rPr>
        <w:t>受益人委托他人申请给付保险金的，还应当提供受托人身份证明、授权委托书。保险金作为遗产时，还应当提供可证明合法继承权的相关权利文件。受益人或继承人为未成年人或无民事行为能力人时，由其合法监护人代其申请领取保险金，并提供未成年人或无民事行为能力证明和合法监护权证明。</w:t>
      </w:r>
    </w:p>
    <w:p>
      <w:pPr>
        <w:spacing w:after="0" w:line="278" w:lineRule="auto"/>
        <w:jc w:val="both"/>
        <w:sectPr>
          <w:type w:val="continuous"/>
          <w:pgSz w:w="11910" w:h="16840"/>
          <w:pgMar w:top="480" w:right="360" w:bottom="280" w:left="920" w:header="720" w:footer="720" w:gutter="0"/>
          <w:cols w:equalWidth="0" w:num="2">
            <w:col w:w="2783" w:space="40"/>
            <w:col w:w="7807"/>
          </w:cols>
        </w:sectPr>
      </w:pPr>
    </w:p>
    <w:p>
      <w:pPr>
        <w:pStyle w:val="5"/>
        <w:spacing w:before="9"/>
        <w:rPr>
          <w:sz w:val="18"/>
        </w:rPr>
      </w:pPr>
    </w:p>
    <w:p>
      <w:pPr>
        <w:pStyle w:val="9"/>
        <w:numPr>
          <w:ilvl w:val="1"/>
          <w:numId w:val="3"/>
        </w:numPr>
        <w:tabs>
          <w:tab w:val="left" w:pos="1363"/>
        </w:tabs>
        <w:spacing w:before="72" w:after="0" w:line="278" w:lineRule="auto"/>
        <w:ind w:left="2997" w:right="664" w:hanging="2650"/>
        <w:jc w:val="both"/>
        <w:rPr>
          <w:sz w:val="21"/>
        </w:rPr>
      </w:pPr>
      <w:r>
        <w:rPr>
          <w:b/>
          <w:sz w:val="21"/>
        </w:rPr>
        <w:t>配合调查</w:t>
      </w:r>
      <w:r>
        <w:rPr>
          <w:b/>
          <w:spacing w:val="682"/>
          <w:sz w:val="21"/>
        </w:rPr>
        <w:t xml:space="preserve"> </w:t>
      </w:r>
      <w:r>
        <w:rPr>
          <w:sz w:val="21"/>
        </w:rPr>
        <w:t>被保险人遭受事故的，除法律禁止的情况外，本公司有权对投保人、被保险</w:t>
      </w:r>
      <w:r>
        <w:rPr>
          <w:spacing w:val="-2"/>
          <w:sz w:val="21"/>
        </w:rPr>
        <w:t>人、受益人等，就事故的性质、原因、结果及被保险人的损伤程度和身体情况等，进行调查、检查、评估和鉴定（包括但不限于提请作必要、合理的解剖检验），投保人、被保险人、受益人等应当予以充分配合。</w:t>
      </w:r>
    </w:p>
    <w:p>
      <w:pPr>
        <w:pStyle w:val="5"/>
        <w:spacing w:before="4"/>
        <w:rPr>
          <w:sz w:val="24"/>
        </w:rPr>
      </w:pPr>
    </w:p>
    <w:p>
      <w:pPr>
        <w:pStyle w:val="9"/>
        <w:numPr>
          <w:ilvl w:val="1"/>
          <w:numId w:val="3"/>
        </w:numPr>
        <w:tabs>
          <w:tab w:val="left" w:pos="1363"/>
        </w:tabs>
        <w:spacing w:before="0" w:after="0" w:line="278" w:lineRule="auto"/>
        <w:ind w:left="2997" w:right="662" w:hanging="2650"/>
        <w:jc w:val="both"/>
        <w:rPr>
          <w:sz w:val="21"/>
        </w:rPr>
      </w:pPr>
      <w:r>
        <w:rPr>
          <w:b/>
          <w:spacing w:val="26"/>
          <w:sz w:val="21"/>
        </w:rPr>
        <w:t xml:space="preserve">保险金的给付 </w:t>
      </w:r>
      <w:r>
        <w:rPr>
          <w:spacing w:val="-5"/>
          <w:sz w:val="21"/>
        </w:rPr>
        <w:t xml:space="preserve">收到保险金给付申请书及有关证明和资料后，本公司将在 </w:t>
      </w:r>
      <w:r>
        <w:rPr>
          <w:sz w:val="21"/>
        </w:rPr>
        <w:t>10</w:t>
      </w:r>
      <w:r>
        <w:rPr>
          <w:spacing w:val="-5"/>
          <w:sz w:val="21"/>
        </w:rPr>
        <w:t xml:space="preserve"> 个工作日内作出</w:t>
      </w:r>
      <w:r>
        <w:rPr>
          <w:spacing w:val="-2"/>
          <w:sz w:val="21"/>
        </w:rPr>
        <w:t xml:space="preserve">核定；情形复杂的，在 </w:t>
      </w:r>
      <w:r>
        <w:rPr>
          <w:sz w:val="21"/>
        </w:rPr>
        <w:t>30</w:t>
      </w:r>
      <w:r>
        <w:rPr>
          <w:spacing w:val="-5"/>
          <w:sz w:val="21"/>
        </w:rPr>
        <w:t xml:space="preserve"> 日内作出核定。</w:t>
      </w:r>
    </w:p>
    <w:p>
      <w:pPr>
        <w:pStyle w:val="5"/>
        <w:spacing w:before="156" w:line="278" w:lineRule="auto"/>
        <w:ind w:left="2997" w:right="663"/>
        <w:jc w:val="both"/>
      </w:pPr>
      <w:r>
        <w:rPr>
          <w:spacing w:val="-2"/>
        </w:rPr>
        <w:t>本公司应当将核定结果通知受益人。对属于保险责任的，在与受益人达成给</w:t>
      </w:r>
      <w:r>
        <w:rPr>
          <w:spacing w:val="-10"/>
        </w:rPr>
        <w:t xml:space="preserve">付保险金的协议后 </w:t>
      </w:r>
      <w:r>
        <w:rPr>
          <w:spacing w:val="-4"/>
        </w:rPr>
        <w:t>10</w:t>
      </w:r>
      <w:r>
        <w:rPr>
          <w:spacing w:val="-11"/>
        </w:rPr>
        <w:t xml:space="preserve"> 日内履行给付保险金义务；对不属于保险责任的，本公</w:t>
      </w:r>
    </w:p>
    <w:p>
      <w:pPr>
        <w:pStyle w:val="5"/>
        <w:spacing w:line="278" w:lineRule="auto"/>
        <w:ind w:left="2997" w:right="661"/>
        <w:jc w:val="both"/>
      </w:pPr>
      <w:r>
        <w:rPr>
          <w:spacing w:val="-4"/>
        </w:rPr>
        <w:t xml:space="preserve">司自作出核定之日起 </w:t>
      </w:r>
      <w:r>
        <w:rPr>
          <w:spacing w:val="-2"/>
        </w:rPr>
        <w:t>3</w:t>
      </w:r>
      <w:r>
        <w:rPr>
          <w:spacing w:val="-6"/>
        </w:rPr>
        <w:t xml:space="preserve"> 日内向受益人发出拒绝给付保险金通知书，并说明理由。</w:t>
      </w:r>
    </w:p>
    <w:p>
      <w:pPr>
        <w:pStyle w:val="5"/>
        <w:spacing w:before="156" w:line="278" w:lineRule="auto"/>
        <w:ind w:left="2997" w:right="663"/>
        <w:jc w:val="both"/>
      </w:pPr>
      <w:r>
        <w:rPr>
          <w:spacing w:val="-4"/>
        </w:rPr>
        <w:t xml:space="preserve">自收到保险金给付申请书及有关证明和资料之日起 </w:t>
      </w:r>
      <w:r>
        <w:rPr>
          <w:spacing w:val="-2"/>
        </w:rPr>
        <w:t>60</w:t>
      </w:r>
      <w:r>
        <w:rPr>
          <w:spacing w:val="-13"/>
        </w:rPr>
        <w:t xml:space="preserve"> 日内，本公司对给付保</w:t>
      </w:r>
      <w:r>
        <w:rPr>
          <w:spacing w:val="-2"/>
        </w:rPr>
        <w:t>险金的数额不能确定的，本公司应当按照根据已有证明和资料可以确定的数额先予支付；最终确定给付保险金的数额后，本公司支付相应的差额。</w:t>
      </w:r>
    </w:p>
    <w:p>
      <w:pPr>
        <w:pStyle w:val="5"/>
        <w:spacing w:before="3"/>
        <w:rPr>
          <w:sz w:val="24"/>
        </w:rPr>
      </w:pPr>
    </w:p>
    <w:p>
      <w:pPr>
        <w:pStyle w:val="9"/>
        <w:numPr>
          <w:ilvl w:val="1"/>
          <w:numId w:val="3"/>
        </w:numPr>
        <w:tabs>
          <w:tab w:val="left" w:pos="1363"/>
        </w:tabs>
        <w:spacing w:before="1" w:after="0" w:line="278" w:lineRule="auto"/>
        <w:ind w:left="2997" w:right="663" w:hanging="2650"/>
        <w:jc w:val="both"/>
        <w:rPr>
          <w:sz w:val="21"/>
        </w:rPr>
      </w:pPr>
      <w:r>
        <w:rPr>
          <w:b/>
          <w:sz w:val="21"/>
        </w:rPr>
        <w:t>诉讼时效</w:t>
      </w:r>
      <w:r>
        <w:rPr>
          <w:b/>
          <w:spacing w:val="632"/>
          <w:sz w:val="21"/>
        </w:rPr>
        <w:t xml:space="preserve"> </w:t>
      </w:r>
      <w:r>
        <w:rPr>
          <w:spacing w:val="-2"/>
          <w:sz w:val="21"/>
        </w:rPr>
        <w:t xml:space="preserve">受益人向本公司请求给付保险金的诉讼时效期间为 </w:t>
      </w:r>
      <w:r>
        <w:rPr>
          <w:sz w:val="21"/>
        </w:rPr>
        <w:t>2</w:t>
      </w:r>
      <w:r>
        <w:rPr>
          <w:spacing w:val="-5"/>
          <w:sz w:val="21"/>
        </w:rPr>
        <w:t xml:space="preserve"> 年，自其知道或应当知</w:t>
      </w:r>
      <w:r>
        <w:rPr>
          <w:spacing w:val="-2"/>
          <w:sz w:val="21"/>
        </w:rPr>
        <w:t>道保险事故发生之日起计算。</w:t>
      </w:r>
    </w:p>
    <w:p>
      <w:pPr>
        <w:pStyle w:val="5"/>
        <w:rPr>
          <w:sz w:val="20"/>
        </w:rPr>
      </w:pPr>
    </w:p>
    <w:p>
      <w:pPr>
        <w:pStyle w:val="5"/>
        <w:rPr>
          <w:sz w:val="20"/>
        </w:rPr>
      </w:pPr>
    </w:p>
    <w:p>
      <w:pPr>
        <w:pStyle w:val="3"/>
        <w:numPr>
          <w:ilvl w:val="0"/>
          <w:numId w:val="3"/>
        </w:numPr>
        <w:tabs>
          <w:tab w:val="left" w:pos="1362"/>
          <w:tab w:val="left" w:pos="1363"/>
        </w:tabs>
        <w:spacing w:before="147" w:after="0" w:line="240" w:lineRule="auto"/>
        <w:ind w:left="1362" w:right="0" w:hanging="1016"/>
        <w:jc w:val="left"/>
        <w:rPr>
          <w:sz w:val="40"/>
        </w:rPr>
      </w:pPr>
      <w:r>
        <w:rPr>
          <w:w w:val="95"/>
        </w:rPr>
        <w:t>保险费交</w:t>
      </w:r>
      <w:r>
        <w:rPr>
          <w:spacing w:val="-10"/>
          <w:w w:val="95"/>
        </w:rPr>
        <w:t>纳</w:t>
      </w:r>
    </w:p>
    <w:p>
      <w:pPr>
        <w:pStyle w:val="5"/>
        <w:spacing w:before="6"/>
        <w:rPr>
          <w:b/>
          <w:sz w:val="14"/>
        </w:rPr>
      </w:pPr>
      <w:r>
        <w:drawing>
          <wp:anchor distT="0" distB="0" distL="0" distR="0" simplePos="0" relativeHeight="251659264" behindDoc="0" locked="0" layoutInCell="1" allowOverlap="1">
            <wp:simplePos x="0" y="0"/>
            <wp:positionH relativeFrom="page">
              <wp:posOffset>735965</wp:posOffset>
            </wp:positionH>
            <wp:positionV relativeFrom="paragraph">
              <wp:posOffset>132715</wp:posOffset>
            </wp:positionV>
            <wp:extent cx="6240780" cy="6350"/>
            <wp:effectExtent l="0" t="0" r="0" b="0"/>
            <wp:wrapTopAndBottom/>
            <wp:docPr id="35"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0.png"/>
                    <pic:cNvPicPr>
                      <a:picLocks noChangeAspect="1"/>
                    </pic:cNvPicPr>
                  </pic:nvPicPr>
                  <pic:blipFill>
                    <a:blip r:embed="rId15" cstate="print"/>
                    <a:stretch>
                      <a:fillRect/>
                    </a:stretch>
                  </pic:blipFill>
                  <pic:spPr>
                    <a:xfrm>
                      <a:off x="0" y="0"/>
                      <a:ext cx="6240659" cy="6096"/>
                    </a:xfrm>
                    <a:prstGeom prst="rect">
                      <a:avLst/>
                    </a:prstGeom>
                  </pic:spPr>
                </pic:pic>
              </a:graphicData>
            </a:graphic>
          </wp:anchor>
        </w:drawing>
      </w:r>
    </w:p>
    <w:p>
      <w:pPr>
        <w:pStyle w:val="9"/>
        <w:numPr>
          <w:ilvl w:val="1"/>
          <w:numId w:val="3"/>
        </w:numPr>
        <w:tabs>
          <w:tab w:val="left" w:pos="1362"/>
          <w:tab w:val="left" w:pos="1363"/>
          <w:tab w:val="left" w:pos="2997"/>
        </w:tabs>
        <w:spacing w:before="179" w:after="0" w:line="240" w:lineRule="auto"/>
        <w:ind w:left="1362" w:right="0" w:hanging="1016"/>
        <w:jc w:val="left"/>
        <w:rPr>
          <w:sz w:val="21"/>
        </w:rPr>
      </w:pPr>
      <w:r>
        <w:rPr>
          <w:b/>
          <w:position w:val="4"/>
          <w:sz w:val="21"/>
        </w:rPr>
        <w:t>保险费的交</w:t>
      </w:r>
      <w:r>
        <w:rPr>
          <w:b/>
          <w:spacing w:val="-10"/>
          <w:position w:val="4"/>
          <w:sz w:val="21"/>
        </w:rPr>
        <w:t>纳</w:t>
      </w:r>
      <w:r>
        <w:rPr>
          <w:b/>
          <w:position w:val="4"/>
          <w:sz w:val="21"/>
        </w:rPr>
        <w:tab/>
      </w:r>
      <w:r>
        <w:rPr>
          <w:spacing w:val="-2"/>
          <w:sz w:val="21"/>
        </w:rPr>
        <w:t>除另有约定外，本合同的保险费应当在投保时一次交清</w:t>
      </w:r>
      <w:r>
        <w:rPr>
          <w:spacing w:val="-10"/>
          <w:sz w:val="21"/>
        </w:rPr>
        <w:t>。</w:t>
      </w:r>
    </w:p>
    <w:p>
      <w:pPr>
        <w:spacing w:after="0" w:line="240" w:lineRule="auto"/>
        <w:jc w:val="left"/>
        <w:rPr>
          <w:sz w:val="21"/>
        </w:rPr>
        <w:sectPr>
          <w:type w:val="continuous"/>
          <w:pgSz w:w="11910" w:h="16840"/>
          <w:pgMar w:top="480" w:right="360" w:bottom="280" w:left="920" w:header="720" w:footer="720" w:gutter="0"/>
          <w:cols w:space="720" w:num="1"/>
        </w:sectPr>
      </w:pPr>
    </w:p>
    <w:p>
      <w:pPr>
        <w:pStyle w:val="9"/>
        <w:numPr>
          <w:ilvl w:val="1"/>
          <w:numId w:val="3"/>
        </w:numPr>
        <w:tabs>
          <w:tab w:val="left" w:pos="1363"/>
        </w:tabs>
        <w:spacing w:before="63" w:after="0" w:line="235" w:lineRule="auto"/>
        <w:ind w:left="2997" w:right="690" w:hanging="2650"/>
        <w:jc w:val="both"/>
        <w:rPr>
          <w:sz w:val="21"/>
        </w:rPr>
      </w:pPr>
      <w:r>
        <w:rPr>
          <w:b/>
          <w:spacing w:val="74"/>
          <w:position w:val="-1"/>
          <w:sz w:val="21"/>
        </w:rPr>
        <w:t xml:space="preserve">不保证续保 </w:t>
      </w:r>
      <w:r>
        <w:rPr>
          <w:sz w:val="21"/>
        </w:rPr>
        <w:t>本合同为不保证续保合同。本产品保险期间为一年，保险期间届满，投保人</w:t>
      </w:r>
      <w:r>
        <w:rPr>
          <w:spacing w:val="-2"/>
          <w:sz w:val="21"/>
        </w:rPr>
        <w:t>需要重新向本公司申请投保本产品，并经本公司同意，交纳保险费，获得新的保险合同。</w:t>
      </w:r>
    </w:p>
    <w:p>
      <w:pPr>
        <w:pStyle w:val="5"/>
        <w:spacing w:before="157" w:line="244" w:lineRule="auto"/>
        <w:ind w:left="2997" w:right="689"/>
      </w:pPr>
      <w:r>
        <w:rPr>
          <w:spacing w:val="-2"/>
        </w:rPr>
        <w:t>若本产品统一执行停售，本公司将不再接受投保人的投保申请，但本公司会向投保人提供投保其他产品的合理建议。</w:t>
      </w:r>
    </w:p>
    <w:p>
      <w:pPr>
        <w:pStyle w:val="5"/>
        <w:spacing w:before="6"/>
        <w:rPr>
          <w:sz w:val="28"/>
        </w:rPr>
      </w:pPr>
    </w:p>
    <w:p>
      <w:pPr>
        <w:pStyle w:val="3"/>
        <w:numPr>
          <w:ilvl w:val="0"/>
          <w:numId w:val="3"/>
        </w:numPr>
        <w:tabs>
          <w:tab w:val="left" w:pos="1362"/>
          <w:tab w:val="left" w:pos="1363"/>
        </w:tabs>
        <w:spacing w:before="0" w:after="0" w:line="240" w:lineRule="auto"/>
        <w:ind w:left="1362" w:right="0" w:hanging="1016"/>
        <w:jc w:val="left"/>
        <w:rPr>
          <w:sz w:val="40"/>
        </w:rPr>
      </w:pPr>
      <w:r>
        <w:rPr>
          <w:spacing w:val="-3"/>
          <w:w w:val="95"/>
        </w:rPr>
        <w:t>合同解除</w:t>
      </w:r>
    </w:p>
    <w:p>
      <w:pPr>
        <w:pStyle w:val="5"/>
        <w:spacing w:before="6"/>
        <w:rPr>
          <w:b/>
          <w:sz w:val="14"/>
        </w:rPr>
      </w:pPr>
      <w:r>
        <w:drawing>
          <wp:anchor distT="0" distB="0" distL="0" distR="0" simplePos="0" relativeHeight="251659264" behindDoc="0" locked="0" layoutInCell="1" allowOverlap="1">
            <wp:simplePos x="0" y="0"/>
            <wp:positionH relativeFrom="page">
              <wp:posOffset>735965</wp:posOffset>
            </wp:positionH>
            <wp:positionV relativeFrom="paragraph">
              <wp:posOffset>132715</wp:posOffset>
            </wp:positionV>
            <wp:extent cx="6240145" cy="6350"/>
            <wp:effectExtent l="0" t="0" r="0" b="0"/>
            <wp:wrapTopAndBottom/>
            <wp:docPr id="37"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0.png"/>
                    <pic:cNvPicPr>
                      <a:picLocks noChangeAspect="1"/>
                    </pic:cNvPicPr>
                  </pic:nvPicPr>
                  <pic:blipFill>
                    <a:blip r:embed="rId15" cstate="print"/>
                    <a:stretch>
                      <a:fillRect/>
                    </a:stretch>
                  </pic:blipFill>
                  <pic:spPr>
                    <a:xfrm>
                      <a:off x="0" y="0"/>
                      <a:ext cx="6240398" cy="6096"/>
                    </a:xfrm>
                    <a:prstGeom prst="rect">
                      <a:avLst/>
                    </a:prstGeom>
                  </pic:spPr>
                </pic:pic>
              </a:graphicData>
            </a:graphic>
          </wp:anchor>
        </w:drawing>
      </w:r>
    </w:p>
    <w:p>
      <w:pPr>
        <w:pStyle w:val="5"/>
        <w:spacing w:before="7"/>
        <w:rPr>
          <w:b/>
          <w:sz w:val="8"/>
        </w:rPr>
      </w:pPr>
    </w:p>
    <w:p>
      <w:pPr>
        <w:spacing w:after="0"/>
        <w:rPr>
          <w:sz w:val="8"/>
        </w:rPr>
        <w:sectPr>
          <w:pgSz w:w="11910" w:h="16840"/>
          <w:pgMar w:top="1520" w:right="360" w:bottom="280" w:left="920" w:header="720" w:footer="720" w:gutter="0"/>
          <w:cols w:space="720" w:num="1"/>
        </w:sectPr>
      </w:pPr>
    </w:p>
    <w:p>
      <w:pPr>
        <w:pStyle w:val="4"/>
        <w:numPr>
          <w:ilvl w:val="1"/>
          <w:numId w:val="3"/>
        </w:numPr>
        <w:tabs>
          <w:tab w:val="left" w:pos="1362"/>
          <w:tab w:val="left" w:pos="1363"/>
        </w:tabs>
        <w:spacing w:before="71" w:after="0" w:line="278" w:lineRule="auto"/>
        <w:ind w:left="1362" w:right="0" w:hanging="1016"/>
        <w:jc w:val="left"/>
      </w:pPr>
      <w:r>
        <w:rPr>
          <w:spacing w:val="22"/>
        </w:rPr>
        <w:t>解除合同的手</w:t>
      </w:r>
      <w:r>
        <w:rPr>
          <w:spacing w:val="-4"/>
        </w:rPr>
        <w:t>续及风险</w:t>
      </w:r>
    </w:p>
    <w:p>
      <w:pPr>
        <w:pStyle w:val="5"/>
        <w:spacing w:before="71" w:line="417" w:lineRule="auto"/>
        <w:ind w:left="174" w:right="689"/>
      </w:pPr>
      <w:r>
        <w:br w:type="column"/>
      </w:r>
      <w:r>
        <w:rPr>
          <w:spacing w:val="-2"/>
        </w:rPr>
        <w:t>本合同成立后，投保人可申请解除合同，</w:t>
      </w:r>
      <w:r>
        <w:rPr>
          <w:color w:val="000000"/>
          <w:spacing w:val="-2"/>
          <w:shd w:val="clear" w:color="auto" w:fill="D9D9D9"/>
        </w:rPr>
        <w:t>投保人解除合同会遭受一定损失。</w:t>
      </w:r>
      <w:r>
        <w:rPr>
          <w:color w:val="000000"/>
          <w:spacing w:val="-2"/>
        </w:rPr>
        <w:t>投保人申请解除本合同时，应当向本公司送达：</w:t>
      </w:r>
    </w:p>
    <w:p>
      <w:pPr>
        <w:pStyle w:val="9"/>
        <w:numPr>
          <w:ilvl w:val="0"/>
          <w:numId w:val="11"/>
        </w:numPr>
        <w:tabs>
          <w:tab w:val="left" w:pos="705"/>
        </w:tabs>
        <w:spacing w:before="1" w:after="0" w:line="240" w:lineRule="auto"/>
        <w:ind w:left="704" w:right="0" w:hanging="531"/>
        <w:jc w:val="left"/>
        <w:rPr>
          <w:sz w:val="21"/>
        </w:rPr>
      </w:pPr>
      <w:r>
        <w:rPr>
          <w:spacing w:val="-4"/>
          <w:sz w:val="21"/>
        </w:rPr>
        <w:t>解除合同申请书；</w:t>
      </w:r>
    </w:p>
    <w:p>
      <w:pPr>
        <w:pStyle w:val="5"/>
        <w:spacing w:before="6"/>
        <w:rPr>
          <w:sz w:val="15"/>
        </w:rPr>
      </w:pPr>
    </w:p>
    <w:p>
      <w:pPr>
        <w:pStyle w:val="9"/>
        <w:numPr>
          <w:ilvl w:val="0"/>
          <w:numId w:val="11"/>
        </w:numPr>
        <w:tabs>
          <w:tab w:val="left" w:pos="705"/>
        </w:tabs>
        <w:spacing w:before="0" w:after="0" w:line="240" w:lineRule="auto"/>
        <w:ind w:left="704" w:right="0" w:hanging="531"/>
        <w:jc w:val="left"/>
        <w:rPr>
          <w:sz w:val="21"/>
        </w:rPr>
      </w:pPr>
      <w:r>
        <w:rPr>
          <w:spacing w:val="-4"/>
          <w:sz w:val="21"/>
        </w:rPr>
        <w:t>本合同；</w:t>
      </w:r>
    </w:p>
    <w:p>
      <w:pPr>
        <w:pStyle w:val="5"/>
        <w:spacing w:before="7"/>
        <w:rPr>
          <w:sz w:val="15"/>
        </w:rPr>
      </w:pPr>
    </w:p>
    <w:p>
      <w:pPr>
        <w:pStyle w:val="9"/>
        <w:numPr>
          <w:ilvl w:val="0"/>
          <w:numId w:val="11"/>
        </w:numPr>
        <w:tabs>
          <w:tab w:val="left" w:pos="705"/>
        </w:tabs>
        <w:spacing w:before="0" w:after="0" w:line="240" w:lineRule="auto"/>
        <w:ind w:left="704" w:right="0" w:hanging="531"/>
        <w:jc w:val="left"/>
        <w:rPr>
          <w:sz w:val="21"/>
        </w:rPr>
      </w:pPr>
      <w:r>
        <w:rPr>
          <w:spacing w:val="-3"/>
          <w:sz w:val="21"/>
        </w:rPr>
        <w:t>投保人有效身份证件。</w:t>
      </w:r>
    </w:p>
    <w:p>
      <w:pPr>
        <w:pStyle w:val="5"/>
        <w:spacing w:before="7"/>
        <w:rPr>
          <w:sz w:val="15"/>
        </w:rPr>
      </w:pPr>
    </w:p>
    <w:p>
      <w:pPr>
        <w:pStyle w:val="5"/>
        <w:spacing w:line="276" w:lineRule="auto"/>
        <w:ind w:left="174" w:right="577"/>
      </w:pPr>
      <w:r>
        <w:rPr>
          <w:spacing w:val="-2"/>
        </w:rPr>
        <w:t>本合同的效力至本公司接到解除合同申请书之日的次日零时或解除合同申请书上载明的合同终止时间（二者中以较晚者为准）终止。本公司自收到完整</w:t>
      </w:r>
      <w:r>
        <w:t>的证明和资料之日起 30 日内向投保人退还本合同被保险人名下的</w:t>
      </w:r>
      <w:r>
        <w:rPr>
          <w:b/>
        </w:rPr>
        <w:t>未满期净</w:t>
      </w:r>
      <w:r>
        <w:rPr>
          <w:b/>
          <w:spacing w:val="-2"/>
        </w:rPr>
        <w:t>保险费</w:t>
      </w:r>
      <w:r>
        <w:rPr>
          <w:b/>
          <w:spacing w:val="-2"/>
          <w:position w:val="11"/>
          <w:sz w:val="11"/>
        </w:rPr>
        <w:t>59</w:t>
      </w:r>
      <w:r>
        <w:rPr>
          <w:spacing w:val="-2"/>
        </w:rPr>
        <w:t>。</w:t>
      </w:r>
      <w:r>
        <w:rPr>
          <w:color w:val="000000"/>
          <w:spacing w:val="-2"/>
          <w:shd w:val="clear" w:color="auto" w:fill="E4E4E4"/>
        </w:rPr>
        <w:t>本公司根据本合同约定已给付保险金或已承担给付保险金责任的，</w:t>
      </w:r>
      <w:r>
        <w:rPr>
          <w:color w:val="000000"/>
          <w:spacing w:val="80"/>
          <w:w w:val="150"/>
          <w:shd w:val="clear" w:color="auto" w:fill="E4E4E4"/>
        </w:rPr>
        <w:t xml:space="preserve">                                      </w:t>
      </w:r>
      <w:r>
        <w:rPr>
          <w:color w:val="000000"/>
          <w:spacing w:val="-2"/>
          <w:shd w:val="clear" w:color="auto" w:fill="E4E4E4"/>
        </w:rPr>
        <w:t>本合同的未满期净保险费降低为零。</w:t>
      </w:r>
    </w:p>
    <w:p>
      <w:pPr>
        <w:spacing w:after="0" w:line="276" w:lineRule="auto"/>
        <w:sectPr>
          <w:type w:val="continuous"/>
          <w:pgSz w:w="11910" w:h="16840"/>
          <w:pgMar w:top="480" w:right="360" w:bottom="280" w:left="920" w:header="720" w:footer="720" w:gutter="0"/>
          <w:cols w:equalWidth="0" w:num="2">
            <w:col w:w="2783" w:space="40"/>
            <w:col w:w="7807"/>
          </w:cols>
        </w:sectPr>
      </w:pPr>
    </w:p>
    <w:p>
      <w:pPr>
        <w:pStyle w:val="5"/>
        <w:spacing w:before="9"/>
        <w:rPr>
          <w:sz w:val="23"/>
        </w:rPr>
      </w:pPr>
    </w:p>
    <w:p>
      <w:pPr>
        <w:pStyle w:val="3"/>
        <w:numPr>
          <w:ilvl w:val="0"/>
          <w:numId w:val="3"/>
        </w:numPr>
        <w:tabs>
          <w:tab w:val="left" w:pos="1362"/>
          <w:tab w:val="left" w:pos="1363"/>
        </w:tabs>
        <w:spacing w:before="47" w:after="0" w:line="240" w:lineRule="auto"/>
        <w:ind w:left="1362" w:right="0" w:hanging="1016"/>
        <w:jc w:val="left"/>
        <w:rPr>
          <w:sz w:val="40"/>
        </w:rPr>
      </w:pPr>
      <w:r>
        <w:rPr>
          <w:spacing w:val="-3"/>
          <w:w w:val="95"/>
        </w:rPr>
        <w:t>其他事项</w:t>
      </w:r>
    </w:p>
    <w:p>
      <w:pPr>
        <w:pStyle w:val="5"/>
        <w:spacing w:before="6"/>
        <w:rPr>
          <w:b/>
          <w:sz w:val="14"/>
        </w:rPr>
      </w:pPr>
      <w:r>
        <w:drawing>
          <wp:anchor distT="0" distB="0" distL="0" distR="0" simplePos="0" relativeHeight="251659264" behindDoc="0" locked="0" layoutInCell="1" allowOverlap="1">
            <wp:simplePos x="0" y="0"/>
            <wp:positionH relativeFrom="page">
              <wp:posOffset>735965</wp:posOffset>
            </wp:positionH>
            <wp:positionV relativeFrom="paragraph">
              <wp:posOffset>132715</wp:posOffset>
            </wp:positionV>
            <wp:extent cx="6240780" cy="6350"/>
            <wp:effectExtent l="0" t="0" r="0" b="0"/>
            <wp:wrapTopAndBottom/>
            <wp:docPr id="3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0.png"/>
                    <pic:cNvPicPr>
                      <a:picLocks noChangeAspect="1"/>
                    </pic:cNvPicPr>
                  </pic:nvPicPr>
                  <pic:blipFill>
                    <a:blip r:embed="rId15" cstate="print"/>
                    <a:stretch>
                      <a:fillRect/>
                    </a:stretch>
                  </pic:blipFill>
                  <pic:spPr>
                    <a:xfrm>
                      <a:off x="0" y="0"/>
                      <a:ext cx="6240659" cy="6096"/>
                    </a:xfrm>
                    <a:prstGeom prst="rect">
                      <a:avLst/>
                    </a:prstGeom>
                  </pic:spPr>
                </pic:pic>
              </a:graphicData>
            </a:graphic>
          </wp:anchor>
        </w:drawing>
      </w:r>
    </w:p>
    <w:p>
      <w:pPr>
        <w:pStyle w:val="5"/>
        <w:spacing w:before="4"/>
        <w:rPr>
          <w:b/>
          <w:sz w:val="8"/>
        </w:rPr>
      </w:pPr>
    </w:p>
    <w:p>
      <w:pPr>
        <w:spacing w:after="0"/>
        <w:rPr>
          <w:sz w:val="8"/>
        </w:rPr>
        <w:sectPr>
          <w:type w:val="continuous"/>
          <w:pgSz w:w="11910" w:h="16840"/>
          <w:pgMar w:top="480" w:right="360" w:bottom="280" w:left="920" w:header="720" w:footer="720" w:gutter="0"/>
          <w:cols w:space="720" w:num="1"/>
        </w:sectPr>
      </w:pPr>
    </w:p>
    <w:p>
      <w:pPr>
        <w:pStyle w:val="4"/>
        <w:numPr>
          <w:ilvl w:val="1"/>
          <w:numId w:val="3"/>
        </w:numPr>
        <w:tabs>
          <w:tab w:val="left" w:pos="1362"/>
          <w:tab w:val="left" w:pos="1363"/>
        </w:tabs>
        <w:spacing w:before="72" w:after="0" w:line="278" w:lineRule="auto"/>
        <w:ind w:left="1362" w:right="0" w:hanging="1016"/>
        <w:jc w:val="left"/>
      </w:pPr>
      <w:r>
        <w:rPr>
          <w:spacing w:val="22"/>
        </w:rPr>
        <w:t>明确说明与如</w:t>
      </w:r>
      <w:r>
        <w:rPr>
          <w:spacing w:val="-4"/>
        </w:rPr>
        <w:t>实告知</w:t>
      </w:r>
    </w:p>
    <w:p>
      <w:pPr>
        <w:pStyle w:val="5"/>
        <w:spacing w:before="72" w:line="278" w:lineRule="auto"/>
        <w:ind w:left="174" w:right="690"/>
        <w:jc w:val="both"/>
      </w:pPr>
      <w:r>
        <w:br w:type="column"/>
      </w:r>
      <w:r>
        <w:rPr>
          <w:spacing w:val="-2"/>
        </w:rPr>
        <w:t>订立本合同时，本公司会向投保人明确说明本合同的内容。对本合同中免除本公司责任的条款，本公司在订立合同时会在投保单、保险单或其他保险凭证上作出足以引起投保人注意的提示，并对该条款的内容以书面或口头形式向投保人作出明确说明，未作提示或明确说明的，该条款不产生效力。</w:t>
      </w:r>
    </w:p>
    <w:p>
      <w:pPr>
        <w:pStyle w:val="5"/>
        <w:spacing w:before="156"/>
        <w:ind w:left="174"/>
      </w:pPr>
      <w:r>
        <w:rPr>
          <w:spacing w:val="-3"/>
        </w:rPr>
        <w:t>本公司就投保人、被保险人的有关情况提出询问，投保人应当如实告知。</w:t>
      </w:r>
    </w:p>
    <w:p>
      <w:pPr>
        <w:spacing w:after="0"/>
        <w:sectPr>
          <w:type w:val="continuous"/>
          <w:pgSz w:w="11910" w:h="16840"/>
          <w:pgMar w:top="480" w:right="360" w:bottom="280" w:left="920" w:header="720" w:footer="720" w:gutter="0"/>
          <w:cols w:equalWidth="0" w:num="2">
            <w:col w:w="2783" w:space="40"/>
            <w:col w:w="7807"/>
          </w:cols>
        </w:sectPr>
      </w:pPr>
    </w:p>
    <w:p>
      <w:pPr>
        <w:pStyle w:val="5"/>
        <w:spacing w:before="11"/>
        <w:rPr>
          <w:sz w:val="9"/>
        </w:rPr>
      </w:pPr>
    </w:p>
    <w:p>
      <w:pPr>
        <w:pStyle w:val="5"/>
        <w:spacing w:before="72" w:line="278" w:lineRule="auto"/>
        <w:ind w:left="2997" w:right="690"/>
      </w:pPr>
      <w:r>
        <w:rPr>
          <w:color w:val="000000"/>
          <w:spacing w:val="-2"/>
          <w:shd w:val="clear" w:color="auto" w:fill="E4E4E4"/>
        </w:rPr>
        <w:t>投保人故意或因重大过失未履行前款规定的如实告知义务，足以影响本公司</w:t>
      </w:r>
      <w:r>
        <w:rPr>
          <w:color w:val="000000"/>
          <w:spacing w:val="80"/>
          <w:w w:val="150"/>
          <w:shd w:val="clear" w:color="auto" w:fill="E4E4E4"/>
        </w:rPr>
        <w:t xml:space="preserve">                                     </w:t>
      </w:r>
      <w:r>
        <w:rPr>
          <w:color w:val="000000"/>
          <w:spacing w:val="-2"/>
          <w:shd w:val="clear" w:color="auto" w:fill="E4E4E4"/>
        </w:rPr>
        <w:t>决定是否同意承保或提高保险费率的，本公司有权解除本合同。</w:t>
      </w:r>
    </w:p>
    <w:p>
      <w:pPr>
        <w:pStyle w:val="5"/>
        <w:spacing w:before="156" w:line="278" w:lineRule="auto"/>
        <w:ind w:left="2997" w:right="690"/>
      </w:pPr>
      <w:r>
        <w:rPr>
          <w:color w:val="000000"/>
          <w:spacing w:val="-2"/>
          <w:shd w:val="clear" w:color="auto" w:fill="E4E4E4"/>
        </w:rPr>
        <w:t>投保人故意不履行如实告知义务的，本公司对于本合同解除前发生的保险事</w:t>
      </w:r>
      <w:r>
        <w:rPr>
          <w:color w:val="000000"/>
          <w:spacing w:val="80"/>
          <w:w w:val="150"/>
          <w:shd w:val="clear" w:color="auto" w:fill="E4E4E4"/>
        </w:rPr>
        <w:t xml:space="preserve">                                     </w:t>
      </w:r>
      <w:r>
        <w:rPr>
          <w:color w:val="000000"/>
          <w:spacing w:val="-2"/>
          <w:shd w:val="clear" w:color="auto" w:fill="E4E4E4"/>
        </w:rPr>
        <w:t>故，不承担给付保险金的责任，并不退还保险费。</w:t>
      </w:r>
    </w:p>
    <w:p>
      <w:pPr>
        <w:pStyle w:val="5"/>
        <w:spacing w:before="156" w:line="278" w:lineRule="auto"/>
        <w:ind w:left="2997" w:right="690"/>
        <w:jc w:val="both"/>
      </w:pPr>
      <w:r>
        <w:rPr>
          <w:color w:val="000000"/>
          <w:spacing w:val="-2"/>
          <w:shd w:val="clear" w:color="auto" w:fill="E4E4E4"/>
        </w:rPr>
        <w:t>投保人因重大过失未履行如实告知义务，对保险事故的发生有严重影响的，</w:t>
      </w:r>
      <w:r>
        <w:rPr>
          <w:color w:val="000000"/>
          <w:spacing w:val="40"/>
          <w:shd w:val="clear" w:color="auto" w:fill="E4E4E4"/>
        </w:rPr>
        <w:t xml:space="preserve"> </w:t>
      </w:r>
      <w:r>
        <w:rPr>
          <w:color w:val="000000"/>
          <w:spacing w:val="-2"/>
          <w:shd w:val="clear" w:color="auto" w:fill="E4E4E4"/>
        </w:rPr>
        <w:t>本公司对于本合同解除前发生的保险事故，不承担给付保险金的责任，但会退还保险费。</w:t>
      </w:r>
    </w:p>
    <w:p>
      <w:pPr>
        <w:pStyle w:val="5"/>
        <w:spacing w:before="156"/>
        <w:ind w:left="2997"/>
      </w:pPr>
      <w:r>
        <w:rPr>
          <w:spacing w:val="-3"/>
        </w:rPr>
        <w:t>本公司在本合同订立时已经知道投保人未如实告知的情况的，本公司不得解</w:t>
      </w:r>
    </w:p>
    <w:p>
      <w:pPr>
        <w:pStyle w:val="5"/>
        <w:rPr>
          <w:sz w:val="20"/>
        </w:rPr>
      </w:pPr>
    </w:p>
    <w:p>
      <w:pPr>
        <w:pStyle w:val="5"/>
        <w:spacing w:before="10"/>
        <w:rPr>
          <w:sz w:val="28"/>
        </w:rPr>
      </w:pPr>
      <w:r>
        <w:drawing>
          <wp:anchor distT="0" distB="0" distL="0" distR="0" simplePos="0" relativeHeight="251659264" behindDoc="0" locked="0" layoutInCell="1" allowOverlap="1">
            <wp:simplePos x="0" y="0"/>
            <wp:positionH relativeFrom="page">
              <wp:posOffset>685800</wp:posOffset>
            </wp:positionH>
            <wp:positionV relativeFrom="paragraph">
              <wp:posOffset>248920</wp:posOffset>
            </wp:positionV>
            <wp:extent cx="1829435" cy="6350"/>
            <wp:effectExtent l="0" t="0" r="0" b="0"/>
            <wp:wrapTopAndBottom/>
            <wp:docPr id="41"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7.png"/>
                    <pic:cNvPicPr>
                      <a:picLocks noChangeAspect="1"/>
                    </pic:cNvPicPr>
                  </pic:nvPicPr>
                  <pic:blipFill>
                    <a:blip r:embed="rId12" cstate="print"/>
                    <a:stretch>
                      <a:fillRect/>
                    </a:stretch>
                  </pic:blipFill>
                  <pic:spPr>
                    <a:xfrm>
                      <a:off x="0" y="0"/>
                      <a:ext cx="1829511" cy="6096"/>
                    </a:xfrm>
                    <a:prstGeom prst="rect">
                      <a:avLst/>
                    </a:prstGeom>
                  </pic:spPr>
                </pic:pic>
              </a:graphicData>
            </a:graphic>
          </wp:anchor>
        </w:drawing>
      </w:r>
    </w:p>
    <w:p>
      <w:pPr>
        <w:spacing w:before="91"/>
        <w:ind w:left="160" w:right="0" w:firstLine="0"/>
        <w:jc w:val="left"/>
        <w:rPr>
          <w:rFonts w:ascii="楷体" w:hAnsi="楷体" w:eastAsia="楷体"/>
          <w:sz w:val="18"/>
        </w:rPr>
      </w:pPr>
      <w:r>
        <w:rPr>
          <w:rFonts w:ascii="楷体" w:hAnsi="楷体" w:eastAsia="楷体"/>
          <w:w w:val="95"/>
          <w:position w:val="9"/>
          <w:sz w:val="9"/>
        </w:rPr>
        <w:t>59</w:t>
      </w:r>
      <w:r>
        <w:rPr>
          <w:rFonts w:hint="eastAsia" w:ascii="楷体" w:hAnsi="楷体" w:eastAsia="楷体"/>
          <w:b/>
          <w:w w:val="95"/>
          <w:sz w:val="18"/>
        </w:rPr>
        <w:t>未满期净保险费</w:t>
      </w:r>
      <w:r>
        <w:rPr>
          <w:rFonts w:ascii="楷体" w:hAnsi="楷体" w:eastAsia="楷体"/>
          <w:w w:val="95"/>
          <w:sz w:val="18"/>
        </w:rPr>
        <w:t>：指“（保险费-手续费）*（1-（保单当期已经过天数/当期已交保险费对应的保险期间</w:t>
      </w:r>
      <w:r>
        <w:rPr>
          <w:rFonts w:ascii="楷体" w:hAnsi="楷体" w:eastAsia="楷体"/>
          <w:spacing w:val="-91"/>
          <w:w w:val="95"/>
          <w:sz w:val="18"/>
        </w:rPr>
        <w:t>））”</w:t>
      </w:r>
      <w:r>
        <w:rPr>
          <w:rFonts w:ascii="楷体" w:hAnsi="楷体" w:eastAsia="楷体"/>
          <w:w w:val="95"/>
          <w:sz w:val="18"/>
        </w:rPr>
        <w:t>。经过天数不</w:t>
      </w:r>
      <w:r>
        <w:rPr>
          <w:rFonts w:ascii="楷体" w:hAnsi="楷体" w:eastAsia="楷体"/>
          <w:spacing w:val="-10"/>
          <w:w w:val="95"/>
          <w:sz w:val="18"/>
        </w:rPr>
        <w:t>足</w:t>
      </w:r>
    </w:p>
    <w:p>
      <w:pPr>
        <w:spacing w:before="2"/>
        <w:ind w:left="160" w:right="0" w:firstLine="0"/>
        <w:jc w:val="left"/>
        <w:rPr>
          <w:rFonts w:ascii="楷体" w:eastAsia="楷体"/>
          <w:sz w:val="18"/>
        </w:rPr>
      </w:pPr>
      <w:r>
        <w:rPr>
          <w:rFonts w:ascii="楷体" w:eastAsia="楷体"/>
          <w:spacing w:val="-1"/>
          <w:sz w:val="18"/>
        </w:rPr>
        <w:t xml:space="preserve">一天的按一天计算。手续费指本公司对本合同平均承担的营业费用及佣金的总和，等于保险费的 </w:t>
      </w:r>
      <w:r>
        <w:rPr>
          <w:rFonts w:ascii="楷体" w:eastAsia="楷体"/>
          <w:sz w:val="18"/>
        </w:rPr>
        <w:t>35</w:t>
      </w:r>
      <w:r>
        <w:rPr>
          <w:rFonts w:ascii="楷体" w:eastAsia="楷体"/>
          <w:spacing w:val="-5"/>
          <w:sz w:val="18"/>
        </w:rPr>
        <w:t>%。</w:t>
      </w:r>
    </w:p>
    <w:p>
      <w:pPr>
        <w:spacing w:after="0"/>
        <w:jc w:val="left"/>
        <w:rPr>
          <w:rFonts w:ascii="楷体" w:eastAsia="楷体"/>
          <w:sz w:val="18"/>
        </w:rPr>
        <w:sectPr>
          <w:type w:val="continuous"/>
          <w:pgSz w:w="11910" w:h="16840"/>
          <w:pgMar w:top="480" w:right="360" w:bottom="280" w:left="920" w:header="720" w:footer="720" w:gutter="0"/>
          <w:cols w:space="720" w:num="1"/>
        </w:sectPr>
      </w:pPr>
    </w:p>
    <w:p>
      <w:pPr>
        <w:pStyle w:val="5"/>
        <w:spacing w:before="44"/>
        <w:ind w:left="2997"/>
      </w:pPr>
      <w:r>
        <w:rPr>
          <w:spacing w:val="-3"/>
        </w:rPr>
        <w:t>除合同；发生保险事故的，本公司承担给付保险金的责任。</w:t>
      </w:r>
    </w:p>
    <w:p>
      <w:pPr>
        <w:pStyle w:val="5"/>
        <w:rPr>
          <w:sz w:val="20"/>
        </w:rPr>
      </w:pPr>
    </w:p>
    <w:p>
      <w:pPr>
        <w:pStyle w:val="5"/>
        <w:spacing w:before="10"/>
        <w:rPr>
          <w:sz w:val="24"/>
        </w:rPr>
      </w:pPr>
    </w:p>
    <w:p>
      <w:pPr>
        <w:spacing w:after="0"/>
        <w:rPr>
          <w:sz w:val="24"/>
        </w:rPr>
        <w:sectPr>
          <w:pgSz w:w="11910" w:h="16840"/>
          <w:pgMar w:top="1400" w:right="360" w:bottom="280" w:left="920" w:header="720" w:footer="720" w:gutter="0"/>
          <w:cols w:space="720" w:num="1"/>
        </w:sectPr>
      </w:pPr>
    </w:p>
    <w:p>
      <w:pPr>
        <w:pStyle w:val="4"/>
        <w:numPr>
          <w:ilvl w:val="1"/>
          <w:numId w:val="3"/>
        </w:numPr>
        <w:tabs>
          <w:tab w:val="left" w:pos="1362"/>
          <w:tab w:val="left" w:pos="1363"/>
        </w:tabs>
        <w:spacing w:before="72" w:after="0" w:line="242" w:lineRule="auto"/>
        <w:ind w:left="1362" w:right="0" w:hanging="1016"/>
        <w:jc w:val="left"/>
      </w:pPr>
      <w:r>
        <w:rPr>
          <w:spacing w:val="22"/>
        </w:rPr>
        <w:t>本公司合同解</w:t>
      </w:r>
      <w:r>
        <w:rPr>
          <w:spacing w:val="-2"/>
        </w:rPr>
        <w:t>除权的限制</w:t>
      </w:r>
    </w:p>
    <w:p>
      <w:pPr>
        <w:pStyle w:val="5"/>
        <w:spacing w:before="72" w:line="242" w:lineRule="auto"/>
        <w:ind w:left="174" w:right="663"/>
      </w:pPr>
      <w:r>
        <w:br w:type="column"/>
      </w:r>
      <w:r>
        <w:rPr>
          <w:spacing w:val="-2"/>
        </w:rPr>
        <w:t>6.1</w:t>
      </w:r>
      <w:r>
        <w:rPr>
          <w:spacing w:val="-11"/>
        </w:rPr>
        <w:t xml:space="preserve"> 款规定的合同解除权，自本公司知道有解除事由之日起，超过 </w:t>
      </w:r>
      <w:r>
        <w:rPr>
          <w:spacing w:val="-2"/>
        </w:rPr>
        <w:t>30</w:t>
      </w:r>
      <w:r>
        <w:rPr>
          <w:spacing w:val="-14"/>
        </w:rPr>
        <w:t xml:space="preserve"> 日不行</w:t>
      </w:r>
      <w:r>
        <w:rPr>
          <w:spacing w:val="-2"/>
        </w:rPr>
        <w:t>使而消灭。</w:t>
      </w:r>
    </w:p>
    <w:p>
      <w:pPr>
        <w:spacing w:after="0" w:line="242" w:lineRule="auto"/>
        <w:sectPr>
          <w:type w:val="continuous"/>
          <w:pgSz w:w="11910" w:h="16840"/>
          <w:pgMar w:top="480" w:right="360" w:bottom="280" w:left="920" w:header="720" w:footer="720" w:gutter="0"/>
          <w:cols w:equalWidth="0" w:num="2">
            <w:col w:w="2783" w:space="40"/>
            <w:col w:w="7807"/>
          </w:cols>
        </w:sectPr>
      </w:pPr>
    </w:p>
    <w:p>
      <w:pPr>
        <w:pStyle w:val="5"/>
        <w:rPr>
          <w:sz w:val="20"/>
        </w:rPr>
      </w:pPr>
    </w:p>
    <w:p>
      <w:pPr>
        <w:pStyle w:val="5"/>
        <w:spacing w:before="3"/>
        <w:rPr>
          <w:sz w:val="23"/>
        </w:rPr>
      </w:pPr>
    </w:p>
    <w:p>
      <w:pPr>
        <w:pStyle w:val="9"/>
        <w:numPr>
          <w:ilvl w:val="1"/>
          <w:numId w:val="12"/>
        </w:numPr>
        <w:tabs>
          <w:tab w:val="left" w:pos="1362"/>
          <w:tab w:val="left" w:pos="1363"/>
          <w:tab w:val="left" w:pos="2997"/>
        </w:tabs>
        <w:spacing w:before="71" w:after="0" w:line="242" w:lineRule="auto"/>
        <w:ind w:left="2997" w:right="690" w:hanging="2650"/>
        <w:jc w:val="left"/>
        <w:rPr>
          <w:sz w:val="21"/>
        </w:rPr>
      </w:pPr>
      <w:r>
        <w:rPr>
          <w:b/>
          <w:spacing w:val="-4"/>
          <w:sz w:val="21"/>
        </w:rPr>
        <w:t>年龄错误</w:t>
      </w:r>
      <w:r>
        <w:rPr>
          <w:b/>
          <w:sz w:val="21"/>
        </w:rPr>
        <w:tab/>
      </w:r>
      <w:r>
        <w:rPr>
          <w:spacing w:val="-2"/>
          <w:sz w:val="21"/>
        </w:rPr>
        <w:t>投保人在申请投保时，应将与有效身份证件相符的被保险人的出生日期或周岁年龄在投保单或其他投保文件上填明，若发生错误按照下列方式办理：</w:t>
      </w:r>
    </w:p>
    <w:p>
      <w:pPr>
        <w:pStyle w:val="9"/>
        <w:numPr>
          <w:ilvl w:val="2"/>
          <w:numId w:val="12"/>
        </w:numPr>
        <w:tabs>
          <w:tab w:val="left" w:pos="3527"/>
        </w:tabs>
        <w:spacing w:before="158" w:after="0" w:line="242" w:lineRule="auto"/>
        <w:ind w:left="2997" w:right="690" w:firstLine="0"/>
        <w:jc w:val="left"/>
        <w:rPr>
          <w:sz w:val="21"/>
        </w:rPr>
      </w:pPr>
      <w:r>
        <w:rPr>
          <w:spacing w:val="-2"/>
          <w:sz w:val="21"/>
        </w:rPr>
        <w:t>投保人申报的被保险人年龄不真实，并且其真实年龄不符合本合同约定投保年龄限制的，本公司有权取消该被保险人的被保资格，并向投保人退还相应未满期净保险费。本公司行使被保险人的被保资格取消权适用“6.2本公司合同解除权的限制”的规定。</w:t>
      </w:r>
    </w:p>
    <w:p>
      <w:pPr>
        <w:pStyle w:val="9"/>
        <w:numPr>
          <w:ilvl w:val="2"/>
          <w:numId w:val="12"/>
        </w:numPr>
        <w:tabs>
          <w:tab w:val="left" w:pos="3527"/>
        </w:tabs>
        <w:spacing w:before="159" w:after="0" w:line="242" w:lineRule="auto"/>
        <w:ind w:left="2997" w:right="689" w:firstLine="0"/>
        <w:jc w:val="left"/>
        <w:rPr>
          <w:sz w:val="21"/>
        </w:rPr>
      </w:pPr>
      <w:r>
        <w:rPr>
          <w:spacing w:val="-2"/>
          <w:sz w:val="21"/>
        </w:rPr>
        <w:t>投保人申报的被保险人年龄不真实，致使投保人实交保险费少于应交保险费的，本公司有权更正并要求投保人补交保险费，</w:t>
      </w:r>
      <w:r>
        <w:rPr>
          <w:color w:val="000000"/>
          <w:spacing w:val="-2"/>
          <w:sz w:val="21"/>
          <w:shd w:val="clear" w:color="auto" w:fill="E4E4E4"/>
        </w:rPr>
        <w:t>但若已经发生保险事</w:t>
      </w:r>
      <w:r>
        <w:rPr>
          <w:color w:val="000000"/>
          <w:spacing w:val="13335"/>
          <w:sz w:val="21"/>
          <w:shd w:val="clear" w:color="auto" w:fill="E4E4E4"/>
        </w:rPr>
        <w:t xml:space="preserve"> </w:t>
      </w:r>
      <w:r>
        <w:rPr>
          <w:color w:val="000000"/>
          <w:spacing w:val="-3"/>
          <w:sz w:val="21"/>
          <w:shd w:val="clear" w:color="auto" w:fill="E4E4E4"/>
        </w:rPr>
        <w:t xml:space="preserve">故，本公司有权按实收保险费占应交保险费的比例给付第 </w:t>
      </w:r>
      <w:r>
        <w:rPr>
          <w:color w:val="000000"/>
          <w:sz w:val="21"/>
          <w:shd w:val="clear" w:color="auto" w:fill="E4E4E4"/>
        </w:rPr>
        <w:t>2</w:t>
      </w:r>
      <w:r>
        <w:rPr>
          <w:color w:val="000000"/>
          <w:spacing w:val="-8"/>
          <w:sz w:val="21"/>
          <w:shd w:val="clear" w:color="auto" w:fill="E4E4E4"/>
        </w:rPr>
        <w:t xml:space="preserve"> 部分“提供的保</w:t>
      </w:r>
      <w:r>
        <w:rPr>
          <w:color w:val="000000"/>
          <w:spacing w:val="-2"/>
          <w:sz w:val="21"/>
          <w:shd w:val="clear" w:color="auto" w:fill="E4E4E4"/>
        </w:rPr>
        <w:t>障”约定的保险金。</w:t>
      </w:r>
    </w:p>
    <w:p>
      <w:pPr>
        <w:pStyle w:val="9"/>
        <w:numPr>
          <w:ilvl w:val="2"/>
          <w:numId w:val="12"/>
        </w:numPr>
        <w:tabs>
          <w:tab w:val="left" w:pos="3527"/>
        </w:tabs>
        <w:spacing w:before="159" w:after="0" w:line="242" w:lineRule="auto"/>
        <w:ind w:left="2997" w:right="663" w:firstLine="0"/>
        <w:jc w:val="left"/>
        <w:rPr>
          <w:sz w:val="21"/>
        </w:rPr>
      </w:pPr>
      <w:r>
        <w:rPr>
          <w:spacing w:val="-2"/>
          <w:sz w:val="21"/>
        </w:rPr>
        <w:t>投保人申报的被保险人年龄不真实，致使投保人实交保险费多于应交保险费的，本公司会将多收的保险费无息退还给投保人。</w:t>
      </w:r>
    </w:p>
    <w:p>
      <w:pPr>
        <w:pStyle w:val="5"/>
        <w:rPr>
          <w:sz w:val="20"/>
        </w:rPr>
      </w:pPr>
    </w:p>
    <w:p>
      <w:pPr>
        <w:pStyle w:val="5"/>
        <w:spacing w:before="2"/>
        <w:rPr>
          <w:sz w:val="23"/>
        </w:rPr>
      </w:pPr>
    </w:p>
    <w:p>
      <w:pPr>
        <w:spacing w:after="0"/>
        <w:rPr>
          <w:sz w:val="23"/>
        </w:rPr>
        <w:sectPr>
          <w:type w:val="continuous"/>
          <w:pgSz w:w="11910" w:h="16840"/>
          <w:pgMar w:top="480" w:right="360" w:bottom="280" w:left="920" w:header="720" w:footer="720" w:gutter="0"/>
          <w:cols w:space="720" w:num="1"/>
        </w:sectPr>
      </w:pPr>
    </w:p>
    <w:p>
      <w:pPr>
        <w:pStyle w:val="4"/>
        <w:numPr>
          <w:ilvl w:val="1"/>
          <w:numId w:val="12"/>
        </w:numPr>
        <w:tabs>
          <w:tab w:val="left" w:pos="1362"/>
          <w:tab w:val="left" w:pos="1363"/>
        </w:tabs>
        <w:spacing w:before="72" w:after="0" w:line="242" w:lineRule="auto"/>
        <w:ind w:left="1362" w:right="0" w:hanging="1016"/>
        <w:jc w:val="left"/>
      </w:pPr>
      <w:r>
        <w:rPr>
          <w:spacing w:val="22"/>
        </w:rPr>
        <w:t>职业或工种的</w:t>
      </w:r>
      <w:r>
        <w:rPr>
          <w:spacing w:val="-6"/>
        </w:rPr>
        <w:t>变更</w:t>
      </w:r>
    </w:p>
    <w:p>
      <w:pPr>
        <w:pStyle w:val="5"/>
        <w:spacing w:before="72" w:line="242" w:lineRule="auto"/>
        <w:ind w:left="174" w:right="690"/>
      </w:pPr>
      <w:r>
        <w:br w:type="column"/>
      </w:r>
      <w:r>
        <w:rPr>
          <w:spacing w:val="-2"/>
        </w:rPr>
        <w:t>被保险人变更职业或工种时，投保人或被保险人应于十日内以书面或约定的其他形式通知本公司。</w:t>
      </w:r>
    </w:p>
    <w:p>
      <w:pPr>
        <w:spacing w:after="0" w:line="242" w:lineRule="auto"/>
        <w:sectPr>
          <w:type w:val="continuous"/>
          <w:pgSz w:w="11910" w:h="16840"/>
          <w:pgMar w:top="480" w:right="360" w:bottom="280" w:left="920" w:header="720" w:footer="720" w:gutter="0"/>
          <w:cols w:equalWidth="0" w:num="2">
            <w:col w:w="2783" w:space="40"/>
            <w:col w:w="7807"/>
          </w:cols>
        </w:sectPr>
      </w:pPr>
    </w:p>
    <w:p>
      <w:pPr>
        <w:pStyle w:val="5"/>
        <w:spacing w:before="2"/>
        <w:rPr>
          <w:sz w:val="12"/>
        </w:rPr>
      </w:pPr>
    </w:p>
    <w:p>
      <w:pPr>
        <w:pStyle w:val="5"/>
        <w:ind w:left="2997"/>
        <w:rPr>
          <w:sz w:val="20"/>
        </w:rPr>
      </w:pPr>
      <w:r>
        <w:rPr>
          <w:sz w:val="20"/>
        </w:rPr>
        <w:pict>
          <v:shape id="docshape8" o:spid="_x0000_s1033" o:spt="202" type="#_x0000_t202" style="height:40.85pt;width:346.75pt;" fillcolor="#D9D9D9" filled="t" stroked="f" coordsize="21600,21600">
            <v:path/>
            <v:fill on="t" focussize="0,0"/>
            <v:stroke on="f" joinstyle="miter"/>
            <v:imagedata o:title=""/>
            <o:lock v:ext="edit"/>
            <v:textbox inset="0mm,0mm,0mm,0mm">
              <w:txbxContent>
                <w:p>
                  <w:pPr>
                    <w:pStyle w:val="5"/>
                    <w:spacing w:before="1" w:line="242" w:lineRule="auto"/>
                    <w:ind w:right="-15"/>
                    <w:jc w:val="both"/>
                    <w:rPr>
                      <w:color w:val="000000"/>
                    </w:rPr>
                  </w:pPr>
                  <w:r>
                    <w:rPr>
                      <w:color w:val="000000"/>
                      <w:spacing w:val="-2"/>
                    </w:rPr>
                    <w:t>被保险人变更后的职业或工种依照本公司职业分类在拒保范围内的，本公司对该被保险人所承担的保险责任自其职业或工种变更之日起终止，并按照接到通知之日退还所涉及被保险人原职业或工种所对应的未满期保险费。</w:t>
                  </w:r>
                </w:p>
              </w:txbxContent>
            </v:textbox>
            <w10:wrap type="none"/>
            <w10:anchorlock/>
          </v:shape>
        </w:pict>
      </w:r>
    </w:p>
    <w:p>
      <w:pPr>
        <w:pStyle w:val="5"/>
        <w:spacing w:before="5"/>
        <w:rPr>
          <w:sz w:val="8"/>
        </w:rPr>
      </w:pPr>
      <w:r>
        <w:pict>
          <v:shape id="docshape9" o:spid="_x0000_s1034" o:spt="202" type="#_x0000_t202" style="position:absolute;left:0pt;margin-left:195.85pt;margin-top:6.6pt;height:27.25pt;width:346.75pt;mso-position-horizontal-relative:page;mso-wrap-distance-bottom:0pt;mso-wrap-distance-top:0pt;z-index:-251642880;mso-width-relative:page;mso-height-relative:page;" fillcolor="#D9D9D9" filled="t" stroked="f" coordsize="21600,21600">
            <v:path/>
            <v:fill on="t" focussize="0,0"/>
            <v:stroke on="f" joinstyle="miter"/>
            <v:imagedata o:title=""/>
            <o:lock v:ext="edit"/>
            <v:textbox inset="0mm,0mm,0mm,0mm">
              <w:txbxContent>
                <w:p>
                  <w:pPr>
                    <w:pStyle w:val="5"/>
                    <w:spacing w:line="244" w:lineRule="auto"/>
                    <w:ind w:right="-15"/>
                    <w:rPr>
                      <w:color w:val="000000"/>
                    </w:rPr>
                  </w:pPr>
                  <w:r>
                    <w:rPr>
                      <w:color w:val="000000"/>
                      <w:spacing w:val="-2"/>
                    </w:rPr>
                    <w:t>被保险人变更后的职业或工种不在本公司承保范围，但未按要求通知本公司</w:t>
                  </w:r>
                  <w:r>
                    <w:rPr>
                      <w:color w:val="000000"/>
                      <w:spacing w:val="-3"/>
                    </w:rPr>
                    <w:t>的，本公司对该被保险人职业或工种变更后所发生的保险事故不承担给付保</w:t>
                  </w:r>
                </w:p>
              </w:txbxContent>
            </v:textbox>
            <w10:wrap type="topAndBottom"/>
          </v:shape>
        </w:pict>
      </w:r>
    </w:p>
    <w:p>
      <w:pPr>
        <w:pStyle w:val="5"/>
        <w:spacing w:before="1"/>
        <w:ind w:left="2997"/>
      </w:pPr>
      <w:r>
        <w:rPr>
          <w:color w:val="000000"/>
          <w:spacing w:val="-4"/>
          <w:shd w:val="clear" w:color="auto" w:fill="D9D9D9"/>
        </w:rPr>
        <w:t>险金的责任。</w:t>
      </w:r>
    </w:p>
    <w:p>
      <w:pPr>
        <w:pStyle w:val="5"/>
        <w:spacing w:before="158" w:line="244" w:lineRule="auto"/>
        <w:ind w:left="2997" w:right="664"/>
      </w:pPr>
      <w:r>
        <w:rPr>
          <w:spacing w:val="-2"/>
        </w:rPr>
        <w:t>本公司将按照事先公布的职业分类表确定被保险人的职业分类，投保人可通过本公司服务场所工作人员、服务热线或有关互联网查询到此表。</w:t>
      </w:r>
    </w:p>
    <w:p>
      <w:pPr>
        <w:pStyle w:val="5"/>
        <w:spacing w:before="9"/>
        <w:rPr>
          <w:sz w:val="25"/>
        </w:rPr>
      </w:pPr>
    </w:p>
    <w:p>
      <w:pPr>
        <w:pStyle w:val="9"/>
        <w:numPr>
          <w:ilvl w:val="1"/>
          <w:numId w:val="12"/>
        </w:numPr>
        <w:tabs>
          <w:tab w:val="left" w:pos="1363"/>
        </w:tabs>
        <w:spacing w:before="0" w:after="0" w:line="278" w:lineRule="auto"/>
        <w:ind w:left="2997" w:right="664" w:hanging="2650"/>
        <w:jc w:val="both"/>
        <w:rPr>
          <w:sz w:val="21"/>
        </w:rPr>
      </w:pPr>
      <w:r>
        <w:rPr>
          <w:b/>
          <w:sz w:val="21"/>
        </w:rPr>
        <w:t>未还款项</w:t>
      </w:r>
      <w:r>
        <w:rPr>
          <w:b/>
          <w:spacing w:val="682"/>
          <w:sz w:val="21"/>
        </w:rPr>
        <w:t xml:space="preserve"> </w:t>
      </w:r>
      <w:r>
        <w:rPr>
          <w:sz w:val="21"/>
        </w:rPr>
        <w:t>本公司在给付各项保险金、退还未满期保险费或保险费等款项时，若投保人</w:t>
      </w:r>
      <w:r>
        <w:rPr>
          <w:spacing w:val="-2"/>
          <w:sz w:val="21"/>
        </w:rPr>
        <w:t>或受益人有欠交或未还清款项，本公司会在投保人偿清款项后给付。</w:t>
      </w:r>
    </w:p>
    <w:p>
      <w:pPr>
        <w:pStyle w:val="5"/>
        <w:spacing w:before="4"/>
        <w:rPr>
          <w:sz w:val="24"/>
        </w:rPr>
      </w:pPr>
    </w:p>
    <w:p>
      <w:pPr>
        <w:pStyle w:val="9"/>
        <w:numPr>
          <w:ilvl w:val="1"/>
          <w:numId w:val="12"/>
        </w:numPr>
        <w:tabs>
          <w:tab w:val="left" w:pos="1363"/>
        </w:tabs>
        <w:spacing w:before="1" w:after="0" w:line="278" w:lineRule="auto"/>
        <w:ind w:left="2997" w:right="664" w:hanging="2650"/>
        <w:jc w:val="both"/>
        <w:rPr>
          <w:sz w:val="21"/>
        </w:rPr>
      </w:pPr>
      <w:r>
        <w:rPr>
          <w:b/>
          <w:spacing w:val="37"/>
          <w:sz w:val="21"/>
        </w:rPr>
        <w:t xml:space="preserve">合同内容变更 </w:t>
      </w:r>
      <w:r>
        <w:rPr>
          <w:sz w:val="21"/>
        </w:rPr>
        <w:t>在本合同有效期内，经投保人与本公司协商一致，可以变更本合同的有关内</w:t>
      </w:r>
      <w:r>
        <w:rPr>
          <w:spacing w:val="-2"/>
          <w:sz w:val="21"/>
        </w:rPr>
        <w:t>容，并由本公司在保险单或其他保险凭证上批注或附贴批单，或由投保人与本公司订立书面的变更协议。</w:t>
      </w:r>
    </w:p>
    <w:p>
      <w:pPr>
        <w:pStyle w:val="5"/>
        <w:spacing w:before="4"/>
        <w:rPr>
          <w:sz w:val="24"/>
        </w:rPr>
      </w:pPr>
    </w:p>
    <w:p>
      <w:pPr>
        <w:pStyle w:val="9"/>
        <w:numPr>
          <w:ilvl w:val="1"/>
          <w:numId w:val="12"/>
        </w:numPr>
        <w:tabs>
          <w:tab w:val="left" w:pos="1363"/>
        </w:tabs>
        <w:spacing w:before="0" w:after="0" w:line="278" w:lineRule="auto"/>
        <w:ind w:left="2997" w:right="664" w:hanging="2650"/>
        <w:jc w:val="both"/>
        <w:rPr>
          <w:sz w:val="21"/>
        </w:rPr>
      </w:pPr>
      <w:r>
        <w:rPr>
          <w:b/>
          <w:spacing w:val="37"/>
          <w:sz w:val="21"/>
        </w:rPr>
        <w:t xml:space="preserve">联系方式变更 </w:t>
      </w:r>
      <w:r>
        <w:rPr>
          <w:sz w:val="21"/>
        </w:rPr>
        <w:t>为保障投保人的合法权益，投保人的住所、通讯地址或电话等联系方式变更</w:t>
      </w:r>
      <w:r>
        <w:rPr>
          <w:spacing w:val="-2"/>
          <w:sz w:val="21"/>
        </w:rPr>
        <w:t>时，请及时以书面形式或投保人与本公司约定的其他形式通知本公司。若投保人未通知本公司，本公司按本合同载明的最后住所或通讯地址所发送的有关通知，均视为已送达。</w:t>
      </w:r>
    </w:p>
    <w:p>
      <w:pPr>
        <w:spacing w:after="0" w:line="278" w:lineRule="auto"/>
        <w:jc w:val="both"/>
        <w:rPr>
          <w:sz w:val="21"/>
        </w:rPr>
        <w:sectPr>
          <w:type w:val="continuous"/>
          <w:pgSz w:w="11910" w:h="16840"/>
          <w:pgMar w:top="480" w:right="360" w:bottom="280" w:left="920" w:header="720" w:footer="720" w:gutter="0"/>
          <w:cols w:space="720" w:num="1"/>
        </w:sectPr>
      </w:pPr>
    </w:p>
    <w:p>
      <w:pPr>
        <w:pStyle w:val="9"/>
        <w:numPr>
          <w:ilvl w:val="1"/>
          <w:numId w:val="12"/>
        </w:numPr>
        <w:tabs>
          <w:tab w:val="left" w:pos="1363"/>
        </w:tabs>
        <w:spacing w:before="60" w:after="0" w:line="278" w:lineRule="auto"/>
        <w:ind w:left="2997" w:right="690" w:hanging="2650"/>
        <w:jc w:val="both"/>
        <w:rPr>
          <w:sz w:val="21"/>
        </w:rPr>
      </w:pPr>
      <w:r>
        <w:rPr>
          <w:b/>
          <w:sz w:val="21"/>
        </w:rPr>
        <w:t>争议处理</w:t>
      </w:r>
      <w:r>
        <w:rPr>
          <w:b/>
          <w:spacing w:val="657"/>
          <w:sz w:val="21"/>
        </w:rPr>
        <w:t xml:space="preserve"> </w:t>
      </w:r>
      <w:r>
        <w:rPr>
          <w:sz w:val="21"/>
        </w:rPr>
        <w:t>因履行本合同发生的争议，由当事人协商解决。协商不成的，可向本合同载</w:t>
      </w:r>
      <w:r>
        <w:rPr>
          <w:spacing w:val="-2"/>
          <w:sz w:val="21"/>
        </w:rPr>
        <w:t>明的仲裁机构提交仲裁；本合同未载明仲裁机构或者争议发生后未达成仲裁协议的，依法向人民法院起诉。</w:t>
      </w:r>
    </w:p>
    <w:p>
      <w:pPr>
        <w:pStyle w:val="5"/>
        <w:spacing w:before="156" w:line="278" w:lineRule="auto"/>
        <w:ind w:left="2997" w:right="664"/>
      </w:pPr>
      <w:r>
        <w:rPr>
          <w:spacing w:val="-2"/>
        </w:rPr>
        <w:t>与本合同有关的以及履行本合同产生的一切争议处理适用中华人民共和国法律</w:t>
      </w:r>
      <w:r>
        <w:rPr>
          <w:color w:val="000000"/>
          <w:spacing w:val="-2"/>
          <w:shd w:val="clear" w:color="auto" w:fill="D9D9D9"/>
        </w:rPr>
        <w:t>（不包括港、澳、台地区法律</w:t>
      </w:r>
      <w:r>
        <w:rPr>
          <w:color w:val="000000"/>
          <w:spacing w:val="-106"/>
          <w:shd w:val="clear" w:color="auto" w:fill="D9D9D9"/>
        </w:rPr>
        <w:t>）</w:t>
      </w:r>
      <w:r>
        <w:rPr>
          <w:color w:val="000000"/>
          <w:spacing w:val="-2"/>
        </w:rPr>
        <w:t>。</w:t>
      </w:r>
    </w:p>
    <w:p>
      <w:pPr>
        <w:pStyle w:val="5"/>
        <w:spacing w:before="4"/>
        <w:rPr>
          <w:sz w:val="24"/>
        </w:rPr>
      </w:pPr>
    </w:p>
    <w:p>
      <w:pPr>
        <w:spacing w:before="0"/>
        <w:ind w:left="0" w:right="1606" w:firstLine="0"/>
        <w:jc w:val="right"/>
        <w:rPr>
          <w:b/>
          <w:sz w:val="21"/>
        </w:rPr>
      </w:pPr>
      <w:r>
        <w:rPr>
          <w:b/>
          <w:w w:val="95"/>
          <w:sz w:val="21"/>
        </w:rPr>
        <w:t>[本页内容结束</w:t>
      </w:r>
      <w:r>
        <w:rPr>
          <w:b/>
          <w:spacing w:val="-10"/>
          <w:w w:val="95"/>
          <w:sz w:val="21"/>
        </w:rPr>
        <w:t>]</w:t>
      </w:r>
    </w:p>
    <w:p>
      <w:pPr>
        <w:spacing w:after="0"/>
        <w:jc w:val="right"/>
        <w:rPr>
          <w:sz w:val="21"/>
        </w:rPr>
        <w:sectPr>
          <w:pgSz w:w="11910" w:h="16840"/>
          <w:pgMar w:top="1540" w:right="360" w:bottom="280" w:left="920" w:header="720" w:footer="720" w:gutter="0"/>
          <w:cols w:space="720" w:num="1"/>
        </w:sectPr>
      </w:pPr>
    </w:p>
    <w:p>
      <w:pPr>
        <w:spacing w:before="60"/>
        <w:ind w:left="267" w:right="0" w:firstLine="0"/>
        <w:jc w:val="left"/>
        <w:rPr>
          <w:b/>
          <w:sz w:val="21"/>
        </w:rPr>
      </w:pPr>
      <w:r>
        <w:rPr>
          <w:b/>
          <w:spacing w:val="8"/>
          <w:sz w:val="21"/>
        </w:rPr>
        <w:t>附表一  恶性肿瘤-重</w:t>
      </w:r>
    </w:p>
    <w:p>
      <w:pPr>
        <w:spacing w:before="43"/>
        <w:ind w:left="1166" w:right="0" w:firstLine="0"/>
        <w:jc w:val="left"/>
        <w:rPr>
          <w:b/>
          <w:sz w:val="21"/>
        </w:rPr>
      </w:pPr>
      <w:r>
        <w:rPr>
          <w:b/>
          <w:spacing w:val="-2"/>
          <w:sz w:val="21"/>
        </w:rPr>
        <w:t>度疾病定义</w:t>
      </w:r>
    </w:p>
    <w:p>
      <w:pPr>
        <w:pStyle w:val="5"/>
        <w:spacing w:before="60" w:line="278" w:lineRule="auto"/>
        <w:ind w:left="175" w:right="219"/>
        <w:jc w:val="both"/>
      </w:pPr>
      <w:r>
        <w:br w:type="column"/>
      </w:r>
      <w:r>
        <w:rPr>
          <w:spacing w:val="-6"/>
        </w:rPr>
        <w:t>本合同所承担的恶性肿瘤-重度是中国保险行业协会制定的《重大疾病保险的疾病定义</w:t>
      </w:r>
      <w:r>
        <w:rPr>
          <w:w w:val="95"/>
        </w:rPr>
        <w:t>使用规范（2020 年修订版</w:t>
      </w:r>
      <w:r>
        <w:rPr>
          <w:spacing w:val="-108"/>
          <w:w w:val="95"/>
        </w:rPr>
        <w:t>）</w:t>
      </w:r>
      <w:r>
        <w:rPr>
          <w:spacing w:val="-132"/>
          <w:w w:val="95"/>
        </w:rPr>
        <w:t>》</w:t>
      </w:r>
      <w:r>
        <w:rPr>
          <w:w w:val="95"/>
        </w:rPr>
        <w:t>（以下简称 2020 版定义）规定的重大疾病，疾病名称、病</w:t>
      </w:r>
      <w:r>
        <w:rPr>
          <w:spacing w:val="-4"/>
        </w:rPr>
        <w:t xml:space="preserve">种名称、疾病定义与 </w:t>
      </w:r>
      <w:r>
        <w:rPr>
          <w:spacing w:val="-2"/>
        </w:rPr>
        <w:t>2020</w:t>
      </w:r>
      <w:r>
        <w:rPr>
          <w:spacing w:val="-6"/>
        </w:rPr>
        <w:t xml:space="preserve"> 版定义保持一致。被保险人发生符合以下恶性肿瘤-重度定</w:t>
      </w:r>
      <w:r>
        <w:rPr>
          <w:spacing w:val="-2"/>
        </w:rPr>
        <w:t>义所述条件的疾病，应当由专科医生明确诊断。</w:t>
      </w:r>
    </w:p>
    <w:p>
      <w:pPr>
        <w:pStyle w:val="5"/>
        <w:spacing w:before="4"/>
        <w:rPr>
          <w:sz w:val="24"/>
        </w:rPr>
      </w:pPr>
    </w:p>
    <w:p>
      <w:pPr>
        <w:pStyle w:val="5"/>
        <w:spacing w:before="1" w:line="273" w:lineRule="auto"/>
        <w:ind w:left="175" w:right="116"/>
        <w:jc w:val="both"/>
      </w:pPr>
      <w:r>
        <w:rPr>
          <w:spacing w:val="-3"/>
          <w:w w:val="100"/>
        </w:rPr>
        <w:t>指恶性细胞不受控制的进行性增长和扩散，浸润和破坏周围正常组织，可以经血管、淋巴管和体腔扩散转移到身体其它部位，病灶经</w:t>
      </w:r>
      <w:r>
        <w:rPr>
          <w:b/>
          <w:w w:val="100"/>
        </w:rPr>
        <w:t>组织病理学检查</w:t>
      </w:r>
      <w:r>
        <w:rPr>
          <w:b/>
          <w:spacing w:val="2"/>
          <w:w w:val="99"/>
          <w:position w:val="11"/>
          <w:sz w:val="11"/>
        </w:rPr>
        <w:t>6</w:t>
      </w:r>
      <w:r>
        <w:rPr>
          <w:b/>
          <w:w w:val="99"/>
          <w:position w:val="11"/>
          <w:sz w:val="11"/>
        </w:rPr>
        <w:t>0</w:t>
      </w:r>
      <w:r>
        <w:rPr>
          <w:b/>
          <w:spacing w:val="-2"/>
          <w:position w:val="11"/>
          <w:sz w:val="11"/>
        </w:rPr>
        <w:t xml:space="preserve">  </w:t>
      </w:r>
      <w:r>
        <w:rPr>
          <w:w w:val="100"/>
        </w:rPr>
        <w:t>（</w:t>
      </w:r>
      <w:r>
        <w:rPr>
          <w:spacing w:val="-3"/>
          <w:w w:val="100"/>
        </w:rPr>
        <w:t>涵盖骨髓病理学检查</w:t>
      </w:r>
      <w:r>
        <w:rPr>
          <w:spacing w:val="-63"/>
          <w:w w:val="100"/>
        </w:rPr>
        <w:t>）</w:t>
      </w:r>
      <w:r>
        <w:rPr>
          <w:spacing w:val="-13"/>
          <w:w w:val="100"/>
        </w:rPr>
        <w:t>结果明确诊断，临床诊断属于世界卫生组织</w:t>
      </w:r>
      <w:r>
        <w:rPr>
          <w:spacing w:val="-3"/>
          <w:w w:val="100"/>
        </w:rPr>
        <w:t>（W</w:t>
      </w:r>
      <w:r>
        <w:rPr>
          <w:w w:val="100"/>
        </w:rPr>
        <w:t>H</w:t>
      </w:r>
      <w:r>
        <w:rPr>
          <w:spacing w:val="-1"/>
          <w:w w:val="100"/>
        </w:rPr>
        <w:t>O</w:t>
      </w:r>
      <w:r>
        <w:rPr>
          <w:spacing w:val="-60"/>
          <w:w w:val="100"/>
        </w:rPr>
        <w:t>，</w:t>
      </w:r>
      <w:r>
        <w:rPr>
          <w:w w:val="100"/>
        </w:rPr>
        <w:t>W</w:t>
      </w:r>
      <w:r>
        <w:rPr>
          <w:spacing w:val="-3"/>
          <w:w w:val="100"/>
        </w:rPr>
        <w:t>o</w:t>
      </w:r>
      <w:r>
        <w:rPr>
          <w:w w:val="100"/>
        </w:rPr>
        <w:t>rld</w:t>
      </w:r>
      <w:r>
        <w:rPr>
          <w:spacing w:val="-26"/>
        </w:rPr>
        <w:t xml:space="preserve"> </w:t>
      </w:r>
      <w:r>
        <w:rPr>
          <w:spacing w:val="-3"/>
          <w:w w:val="100"/>
        </w:rPr>
        <w:t>H</w:t>
      </w:r>
      <w:r>
        <w:rPr>
          <w:w w:val="100"/>
        </w:rPr>
        <w:t>eal</w:t>
      </w:r>
      <w:r>
        <w:rPr>
          <w:spacing w:val="-3"/>
          <w:w w:val="100"/>
        </w:rPr>
        <w:t>t</w:t>
      </w:r>
      <w:r>
        <w:rPr>
          <w:w w:val="100"/>
        </w:rPr>
        <w:t>h</w:t>
      </w:r>
      <w:r>
        <w:rPr>
          <w:spacing w:val="-26"/>
        </w:rPr>
        <w:t xml:space="preserve"> </w:t>
      </w:r>
      <w:r>
        <w:rPr>
          <w:w w:val="100"/>
        </w:rPr>
        <w:t>O</w:t>
      </w:r>
      <w:r>
        <w:rPr>
          <w:spacing w:val="-3"/>
          <w:w w:val="100"/>
        </w:rPr>
        <w:t>r</w:t>
      </w:r>
      <w:r>
        <w:rPr>
          <w:w w:val="100"/>
        </w:rPr>
        <w:t>gan</w:t>
      </w:r>
      <w:r>
        <w:rPr>
          <w:spacing w:val="-3"/>
          <w:w w:val="100"/>
        </w:rPr>
        <w:t>iz</w:t>
      </w:r>
      <w:r>
        <w:rPr>
          <w:w w:val="100"/>
        </w:rPr>
        <w:t>ation）</w:t>
      </w:r>
    </w:p>
    <w:p>
      <w:pPr>
        <w:pStyle w:val="5"/>
        <w:spacing w:line="275" w:lineRule="exact"/>
        <w:ind w:left="175"/>
      </w:pPr>
      <w:r>
        <w:rPr>
          <w:w w:val="95"/>
        </w:rPr>
        <w:t>《疾病和有关健康问题的国际统计分类》第十次修订版（</w:t>
      </w:r>
      <w:r>
        <w:rPr>
          <w:b/>
          <w:w w:val="95"/>
        </w:rPr>
        <w:t>ICD-10</w:t>
      </w:r>
      <w:r>
        <w:rPr>
          <w:b/>
          <w:w w:val="95"/>
          <w:position w:val="11"/>
          <w:sz w:val="11"/>
        </w:rPr>
        <w:t>61</w:t>
      </w:r>
      <w:r>
        <w:rPr>
          <w:w w:val="95"/>
        </w:rPr>
        <w:t>）的恶性肿</w:t>
      </w:r>
      <w:r>
        <w:rPr>
          <w:spacing w:val="-3"/>
          <w:w w:val="95"/>
        </w:rPr>
        <w:t>瘤类别及</w:t>
      </w:r>
    </w:p>
    <w:p>
      <w:pPr>
        <w:pStyle w:val="5"/>
        <w:spacing w:before="42" w:line="278" w:lineRule="auto"/>
        <w:ind w:left="175" w:right="224"/>
      </w:pPr>
      <w:r>
        <w:rPr>
          <w:spacing w:val="-2"/>
        </w:rPr>
        <w:t>《国际疾病分类肿瘤学专辑》第三版（ICD-O-3）</w:t>
      </w:r>
      <w:r>
        <w:rPr>
          <w:spacing w:val="-6"/>
        </w:rPr>
        <w:t xml:space="preserve">的肿瘤形态学编码属于 </w:t>
      </w:r>
      <w:r>
        <w:rPr>
          <w:spacing w:val="-2"/>
        </w:rPr>
        <w:t>3、6、9（恶性肿瘤）范畴的疾病。</w:t>
      </w:r>
    </w:p>
    <w:p>
      <w:pPr>
        <w:spacing w:after="0" w:line="278" w:lineRule="auto"/>
        <w:sectPr>
          <w:pgSz w:w="11910" w:h="16840"/>
          <w:pgMar w:top="1540" w:right="360" w:bottom="280" w:left="920" w:header="720" w:footer="720" w:gutter="0"/>
          <w:cols w:equalWidth="0" w:num="2">
            <w:col w:w="2391" w:space="40"/>
            <w:col w:w="8199"/>
          </w:cols>
        </w:sectPr>
      </w:pPr>
    </w:p>
    <w:p>
      <w:pPr>
        <w:pStyle w:val="5"/>
        <w:spacing w:before="156"/>
        <w:ind w:left="2065" w:right="2328"/>
        <w:jc w:val="center"/>
      </w:pPr>
      <w:r>
        <w:rPr>
          <w:color w:val="000000"/>
          <w:spacing w:val="-10"/>
          <w:shd w:val="clear" w:color="auto" w:fill="E4E4E4"/>
        </w:rPr>
        <w:t>下列疾病不属于“恶性肿瘤—重度”，不在保障范围内：</w:t>
      </w:r>
    </w:p>
    <w:p>
      <w:pPr>
        <w:pStyle w:val="5"/>
        <w:rPr>
          <w:sz w:val="10"/>
        </w:rPr>
      </w:pPr>
    </w:p>
    <w:p>
      <w:pPr>
        <w:pStyle w:val="9"/>
        <w:numPr>
          <w:ilvl w:val="0"/>
          <w:numId w:val="13"/>
        </w:numPr>
        <w:tabs>
          <w:tab w:val="left" w:pos="3326"/>
          <w:tab w:val="left" w:pos="3327"/>
        </w:tabs>
        <w:spacing w:before="72" w:after="0" w:line="278" w:lineRule="auto"/>
        <w:ind w:left="3326" w:right="221" w:hanging="721"/>
        <w:jc w:val="left"/>
        <w:rPr>
          <w:sz w:val="21"/>
        </w:rPr>
      </w:pPr>
      <w:r>
        <w:rPr>
          <w:color w:val="000000"/>
          <w:sz w:val="21"/>
          <w:shd w:val="clear" w:color="auto" w:fill="E4E4E4"/>
        </w:rPr>
        <w:t>ICD-O-3</w:t>
      </w:r>
      <w:r>
        <w:rPr>
          <w:color w:val="000000"/>
          <w:spacing w:val="-9"/>
          <w:sz w:val="21"/>
          <w:shd w:val="clear" w:color="auto" w:fill="E4E4E4"/>
        </w:rPr>
        <w:t xml:space="preserve"> 肿瘤形态学编码属于 </w:t>
      </w:r>
      <w:r>
        <w:rPr>
          <w:color w:val="000000"/>
          <w:sz w:val="21"/>
          <w:shd w:val="clear" w:color="auto" w:fill="E4E4E4"/>
        </w:rPr>
        <w:t>0（良性肿瘤</w:t>
      </w:r>
      <w:r>
        <w:rPr>
          <w:color w:val="000000"/>
          <w:spacing w:val="-106"/>
          <w:sz w:val="21"/>
          <w:shd w:val="clear" w:color="auto" w:fill="E4E4E4"/>
        </w:rPr>
        <w:t>）</w:t>
      </w:r>
      <w:r>
        <w:rPr>
          <w:color w:val="000000"/>
          <w:sz w:val="21"/>
          <w:shd w:val="clear" w:color="auto" w:fill="E4E4E4"/>
        </w:rPr>
        <w:t>、1（动态未定性肿瘤</w:t>
      </w:r>
      <w:r>
        <w:rPr>
          <w:color w:val="000000"/>
          <w:spacing w:val="-106"/>
          <w:sz w:val="21"/>
          <w:shd w:val="clear" w:color="auto" w:fill="E4E4E4"/>
        </w:rPr>
        <w:t>）</w:t>
      </w:r>
      <w:r>
        <w:rPr>
          <w:color w:val="000000"/>
          <w:sz w:val="21"/>
          <w:shd w:val="clear" w:color="auto" w:fill="E4E4E4"/>
        </w:rPr>
        <w:t>、2（原位</w:t>
      </w:r>
      <w:r>
        <w:rPr>
          <w:color w:val="000000"/>
          <w:spacing w:val="13650"/>
          <w:sz w:val="21"/>
          <w:shd w:val="clear" w:color="auto" w:fill="E4E4E4"/>
        </w:rPr>
        <w:t xml:space="preserve"> </w:t>
      </w:r>
      <w:r>
        <w:rPr>
          <w:color w:val="000000"/>
          <w:spacing w:val="-2"/>
          <w:sz w:val="21"/>
          <w:shd w:val="clear" w:color="auto" w:fill="E4E4E4"/>
        </w:rPr>
        <w:t>癌和非侵袭性癌）范畴的疾病，如：</w:t>
      </w:r>
    </w:p>
    <w:p>
      <w:pPr>
        <w:pStyle w:val="9"/>
        <w:numPr>
          <w:ilvl w:val="1"/>
          <w:numId w:val="13"/>
        </w:numPr>
        <w:tabs>
          <w:tab w:val="left" w:pos="3539"/>
        </w:tabs>
        <w:spacing w:before="11" w:after="0" w:line="300" w:lineRule="auto"/>
        <w:ind w:left="3326" w:right="221" w:firstLine="0"/>
        <w:jc w:val="left"/>
        <w:rPr>
          <w:sz w:val="21"/>
        </w:rPr>
      </w:pPr>
      <w:r>
        <w:rPr>
          <w:color w:val="000000"/>
          <w:spacing w:val="-4"/>
          <w:sz w:val="21"/>
          <w:shd w:val="clear" w:color="auto" w:fill="E4E4E4"/>
        </w:rPr>
        <w:t>原位癌，癌前病变，非浸润性癌，非侵袭性癌，肿瘤细胞未侵犯基底层，上</w:t>
      </w:r>
      <w:r>
        <w:rPr>
          <w:color w:val="000000"/>
          <w:spacing w:val="13650"/>
          <w:sz w:val="21"/>
          <w:shd w:val="clear" w:color="auto" w:fill="E4E4E4"/>
        </w:rPr>
        <w:t xml:space="preserve"> </w:t>
      </w:r>
      <w:r>
        <w:rPr>
          <w:color w:val="000000"/>
          <w:spacing w:val="-2"/>
          <w:sz w:val="21"/>
          <w:shd w:val="clear" w:color="auto" w:fill="E4E4E4"/>
        </w:rPr>
        <w:t>皮内瘤变，细胞不典型性增生等；</w:t>
      </w:r>
    </w:p>
    <w:p>
      <w:pPr>
        <w:pStyle w:val="9"/>
        <w:numPr>
          <w:ilvl w:val="1"/>
          <w:numId w:val="13"/>
        </w:numPr>
        <w:tabs>
          <w:tab w:val="left" w:pos="3539"/>
        </w:tabs>
        <w:spacing w:before="161" w:after="0" w:line="240" w:lineRule="auto"/>
        <w:ind w:left="3538" w:right="0" w:hanging="213"/>
        <w:jc w:val="left"/>
        <w:rPr>
          <w:sz w:val="21"/>
        </w:rPr>
      </w:pPr>
      <w:r>
        <w:rPr>
          <w:color w:val="000000"/>
          <w:spacing w:val="-3"/>
          <w:sz w:val="21"/>
          <w:shd w:val="clear" w:color="auto" w:fill="E4E4E4"/>
        </w:rPr>
        <w:t>交界性肿瘤，交界恶性肿瘤，肿瘤低度恶性潜能，潜在低度恶性肿瘤等；</w:t>
      </w:r>
    </w:p>
    <w:p>
      <w:pPr>
        <w:pStyle w:val="5"/>
        <w:spacing w:before="2"/>
        <w:rPr>
          <w:sz w:val="9"/>
        </w:rPr>
      </w:pPr>
    </w:p>
    <w:p>
      <w:pPr>
        <w:pStyle w:val="9"/>
        <w:numPr>
          <w:ilvl w:val="0"/>
          <w:numId w:val="13"/>
        </w:numPr>
        <w:tabs>
          <w:tab w:val="left" w:pos="3326"/>
          <w:tab w:val="left" w:pos="3327"/>
        </w:tabs>
        <w:spacing w:before="86" w:after="0" w:line="240" w:lineRule="auto"/>
        <w:ind w:left="3326" w:right="0" w:hanging="721"/>
        <w:jc w:val="left"/>
        <w:rPr>
          <w:sz w:val="21"/>
        </w:rPr>
      </w:pPr>
      <w:r>
        <w:rPr>
          <w:b/>
          <w:color w:val="000000"/>
          <w:w w:val="95"/>
          <w:sz w:val="21"/>
          <w:shd w:val="clear" w:color="auto" w:fill="E4E4E4"/>
        </w:rPr>
        <w:t>TNM</w:t>
      </w:r>
      <w:r>
        <w:rPr>
          <w:b/>
          <w:color w:val="000000"/>
          <w:spacing w:val="53"/>
          <w:w w:val="150"/>
          <w:sz w:val="21"/>
          <w:shd w:val="clear" w:color="auto" w:fill="E4E4E4"/>
        </w:rPr>
        <w:t xml:space="preserve"> </w:t>
      </w:r>
      <w:r>
        <w:rPr>
          <w:b/>
          <w:color w:val="000000"/>
          <w:w w:val="95"/>
          <w:sz w:val="21"/>
          <w:shd w:val="clear" w:color="auto" w:fill="E4E4E4"/>
        </w:rPr>
        <w:t>分期</w:t>
      </w:r>
      <w:r>
        <w:rPr>
          <w:b/>
          <w:color w:val="000000"/>
          <w:w w:val="95"/>
          <w:position w:val="11"/>
          <w:sz w:val="11"/>
        </w:rPr>
        <w:t>62</w:t>
      </w:r>
      <w:r>
        <w:rPr>
          <w:color w:val="000000"/>
          <w:w w:val="95"/>
          <w:sz w:val="21"/>
          <w:shd w:val="clear" w:color="auto" w:fill="E4E4E4"/>
        </w:rPr>
        <w:t>为Ⅰ期或更轻分期的甲状腺癌</w:t>
      </w:r>
      <w:r>
        <w:rPr>
          <w:color w:val="000000"/>
          <w:spacing w:val="-10"/>
          <w:w w:val="95"/>
          <w:sz w:val="21"/>
          <w:shd w:val="clear" w:color="auto" w:fill="E4E4E4"/>
        </w:rPr>
        <w:t>；</w:t>
      </w:r>
    </w:p>
    <w:p>
      <w:pPr>
        <w:pStyle w:val="5"/>
        <w:spacing w:before="12"/>
        <w:rPr>
          <w:sz w:val="9"/>
        </w:rPr>
      </w:pPr>
    </w:p>
    <w:p>
      <w:pPr>
        <w:pStyle w:val="5"/>
        <w:spacing w:before="71"/>
        <w:ind w:left="2606"/>
      </w:pPr>
      <w:r>
        <w:pict>
          <v:shape id="docshape10" o:spid="_x0000_s1035" o:spt="202" type="#_x0000_t202" style="position:absolute;left:0pt;margin-left:212.3pt;margin-top:3.35pt;height:13.7pt;width:203.9pt;mso-position-horizontal-relative:page;z-index:251664384;mso-width-relative:page;mso-height-relative:page;" fillcolor="#E4E4E4" filled="t" stroked="f" coordsize="21600,21600">
            <v:path/>
            <v:fill on="t" focussize="0,0"/>
            <v:stroke on="f" joinstyle="miter"/>
            <v:imagedata o:title=""/>
            <o:lock v:ext="edit"/>
            <v:textbox inset="0mm,0mm,0mm,0mm">
              <w:txbxContent>
                <w:p>
                  <w:pPr>
                    <w:pStyle w:val="5"/>
                    <w:spacing w:before="3"/>
                    <w:ind w:right="-15"/>
                    <w:rPr>
                      <w:color w:val="000000"/>
                    </w:rPr>
                  </w:pPr>
                  <w:r>
                    <w:rPr>
                      <w:color w:val="000000"/>
                      <w:position w:val="1"/>
                    </w:rPr>
                    <w:t>TNM</w:t>
                  </w:r>
                  <w:r>
                    <w:rPr>
                      <w:color w:val="000000"/>
                      <w:spacing w:val="-8"/>
                      <w:position w:val="1"/>
                    </w:rPr>
                    <w:t xml:space="preserve"> 分期为</w:t>
                  </w:r>
                  <w:r>
                    <w:rPr>
                      <w:color w:val="000000"/>
                      <w:position w:val="1"/>
                    </w:rPr>
                    <w:t>T</w:t>
                  </w:r>
                  <w:r>
                    <w:rPr>
                      <w:color w:val="000000"/>
                      <w:sz w:val="11"/>
                    </w:rPr>
                    <w:t>1</w:t>
                  </w:r>
                  <w:r>
                    <w:rPr>
                      <w:color w:val="000000"/>
                      <w:position w:val="1"/>
                    </w:rPr>
                    <w:t>N</w:t>
                  </w:r>
                  <w:r>
                    <w:rPr>
                      <w:color w:val="000000"/>
                      <w:sz w:val="11"/>
                    </w:rPr>
                    <w:t>0</w:t>
                  </w:r>
                  <w:r>
                    <w:rPr>
                      <w:color w:val="000000"/>
                      <w:position w:val="1"/>
                    </w:rPr>
                    <w:t>M</w:t>
                  </w:r>
                  <w:r>
                    <w:rPr>
                      <w:color w:val="000000"/>
                      <w:sz w:val="11"/>
                    </w:rPr>
                    <w:t>0</w:t>
                  </w:r>
                  <w:r>
                    <w:rPr>
                      <w:color w:val="000000"/>
                      <w:spacing w:val="-28"/>
                      <w:sz w:val="11"/>
                    </w:rPr>
                    <w:t xml:space="preserve"> </w:t>
                  </w:r>
                  <w:r>
                    <w:rPr>
                      <w:color w:val="000000"/>
                      <w:spacing w:val="-1"/>
                      <w:position w:val="1"/>
                    </w:rPr>
                    <w:t>期或更轻分期的前列腺癌；</w:t>
                  </w:r>
                </w:p>
              </w:txbxContent>
            </v:textbox>
          </v:shape>
        </w:pict>
      </w:r>
      <w:r>
        <w:rPr>
          <w:spacing w:val="-5"/>
        </w:rPr>
        <w:t>3)</w:t>
      </w:r>
    </w:p>
    <w:p>
      <w:pPr>
        <w:pStyle w:val="5"/>
        <w:spacing w:before="12"/>
        <w:rPr>
          <w:sz w:val="9"/>
        </w:rPr>
      </w:pPr>
    </w:p>
    <w:p>
      <w:pPr>
        <w:pStyle w:val="9"/>
        <w:numPr>
          <w:ilvl w:val="0"/>
          <w:numId w:val="14"/>
        </w:numPr>
        <w:tabs>
          <w:tab w:val="left" w:pos="3326"/>
          <w:tab w:val="left" w:pos="3327"/>
        </w:tabs>
        <w:spacing w:before="72" w:after="0" w:line="240" w:lineRule="auto"/>
        <w:ind w:left="3326" w:right="0" w:hanging="721"/>
        <w:jc w:val="left"/>
        <w:rPr>
          <w:sz w:val="21"/>
        </w:rPr>
      </w:pPr>
      <w:r>
        <w:rPr>
          <w:color w:val="000000"/>
          <w:spacing w:val="-3"/>
          <w:sz w:val="21"/>
          <w:shd w:val="clear" w:color="auto" w:fill="E4E4E4"/>
        </w:rPr>
        <w:t>黑色素瘤以外的未发生淋巴结和远处转移的皮肤恶性肿瘤；</w:t>
      </w:r>
    </w:p>
    <w:p>
      <w:pPr>
        <w:pStyle w:val="5"/>
        <w:spacing w:before="12"/>
        <w:rPr>
          <w:sz w:val="9"/>
        </w:rPr>
      </w:pPr>
    </w:p>
    <w:p>
      <w:pPr>
        <w:pStyle w:val="9"/>
        <w:numPr>
          <w:ilvl w:val="0"/>
          <w:numId w:val="14"/>
        </w:numPr>
        <w:tabs>
          <w:tab w:val="left" w:pos="3326"/>
          <w:tab w:val="left" w:pos="3327"/>
        </w:tabs>
        <w:spacing w:before="71" w:after="0" w:line="240" w:lineRule="auto"/>
        <w:ind w:left="3326" w:right="0" w:hanging="721"/>
        <w:jc w:val="left"/>
        <w:rPr>
          <w:sz w:val="21"/>
        </w:rPr>
      </w:pPr>
      <w:r>
        <w:rPr>
          <w:color w:val="000000"/>
          <w:spacing w:val="-14"/>
          <w:sz w:val="21"/>
          <w:shd w:val="clear" w:color="auto" w:fill="E4E4E4"/>
        </w:rPr>
        <w:t xml:space="preserve">相当于 </w:t>
      </w:r>
      <w:r>
        <w:rPr>
          <w:color w:val="000000"/>
          <w:spacing w:val="-2"/>
          <w:sz w:val="21"/>
          <w:shd w:val="clear" w:color="auto" w:fill="E4E4E4"/>
        </w:rPr>
        <w:t>Binet</w:t>
      </w:r>
      <w:r>
        <w:rPr>
          <w:color w:val="000000"/>
          <w:spacing w:val="-18"/>
          <w:sz w:val="21"/>
          <w:shd w:val="clear" w:color="auto" w:fill="E4E4E4"/>
        </w:rPr>
        <w:t xml:space="preserve"> 分期方案 </w:t>
      </w:r>
      <w:r>
        <w:rPr>
          <w:color w:val="000000"/>
          <w:spacing w:val="-2"/>
          <w:sz w:val="21"/>
          <w:shd w:val="clear" w:color="auto" w:fill="E4E4E4"/>
        </w:rPr>
        <w:t>A</w:t>
      </w:r>
      <w:r>
        <w:rPr>
          <w:color w:val="000000"/>
          <w:spacing w:val="-10"/>
          <w:sz w:val="21"/>
          <w:shd w:val="clear" w:color="auto" w:fill="E4E4E4"/>
        </w:rPr>
        <w:t xml:space="preserve"> 期程度的慢性淋巴细胞白血病；</w:t>
      </w:r>
    </w:p>
    <w:p>
      <w:pPr>
        <w:pStyle w:val="5"/>
        <w:rPr>
          <w:sz w:val="10"/>
        </w:rPr>
      </w:pPr>
    </w:p>
    <w:p>
      <w:pPr>
        <w:pStyle w:val="9"/>
        <w:numPr>
          <w:ilvl w:val="0"/>
          <w:numId w:val="14"/>
        </w:numPr>
        <w:tabs>
          <w:tab w:val="left" w:pos="3326"/>
          <w:tab w:val="left" w:pos="3327"/>
        </w:tabs>
        <w:spacing w:before="72" w:after="0" w:line="240" w:lineRule="auto"/>
        <w:ind w:left="3326" w:right="0" w:hanging="721"/>
        <w:jc w:val="left"/>
        <w:rPr>
          <w:sz w:val="21"/>
        </w:rPr>
      </w:pPr>
      <w:r>
        <w:rPr>
          <w:color w:val="000000"/>
          <w:spacing w:val="-14"/>
          <w:sz w:val="21"/>
          <w:shd w:val="clear" w:color="auto" w:fill="E4E4E4"/>
        </w:rPr>
        <w:t xml:space="preserve">相当于 </w:t>
      </w:r>
      <w:r>
        <w:rPr>
          <w:color w:val="000000"/>
          <w:spacing w:val="-2"/>
          <w:sz w:val="21"/>
          <w:shd w:val="clear" w:color="auto" w:fill="E4E4E4"/>
        </w:rPr>
        <w:t>Ann</w:t>
      </w:r>
      <w:r>
        <w:rPr>
          <w:color w:val="000000"/>
          <w:spacing w:val="10"/>
          <w:sz w:val="21"/>
          <w:shd w:val="clear" w:color="auto" w:fill="E4E4E4"/>
        </w:rPr>
        <w:t xml:space="preserve"> </w:t>
      </w:r>
      <w:r>
        <w:rPr>
          <w:color w:val="000000"/>
          <w:spacing w:val="-2"/>
          <w:sz w:val="21"/>
          <w:shd w:val="clear" w:color="auto" w:fill="E4E4E4"/>
        </w:rPr>
        <w:t>Arbor</w:t>
      </w:r>
      <w:r>
        <w:rPr>
          <w:color w:val="000000"/>
          <w:spacing w:val="-10"/>
          <w:sz w:val="21"/>
          <w:shd w:val="clear" w:color="auto" w:fill="E4E4E4"/>
        </w:rPr>
        <w:t xml:space="preserve"> 分期方案Ⅰ期程度的何杰金氏病；</w:t>
      </w:r>
    </w:p>
    <w:p>
      <w:pPr>
        <w:pStyle w:val="5"/>
        <w:spacing w:before="12"/>
        <w:rPr>
          <w:sz w:val="9"/>
        </w:rPr>
      </w:pPr>
    </w:p>
    <w:p>
      <w:pPr>
        <w:pStyle w:val="9"/>
        <w:numPr>
          <w:ilvl w:val="0"/>
          <w:numId w:val="14"/>
        </w:numPr>
        <w:tabs>
          <w:tab w:val="left" w:pos="3326"/>
          <w:tab w:val="left" w:pos="3327"/>
        </w:tabs>
        <w:spacing w:before="71" w:after="0" w:line="278" w:lineRule="auto"/>
        <w:ind w:left="3326" w:right="219" w:hanging="721"/>
        <w:jc w:val="left"/>
        <w:rPr>
          <w:sz w:val="21"/>
        </w:rPr>
      </w:pPr>
      <w:r>
        <w:rPr>
          <w:color w:val="000000"/>
          <w:spacing w:val="-6"/>
          <w:sz w:val="21"/>
          <w:shd w:val="clear" w:color="auto" w:fill="E4E4E4"/>
        </w:rPr>
        <w:t xml:space="preserve">未发生淋巴结和远处转移且 </w:t>
      </w:r>
      <w:r>
        <w:rPr>
          <w:color w:val="000000"/>
          <w:spacing w:val="-2"/>
          <w:sz w:val="21"/>
          <w:shd w:val="clear" w:color="auto" w:fill="E4E4E4"/>
        </w:rPr>
        <w:t>WHO</w:t>
      </w:r>
      <w:r>
        <w:rPr>
          <w:color w:val="000000"/>
          <w:spacing w:val="-23"/>
          <w:sz w:val="21"/>
          <w:shd w:val="clear" w:color="auto" w:fill="E4E4E4"/>
        </w:rPr>
        <w:t xml:space="preserve"> 分级为 </w:t>
      </w:r>
      <w:r>
        <w:rPr>
          <w:color w:val="000000"/>
          <w:spacing w:val="-2"/>
          <w:sz w:val="21"/>
          <w:shd w:val="clear" w:color="auto" w:fill="E4E4E4"/>
        </w:rPr>
        <w:t>G1</w:t>
      </w:r>
      <w:r>
        <w:rPr>
          <w:color w:val="000000"/>
          <w:spacing w:val="-19"/>
          <w:sz w:val="21"/>
          <w:shd w:val="clear" w:color="auto" w:fill="E4E4E4"/>
        </w:rPr>
        <w:t xml:space="preserve"> 级别</w:t>
      </w:r>
      <w:r>
        <w:rPr>
          <w:color w:val="000000"/>
          <w:spacing w:val="-2"/>
          <w:sz w:val="21"/>
          <w:shd w:val="clear" w:color="auto" w:fill="E4E4E4"/>
        </w:rPr>
        <w:t>（核分裂像＜10/50</w:t>
      </w:r>
      <w:r>
        <w:rPr>
          <w:color w:val="000000"/>
          <w:spacing w:val="-25"/>
          <w:sz w:val="21"/>
          <w:shd w:val="clear" w:color="auto" w:fill="E4E4E4"/>
        </w:rPr>
        <w:t xml:space="preserve"> </w:t>
      </w:r>
      <w:r>
        <w:rPr>
          <w:color w:val="000000"/>
          <w:spacing w:val="-2"/>
          <w:sz w:val="21"/>
          <w:shd w:val="clear" w:color="auto" w:fill="E4E4E4"/>
        </w:rPr>
        <w:t>HPF</w:t>
      </w:r>
      <w:r>
        <w:rPr>
          <w:color w:val="000000"/>
          <w:spacing w:val="-36"/>
          <w:sz w:val="21"/>
          <w:shd w:val="clear" w:color="auto" w:fill="E4E4E4"/>
        </w:rPr>
        <w:t xml:space="preserve"> 和 </w:t>
      </w:r>
      <w:r>
        <w:rPr>
          <w:color w:val="000000"/>
          <w:spacing w:val="-2"/>
          <w:sz w:val="21"/>
          <w:shd w:val="clear" w:color="auto" w:fill="E4E4E4"/>
        </w:rPr>
        <w:t>ki-</w:t>
      </w:r>
      <w:r>
        <w:rPr>
          <w:color w:val="000000"/>
          <w:spacing w:val="-2"/>
          <w:sz w:val="21"/>
        </w:rPr>
        <w:t xml:space="preserve"> </w:t>
      </w:r>
      <w:r>
        <w:rPr>
          <w:color w:val="000000"/>
          <w:spacing w:val="-2"/>
          <w:sz w:val="21"/>
          <w:shd w:val="clear" w:color="auto" w:fill="E4E4E4"/>
        </w:rPr>
        <w:t>67≤2%）或更轻分级的神经内分泌肿瘤。</w:t>
      </w:r>
    </w:p>
    <w:p>
      <w:pPr>
        <w:pStyle w:val="5"/>
        <w:spacing w:before="10"/>
        <w:rPr>
          <w:sz w:val="18"/>
        </w:rPr>
      </w:pPr>
    </w:p>
    <w:p>
      <w:pPr>
        <w:spacing w:after="0"/>
        <w:rPr>
          <w:sz w:val="18"/>
        </w:rPr>
        <w:sectPr>
          <w:type w:val="continuous"/>
          <w:pgSz w:w="11910" w:h="16840"/>
          <w:pgMar w:top="480" w:right="360" w:bottom="280" w:left="920" w:header="720" w:footer="720" w:gutter="0"/>
          <w:cols w:space="720" w:num="1"/>
        </w:sectPr>
      </w:pPr>
    </w:p>
    <w:p>
      <w:pPr>
        <w:pStyle w:val="4"/>
        <w:spacing w:before="71"/>
        <w:ind w:left="267"/>
      </w:pPr>
      <w:r>
        <w:t>附表二</w:t>
      </w:r>
      <w:r>
        <w:rPr>
          <w:spacing w:val="104"/>
          <w:w w:val="150"/>
        </w:rPr>
        <w:t xml:space="preserve"> </w:t>
      </w:r>
      <w:r>
        <w:rPr>
          <w:spacing w:val="30"/>
        </w:rPr>
        <w:t>甲状腺癌的</w:t>
      </w:r>
    </w:p>
    <w:p>
      <w:pPr>
        <w:spacing w:before="43"/>
        <w:ind w:left="1166" w:right="0" w:firstLine="0"/>
        <w:jc w:val="left"/>
        <w:rPr>
          <w:b/>
          <w:sz w:val="21"/>
        </w:rPr>
      </w:pPr>
      <w:r>
        <w:rPr>
          <w:b/>
          <w:w w:val="95"/>
          <w:sz w:val="21"/>
        </w:rPr>
        <w:t>TNM</w:t>
      </w:r>
      <w:r>
        <w:rPr>
          <w:b/>
          <w:spacing w:val="-26"/>
          <w:w w:val="95"/>
          <w:sz w:val="21"/>
        </w:rPr>
        <w:t xml:space="preserve"> </w:t>
      </w:r>
      <w:r>
        <w:rPr>
          <w:b/>
          <w:w w:val="95"/>
          <w:sz w:val="21"/>
        </w:rPr>
        <w:t>分</w:t>
      </w:r>
      <w:r>
        <w:rPr>
          <w:b/>
          <w:spacing w:val="-10"/>
          <w:w w:val="95"/>
          <w:sz w:val="21"/>
        </w:rPr>
        <w:t>期</w:t>
      </w:r>
    </w:p>
    <w:p>
      <w:pPr>
        <w:pStyle w:val="5"/>
        <w:spacing w:before="71"/>
        <w:ind w:left="174"/>
      </w:pPr>
      <w:r>
        <w:br w:type="column"/>
      </w:r>
      <w:r>
        <w:rPr>
          <w:spacing w:val="-2"/>
        </w:rPr>
        <w:t>甲状腺乳头状癌、滤泡癌、低分化癌、Hürthle</w:t>
      </w:r>
      <w:r>
        <w:rPr>
          <w:spacing w:val="-8"/>
        </w:rPr>
        <w:t xml:space="preserve"> 细胞癌和未分化癌</w:t>
      </w:r>
    </w:p>
    <w:p>
      <w:pPr>
        <w:pStyle w:val="5"/>
        <w:spacing w:before="7"/>
        <w:rPr>
          <w:sz w:val="15"/>
        </w:rPr>
      </w:pPr>
    </w:p>
    <w:p>
      <w:pPr>
        <w:pStyle w:val="5"/>
        <w:ind w:left="174"/>
      </w:pPr>
      <w:r>
        <w:t>p</w:t>
      </w:r>
      <w:r>
        <w:rPr>
          <w:rFonts w:ascii="Cambria Math" w:eastAsia="Cambria Math"/>
        </w:rPr>
        <w:t>𝑇</w:t>
      </w:r>
      <w:r>
        <w:rPr>
          <w:rFonts w:ascii="Cambria Math" w:eastAsia="Cambria Math"/>
          <w:position w:val="-3"/>
          <w:sz w:val="15"/>
        </w:rPr>
        <w:t>𝑥</w:t>
      </w:r>
      <w:r>
        <w:rPr>
          <w:spacing w:val="-6"/>
        </w:rPr>
        <w:t>： 原发肿瘤不能评估</w:t>
      </w:r>
    </w:p>
    <w:p>
      <w:pPr>
        <w:pStyle w:val="5"/>
        <w:spacing w:before="185"/>
        <w:ind w:left="174"/>
      </w:pPr>
      <w:r>
        <w:t>p</w:t>
      </w:r>
      <w:r>
        <w:rPr>
          <w:rFonts w:ascii="Cambria Math" w:eastAsia="Cambria Math"/>
        </w:rPr>
        <w:t>𝑇</w:t>
      </w:r>
      <w:r>
        <w:rPr>
          <w:rFonts w:ascii="Cambria Math" w:eastAsia="Cambria Math"/>
          <w:vertAlign w:val="subscript"/>
        </w:rPr>
        <w:t>0</w:t>
      </w:r>
      <w:r>
        <w:rPr>
          <w:spacing w:val="-4"/>
          <w:vertAlign w:val="baseline"/>
        </w:rPr>
        <w:t>： 无肿瘤证据</w:t>
      </w:r>
    </w:p>
    <w:p>
      <w:pPr>
        <w:spacing w:after="0"/>
        <w:sectPr>
          <w:type w:val="continuous"/>
          <w:pgSz w:w="11910" w:h="16840"/>
          <w:pgMar w:top="480" w:right="360" w:bottom="280" w:left="920" w:header="720" w:footer="720" w:gutter="0"/>
          <w:cols w:equalWidth="0" w:num="2">
            <w:col w:w="2392" w:space="40"/>
            <w:col w:w="8198"/>
          </w:cols>
        </w:sectPr>
      </w:pPr>
    </w:p>
    <w:p>
      <w:pPr>
        <w:pStyle w:val="5"/>
        <w:rPr>
          <w:sz w:val="20"/>
        </w:rPr>
      </w:pPr>
    </w:p>
    <w:p>
      <w:pPr>
        <w:pStyle w:val="5"/>
        <w:spacing w:before="2"/>
        <w:rPr>
          <w:sz w:val="23"/>
        </w:rPr>
      </w:pPr>
    </w:p>
    <w:p>
      <w:pPr>
        <w:pStyle w:val="5"/>
        <w:spacing w:line="20" w:lineRule="exact"/>
        <w:ind w:left="160"/>
        <w:rPr>
          <w:sz w:val="2"/>
        </w:rPr>
      </w:pPr>
      <w:r>
        <w:rPr>
          <w:sz w:val="2"/>
        </w:rPr>
        <w:drawing>
          <wp:inline distT="0" distB="0" distL="0" distR="0">
            <wp:extent cx="1829435" cy="5715"/>
            <wp:effectExtent l="0" t="0" r="0" b="0"/>
            <wp:docPr id="43"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5.png"/>
                    <pic:cNvPicPr>
                      <a:picLocks noChangeAspect="1"/>
                    </pic:cNvPicPr>
                  </pic:nvPicPr>
                  <pic:blipFill>
                    <a:blip r:embed="rId10" cstate="print"/>
                    <a:stretch>
                      <a:fillRect/>
                    </a:stretch>
                  </pic:blipFill>
                  <pic:spPr>
                    <a:xfrm>
                      <a:off x="0" y="0"/>
                      <a:ext cx="1829511" cy="6095"/>
                    </a:xfrm>
                    <a:prstGeom prst="rect">
                      <a:avLst/>
                    </a:prstGeom>
                  </pic:spPr>
                </pic:pic>
              </a:graphicData>
            </a:graphic>
          </wp:inline>
        </w:drawing>
      </w:r>
    </w:p>
    <w:p>
      <w:pPr>
        <w:spacing w:before="80"/>
        <w:ind w:left="160" w:right="0" w:firstLine="0"/>
        <w:jc w:val="left"/>
        <w:rPr>
          <w:rFonts w:ascii="楷体" w:eastAsia="楷体"/>
          <w:sz w:val="18"/>
        </w:rPr>
      </w:pPr>
      <w:r>
        <w:rPr>
          <w:w w:val="95"/>
          <w:position w:val="9"/>
          <w:sz w:val="9"/>
        </w:rPr>
        <w:t>60</w:t>
      </w:r>
      <w:r>
        <w:rPr>
          <w:rFonts w:hint="eastAsia" w:ascii="楷体" w:eastAsia="楷体"/>
          <w:b/>
          <w:w w:val="95"/>
          <w:sz w:val="18"/>
        </w:rPr>
        <w:t>组织病理学检查</w:t>
      </w:r>
      <w:r>
        <w:rPr>
          <w:rFonts w:ascii="楷体" w:eastAsia="楷体"/>
          <w:w w:val="95"/>
          <w:sz w:val="18"/>
        </w:rPr>
        <w:t>：组织病理学检查是通过局部切除、钳取、穿刺等手术方法，从患者机体采取病变组织块，经过包埋、切</w:t>
      </w:r>
      <w:r>
        <w:rPr>
          <w:rFonts w:ascii="楷体" w:eastAsia="楷体"/>
          <w:spacing w:val="-10"/>
          <w:w w:val="95"/>
          <w:sz w:val="18"/>
        </w:rPr>
        <w:t>片</w:t>
      </w:r>
    </w:p>
    <w:p>
      <w:pPr>
        <w:spacing w:before="3" w:line="244" w:lineRule="auto"/>
        <w:ind w:left="160" w:right="717" w:firstLine="0"/>
        <w:jc w:val="left"/>
        <w:rPr>
          <w:rFonts w:ascii="楷体" w:eastAsia="楷体"/>
          <w:sz w:val="18"/>
        </w:rPr>
      </w:pPr>
      <w:r>
        <w:drawing>
          <wp:anchor distT="0" distB="0" distL="0" distR="0" simplePos="0" relativeHeight="251669504" behindDoc="1" locked="0" layoutInCell="1" allowOverlap="1">
            <wp:simplePos x="0" y="0"/>
            <wp:positionH relativeFrom="page">
              <wp:posOffset>2060575</wp:posOffset>
            </wp:positionH>
            <wp:positionV relativeFrom="paragraph">
              <wp:posOffset>1270</wp:posOffset>
            </wp:positionV>
            <wp:extent cx="4815205" cy="149860"/>
            <wp:effectExtent l="0" t="0" r="0" b="0"/>
            <wp:wrapNone/>
            <wp:docPr id="45"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11.png"/>
                    <pic:cNvPicPr>
                      <a:picLocks noChangeAspect="1"/>
                    </pic:cNvPicPr>
                  </pic:nvPicPr>
                  <pic:blipFill>
                    <a:blip r:embed="rId16" cstate="print"/>
                    <a:stretch>
                      <a:fillRect/>
                    </a:stretch>
                  </pic:blipFill>
                  <pic:spPr>
                    <a:xfrm>
                      <a:off x="0" y="0"/>
                      <a:ext cx="4815205" cy="149656"/>
                    </a:xfrm>
                    <a:prstGeom prst="rect">
                      <a:avLst/>
                    </a:prstGeom>
                  </pic:spPr>
                </pic:pic>
              </a:graphicData>
            </a:graphic>
          </wp:anchor>
        </w:drawing>
      </w:r>
      <w:r>
        <w:rPr>
          <w:rFonts w:ascii="楷体" w:eastAsia="楷体"/>
          <w:spacing w:val="-2"/>
          <w:sz w:val="18"/>
        </w:rPr>
        <w:t>后，进行病理检查的方法。通过采集病变部位脱落细胞、细针吸取病变部位细胞、体腔积液分离病变细胞等方式获取病变细</w:t>
      </w:r>
      <w:r>
        <w:rPr>
          <w:rFonts w:ascii="楷体" w:eastAsia="楷体"/>
          <w:color w:val="000000"/>
          <w:spacing w:val="-2"/>
          <w:sz w:val="18"/>
          <w:shd w:val="clear" w:color="auto" w:fill="D9D9D9"/>
        </w:rPr>
        <w:t>胞，制成涂片，进行病理检查的方法，属于细胞病理学检查，不属于组织病理学检查。</w:t>
      </w:r>
    </w:p>
    <w:p>
      <w:pPr>
        <w:spacing w:before="0" w:line="228" w:lineRule="exact"/>
        <w:ind w:left="160" w:right="0" w:firstLine="0"/>
        <w:jc w:val="left"/>
        <w:rPr>
          <w:rFonts w:ascii="楷体" w:eastAsia="楷体"/>
          <w:sz w:val="18"/>
        </w:rPr>
      </w:pPr>
      <w:r>
        <w:rPr>
          <w:rFonts w:ascii="楷体" w:eastAsia="楷体"/>
          <w:w w:val="95"/>
          <w:position w:val="9"/>
          <w:sz w:val="9"/>
        </w:rPr>
        <w:t>61</w:t>
      </w:r>
      <w:r>
        <w:rPr>
          <w:rFonts w:hint="eastAsia" w:ascii="楷体" w:eastAsia="楷体"/>
          <w:b/>
          <w:w w:val="95"/>
          <w:sz w:val="18"/>
        </w:rPr>
        <w:t>ICD-10</w:t>
      </w:r>
      <w:r>
        <w:rPr>
          <w:rFonts w:ascii="楷体" w:eastAsia="楷体"/>
          <w:w w:val="95"/>
          <w:sz w:val="18"/>
        </w:rPr>
        <w:t>:《疾病和有关健康问题的国际统计分类》第十次修订版（ICD-10）,是世界卫生组织（WHO）发布的国际通用的疾</w:t>
      </w:r>
      <w:r>
        <w:rPr>
          <w:rFonts w:ascii="楷体" w:eastAsia="楷体"/>
          <w:spacing w:val="-10"/>
          <w:w w:val="95"/>
          <w:sz w:val="18"/>
        </w:rPr>
        <w:t>病</w:t>
      </w:r>
    </w:p>
    <w:p>
      <w:pPr>
        <w:spacing w:before="2" w:line="242" w:lineRule="auto"/>
        <w:ind w:left="160" w:right="714" w:firstLine="0"/>
        <w:jc w:val="both"/>
        <w:rPr>
          <w:rFonts w:ascii="楷体" w:eastAsia="楷体"/>
          <w:sz w:val="18"/>
        </w:rPr>
      </w:pPr>
      <w:r>
        <w:rPr>
          <w:rFonts w:ascii="楷体" w:eastAsia="楷体"/>
          <w:spacing w:val="-11"/>
          <w:sz w:val="18"/>
        </w:rPr>
        <w:t>分类方法。《国际疾病分类肿瘤学专辑》第三版</w:t>
      </w:r>
      <w:r>
        <w:rPr>
          <w:rFonts w:ascii="楷体" w:eastAsia="楷体"/>
          <w:sz w:val="18"/>
        </w:rPr>
        <w:t>（</w:t>
      </w:r>
      <w:r>
        <w:rPr>
          <w:rFonts w:ascii="楷体" w:eastAsia="楷体"/>
          <w:spacing w:val="-2"/>
          <w:sz w:val="18"/>
        </w:rPr>
        <w:t>I</w:t>
      </w:r>
      <w:r>
        <w:rPr>
          <w:rFonts w:ascii="楷体" w:eastAsia="楷体"/>
          <w:spacing w:val="1"/>
          <w:sz w:val="18"/>
        </w:rPr>
        <w:t>C</w:t>
      </w:r>
      <w:r>
        <w:rPr>
          <w:rFonts w:ascii="楷体" w:eastAsia="楷体"/>
          <w:spacing w:val="-2"/>
          <w:sz w:val="18"/>
        </w:rPr>
        <w:t>D</w:t>
      </w:r>
      <w:r>
        <w:rPr>
          <w:rFonts w:ascii="楷体" w:eastAsia="楷体"/>
          <w:spacing w:val="1"/>
          <w:sz w:val="18"/>
        </w:rPr>
        <w:t>-</w:t>
      </w:r>
      <w:r>
        <w:rPr>
          <w:rFonts w:ascii="楷体" w:eastAsia="楷体"/>
          <w:spacing w:val="-2"/>
          <w:sz w:val="18"/>
        </w:rPr>
        <w:t>O</w:t>
      </w:r>
      <w:r>
        <w:rPr>
          <w:rFonts w:ascii="楷体" w:eastAsia="楷体"/>
          <w:spacing w:val="1"/>
          <w:sz w:val="18"/>
        </w:rPr>
        <w:t>-</w:t>
      </w:r>
      <w:r>
        <w:rPr>
          <w:rFonts w:ascii="楷体" w:eastAsia="楷体"/>
          <w:spacing w:val="-2"/>
          <w:sz w:val="18"/>
        </w:rPr>
        <w:t>3</w:t>
      </w:r>
      <w:r>
        <w:rPr>
          <w:rFonts w:ascii="楷体" w:eastAsia="楷体"/>
          <w:spacing w:val="-10"/>
          <w:sz w:val="18"/>
        </w:rPr>
        <w:t>）</w:t>
      </w:r>
      <w:r>
        <w:rPr>
          <w:rFonts w:ascii="楷体" w:eastAsia="楷体"/>
          <w:spacing w:val="-16"/>
          <w:sz w:val="18"/>
        </w:rPr>
        <w:t xml:space="preserve">,是 </w:t>
      </w:r>
      <w:r>
        <w:rPr>
          <w:rFonts w:ascii="楷体" w:eastAsia="楷体"/>
          <w:spacing w:val="1"/>
          <w:sz w:val="18"/>
        </w:rPr>
        <w:t>W</w:t>
      </w:r>
      <w:r>
        <w:rPr>
          <w:rFonts w:ascii="楷体" w:eastAsia="楷体"/>
          <w:spacing w:val="-2"/>
          <w:sz w:val="18"/>
        </w:rPr>
        <w:t>H</w:t>
      </w:r>
      <w:r>
        <w:rPr>
          <w:rFonts w:ascii="楷体" w:eastAsia="楷体"/>
          <w:sz w:val="18"/>
        </w:rPr>
        <w:t>O</w:t>
      </w:r>
      <w:r>
        <w:rPr>
          <w:rFonts w:ascii="楷体" w:eastAsia="楷体"/>
          <w:spacing w:val="-2"/>
          <w:sz w:val="18"/>
        </w:rPr>
        <w:t xml:space="preserve"> 发布的针对</w:t>
      </w:r>
      <w:r>
        <w:rPr>
          <w:rFonts w:ascii="楷体" w:eastAsia="楷体"/>
          <w:spacing w:val="1"/>
          <w:sz w:val="18"/>
        </w:rPr>
        <w:t>I</w:t>
      </w:r>
      <w:r>
        <w:rPr>
          <w:rFonts w:ascii="楷体" w:eastAsia="楷体"/>
          <w:spacing w:val="-2"/>
          <w:sz w:val="18"/>
        </w:rPr>
        <w:t>C</w:t>
      </w:r>
      <w:r>
        <w:rPr>
          <w:rFonts w:ascii="楷体" w:eastAsia="楷体"/>
          <w:sz w:val="18"/>
        </w:rPr>
        <w:t>D</w:t>
      </w:r>
      <w:r>
        <w:rPr>
          <w:rFonts w:ascii="楷体" w:eastAsia="楷体"/>
          <w:spacing w:val="-9"/>
          <w:sz w:val="18"/>
        </w:rPr>
        <w:t xml:space="preserve"> 中肿瘤形态学组织学细胞分类、动态、分化程度的补充编码。其中形态学编码：</w:t>
      </w:r>
      <w:r>
        <w:rPr>
          <w:rFonts w:ascii="楷体" w:eastAsia="楷体"/>
          <w:sz w:val="18"/>
        </w:rPr>
        <w:t>0</w:t>
      </w:r>
      <w:r>
        <w:rPr>
          <w:rFonts w:ascii="楷体" w:eastAsia="楷体"/>
          <w:spacing w:val="-7"/>
          <w:sz w:val="18"/>
        </w:rPr>
        <w:t xml:space="preserve"> 代表良性肿瘤</w:t>
      </w:r>
      <w:r>
        <w:rPr>
          <w:rFonts w:ascii="楷体" w:eastAsia="楷体"/>
          <w:sz w:val="18"/>
        </w:rPr>
        <w:t>；1</w:t>
      </w:r>
      <w:r>
        <w:rPr>
          <w:rFonts w:ascii="楷体" w:eastAsia="楷体"/>
          <w:spacing w:val="-7"/>
          <w:sz w:val="18"/>
        </w:rPr>
        <w:t xml:space="preserve"> 代表动态未定性肿瘤</w:t>
      </w:r>
      <w:r>
        <w:rPr>
          <w:rFonts w:ascii="楷体" w:eastAsia="楷体"/>
          <w:sz w:val="18"/>
        </w:rPr>
        <w:t>；2</w:t>
      </w:r>
      <w:r>
        <w:rPr>
          <w:rFonts w:ascii="楷体" w:eastAsia="楷体"/>
          <w:spacing w:val="-7"/>
          <w:sz w:val="18"/>
        </w:rPr>
        <w:t xml:space="preserve"> 代表原位癌和非侵袭性癌</w:t>
      </w:r>
      <w:r>
        <w:rPr>
          <w:rFonts w:ascii="楷体" w:eastAsia="楷体"/>
          <w:sz w:val="18"/>
        </w:rPr>
        <w:t>；3</w:t>
      </w:r>
      <w:r>
        <w:rPr>
          <w:rFonts w:ascii="楷体" w:eastAsia="楷体"/>
          <w:spacing w:val="-10"/>
          <w:sz w:val="18"/>
        </w:rPr>
        <w:t xml:space="preserve"> 代表恶性肿瘤</w:t>
      </w:r>
      <w:r>
        <w:rPr>
          <w:rFonts w:ascii="楷体" w:eastAsia="楷体"/>
          <w:sz w:val="18"/>
        </w:rPr>
        <w:t>（原发性</w:t>
      </w:r>
      <w:r>
        <w:rPr>
          <w:rFonts w:ascii="楷体" w:eastAsia="楷体"/>
          <w:spacing w:val="-92"/>
          <w:sz w:val="18"/>
        </w:rPr>
        <w:t>）</w:t>
      </w:r>
      <w:r>
        <w:rPr>
          <w:rFonts w:ascii="楷体" w:eastAsia="楷体"/>
          <w:spacing w:val="-10"/>
          <w:sz w:val="18"/>
        </w:rPr>
        <w:t>；</w:t>
      </w:r>
      <w:r>
        <w:rPr>
          <w:rFonts w:ascii="楷体" w:eastAsia="楷体"/>
          <w:sz w:val="18"/>
        </w:rPr>
        <w:t>6</w:t>
      </w:r>
      <w:r>
        <w:rPr>
          <w:rFonts w:ascii="楷体" w:eastAsia="楷体"/>
          <w:spacing w:val="-10"/>
          <w:sz w:val="18"/>
        </w:rPr>
        <w:t xml:space="preserve"> 代表恶性肿瘤</w:t>
      </w:r>
      <w:r>
        <w:rPr>
          <w:rFonts w:ascii="楷体" w:eastAsia="楷体"/>
          <w:sz w:val="18"/>
        </w:rPr>
        <w:t>（转移性</w:t>
      </w:r>
      <w:r>
        <w:rPr>
          <w:rFonts w:ascii="楷体" w:eastAsia="楷体"/>
          <w:spacing w:val="-92"/>
          <w:sz w:val="18"/>
        </w:rPr>
        <w:t>）</w:t>
      </w:r>
      <w:r>
        <w:rPr>
          <w:rFonts w:ascii="楷体" w:eastAsia="楷体"/>
          <w:spacing w:val="-9"/>
          <w:sz w:val="18"/>
        </w:rPr>
        <w:t>；</w:t>
      </w:r>
      <w:r>
        <w:rPr>
          <w:rFonts w:ascii="楷体" w:eastAsia="楷体"/>
          <w:sz w:val="18"/>
        </w:rPr>
        <w:t>9</w:t>
      </w:r>
      <w:r>
        <w:rPr>
          <w:rFonts w:ascii="楷体" w:eastAsia="楷体"/>
          <w:spacing w:val="-10"/>
          <w:sz w:val="18"/>
        </w:rPr>
        <w:t xml:space="preserve"> 代表恶性肿瘤</w:t>
      </w:r>
      <w:r>
        <w:rPr>
          <w:rFonts w:ascii="楷体" w:eastAsia="楷体"/>
          <w:spacing w:val="-3"/>
          <w:sz w:val="18"/>
        </w:rPr>
        <w:t>（</w:t>
      </w:r>
      <w:r>
        <w:rPr>
          <w:rFonts w:ascii="楷体" w:eastAsia="楷体"/>
          <w:sz w:val="18"/>
        </w:rPr>
        <w:t>原发性或转移性未肯定</w:t>
      </w:r>
      <w:r>
        <w:rPr>
          <w:rFonts w:ascii="楷体" w:eastAsia="楷体"/>
          <w:spacing w:val="-92"/>
          <w:sz w:val="18"/>
        </w:rPr>
        <w:t>）</w:t>
      </w:r>
      <w:r>
        <w:rPr>
          <w:rFonts w:ascii="楷体" w:eastAsia="楷体"/>
          <w:spacing w:val="-10"/>
          <w:sz w:val="18"/>
        </w:rPr>
        <w:t xml:space="preserve">。如果出现 </w:t>
      </w:r>
      <w:r>
        <w:rPr>
          <w:rFonts w:ascii="楷体" w:eastAsia="楷体"/>
          <w:spacing w:val="1"/>
          <w:sz w:val="18"/>
        </w:rPr>
        <w:t>I</w:t>
      </w:r>
      <w:r>
        <w:rPr>
          <w:rFonts w:ascii="楷体" w:eastAsia="楷体"/>
          <w:spacing w:val="-2"/>
          <w:sz w:val="18"/>
        </w:rPr>
        <w:t>C</w:t>
      </w:r>
      <w:r>
        <w:rPr>
          <w:rFonts w:ascii="楷体" w:eastAsia="楷体"/>
          <w:spacing w:val="1"/>
          <w:sz w:val="18"/>
        </w:rPr>
        <w:t>D</w:t>
      </w:r>
      <w:r>
        <w:rPr>
          <w:rFonts w:ascii="楷体" w:eastAsia="楷体"/>
          <w:spacing w:val="-2"/>
          <w:sz w:val="18"/>
        </w:rPr>
        <w:t>-</w:t>
      </w:r>
      <w:r>
        <w:rPr>
          <w:rFonts w:ascii="楷体" w:eastAsia="楷体"/>
          <w:spacing w:val="1"/>
          <w:sz w:val="18"/>
        </w:rPr>
        <w:t>1</w:t>
      </w:r>
      <w:r>
        <w:rPr>
          <w:rFonts w:ascii="楷体" w:eastAsia="楷体"/>
          <w:sz w:val="18"/>
        </w:rPr>
        <w:t>0</w:t>
      </w:r>
      <w:r>
        <w:rPr>
          <w:rFonts w:ascii="楷体" w:eastAsia="楷体"/>
          <w:spacing w:val="-30"/>
          <w:sz w:val="18"/>
        </w:rPr>
        <w:t xml:space="preserve"> 与 </w:t>
      </w:r>
      <w:r>
        <w:rPr>
          <w:rFonts w:ascii="楷体" w:eastAsia="楷体"/>
          <w:spacing w:val="-2"/>
          <w:sz w:val="18"/>
        </w:rPr>
        <w:t>I</w:t>
      </w:r>
      <w:r>
        <w:rPr>
          <w:rFonts w:ascii="楷体" w:eastAsia="楷体"/>
          <w:spacing w:val="1"/>
          <w:sz w:val="18"/>
        </w:rPr>
        <w:t>C</w:t>
      </w:r>
      <w:r>
        <w:rPr>
          <w:rFonts w:ascii="楷体" w:eastAsia="楷体"/>
          <w:spacing w:val="-2"/>
          <w:sz w:val="18"/>
        </w:rPr>
        <w:t>D</w:t>
      </w:r>
      <w:r>
        <w:rPr>
          <w:rFonts w:ascii="楷体" w:eastAsia="楷体"/>
          <w:spacing w:val="1"/>
          <w:sz w:val="18"/>
        </w:rPr>
        <w:t>-</w:t>
      </w:r>
      <w:r>
        <w:rPr>
          <w:rFonts w:ascii="楷体" w:eastAsia="楷体"/>
          <w:spacing w:val="-2"/>
          <w:sz w:val="18"/>
        </w:rPr>
        <w:t>0</w:t>
      </w:r>
      <w:r>
        <w:rPr>
          <w:rFonts w:ascii="楷体" w:eastAsia="楷体"/>
          <w:spacing w:val="1"/>
          <w:sz w:val="18"/>
        </w:rPr>
        <w:t>-</w:t>
      </w:r>
      <w:r>
        <w:rPr>
          <w:rFonts w:ascii="楷体" w:eastAsia="楷体"/>
          <w:sz w:val="18"/>
        </w:rPr>
        <w:t>3</w:t>
      </w:r>
      <w:r>
        <w:rPr>
          <w:rFonts w:ascii="楷体" w:eastAsia="楷体"/>
          <w:spacing w:val="-10"/>
          <w:sz w:val="18"/>
        </w:rPr>
        <w:t xml:space="preserve"> 不一致的</w:t>
      </w:r>
      <w:r>
        <w:rPr>
          <w:rFonts w:ascii="楷体" w:eastAsia="楷体"/>
          <w:spacing w:val="-17"/>
          <w:sz w:val="18"/>
        </w:rPr>
        <w:t xml:space="preserve">情况，以 </w:t>
      </w:r>
      <w:r>
        <w:rPr>
          <w:rFonts w:ascii="楷体" w:eastAsia="楷体"/>
          <w:spacing w:val="1"/>
          <w:sz w:val="18"/>
        </w:rPr>
        <w:t>I</w:t>
      </w:r>
      <w:r>
        <w:rPr>
          <w:rFonts w:ascii="楷体" w:eastAsia="楷体"/>
          <w:spacing w:val="-2"/>
          <w:sz w:val="18"/>
        </w:rPr>
        <w:t>C</w:t>
      </w:r>
      <w:r>
        <w:rPr>
          <w:rFonts w:ascii="楷体" w:eastAsia="楷体"/>
          <w:spacing w:val="1"/>
          <w:sz w:val="18"/>
        </w:rPr>
        <w:t>D</w:t>
      </w:r>
      <w:r>
        <w:rPr>
          <w:rFonts w:ascii="楷体" w:eastAsia="楷体"/>
          <w:spacing w:val="-2"/>
          <w:sz w:val="18"/>
        </w:rPr>
        <w:t>-</w:t>
      </w:r>
      <w:r>
        <w:rPr>
          <w:rFonts w:ascii="楷体" w:eastAsia="楷体"/>
          <w:spacing w:val="1"/>
          <w:sz w:val="18"/>
        </w:rPr>
        <w:t>0</w:t>
      </w:r>
      <w:r>
        <w:rPr>
          <w:rFonts w:ascii="楷体" w:eastAsia="楷体"/>
          <w:spacing w:val="-2"/>
          <w:sz w:val="18"/>
        </w:rPr>
        <w:t>-</w:t>
      </w:r>
      <w:r>
        <w:rPr>
          <w:rFonts w:ascii="楷体" w:eastAsia="楷体"/>
          <w:sz w:val="18"/>
        </w:rPr>
        <w:t>3</w:t>
      </w:r>
      <w:r>
        <w:rPr>
          <w:rFonts w:ascii="楷体" w:eastAsia="楷体"/>
          <w:spacing w:val="-12"/>
          <w:sz w:val="18"/>
        </w:rPr>
        <w:t xml:space="preserve"> 为准。</w:t>
      </w:r>
    </w:p>
    <w:p>
      <w:pPr>
        <w:spacing w:before="2" w:line="242" w:lineRule="auto"/>
        <w:ind w:left="102" w:right="713" w:firstLine="0"/>
        <w:jc w:val="both"/>
        <w:rPr>
          <w:rFonts w:ascii="楷体" w:eastAsia="楷体"/>
          <w:sz w:val="18"/>
        </w:rPr>
      </w:pPr>
      <w:r>
        <w:rPr>
          <w:rFonts w:ascii="楷体" w:eastAsia="楷体"/>
          <w:w w:val="101"/>
          <w:position w:val="9"/>
          <w:sz w:val="9"/>
        </w:rPr>
        <w:t>62</w:t>
      </w:r>
      <w:r>
        <w:rPr>
          <w:rFonts w:hint="eastAsia" w:ascii="楷体" w:eastAsia="楷体"/>
          <w:b/>
          <w:spacing w:val="1"/>
          <w:w w:val="99"/>
          <w:sz w:val="18"/>
        </w:rPr>
        <w:t>TN</w:t>
      </w:r>
      <w:r>
        <w:rPr>
          <w:rFonts w:hint="eastAsia" w:ascii="楷体" w:eastAsia="楷体"/>
          <w:b/>
          <w:w w:val="99"/>
          <w:sz w:val="18"/>
        </w:rPr>
        <w:t>M</w:t>
      </w:r>
      <w:r>
        <w:rPr>
          <w:rFonts w:hint="eastAsia" w:ascii="楷体" w:eastAsia="楷体"/>
          <w:b/>
          <w:spacing w:val="-44"/>
          <w:sz w:val="18"/>
        </w:rPr>
        <w:t xml:space="preserve"> </w:t>
      </w:r>
      <w:r>
        <w:rPr>
          <w:rFonts w:hint="eastAsia" w:ascii="楷体" w:eastAsia="楷体"/>
          <w:b/>
          <w:w w:val="99"/>
          <w:sz w:val="18"/>
        </w:rPr>
        <w:t>分期</w:t>
      </w:r>
      <w:r>
        <w:rPr>
          <w:rFonts w:ascii="楷体" w:eastAsia="楷体"/>
          <w:spacing w:val="-3"/>
          <w:sz w:val="18"/>
        </w:rPr>
        <w:t>：</w:t>
      </w:r>
      <w:r>
        <w:rPr>
          <w:rFonts w:ascii="楷体" w:eastAsia="楷体"/>
          <w:spacing w:val="-2"/>
          <w:sz w:val="18"/>
        </w:rPr>
        <w:t>T</w:t>
      </w:r>
      <w:r>
        <w:rPr>
          <w:rFonts w:ascii="楷体" w:eastAsia="楷体"/>
          <w:spacing w:val="1"/>
          <w:sz w:val="18"/>
        </w:rPr>
        <w:t>N</w:t>
      </w:r>
      <w:r>
        <w:rPr>
          <w:rFonts w:ascii="楷体" w:eastAsia="楷体"/>
          <w:sz w:val="18"/>
        </w:rPr>
        <w:t>M</w:t>
      </w:r>
      <w:r>
        <w:rPr>
          <w:rFonts w:ascii="楷体" w:eastAsia="楷体"/>
          <w:spacing w:val="-16"/>
          <w:sz w:val="18"/>
        </w:rPr>
        <w:t xml:space="preserve"> 分期采用 </w:t>
      </w:r>
      <w:r>
        <w:rPr>
          <w:rFonts w:ascii="楷体" w:eastAsia="楷体"/>
          <w:spacing w:val="-2"/>
          <w:sz w:val="18"/>
        </w:rPr>
        <w:t>A</w:t>
      </w:r>
      <w:r>
        <w:rPr>
          <w:rFonts w:ascii="楷体" w:eastAsia="楷体"/>
          <w:spacing w:val="1"/>
          <w:sz w:val="18"/>
        </w:rPr>
        <w:t>J</w:t>
      </w:r>
      <w:r>
        <w:rPr>
          <w:rFonts w:ascii="楷体" w:eastAsia="楷体"/>
          <w:spacing w:val="-2"/>
          <w:sz w:val="18"/>
        </w:rPr>
        <w:t>C</w:t>
      </w:r>
      <w:r>
        <w:rPr>
          <w:rFonts w:ascii="楷体" w:eastAsia="楷体"/>
          <w:sz w:val="18"/>
        </w:rPr>
        <w:t>C</w:t>
      </w:r>
      <w:r>
        <w:rPr>
          <w:rFonts w:ascii="楷体" w:eastAsia="楷体"/>
          <w:spacing w:val="-9"/>
          <w:sz w:val="18"/>
        </w:rPr>
        <w:t xml:space="preserve"> 癌症分期手册标准。该标准由美国癌症联合委员会与国际抗癌联合会 </w:t>
      </w:r>
      <w:r>
        <w:rPr>
          <w:rFonts w:ascii="楷体" w:eastAsia="楷体"/>
          <w:spacing w:val="1"/>
          <w:sz w:val="18"/>
        </w:rPr>
        <w:t>T</w:t>
      </w:r>
      <w:r>
        <w:rPr>
          <w:rFonts w:ascii="楷体" w:eastAsia="楷体"/>
          <w:spacing w:val="-2"/>
          <w:sz w:val="18"/>
        </w:rPr>
        <w:t>N</w:t>
      </w:r>
      <w:r>
        <w:rPr>
          <w:rFonts w:ascii="楷体" w:eastAsia="楷体"/>
          <w:sz w:val="18"/>
        </w:rPr>
        <w:t>M</w:t>
      </w:r>
      <w:r>
        <w:rPr>
          <w:rFonts w:ascii="楷体" w:eastAsia="楷体"/>
          <w:spacing w:val="-8"/>
          <w:sz w:val="18"/>
        </w:rPr>
        <w:t xml:space="preserve"> 委员会联合制定，是目前肿瘤医学分期的国际通用标准。T</w:t>
      </w:r>
      <w:r>
        <w:rPr>
          <w:rFonts w:ascii="楷体" w:eastAsia="楷体"/>
          <w:spacing w:val="-6"/>
          <w:sz w:val="18"/>
        </w:rPr>
        <w:t xml:space="preserve"> 指原发肿瘤大小、形态等</w:t>
      </w:r>
      <w:r>
        <w:rPr>
          <w:rFonts w:ascii="楷体" w:eastAsia="楷体"/>
          <w:sz w:val="18"/>
        </w:rPr>
        <w:t>；N</w:t>
      </w:r>
      <w:r>
        <w:rPr>
          <w:rFonts w:ascii="楷体" w:eastAsia="楷体"/>
          <w:spacing w:val="-6"/>
          <w:sz w:val="18"/>
        </w:rPr>
        <w:t xml:space="preserve"> 指淋巴结的转移情况</w:t>
      </w:r>
      <w:r>
        <w:rPr>
          <w:rFonts w:ascii="楷体" w:eastAsia="楷体"/>
          <w:sz w:val="18"/>
        </w:rPr>
        <w:t>；M</w:t>
      </w:r>
      <w:r>
        <w:rPr>
          <w:rFonts w:ascii="楷体" w:eastAsia="楷体"/>
          <w:spacing w:val="-7"/>
          <w:sz w:val="18"/>
        </w:rPr>
        <w:t xml:space="preserve"> 指有无其他脏器的转移情况。甲</w:t>
      </w:r>
      <w:r>
        <w:rPr>
          <w:rFonts w:ascii="楷体" w:eastAsia="楷体"/>
          <w:spacing w:val="-9"/>
          <w:sz w:val="18"/>
        </w:rPr>
        <w:t xml:space="preserve">状腺癌的 </w:t>
      </w:r>
      <w:r>
        <w:rPr>
          <w:rFonts w:ascii="楷体" w:eastAsia="楷体"/>
          <w:spacing w:val="1"/>
          <w:sz w:val="18"/>
        </w:rPr>
        <w:t>T</w:t>
      </w:r>
      <w:r>
        <w:rPr>
          <w:rFonts w:ascii="楷体" w:eastAsia="楷体"/>
          <w:spacing w:val="-2"/>
          <w:sz w:val="18"/>
        </w:rPr>
        <w:t>N</w:t>
      </w:r>
      <w:r>
        <w:rPr>
          <w:rFonts w:ascii="楷体" w:eastAsia="楷体"/>
          <w:sz w:val="18"/>
        </w:rPr>
        <w:t>M</w:t>
      </w:r>
      <w:r>
        <w:rPr>
          <w:rFonts w:ascii="楷体" w:eastAsia="楷体"/>
          <w:spacing w:val="-12"/>
          <w:sz w:val="18"/>
        </w:rPr>
        <w:t xml:space="preserve"> 分期采用目前现行的 </w:t>
      </w:r>
      <w:r>
        <w:rPr>
          <w:rFonts w:ascii="楷体" w:eastAsia="楷体"/>
          <w:spacing w:val="1"/>
          <w:sz w:val="18"/>
        </w:rPr>
        <w:t>A</w:t>
      </w:r>
      <w:r>
        <w:rPr>
          <w:rFonts w:ascii="楷体" w:eastAsia="楷体"/>
          <w:spacing w:val="-2"/>
          <w:sz w:val="18"/>
        </w:rPr>
        <w:t>J</w:t>
      </w:r>
      <w:r>
        <w:rPr>
          <w:rFonts w:ascii="楷体" w:eastAsia="楷体"/>
          <w:spacing w:val="1"/>
          <w:sz w:val="18"/>
        </w:rPr>
        <w:t>C</w:t>
      </w:r>
      <w:r>
        <w:rPr>
          <w:rFonts w:ascii="楷体" w:eastAsia="楷体"/>
          <w:sz w:val="18"/>
        </w:rPr>
        <w:t>C</w:t>
      </w:r>
      <w:r>
        <w:rPr>
          <w:rFonts w:ascii="楷体" w:eastAsia="楷体"/>
          <w:spacing w:val="-12"/>
          <w:sz w:val="18"/>
        </w:rPr>
        <w:t xml:space="preserve"> 第八版定义标准，我国国家卫生健康委员会 </w:t>
      </w:r>
      <w:r>
        <w:rPr>
          <w:rFonts w:ascii="楷体" w:eastAsia="楷体"/>
          <w:spacing w:val="1"/>
          <w:sz w:val="18"/>
        </w:rPr>
        <w:t>2</w:t>
      </w:r>
      <w:r>
        <w:rPr>
          <w:rFonts w:ascii="楷体" w:eastAsia="楷体"/>
          <w:spacing w:val="-2"/>
          <w:sz w:val="18"/>
        </w:rPr>
        <w:t>0</w:t>
      </w:r>
      <w:r>
        <w:rPr>
          <w:rFonts w:ascii="楷体" w:eastAsia="楷体"/>
          <w:spacing w:val="1"/>
          <w:sz w:val="18"/>
        </w:rPr>
        <w:t>1</w:t>
      </w:r>
      <w:r>
        <w:rPr>
          <w:rFonts w:ascii="楷体" w:eastAsia="楷体"/>
          <w:sz w:val="18"/>
        </w:rPr>
        <w:t>8</w:t>
      </w:r>
      <w:r>
        <w:rPr>
          <w:rFonts w:ascii="楷体" w:eastAsia="楷体"/>
          <w:spacing w:val="-11"/>
          <w:sz w:val="18"/>
        </w:rPr>
        <w:t xml:space="preserve"> 年发布的《甲状腺癌诊疗规范</w:t>
      </w:r>
      <w:r>
        <w:rPr>
          <w:rFonts w:ascii="楷体" w:eastAsia="楷体"/>
          <w:sz w:val="18"/>
        </w:rPr>
        <w:t>（</w:t>
      </w:r>
      <w:r>
        <w:rPr>
          <w:rFonts w:ascii="楷体" w:eastAsia="楷体"/>
          <w:spacing w:val="-2"/>
          <w:sz w:val="18"/>
        </w:rPr>
        <w:t>20</w:t>
      </w:r>
      <w:r>
        <w:rPr>
          <w:rFonts w:ascii="楷体" w:eastAsia="楷体"/>
          <w:spacing w:val="1"/>
          <w:sz w:val="18"/>
        </w:rPr>
        <w:t>1</w:t>
      </w:r>
      <w:r>
        <w:rPr>
          <w:rFonts w:ascii="楷体" w:eastAsia="楷体"/>
          <w:sz w:val="18"/>
        </w:rPr>
        <w:t>8年版</w:t>
      </w:r>
      <w:r>
        <w:rPr>
          <w:rFonts w:ascii="楷体" w:eastAsia="楷体"/>
          <w:spacing w:val="-92"/>
          <w:sz w:val="18"/>
        </w:rPr>
        <w:t>）</w:t>
      </w:r>
      <w:r>
        <w:rPr>
          <w:rFonts w:ascii="楷体" w:eastAsia="楷体"/>
          <w:sz w:val="18"/>
        </w:rPr>
        <w:t>》也采用此定义标准。</w:t>
      </w:r>
    </w:p>
    <w:p>
      <w:pPr>
        <w:spacing w:after="0" w:line="242" w:lineRule="auto"/>
        <w:jc w:val="both"/>
        <w:rPr>
          <w:rFonts w:ascii="楷体" w:eastAsia="楷体"/>
          <w:sz w:val="18"/>
        </w:rPr>
        <w:sectPr>
          <w:type w:val="continuous"/>
          <w:pgSz w:w="11910" w:h="16840"/>
          <w:pgMar w:top="480" w:right="360" w:bottom="280" w:left="920" w:header="720" w:footer="720" w:gutter="0"/>
          <w:cols w:space="720" w:num="1"/>
        </w:sectPr>
      </w:pPr>
    </w:p>
    <w:p>
      <w:pPr>
        <w:pStyle w:val="5"/>
        <w:spacing w:before="44"/>
        <w:ind w:left="2606"/>
      </w:pPr>
      <w:r>
        <w:rPr>
          <w:spacing w:val="-2"/>
        </w:rPr>
        <w:t>p</w:t>
      </w:r>
      <w:r>
        <w:rPr>
          <w:rFonts w:ascii="Cambria Math" w:hAnsi="Cambria Math" w:eastAsia="Cambria Math"/>
          <w:spacing w:val="-2"/>
        </w:rPr>
        <w:t>𝑇</w:t>
      </w:r>
      <w:r>
        <w:rPr>
          <w:rFonts w:ascii="Cambria Math" w:hAnsi="Cambria Math" w:eastAsia="Cambria Math"/>
          <w:spacing w:val="-2"/>
          <w:vertAlign w:val="subscript"/>
        </w:rPr>
        <w:t>1</w:t>
      </w:r>
      <w:r>
        <w:rPr>
          <w:spacing w:val="-3"/>
          <w:vertAlign w:val="baseline"/>
        </w:rPr>
        <w:t>： 肿瘤局限在甲状腺内，最大径≤</w:t>
      </w:r>
      <w:r>
        <w:rPr>
          <w:spacing w:val="-4"/>
          <w:vertAlign w:val="baseline"/>
        </w:rPr>
        <w:t>2cm</w:t>
      </w:r>
    </w:p>
    <w:p>
      <w:pPr>
        <w:pStyle w:val="5"/>
        <w:spacing w:before="199"/>
        <w:ind w:left="3237"/>
      </w:pPr>
      <w:r>
        <w:rPr>
          <w:rFonts w:ascii="Cambria Math" w:hAnsi="Cambria Math" w:eastAsia="Cambria Math"/>
          <w:spacing w:val="-2"/>
        </w:rPr>
        <w:t>𝑇</w:t>
      </w:r>
      <w:r>
        <w:rPr>
          <w:rFonts w:ascii="Cambria Math" w:hAnsi="Cambria Math" w:eastAsia="Cambria Math"/>
          <w:spacing w:val="-2"/>
          <w:vertAlign w:val="subscript"/>
        </w:rPr>
        <w:t>1</w:t>
      </w:r>
      <w:r>
        <w:rPr>
          <w:rFonts w:ascii="Cambria Math" w:hAnsi="Cambria Math" w:eastAsia="Cambria Math"/>
          <w:spacing w:val="-2"/>
          <w:position w:val="-3"/>
          <w:sz w:val="15"/>
          <w:vertAlign w:val="baseline"/>
        </w:rPr>
        <w:t>𝑎</w:t>
      </w:r>
      <w:r>
        <w:rPr>
          <w:spacing w:val="-2"/>
          <w:vertAlign w:val="baseline"/>
        </w:rPr>
        <w:t>肿瘤最大径</w:t>
      </w:r>
      <w:r>
        <w:rPr>
          <w:spacing w:val="-4"/>
          <w:vertAlign w:val="baseline"/>
        </w:rPr>
        <w:t>≤1cm</w:t>
      </w:r>
    </w:p>
    <w:p>
      <w:pPr>
        <w:pStyle w:val="5"/>
        <w:spacing w:before="185"/>
        <w:ind w:left="3237"/>
      </w:pPr>
      <w:r>
        <w:rPr>
          <w:rFonts w:ascii="Cambria Math" w:hAnsi="Cambria Math" w:eastAsia="Cambria Math"/>
          <w:spacing w:val="-2"/>
        </w:rPr>
        <w:t>𝑇</w:t>
      </w:r>
      <w:r>
        <w:rPr>
          <w:rFonts w:ascii="Cambria Math" w:hAnsi="Cambria Math" w:eastAsia="Cambria Math"/>
          <w:spacing w:val="-2"/>
          <w:vertAlign w:val="subscript"/>
        </w:rPr>
        <w:t>1</w:t>
      </w:r>
      <w:r>
        <w:rPr>
          <w:rFonts w:ascii="Cambria Math" w:hAnsi="Cambria Math" w:eastAsia="Cambria Math"/>
          <w:spacing w:val="-2"/>
          <w:position w:val="-3"/>
          <w:sz w:val="15"/>
          <w:vertAlign w:val="baseline"/>
        </w:rPr>
        <w:t>𝑏</w:t>
      </w:r>
      <w:r>
        <w:rPr>
          <w:spacing w:val="-2"/>
          <w:vertAlign w:val="baseline"/>
        </w:rPr>
        <w:t>肿瘤最大径＞1cm，≤2cm</w:t>
      </w:r>
    </w:p>
    <w:p>
      <w:pPr>
        <w:pStyle w:val="5"/>
        <w:spacing w:before="185"/>
        <w:ind w:left="2606"/>
      </w:pPr>
      <w:r>
        <w:t>p</w:t>
      </w:r>
      <w:r>
        <w:rPr>
          <w:rFonts w:ascii="Cambria Math" w:eastAsia="Cambria Math"/>
        </w:rPr>
        <w:t>𝑇</w:t>
      </w:r>
      <w:r>
        <w:rPr>
          <w:rFonts w:ascii="Cambria Math" w:eastAsia="Cambria Math"/>
          <w:vertAlign w:val="subscript"/>
        </w:rPr>
        <w:t>2</w:t>
      </w:r>
      <w:r>
        <w:rPr>
          <w:spacing w:val="-13"/>
          <w:vertAlign w:val="baseline"/>
        </w:rPr>
        <w:t xml:space="preserve">： 肿瘤 </w:t>
      </w:r>
      <w:r>
        <w:rPr>
          <w:spacing w:val="-2"/>
          <w:vertAlign w:val="baseline"/>
        </w:rPr>
        <w:t>2～4cm</w:t>
      </w:r>
    </w:p>
    <w:p>
      <w:pPr>
        <w:pStyle w:val="5"/>
        <w:spacing w:before="199"/>
        <w:ind w:left="2606"/>
      </w:pPr>
      <w:r>
        <w:rPr>
          <w:spacing w:val="-2"/>
        </w:rPr>
        <w:t>p</w:t>
      </w:r>
      <w:r>
        <w:rPr>
          <w:rFonts w:ascii="Cambria Math" w:eastAsia="Cambria Math"/>
          <w:spacing w:val="-2"/>
        </w:rPr>
        <w:t>𝑇</w:t>
      </w:r>
      <w:r>
        <w:rPr>
          <w:rFonts w:ascii="Cambria Math" w:eastAsia="Cambria Math"/>
          <w:spacing w:val="-2"/>
          <w:vertAlign w:val="subscript"/>
        </w:rPr>
        <w:t>3</w:t>
      </w:r>
      <w:r>
        <w:rPr>
          <w:spacing w:val="1"/>
          <w:vertAlign w:val="baseline"/>
        </w:rPr>
        <w:t>： 肿瘤＞</w:t>
      </w:r>
      <w:r>
        <w:rPr>
          <w:spacing w:val="-2"/>
          <w:vertAlign w:val="baseline"/>
        </w:rPr>
        <w:t>4cm</w:t>
      </w:r>
      <w:r>
        <w:rPr>
          <w:spacing w:val="-3"/>
          <w:vertAlign w:val="baseline"/>
        </w:rPr>
        <w:t>，局限于甲状腺内或大体侵犯甲状腺外带状肌</w:t>
      </w:r>
    </w:p>
    <w:p>
      <w:pPr>
        <w:pStyle w:val="5"/>
        <w:spacing w:before="199"/>
        <w:ind w:left="2606"/>
      </w:pPr>
      <w:r>
        <w:rPr>
          <w:spacing w:val="-2"/>
        </w:rPr>
        <w:t>p</w:t>
      </w:r>
      <w:r>
        <w:rPr>
          <w:rFonts w:ascii="Cambria Math" w:eastAsia="Cambria Math"/>
          <w:spacing w:val="-2"/>
        </w:rPr>
        <w:t>𝑇</w:t>
      </w:r>
      <w:r>
        <w:rPr>
          <w:rFonts w:ascii="Cambria Math" w:eastAsia="Cambria Math"/>
          <w:spacing w:val="-2"/>
          <w:vertAlign w:val="subscript"/>
        </w:rPr>
        <w:t>3</w:t>
      </w:r>
      <w:r>
        <w:rPr>
          <w:rFonts w:ascii="Cambria Math" w:eastAsia="Cambria Math"/>
          <w:spacing w:val="-2"/>
          <w:position w:val="-3"/>
          <w:sz w:val="15"/>
          <w:vertAlign w:val="baseline"/>
        </w:rPr>
        <w:t>𝑎</w:t>
      </w:r>
      <w:r>
        <w:rPr>
          <w:spacing w:val="-2"/>
          <w:vertAlign w:val="baseline"/>
        </w:rPr>
        <w:t>：肿瘤＞4cm</w:t>
      </w:r>
      <w:r>
        <w:rPr>
          <w:spacing w:val="-4"/>
          <w:vertAlign w:val="baseline"/>
        </w:rPr>
        <w:t>，局限于甲状腺内</w:t>
      </w:r>
    </w:p>
    <w:p>
      <w:pPr>
        <w:pStyle w:val="5"/>
        <w:spacing w:before="184"/>
        <w:ind w:left="2606"/>
      </w:pPr>
      <w:r>
        <w:rPr>
          <w:spacing w:val="-2"/>
        </w:rPr>
        <w:t>p</w:t>
      </w:r>
      <w:r>
        <w:rPr>
          <w:rFonts w:ascii="Cambria Math" w:eastAsia="Cambria Math"/>
          <w:spacing w:val="-2"/>
        </w:rPr>
        <w:t>𝑇</w:t>
      </w:r>
      <w:r>
        <w:rPr>
          <w:rFonts w:ascii="Cambria Math" w:eastAsia="Cambria Math"/>
          <w:spacing w:val="-2"/>
          <w:position w:val="-3"/>
          <w:sz w:val="15"/>
        </w:rPr>
        <w:t>3𝑏</w:t>
      </w:r>
      <w:r>
        <w:rPr>
          <w:spacing w:val="-3"/>
        </w:rPr>
        <w:t>：大体侵犯甲状腺外带状肌，无论肿瘤大小</w:t>
      </w:r>
    </w:p>
    <w:p>
      <w:pPr>
        <w:pStyle w:val="5"/>
        <w:spacing w:before="185"/>
        <w:ind w:left="3237"/>
      </w:pPr>
      <w:r>
        <w:rPr>
          <w:spacing w:val="-3"/>
        </w:rPr>
        <w:t>带状肌包括：胸骨舌骨肌、胸骨甲状肌、甲状舌骨肌、肩胛舌骨肌</w:t>
      </w:r>
    </w:p>
    <w:p>
      <w:pPr>
        <w:pStyle w:val="5"/>
        <w:spacing w:before="7"/>
        <w:rPr>
          <w:sz w:val="15"/>
        </w:rPr>
      </w:pPr>
    </w:p>
    <w:p>
      <w:pPr>
        <w:pStyle w:val="5"/>
        <w:ind w:left="2606"/>
      </w:pPr>
      <w:r>
        <w:t>p</w:t>
      </w:r>
      <w:r>
        <w:rPr>
          <w:rFonts w:ascii="Cambria Math" w:eastAsia="Cambria Math"/>
        </w:rPr>
        <w:t>𝑇</w:t>
      </w:r>
      <w:r>
        <w:rPr>
          <w:rFonts w:ascii="Cambria Math" w:eastAsia="Cambria Math"/>
          <w:vertAlign w:val="subscript"/>
        </w:rPr>
        <w:t>4</w:t>
      </w:r>
      <w:r>
        <w:rPr>
          <w:spacing w:val="-6"/>
          <w:vertAlign w:val="baseline"/>
        </w:rPr>
        <w:t>： 大体侵犯甲状腺外带状肌外</w:t>
      </w:r>
    </w:p>
    <w:p>
      <w:pPr>
        <w:pStyle w:val="5"/>
        <w:spacing w:before="199" w:line="405" w:lineRule="auto"/>
        <w:ind w:left="2606" w:right="3212"/>
      </w:pPr>
      <w:r>
        <w:rPr>
          <w:spacing w:val="-2"/>
        </w:rPr>
        <w:t>p</w:t>
      </w:r>
      <w:r>
        <w:rPr>
          <w:rFonts w:ascii="Cambria Math" w:eastAsia="Cambria Math"/>
          <w:spacing w:val="-2"/>
        </w:rPr>
        <w:t>𝑇</w:t>
      </w:r>
      <w:r>
        <w:rPr>
          <w:rFonts w:ascii="Cambria Math" w:eastAsia="Cambria Math"/>
          <w:spacing w:val="-2"/>
          <w:position w:val="-3"/>
          <w:sz w:val="15"/>
        </w:rPr>
        <w:t>4𝑎</w:t>
      </w:r>
      <w:r>
        <w:rPr>
          <w:spacing w:val="-2"/>
        </w:rPr>
        <w:t>：侵犯喉、气管、食管、喉反神经及皮下软组织 p</w:t>
      </w:r>
      <w:r>
        <w:rPr>
          <w:rFonts w:ascii="Cambria Math" w:eastAsia="Cambria Math"/>
          <w:spacing w:val="-2"/>
        </w:rPr>
        <w:t>𝑇</w:t>
      </w:r>
      <w:r>
        <w:rPr>
          <w:rFonts w:ascii="Cambria Math" w:eastAsia="Cambria Math"/>
          <w:spacing w:val="-2"/>
          <w:position w:val="-3"/>
          <w:sz w:val="15"/>
        </w:rPr>
        <w:t>4𝑏</w:t>
      </w:r>
      <w:r>
        <w:rPr>
          <w:spacing w:val="-2"/>
        </w:rPr>
        <w:t>：侵犯椎前筋膜，或包裹颈动脉、纵隔血管</w:t>
      </w:r>
    </w:p>
    <w:p>
      <w:pPr>
        <w:pStyle w:val="5"/>
        <w:spacing w:line="267" w:lineRule="exact"/>
        <w:ind w:left="2606"/>
      </w:pPr>
      <w:r>
        <w:rPr>
          <w:spacing w:val="-4"/>
        </w:rPr>
        <w:t>甲状腺髓样癌</w:t>
      </w:r>
    </w:p>
    <w:p>
      <w:pPr>
        <w:pStyle w:val="5"/>
        <w:spacing w:before="7"/>
        <w:rPr>
          <w:sz w:val="15"/>
        </w:rPr>
      </w:pPr>
    </w:p>
    <w:p>
      <w:pPr>
        <w:pStyle w:val="5"/>
        <w:ind w:left="2606"/>
      </w:pPr>
      <w:r>
        <w:t>p</w:t>
      </w:r>
      <w:r>
        <w:rPr>
          <w:rFonts w:ascii="Cambria Math" w:eastAsia="Cambria Math"/>
        </w:rPr>
        <w:t>𝑇</w:t>
      </w:r>
      <w:r>
        <w:rPr>
          <w:rFonts w:ascii="Cambria Math" w:eastAsia="Cambria Math"/>
          <w:position w:val="-3"/>
          <w:sz w:val="15"/>
        </w:rPr>
        <w:t>𝑥</w:t>
      </w:r>
      <w:r>
        <w:rPr>
          <w:spacing w:val="-6"/>
        </w:rPr>
        <w:t>： 原发肿瘤不能评估</w:t>
      </w:r>
    </w:p>
    <w:p>
      <w:pPr>
        <w:pStyle w:val="5"/>
        <w:spacing w:before="185"/>
        <w:ind w:left="2606"/>
      </w:pPr>
      <w:r>
        <w:t>p</w:t>
      </w:r>
      <w:r>
        <w:rPr>
          <w:rFonts w:ascii="Cambria Math" w:eastAsia="Cambria Math"/>
        </w:rPr>
        <w:t>𝑇</w:t>
      </w:r>
      <w:r>
        <w:rPr>
          <w:rFonts w:ascii="Cambria Math" w:eastAsia="Cambria Math"/>
          <w:vertAlign w:val="subscript"/>
        </w:rPr>
        <w:t>0</w:t>
      </w:r>
      <w:r>
        <w:rPr>
          <w:spacing w:val="-4"/>
          <w:vertAlign w:val="baseline"/>
        </w:rPr>
        <w:t>： 无肿瘤证据</w:t>
      </w:r>
    </w:p>
    <w:p>
      <w:pPr>
        <w:pStyle w:val="5"/>
        <w:spacing w:before="199"/>
        <w:ind w:left="2606"/>
      </w:pPr>
      <w:r>
        <w:rPr>
          <w:spacing w:val="-2"/>
        </w:rPr>
        <w:t>p</w:t>
      </w:r>
      <w:r>
        <w:rPr>
          <w:rFonts w:ascii="Cambria Math" w:hAnsi="Cambria Math" w:eastAsia="Cambria Math"/>
          <w:spacing w:val="-2"/>
        </w:rPr>
        <w:t>𝑇</w:t>
      </w:r>
      <w:r>
        <w:rPr>
          <w:rFonts w:ascii="Cambria Math" w:hAnsi="Cambria Math" w:eastAsia="Cambria Math"/>
          <w:spacing w:val="-2"/>
          <w:vertAlign w:val="subscript"/>
        </w:rPr>
        <w:t>1</w:t>
      </w:r>
      <w:r>
        <w:rPr>
          <w:spacing w:val="-3"/>
          <w:vertAlign w:val="baseline"/>
        </w:rPr>
        <w:t>： 肿瘤局限在甲状腺内，最大径≤</w:t>
      </w:r>
      <w:r>
        <w:rPr>
          <w:spacing w:val="-4"/>
          <w:vertAlign w:val="baseline"/>
        </w:rPr>
        <w:t>2cm</w:t>
      </w:r>
    </w:p>
    <w:p>
      <w:pPr>
        <w:pStyle w:val="5"/>
        <w:spacing w:before="199"/>
        <w:ind w:left="3237"/>
      </w:pPr>
      <w:r>
        <w:rPr>
          <w:rFonts w:ascii="Cambria Math" w:hAnsi="Cambria Math" w:eastAsia="Cambria Math"/>
          <w:spacing w:val="-2"/>
        </w:rPr>
        <w:t>𝑇</w:t>
      </w:r>
      <w:r>
        <w:rPr>
          <w:rFonts w:ascii="Cambria Math" w:hAnsi="Cambria Math" w:eastAsia="Cambria Math"/>
          <w:spacing w:val="-2"/>
          <w:vertAlign w:val="subscript"/>
        </w:rPr>
        <w:t>1</w:t>
      </w:r>
      <w:r>
        <w:rPr>
          <w:rFonts w:ascii="Cambria Math" w:hAnsi="Cambria Math" w:eastAsia="Cambria Math"/>
          <w:spacing w:val="-2"/>
          <w:position w:val="-3"/>
          <w:sz w:val="15"/>
          <w:vertAlign w:val="baseline"/>
        </w:rPr>
        <w:t>𝑎</w:t>
      </w:r>
      <w:r>
        <w:rPr>
          <w:spacing w:val="-2"/>
          <w:vertAlign w:val="baseline"/>
        </w:rPr>
        <w:t>肿瘤最大径</w:t>
      </w:r>
      <w:r>
        <w:rPr>
          <w:spacing w:val="-4"/>
          <w:vertAlign w:val="baseline"/>
        </w:rPr>
        <w:t>≤1cm</w:t>
      </w:r>
    </w:p>
    <w:p>
      <w:pPr>
        <w:pStyle w:val="5"/>
        <w:spacing w:before="184"/>
        <w:ind w:left="3237"/>
      </w:pPr>
      <w:r>
        <w:rPr>
          <w:rFonts w:ascii="Cambria Math" w:hAnsi="Cambria Math" w:eastAsia="Cambria Math"/>
          <w:spacing w:val="-2"/>
        </w:rPr>
        <w:t>𝑇</w:t>
      </w:r>
      <w:r>
        <w:rPr>
          <w:rFonts w:ascii="Cambria Math" w:hAnsi="Cambria Math" w:eastAsia="Cambria Math"/>
          <w:spacing w:val="-2"/>
          <w:vertAlign w:val="subscript"/>
        </w:rPr>
        <w:t>1</w:t>
      </w:r>
      <w:r>
        <w:rPr>
          <w:rFonts w:ascii="Cambria Math" w:hAnsi="Cambria Math" w:eastAsia="Cambria Math"/>
          <w:spacing w:val="-2"/>
          <w:position w:val="-3"/>
          <w:sz w:val="15"/>
          <w:vertAlign w:val="baseline"/>
        </w:rPr>
        <w:t>𝑏</w:t>
      </w:r>
      <w:r>
        <w:rPr>
          <w:spacing w:val="-2"/>
          <w:vertAlign w:val="baseline"/>
        </w:rPr>
        <w:t>肿瘤最大径＞1cm，≤2cm</w:t>
      </w:r>
    </w:p>
    <w:p>
      <w:pPr>
        <w:pStyle w:val="5"/>
        <w:spacing w:before="185"/>
        <w:ind w:left="2606"/>
      </w:pPr>
      <w:r>
        <w:t>p</w:t>
      </w:r>
      <w:r>
        <w:rPr>
          <w:rFonts w:ascii="Cambria Math" w:eastAsia="Cambria Math"/>
        </w:rPr>
        <w:t>𝑇</w:t>
      </w:r>
      <w:r>
        <w:rPr>
          <w:rFonts w:ascii="Cambria Math" w:eastAsia="Cambria Math"/>
          <w:vertAlign w:val="subscript"/>
        </w:rPr>
        <w:t>2</w:t>
      </w:r>
      <w:r>
        <w:rPr>
          <w:spacing w:val="-13"/>
          <w:vertAlign w:val="baseline"/>
        </w:rPr>
        <w:t xml:space="preserve">： 肿瘤 </w:t>
      </w:r>
      <w:r>
        <w:rPr>
          <w:spacing w:val="-2"/>
          <w:vertAlign w:val="baseline"/>
        </w:rPr>
        <w:t>2～4cm</w:t>
      </w:r>
    </w:p>
    <w:p>
      <w:pPr>
        <w:pStyle w:val="5"/>
        <w:spacing w:before="199"/>
        <w:ind w:left="2606"/>
      </w:pPr>
      <w:r>
        <w:rPr>
          <w:spacing w:val="-2"/>
        </w:rPr>
        <w:t>p</w:t>
      </w:r>
      <w:r>
        <w:rPr>
          <w:rFonts w:ascii="Cambria Math" w:eastAsia="Cambria Math"/>
          <w:spacing w:val="-2"/>
        </w:rPr>
        <w:t>𝑇</w:t>
      </w:r>
      <w:r>
        <w:rPr>
          <w:rFonts w:ascii="Cambria Math" w:eastAsia="Cambria Math"/>
          <w:spacing w:val="-2"/>
          <w:vertAlign w:val="subscript"/>
        </w:rPr>
        <w:t>3</w:t>
      </w:r>
      <w:r>
        <w:rPr>
          <w:spacing w:val="1"/>
          <w:vertAlign w:val="baseline"/>
        </w:rPr>
        <w:t>： 肿瘤＞</w:t>
      </w:r>
      <w:r>
        <w:rPr>
          <w:spacing w:val="-2"/>
          <w:vertAlign w:val="baseline"/>
        </w:rPr>
        <w:t>4cm</w:t>
      </w:r>
      <w:r>
        <w:rPr>
          <w:spacing w:val="-3"/>
          <w:vertAlign w:val="baseline"/>
        </w:rPr>
        <w:t>，局限于甲状腺内或大体侵犯甲状腺外带状肌</w:t>
      </w:r>
    </w:p>
    <w:p>
      <w:pPr>
        <w:pStyle w:val="5"/>
        <w:spacing w:before="199"/>
        <w:ind w:left="2606"/>
      </w:pPr>
      <w:r>
        <w:rPr>
          <w:spacing w:val="-2"/>
        </w:rPr>
        <w:t>p</w:t>
      </w:r>
      <w:r>
        <w:rPr>
          <w:rFonts w:ascii="Cambria Math" w:eastAsia="Cambria Math"/>
          <w:spacing w:val="-2"/>
        </w:rPr>
        <w:t>𝑇</w:t>
      </w:r>
      <w:r>
        <w:rPr>
          <w:rFonts w:ascii="Cambria Math" w:eastAsia="Cambria Math"/>
          <w:spacing w:val="-2"/>
          <w:vertAlign w:val="subscript"/>
        </w:rPr>
        <w:t>3</w:t>
      </w:r>
      <w:r>
        <w:rPr>
          <w:rFonts w:ascii="Cambria Math" w:eastAsia="Cambria Math"/>
          <w:spacing w:val="-2"/>
          <w:position w:val="-3"/>
          <w:sz w:val="15"/>
          <w:vertAlign w:val="baseline"/>
        </w:rPr>
        <w:t>𝑎</w:t>
      </w:r>
      <w:r>
        <w:rPr>
          <w:spacing w:val="-2"/>
          <w:vertAlign w:val="baseline"/>
        </w:rPr>
        <w:t>：肿瘤＞4cm</w:t>
      </w:r>
      <w:r>
        <w:rPr>
          <w:spacing w:val="-4"/>
          <w:vertAlign w:val="baseline"/>
        </w:rPr>
        <w:t>，局限于甲状腺内</w:t>
      </w:r>
    </w:p>
    <w:p>
      <w:pPr>
        <w:pStyle w:val="5"/>
        <w:spacing w:before="185"/>
        <w:ind w:left="2606"/>
      </w:pPr>
      <w:r>
        <w:rPr>
          <w:spacing w:val="-2"/>
        </w:rPr>
        <w:t>p</w:t>
      </w:r>
      <w:r>
        <w:rPr>
          <w:rFonts w:ascii="Cambria Math" w:eastAsia="Cambria Math"/>
          <w:spacing w:val="-2"/>
        </w:rPr>
        <w:t>𝑇</w:t>
      </w:r>
      <w:r>
        <w:rPr>
          <w:rFonts w:ascii="Cambria Math" w:eastAsia="Cambria Math"/>
          <w:spacing w:val="-2"/>
          <w:position w:val="-3"/>
          <w:sz w:val="15"/>
        </w:rPr>
        <w:t>3𝑏</w:t>
      </w:r>
      <w:r>
        <w:rPr>
          <w:spacing w:val="-3"/>
        </w:rPr>
        <w:t>：大体侵犯甲状腺外带状肌，无论肿瘤大小</w:t>
      </w:r>
    </w:p>
    <w:p>
      <w:pPr>
        <w:pStyle w:val="5"/>
        <w:spacing w:before="185"/>
        <w:ind w:left="3237"/>
      </w:pPr>
      <w:r>
        <w:rPr>
          <w:spacing w:val="-3"/>
        </w:rPr>
        <w:t>带状肌包括：胸骨舌骨肌、胸骨甲状肌、甲状舌骨肌、肩胛舌骨肌</w:t>
      </w:r>
    </w:p>
    <w:p>
      <w:pPr>
        <w:pStyle w:val="5"/>
        <w:spacing w:before="6"/>
        <w:rPr>
          <w:sz w:val="15"/>
        </w:rPr>
      </w:pPr>
    </w:p>
    <w:p>
      <w:pPr>
        <w:pStyle w:val="5"/>
        <w:ind w:left="2606"/>
      </w:pPr>
      <w:r>
        <w:t>p</w:t>
      </w:r>
      <w:r>
        <w:rPr>
          <w:rFonts w:ascii="Cambria Math" w:eastAsia="Cambria Math"/>
        </w:rPr>
        <w:t>𝑇</w:t>
      </w:r>
      <w:r>
        <w:rPr>
          <w:rFonts w:ascii="Cambria Math" w:eastAsia="Cambria Math"/>
          <w:vertAlign w:val="subscript"/>
        </w:rPr>
        <w:t>4</w:t>
      </w:r>
      <w:r>
        <w:rPr>
          <w:spacing w:val="-5"/>
          <w:vertAlign w:val="baseline"/>
        </w:rPr>
        <w:t>： 进展期病变</w:t>
      </w:r>
    </w:p>
    <w:p>
      <w:pPr>
        <w:pStyle w:val="5"/>
        <w:spacing w:before="199" w:line="266" w:lineRule="auto"/>
        <w:ind w:left="2606" w:right="221"/>
      </w:pPr>
      <w:r>
        <w:rPr>
          <w:spacing w:val="-2"/>
        </w:rPr>
        <w:t>p</w:t>
      </w:r>
      <w:r>
        <w:rPr>
          <w:rFonts w:ascii="Cambria Math" w:eastAsia="Cambria Math"/>
          <w:spacing w:val="-2"/>
        </w:rPr>
        <w:t>𝑇</w:t>
      </w:r>
      <w:r>
        <w:rPr>
          <w:rFonts w:ascii="Cambria Math" w:eastAsia="Cambria Math"/>
          <w:spacing w:val="-2"/>
          <w:position w:val="-3"/>
          <w:sz w:val="15"/>
        </w:rPr>
        <w:t>4𝑎</w:t>
      </w:r>
      <w:r>
        <w:rPr>
          <w:spacing w:val="-2"/>
        </w:rPr>
        <w:t>：中度进展，任何大小的肿瘤，侵犯甲状腺外颈部周围器官和软组织，如喉、气管、食管、喉反神经及皮下软组织</w:t>
      </w:r>
    </w:p>
    <w:p>
      <w:pPr>
        <w:pStyle w:val="5"/>
        <w:spacing w:before="169" w:line="405" w:lineRule="auto"/>
        <w:ind w:left="2606" w:right="902"/>
      </w:pPr>
      <w:r>
        <w:rPr>
          <w:spacing w:val="-2"/>
        </w:rPr>
        <w:t>p</w:t>
      </w:r>
      <w:r>
        <w:rPr>
          <w:rFonts w:ascii="Cambria Math" w:eastAsia="Cambria Math"/>
          <w:spacing w:val="-2"/>
        </w:rPr>
        <w:t>𝑇</w:t>
      </w:r>
      <w:r>
        <w:rPr>
          <w:rFonts w:ascii="Cambria Math" w:eastAsia="Cambria Math"/>
          <w:spacing w:val="-2"/>
          <w:position w:val="-3"/>
          <w:sz w:val="15"/>
        </w:rPr>
        <w:t>4𝑏</w:t>
      </w:r>
      <w:r>
        <w:rPr>
          <w:spacing w:val="-2"/>
        </w:rPr>
        <w:t>：重度进展，任何大小的肿瘤，侵犯椎前筋膜，或包裹颈动脉、纵隔血管区域淋巴结：适用于所有甲状腺癌</w:t>
      </w:r>
    </w:p>
    <w:p>
      <w:pPr>
        <w:pStyle w:val="5"/>
        <w:spacing w:before="13" w:line="410" w:lineRule="auto"/>
        <w:ind w:left="2606" w:right="5466"/>
      </w:pPr>
      <w:r>
        <w:t>p</w:t>
      </w:r>
      <w:r>
        <w:rPr>
          <w:rFonts w:ascii="Cambria Math" w:eastAsia="Cambria Math"/>
        </w:rPr>
        <w:t>𝑁</w:t>
      </w:r>
      <w:r>
        <w:rPr>
          <w:rFonts w:ascii="Cambria Math" w:eastAsia="Cambria Math"/>
          <w:position w:val="-3"/>
          <w:sz w:val="15"/>
        </w:rPr>
        <w:t>𝑥</w:t>
      </w:r>
      <w:r>
        <w:rPr>
          <w:spacing w:val="-5"/>
        </w:rPr>
        <w:t>： 区域淋巴结无法评估</w:t>
      </w:r>
      <w:r>
        <w:t xml:space="preserve"> p</w:t>
      </w:r>
      <w:r>
        <w:rPr>
          <w:rFonts w:ascii="Cambria Math" w:eastAsia="Cambria Math"/>
        </w:rPr>
        <w:t>𝑁</w:t>
      </w:r>
      <w:r>
        <w:rPr>
          <w:rFonts w:ascii="Cambria Math" w:eastAsia="Cambria Math"/>
          <w:vertAlign w:val="subscript"/>
        </w:rPr>
        <w:t>0</w:t>
      </w:r>
      <w:r>
        <w:rPr>
          <w:vertAlign w:val="baseline"/>
        </w:rPr>
        <w:t>： 无淋巴结转移证据 p</w:t>
      </w:r>
      <w:r>
        <w:rPr>
          <w:rFonts w:ascii="Cambria Math" w:eastAsia="Cambria Math"/>
          <w:vertAlign w:val="baseline"/>
        </w:rPr>
        <w:t>𝑁</w:t>
      </w:r>
      <w:r>
        <w:rPr>
          <w:rFonts w:ascii="Cambria Math" w:eastAsia="Cambria Math"/>
          <w:vertAlign w:val="subscript"/>
        </w:rPr>
        <w:t>1</w:t>
      </w:r>
      <w:r>
        <w:rPr>
          <w:vertAlign w:val="baseline"/>
        </w:rPr>
        <w:t>： 区域淋巴结转移</w:t>
      </w:r>
    </w:p>
    <w:p>
      <w:pPr>
        <w:spacing w:after="0" w:line="410" w:lineRule="auto"/>
        <w:sectPr>
          <w:pgSz w:w="11910" w:h="16840"/>
          <w:pgMar w:top="1400" w:right="360" w:bottom="280" w:left="920" w:header="720" w:footer="720" w:gutter="0"/>
          <w:cols w:space="720" w:num="1"/>
        </w:sectPr>
      </w:pPr>
    </w:p>
    <w:p>
      <w:pPr>
        <w:pStyle w:val="5"/>
        <w:spacing w:before="44" w:line="266" w:lineRule="auto"/>
        <w:ind w:left="2606" w:right="221"/>
      </w:pPr>
      <w:r>
        <w:rPr>
          <w:spacing w:val="-4"/>
        </w:rPr>
        <w:t>p</w:t>
      </w:r>
      <w:r>
        <w:rPr>
          <w:rFonts w:ascii="Cambria Math" w:hAnsi="Cambria Math" w:eastAsia="Cambria Math"/>
          <w:spacing w:val="-4"/>
        </w:rPr>
        <w:t>𝑁</w:t>
      </w:r>
      <w:r>
        <w:rPr>
          <w:rFonts w:ascii="Cambria Math" w:hAnsi="Cambria Math" w:eastAsia="Cambria Math"/>
          <w:spacing w:val="-4"/>
          <w:vertAlign w:val="subscript"/>
        </w:rPr>
        <w:t>1</w:t>
      </w:r>
      <w:r>
        <w:rPr>
          <w:rFonts w:ascii="Cambria Math" w:hAnsi="Cambria Math" w:eastAsia="Cambria Math"/>
          <w:spacing w:val="-4"/>
          <w:position w:val="-3"/>
          <w:sz w:val="15"/>
          <w:vertAlign w:val="baseline"/>
        </w:rPr>
        <w:t>𝑎</w:t>
      </w:r>
      <w:r>
        <w:rPr>
          <w:spacing w:val="-4"/>
          <w:vertAlign w:val="baseline"/>
        </w:rPr>
        <w:t>：转移至Ⅵ、Ⅶ区（包括气管旁、气管前、喉前/Delphian</w:t>
      </w:r>
      <w:r>
        <w:rPr>
          <w:spacing w:val="-13"/>
          <w:vertAlign w:val="baseline"/>
        </w:rPr>
        <w:t xml:space="preserve"> 或上纵隔</w:t>
      </w:r>
      <w:r>
        <w:rPr>
          <w:spacing w:val="-4"/>
          <w:vertAlign w:val="baseline"/>
        </w:rPr>
        <w:t>）淋巴结，可</w:t>
      </w:r>
      <w:r>
        <w:rPr>
          <w:spacing w:val="-2"/>
          <w:vertAlign w:val="baseline"/>
        </w:rPr>
        <w:t>以为单侧或双侧。</w:t>
      </w:r>
    </w:p>
    <w:p>
      <w:pPr>
        <w:pStyle w:val="5"/>
        <w:spacing w:before="169" w:line="266" w:lineRule="auto"/>
        <w:ind w:left="2606" w:right="219"/>
      </w:pPr>
      <w:r>
        <w:rPr>
          <w:spacing w:val="-2"/>
        </w:rPr>
        <w:t>p</w:t>
      </w:r>
      <w:r>
        <w:rPr>
          <w:rFonts w:ascii="Cambria Math" w:hAnsi="Cambria Math" w:eastAsia="Cambria Math"/>
          <w:spacing w:val="-2"/>
        </w:rPr>
        <w:t>𝑁</w:t>
      </w:r>
      <w:r>
        <w:rPr>
          <w:rFonts w:ascii="Cambria Math" w:hAnsi="Cambria Math" w:eastAsia="Cambria Math"/>
          <w:spacing w:val="-2"/>
          <w:position w:val="-3"/>
          <w:sz w:val="15"/>
        </w:rPr>
        <w:t>1𝑏</w:t>
      </w:r>
      <w:r>
        <w:rPr>
          <w:spacing w:val="-2"/>
        </w:rPr>
        <w:t>：单侧、双侧或对侧颈淋巴结转移（包括Ⅰ、Ⅱ、Ⅲ、Ⅳ或Ⅴ区）淋巴结或咽后淋巴结转移。</w:t>
      </w:r>
    </w:p>
    <w:p>
      <w:pPr>
        <w:pStyle w:val="5"/>
        <w:spacing w:before="168"/>
        <w:ind w:left="2606"/>
      </w:pPr>
      <w:r>
        <w:rPr>
          <w:spacing w:val="-3"/>
        </w:rPr>
        <w:t>远处转移：适用于所有甲状腺癌</w:t>
      </w:r>
    </w:p>
    <w:p>
      <w:pPr>
        <w:pStyle w:val="5"/>
        <w:spacing w:before="7"/>
        <w:rPr>
          <w:sz w:val="15"/>
        </w:rPr>
      </w:pPr>
    </w:p>
    <w:p>
      <w:pPr>
        <w:pStyle w:val="5"/>
        <w:ind w:left="2606"/>
      </w:pPr>
      <w:r>
        <w:rPr>
          <w:rFonts w:ascii="Cambria Math" w:eastAsia="Cambria Math"/>
          <w:spacing w:val="-2"/>
        </w:rPr>
        <w:t>𝑀</w:t>
      </w:r>
      <w:r>
        <w:rPr>
          <w:rFonts w:ascii="Cambria Math" w:eastAsia="Cambria Math"/>
          <w:spacing w:val="-2"/>
          <w:vertAlign w:val="subscript"/>
        </w:rPr>
        <w:t>0</w:t>
      </w:r>
      <w:r>
        <w:rPr>
          <w:spacing w:val="-4"/>
          <w:vertAlign w:val="baseline"/>
        </w:rPr>
        <w:t>：无远处转移</w:t>
      </w:r>
    </w:p>
    <w:p>
      <w:pPr>
        <w:pStyle w:val="5"/>
        <w:spacing w:before="199"/>
        <w:ind w:left="2606"/>
      </w:pPr>
      <w:r>
        <w:rPr>
          <w:rFonts w:ascii="Cambria Math" w:eastAsia="Cambria Math"/>
          <w:spacing w:val="-2"/>
        </w:rPr>
        <w:t>𝑀</w:t>
      </w:r>
      <w:r>
        <w:rPr>
          <w:rFonts w:ascii="Cambria Math" w:eastAsia="Cambria Math"/>
          <w:spacing w:val="-2"/>
          <w:vertAlign w:val="subscript"/>
        </w:rPr>
        <w:t>1</w:t>
      </w:r>
      <w:r>
        <w:rPr>
          <w:spacing w:val="-4"/>
          <w:vertAlign w:val="baseline"/>
        </w:rPr>
        <w:t>：有远处转移</w:t>
      </w:r>
    </w:p>
    <w:p>
      <w:pPr>
        <w:pStyle w:val="5"/>
        <w:spacing w:before="9" w:after="1"/>
        <w:rPr>
          <w:sz w:val="13"/>
        </w:rPr>
      </w:pPr>
    </w:p>
    <w:tbl>
      <w:tblPr>
        <w:tblStyle w:val="6"/>
        <w:tblW w:w="0" w:type="auto"/>
        <w:tblInd w:w="26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887"/>
        <w:gridCol w:w="1901"/>
        <w:gridCol w:w="1889"/>
        <w:gridCol w:w="186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7540" w:type="dxa"/>
            <w:gridSpan w:val="4"/>
          </w:tcPr>
          <w:p>
            <w:pPr>
              <w:pStyle w:val="10"/>
              <w:ind w:left="107"/>
              <w:rPr>
                <w:sz w:val="21"/>
              </w:rPr>
            </w:pPr>
            <w:r>
              <w:rPr>
                <w:spacing w:val="-2"/>
                <w:sz w:val="21"/>
              </w:rPr>
              <w:t>乳头状或滤泡状癌（分化型</w:t>
            </w:r>
            <w:r>
              <w:rPr>
                <w:spacing w:val="-10"/>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7540" w:type="dxa"/>
            <w:gridSpan w:val="4"/>
          </w:tcPr>
          <w:p>
            <w:pPr>
              <w:pStyle w:val="10"/>
              <w:ind w:left="107"/>
              <w:rPr>
                <w:sz w:val="21"/>
              </w:rPr>
            </w:pPr>
            <w:r>
              <w:rPr>
                <w:spacing w:val="-2"/>
                <w:sz w:val="21"/>
              </w:rPr>
              <w:t>年龄＜55</w:t>
            </w:r>
            <w:r>
              <w:rPr>
                <w:spacing w:val="-29"/>
                <w:sz w:val="21"/>
              </w:rPr>
              <w:t xml:space="preserve"> 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887" w:type="dxa"/>
          </w:tcPr>
          <w:p>
            <w:pPr>
              <w:pStyle w:val="10"/>
              <w:spacing w:before="0"/>
              <w:rPr>
                <w:rFonts w:ascii="Times New Roman"/>
                <w:sz w:val="20"/>
              </w:rPr>
            </w:pPr>
          </w:p>
        </w:tc>
        <w:tc>
          <w:tcPr>
            <w:tcW w:w="1901" w:type="dxa"/>
          </w:tcPr>
          <w:p>
            <w:pPr>
              <w:pStyle w:val="10"/>
              <w:ind w:left="9"/>
              <w:jc w:val="center"/>
              <w:rPr>
                <w:sz w:val="21"/>
              </w:rPr>
            </w:pPr>
            <w:r>
              <w:rPr>
                <w:w w:val="100"/>
                <w:sz w:val="21"/>
              </w:rPr>
              <w:t>T</w:t>
            </w:r>
          </w:p>
        </w:tc>
        <w:tc>
          <w:tcPr>
            <w:tcW w:w="1889" w:type="dxa"/>
          </w:tcPr>
          <w:p>
            <w:pPr>
              <w:pStyle w:val="10"/>
              <w:ind w:left="12"/>
              <w:jc w:val="center"/>
              <w:rPr>
                <w:sz w:val="21"/>
              </w:rPr>
            </w:pPr>
            <w:r>
              <w:rPr>
                <w:w w:val="100"/>
                <w:sz w:val="21"/>
              </w:rPr>
              <w:t>N</w:t>
            </w:r>
          </w:p>
        </w:tc>
        <w:tc>
          <w:tcPr>
            <w:tcW w:w="1863" w:type="dxa"/>
          </w:tcPr>
          <w:p>
            <w:pPr>
              <w:pStyle w:val="10"/>
              <w:ind w:left="10"/>
              <w:jc w:val="center"/>
              <w:rPr>
                <w:sz w:val="21"/>
              </w:rPr>
            </w:pPr>
            <w:r>
              <w:rPr>
                <w:w w:val="100"/>
                <w:sz w:val="21"/>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1887" w:type="dxa"/>
          </w:tcPr>
          <w:p>
            <w:pPr>
              <w:pStyle w:val="10"/>
              <w:spacing w:before="25"/>
              <w:ind w:left="640" w:right="630"/>
              <w:jc w:val="center"/>
              <w:rPr>
                <w:sz w:val="21"/>
              </w:rPr>
            </w:pPr>
            <w:r>
              <w:rPr>
                <w:spacing w:val="-5"/>
                <w:sz w:val="21"/>
              </w:rPr>
              <w:t>Ⅰ期</w:t>
            </w:r>
          </w:p>
        </w:tc>
        <w:tc>
          <w:tcPr>
            <w:tcW w:w="1901" w:type="dxa"/>
          </w:tcPr>
          <w:p>
            <w:pPr>
              <w:pStyle w:val="10"/>
              <w:spacing w:before="25"/>
              <w:ind w:left="739"/>
              <w:rPr>
                <w:sz w:val="21"/>
              </w:rPr>
            </w:pPr>
            <w:r>
              <w:rPr>
                <w:spacing w:val="-5"/>
                <w:sz w:val="21"/>
              </w:rPr>
              <w:t>任何</w:t>
            </w:r>
          </w:p>
        </w:tc>
        <w:tc>
          <w:tcPr>
            <w:tcW w:w="1889" w:type="dxa"/>
          </w:tcPr>
          <w:p>
            <w:pPr>
              <w:pStyle w:val="10"/>
              <w:spacing w:before="25"/>
              <w:ind w:left="723" w:right="706"/>
              <w:jc w:val="center"/>
              <w:rPr>
                <w:sz w:val="21"/>
              </w:rPr>
            </w:pPr>
            <w:r>
              <w:rPr>
                <w:spacing w:val="-5"/>
                <w:sz w:val="21"/>
              </w:rPr>
              <w:t>任何</w:t>
            </w:r>
          </w:p>
        </w:tc>
        <w:tc>
          <w:tcPr>
            <w:tcW w:w="1863" w:type="dxa"/>
          </w:tcPr>
          <w:p>
            <w:pPr>
              <w:pStyle w:val="10"/>
              <w:spacing w:before="25"/>
              <w:ind w:left="10"/>
              <w:jc w:val="center"/>
              <w:rPr>
                <w:sz w:val="21"/>
              </w:rPr>
            </w:pPr>
            <w:r>
              <w:rPr>
                <w:w w:val="100"/>
                <w:sz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887" w:type="dxa"/>
          </w:tcPr>
          <w:p>
            <w:pPr>
              <w:pStyle w:val="10"/>
              <w:ind w:left="640" w:right="630"/>
              <w:jc w:val="center"/>
              <w:rPr>
                <w:sz w:val="21"/>
              </w:rPr>
            </w:pPr>
            <w:r>
              <w:rPr>
                <w:spacing w:val="-5"/>
                <w:sz w:val="21"/>
              </w:rPr>
              <w:t>Ⅱ期</w:t>
            </w:r>
          </w:p>
        </w:tc>
        <w:tc>
          <w:tcPr>
            <w:tcW w:w="1901" w:type="dxa"/>
          </w:tcPr>
          <w:p>
            <w:pPr>
              <w:pStyle w:val="10"/>
              <w:ind w:left="739"/>
              <w:rPr>
                <w:sz w:val="21"/>
              </w:rPr>
            </w:pPr>
            <w:r>
              <w:rPr>
                <w:spacing w:val="-5"/>
                <w:sz w:val="21"/>
              </w:rPr>
              <w:t>任何</w:t>
            </w:r>
          </w:p>
        </w:tc>
        <w:tc>
          <w:tcPr>
            <w:tcW w:w="1889" w:type="dxa"/>
          </w:tcPr>
          <w:p>
            <w:pPr>
              <w:pStyle w:val="10"/>
              <w:ind w:left="723" w:right="706"/>
              <w:jc w:val="center"/>
              <w:rPr>
                <w:sz w:val="21"/>
              </w:rPr>
            </w:pPr>
            <w:r>
              <w:rPr>
                <w:spacing w:val="-5"/>
                <w:sz w:val="21"/>
              </w:rPr>
              <w:t>任何</w:t>
            </w:r>
          </w:p>
        </w:tc>
        <w:tc>
          <w:tcPr>
            <w:tcW w:w="1863" w:type="dxa"/>
          </w:tcPr>
          <w:p>
            <w:pPr>
              <w:pStyle w:val="10"/>
              <w:ind w:left="10"/>
              <w:jc w:val="center"/>
              <w:rPr>
                <w:sz w:val="21"/>
              </w:rPr>
            </w:pPr>
            <w:r>
              <w:rPr>
                <w:w w:val="100"/>
                <w:sz w:val="21"/>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7540" w:type="dxa"/>
            <w:gridSpan w:val="4"/>
          </w:tcPr>
          <w:p>
            <w:pPr>
              <w:pStyle w:val="10"/>
              <w:ind w:left="107"/>
              <w:rPr>
                <w:sz w:val="21"/>
              </w:rPr>
            </w:pPr>
            <w:r>
              <w:rPr>
                <w:spacing w:val="-2"/>
                <w:sz w:val="21"/>
              </w:rPr>
              <w:t>年龄≥55</w:t>
            </w:r>
            <w:r>
              <w:rPr>
                <w:spacing w:val="-29"/>
                <w:sz w:val="21"/>
              </w:rPr>
              <w:t xml:space="preserve"> 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887" w:type="dxa"/>
            <w:vMerge w:val="restart"/>
          </w:tcPr>
          <w:p>
            <w:pPr>
              <w:pStyle w:val="10"/>
              <w:ind w:left="640" w:right="630"/>
              <w:jc w:val="center"/>
              <w:rPr>
                <w:sz w:val="21"/>
              </w:rPr>
            </w:pPr>
            <w:r>
              <w:rPr>
                <w:spacing w:val="-5"/>
                <w:sz w:val="21"/>
              </w:rPr>
              <w:t>Ⅰ期</w:t>
            </w:r>
          </w:p>
        </w:tc>
        <w:tc>
          <w:tcPr>
            <w:tcW w:w="1901" w:type="dxa"/>
          </w:tcPr>
          <w:p>
            <w:pPr>
              <w:pStyle w:val="10"/>
              <w:ind w:left="9"/>
              <w:jc w:val="center"/>
              <w:rPr>
                <w:sz w:val="21"/>
              </w:rPr>
            </w:pPr>
            <w:r>
              <w:rPr>
                <w:w w:val="100"/>
                <w:sz w:val="21"/>
              </w:rPr>
              <w:t>1</w:t>
            </w:r>
          </w:p>
        </w:tc>
        <w:tc>
          <w:tcPr>
            <w:tcW w:w="1889" w:type="dxa"/>
          </w:tcPr>
          <w:p>
            <w:pPr>
              <w:pStyle w:val="10"/>
              <w:ind w:left="723" w:right="706"/>
              <w:jc w:val="center"/>
              <w:rPr>
                <w:sz w:val="21"/>
              </w:rPr>
            </w:pPr>
            <w:r>
              <w:rPr>
                <w:spacing w:val="-5"/>
                <w:sz w:val="21"/>
              </w:rPr>
              <w:t>0/x</w:t>
            </w:r>
          </w:p>
        </w:tc>
        <w:tc>
          <w:tcPr>
            <w:tcW w:w="1863" w:type="dxa"/>
          </w:tcPr>
          <w:p>
            <w:pPr>
              <w:pStyle w:val="10"/>
              <w:ind w:left="10"/>
              <w:jc w:val="center"/>
              <w:rPr>
                <w:sz w:val="21"/>
              </w:rPr>
            </w:pPr>
            <w:r>
              <w:rPr>
                <w:w w:val="100"/>
                <w:sz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887" w:type="dxa"/>
            <w:vMerge w:val="continue"/>
            <w:tcBorders>
              <w:top w:val="nil"/>
            </w:tcBorders>
          </w:tcPr>
          <w:p>
            <w:pPr>
              <w:rPr>
                <w:sz w:val="2"/>
                <w:szCs w:val="2"/>
              </w:rPr>
            </w:pPr>
          </w:p>
        </w:tc>
        <w:tc>
          <w:tcPr>
            <w:tcW w:w="1901" w:type="dxa"/>
          </w:tcPr>
          <w:p>
            <w:pPr>
              <w:pStyle w:val="10"/>
              <w:ind w:left="9"/>
              <w:jc w:val="center"/>
              <w:rPr>
                <w:sz w:val="21"/>
              </w:rPr>
            </w:pPr>
            <w:r>
              <w:rPr>
                <w:w w:val="100"/>
                <w:sz w:val="21"/>
              </w:rPr>
              <w:t>2</w:t>
            </w:r>
          </w:p>
        </w:tc>
        <w:tc>
          <w:tcPr>
            <w:tcW w:w="1889" w:type="dxa"/>
          </w:tcPr>
          <w:p>
            <w:pPr>
              <w:pStyle w:val="10"/>
              <w:ind w:left="723" w:right="706"/>
              <w:jc w:val="center"/>
              <w:rPr>
                <w:sz w:val="21"/>
              </w:rPr>
            </w:pPr>
            <w:r>
              <w:rPr>
                <w:spacing w:val="-5"/>
                <w:sz w:val="21"/>
              </w:rPr>
              <w:t>0/x</w:t>
            </w:r>
          </w:p>
        </w:tc>
        <w:tc>
          <w:tcPr>
            <w:tcW w:w="1863" w:type="dxa"/>
          </w:tcPr>
          <w:p>
            <w:pPr>
              <w:pStyle w:val="10"/>
              <w:ind w:left="10"/>
              <w:jc w:val="center"/>
              <w:rPr>
                <w:sz w:val="21"/>
              </w:rPr>
            </w:pPr>
            <w:r>
              <w:rPr>
                <w:w w:val="100"/>
                <w:sz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887" w:type="dxa"/>
            <w:vMerge w:val="restart"/>
          </w:tcPr>
          <w:p>
            <w:pPr>
              <w:pStyle w:val="10"/>
              <w:ind w:left="640" w:right="630"/>
              <w:jc w:val="center"/>
              <w:rPr>
                <w:sz w:val="21"/>
              </w:rPr>
            </w:pPr>
            <w:r>
              <w:rPr>
                <w:spacing w:val="-5"/>
                <w:sz w:val="21"/>
              </w:rPr>
              <w:t>Ⅱ期</w:t>
            </w:r>
          </w:p>
        </w:tc>
        <w:tc>
          <w:tcPr>
            <w:tcW w:w="1901" w:type="dxa"/>
          </w:tcPr>
          <w:p>
            <w:pPr>
              <w:pStyle w:val="10"/>
              <w:ind w:left="739"/>
              <w:rPr>
                <w:sz w:val="21"/>
              </w:rPr>
            </w:pPr>
            <w:r>
              <w:rPr>
                <w:spacing w:val="-5"/>
                <w:sz w:val="21"/>
              </w:rPr>
              <w:t>1～2</w:t>
            </w:r>
          </w:p>
        </w:tc>
        <w:tc>
          <w:tcPr>
            <w:tcW w:w="1889" w:type="dxa"/>
          </w:tcPr>
          <w:p>
            <w:pPr>
              <w:pStyle w:val="10"/>
              <w:ind w:left="12"/>
              <w:jc w:val="center"/>
              <w:rPr>
                <w:sz w:val="21"/>
              </w:rPr>
            </w:pPr>
            <w:r>
              <w:rPr>
                <w:w w:val="100"/>
                <w:sz w:val="21"/>
              </w:rPr>
              <w:t>1</w:t>
            </w:r>
          </w:p>
        </w:tc>
        <w:tc>
          <w:tcPr>
            <w:tcW w:w="1863" w:type="dxa"/>
          </w:tcPr>
          <w:p>
            <w:pPr>
              <w:pStyle w:val="10"/>
              <w:ind w:left="10"/>
              <w:jc w:val="center"/>
              <w:rPr>
                <w:sz w:val="21"/>
              </w:rPr>
            </w:pPr>
            <w:r>
              <w:rPr>
                <w:w w:val="100"/>
                <w:sz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1887" w:type="dxa"/>
            <w:vMerge w:val="continue"/>
            <w:tcBorders>
              <w:top w:val="nil"/>
            </w:tcBorders>
          </w:tcPr>
          <w:p>
            <w:pPr>
              <w:rPr>
                <w:sz w:val="2"/>
                <w:szCs w:val="2"/>
              </w:rPr>
            </w:pPr>
          </w:p>
        </w:tc>
        <w:tc>
          <w:tcPr>
            <w:tcW w:w="1901" w:type="dxa"/>
          </w:tcPr>
          <w:p>
            <w:pPr>
              <w:pStyle w:val="10"/>
              <w:spacing w:before="25"/>
              <w:ind w:left="633"/>
              <w:rPr>
                <w:sz w:val="21"/>
              </w:rPr>
            </w:pPr>
            <w:r>
              <w:rPr>
                <w:spacing w:val="-2"/>
                <w:sz w:val="21"/>
              </w:rPr>
              <w:t>3a～3b</w:t>
            </w:r>
          </w:p>
        </w:tc>
        <w:tc>
          <w:tcPr>
            <w:tcW w:w="1889" w:type="dxa"/>
          </w:tcPr>
          <w:p>
            <w:pPr>
              <w:pStyle w:val="10"/>
              <w:spacing w:before="25"/>
              <w:ind w:left="723" w:right="706"/>
              <w:jc w:val="center"/>
              <w:rPr>
                <w:sz w:val="21"/>
              </w:rPr>
            </w:pPr>
            <w:r>
              <w:rPr>
                <w:spacing w:val="-5"/>
                <w:sz w:val="21"/>
              </w:rPr>
              <w:t>任何</w:t>
            </w:r>
          </w:p>
        </w:tc>
        <w:tc>
          <w:tcPr>
            <w:tcW w:w="1863" w:type="dxa"/>
          </w:tcPr>
          <w:p>
            <w:pPr>
              <w:pStyle w:val="10"/>
              <w:spacing w:before="25"/>
              <w:ind w:left="10"/>
              <w:jc w:val="center"/>
              <w:rPr>
                <w:sz w:val="21"/>
              </w:rPr>
            </w:pPr>
            <w:r>
              <w:rPr>
                <w:w w:val="100"/>
                <w:sz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887" w:type="dxa"/>
          </w:tcPr>
          <w:p>
            <w:pPr>
              <w:pStyle w:val="10"/>
              <w:ind w:left="640" w:right="630"/>
              <w:jc w:val="center"/>
              <w:rPr>
                <w:sz w:val="21"/>
              </w:rPr>
            </w:pPr>
            <w:r>
              <w:rPr>
                <w:spacing w:val="-5"/>
                <w:sz w:val="21"/>
              </w:rPr>
              <w:t>Ⅲ期</w:t>
            </w:r>
          </w:p>
        </w:tc>
        <w:tc>
          <w:tcPr>
            <w:tcW w:w="1901" w:type="dxa"/>
          </w:tcPr>
          <w:p>
            <w:pPr>
              <w:pStyle w:val="10"/>
              <w:ind w:left="830" w:right="821"/>
              <w:jc w:val="center"/>
              <w:rPr>
                <w:sz w:val="21"/>
              </w:rPr>
            </w:pPr>
            <w:r>
              <w:rPr>
                <w:spacing w:val="-5"/>
                <w:sz w:val="21"/>
              </w:rPr>
              <w:t>4a</w:t>
            </w:r>
          </w:p>
        </w:tc>
        <w:tc>
          <w:tcPr>
            <w:tcW w:w="1889" w:type="dxa"/>
          </w:tcPr>
          <w:p>
            <w:pPr>
              <w:pStyle w:val="10"/>
              <w:ind w:left="723" w:right="706"/>
              <w:jc w:val="center"/>
              <w:rPr>
                <w:sz w:val="21"/>
              </w:rPr>
            </w:pPr>
            <w:r>
              <w:rPr>
                <w:spacing w:val="-5"/>
                <w:sz w:val="21"/>
              </w:rPr>
              <w:t>任何</w:t>
            </w:r>
          </w:p>
        </w:tc>
        <w:tc>
          <w:tcPr>
            <w:tcW w:w="1863" w:type="dxa"/>
          </w:tcPr>
          <w:p>
            <w:pPr>
              <w:pStyle w:val="10"/>
              <w:ind w:left="10"/>
              <w:jc w:val="center"/>
              <w:rPr>
                <w:sz w:val="21"/>
              </w:rPr>
            </w:pPr>
            <w:r>
              <w:rPr>
                <w:w w:val="100"/>
                <w:sz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887" w:type="dxa"/>
          </w:tcPr>
          <w:p>
            <w:pPr>
              <w:pStyle w:val="10"/>
              <w:ind w:left="640" w:right="630"/>
              <w:jc w:val="center"/>
              <w:rPr>
                <w:sz w:val="21"/>
              </w:rPr>
            </w:pPr>
            <w:r>
              <w:rPr>
                <w:sz w:val="21"/>
              </w:rPr>
              <w:t>ⅣA</w:t>
            </w:r>
            <w:r>
              <w:rPr>
                <w:spacing w:val="-32"/>
                <w:sz w:val="21"/>
              </w:rPr>
              <w:t xml:space="preserve"> 期</w:t>
            </w:r>
          </w:p>
        </w:tc>
        <w:tc>
          <w:tcPr>
            <w:tcW w:w="1901" w:type="dxa"/>
          </w:tcPr>
          <w:p>
            <w:pPr>
              <w:pStyle w:val="10"/>
              <w:ind w:left="830" w:right="821"/>
              <w:jc w:val="center"/>
              <w:rPr>
                <w:sz w:val="21"/>
              </w:rPr>
            </w:pPr>
            <w:r>
              <w:rPr>
                <w:spacing w:val="-5"/>
                <w:sz w:val="21"/>
              </w:rPr>
              <w:t>4b</w:t>
            </w:r>
          </w:p>
        </w:tc>
        <w:tc>
          <w:tcPr>
            <w:tcW w:w="1889" w:type="dxa"/>
          </w:tcPr>
          <w:p>
            <w:pPr>
              <w:pStyle w:val="10"/>
              <w:ind w:left="723" w:right="706"/>
              <w:jc w:val="center"/>
              <w:rPr>
                <w:sz w:val="21"/>
              </w:rPr>
            </w:pPr>
            <w:r>
              <w:rPr>
                <w:spacing w:val="-5"/>
                <w:sz w:val="21"/>
              </w:rPr>
              <w:t>任何</w:t>
            </w:r>
          </w:p>
        </w:tc>
        <w:tc>
          <w:tcPr>
            <w:tcW w:w="1863" w:type="dxa"/>
          </w:tcPr>
          <w:p>
            <w:pPr>
              <w:pStyle w:val="10"/>
              <w:ind w:left="10"/>
              <w:jc w:val="center"/>
              <w:rPr>
                <w:sz w:val="21"/>
              </w:rPr>
            </w:pPr>
            <w:r>
              <w:rPr>
                <w:w w:val="100"/>
                <w:sz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887" w:type="dxa"/>
          </w:tcPr>
          <w:p>
            <w:pPr>
              <w:pStyle w:val="10"/>
              <w:ind w:left="640" w:right="630"/>
              <w:jc w:val="center"/>
              <w:rPr>
                <w:sz w:val="21"/>
              </w:rPr>
            </w:pPr>
            <w:r>
              <w:rPr>
                <w:sz w:val="21"/>
              </w:rPr>
              <w:t>ⅣB</w:t>
            </w:r>
            <w:r>
              <w:rPr>
                <w:spacing w:val="-32"/>
                <w:sz w:val="21"/>
              </w:rPr>
              <w:t xml:space="preserve"> 期</w:t>
            </w:r>
          </w:p>
        </w:tc>
        <w:tc>
          <w:tcPr>
            <w:tcW w:w="1901" w:type="dxa"/>
          </w:tcPr>
          <w:p>
            <w:pPr>
              <w:pStyle w:val="10"/>
              <w:ind w:left="739"/>
              <w:rPr>
                <w:sz w:val="21"/>
              </w:rPr>
            </w:pPr>
            <w:r>
              <w:rPr>
                <w:spacing w:val="-5"/>
                <w:sz w:val="21"/>
              </w:rPr>
              <w:t>任何</w:t>
            </w:r>
          </w:p>
        </w:tc>
        <w:tc>
          <w:tcPr>
            <w:tcW w:w="1889" w:type="dxa"/>
          </w:tcPr>
          <w:p>
            <w:pPr>
              <w:pStyle w:val="10"/>
              <w:ind w:left="723" w:right="706"/>
              <w:jc w:val="center"/>
              <w:rPr>
                <w:sz w:val="21"/>
              </w:rPr>
            </w:pPr>
            <w:r>
              <w:rPr>
                <w:spacing w:val="-5"/>
                <w:sz w:val="21"/>
              </w:rPr>
              <w:t>任何</w:t>
            </w:r>
          </w:p>
        </w:tc>
        <w:tc>
          <w:tcPr>
            <w:tcW w:w="1863" w:type="dxa"/>
          </w:tcPr>
          <w:p>
            <w:pPr>
              <w:pStyle w:val="10"/>
              <w:ind w:left="10"/>
              <w:jc w:val="center"/>
              <w:rPr>
                <w:sz w:val="21"/>
              </w:rPr>
            </w:pPr>
            <w:r>
              <w:rPr>
                <w:w w:val="100"/>
                <w:sz w:val="21"/>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7540" w:type="dxa"/>
            <w:gridSpan w:val="4"/>
          </w:tcPr>
          <w:p>
            <w:pPr>
              <w:pStyle w:val="10"/>
              <w:ind w:left="107"/>
              <w:rPr>
                <w:sz w:val="21"/>
              </w:rPr>
            </w:pPr>
            <w:r>
              <w:rPr>
                <w:spacing w:val="-2"/>
                <w:sz w:val="21"/>
              </w:rPr>
              <w:t>髓样癌（所有年龄组</w:t>
            </w:r>
            <w:r>
              <w:rPr>
                <w:spacing w:val="-10"/>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887" w:type="dxa"/>
          </w:tcPr>
          <w:p>
            <w:pPr>
              <w:pStyle w:val="10"/>
              <w:ind w:left="640" w:right="630"/>
              <w:jc w:val="center"/>
              <w:rPr>
                <w:sz w:val="21"/>
              </w:rPr>
            </w:pPr>
            <w:r>
              <w:rPr>
                <w:spacing w:val="-5"/>
                <w:sz w:val="21"/>
              </w:rPr>
              <w:t>Ⅰ期</w:t>
            </w:r>
          </w:p>
        </w:tc>
        <w:tc>
          <w:tcPr>
            <w:tcW w:w="1901" w:type="dxa"/>
          </w:tcPr>
          <w:p>
            <w:pPr>
              <w:pStyle w:val="10"/>
              <w:ind w:left="9"/>
              <w:jc w:val="center"/>
              <w:rPr>
                <w:sz w:val="21"/>
              </w:rPr>
            </w:pPr>
            <w:r>
              <w:rPr>
                <w:w w:val="100"/>
                <w:sz w:val="21"/>
              </w:rPr>
              <w:t>1</w:t>
            </w:r>
          </w:p>
        </w:tc>
        <w:tc>
          <w:tcPr>
            <w:tcW w:w="1889" w:type="dxa"/>
          </w:tcPr>
          <w:p>
            <w:pPr>
              <w:pStyle w:val="10"/>
              <w:ind w:left="12"/>
              <w:jc w:val="center"/>
              <w:rPr>
                <w:sz w:val="21"/>
              </w:rPr>
            </w:pPr>
            <w:r>
              <w:rPr>
                <w:w w:val="100"/>
                <w:sz w:val="21"/>
              </w:rPr>
              <w:t>0</w:t>
            </w:r>
          </w:p>
        </w:tc>
        <w:tc>
          <w:tcPr>
            <w:tcW w:w="1863" w:type="dxa"/>
          </w:tcPr>
          <w:p>
            <w:pPr>
              <w:pStyle w:val="10"/>
              <w:ind w:left="10"/>
              <w:jc w:val="center"/>
              <w:rPr>
                <w:sz w:val="21"/>
              </w:rPr>
            </w:pPr>
            <w:r>
              <w:rPr>
                <w:w w:val="100"/>
                <w:sz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1887" w:type="dxa"/>
          </w:tcPr>
          <w:p>
            <w:pPr>
              <w:pStyle w:val="10"/>
              <w:spacing w:before="25"/>
              <w:ind w:left="640" w:right="630"/>
              <w:jc w:val="center"/>
              <w:rPr>
                <w:sz w:val="21"/>
              </w:rPr>
            </w:pPr>
            <w:r>
              <w:rPr>
                <w:spacing w:val="-5"/>
                <w:sz w:val="21"/>
              </w:rPr>
              <w:t>Ⅱ期</w:t>
            </w:r>
          </w:p>
        </w:tc>
        <w:tc>
          <w:tcPr>
            <w:tcW w:w="1901" w:type="dxa"/>
          </w:tcPr>
          <w:p>
            <w:pPr>
              <w:pStyle w:val="10"/>
              <w:spacing w:before="25"/>
              <w:ind w:left="739"/>
              <w:rPr>
                <w:sz w:val="21"/>
              </w:rPr>
            </w:pPr>
            <w:r>
              <w:rPr>
                <w:spacing w:val="-5"/>
                <w:sz w:val="21"/>
              </w:rPr>
              <w:t>2～3</w:t>
            </w:r>
          </w:p>
        </w:tc>
        <w:tc>
          <w:tcPr>
            <w:tcW w:w="1889" w:type="dxa"/>
          </w:tcPr>
          <w:p>
            <w:pPr>
              <w:pStyle w:val="10"/>
              <w:spacing w:before="25"/>
              <w:ind w:left="12"/>
              <w:jc w:val="center"/>
              <w:rPr>
                <w:sz w:val="21"/>
              </w:rPr>
            </w:pPr>
            <w:r>
              <w:rPr>
                <w:w w:val="100"/>
                <w:sz w:val="21"/>
              </w:rPr>
              <w:t>0</w:t>
            </w:r>
          </w:p>
        </w:tc>
        <w:tc>
          <w:tcPr>
            <w:tcW w:w="1863" w:type="dxa"/>
          </w:tcPr>
          <w:p>
            <w:pPr>
              <w:pStyle w:val="10"/>
              <w:spacing w:before="25"/>
              <w:ind w:left="10"/>
              <w:jc w:val="center"/>
              <w:rPr>
                <w:sz w:val="21"/>
              </w:rPr>
            </w:pPr>
            <w:r>
              <w:rPr>
                <w:w w:val="100"/>
                <w:sz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887" w:type="dxa"/>
          </w:tcPr>
          <w:p>
            <w:pPr>
              <w:pStyle w:val="10"/>
              <w:ind w:left="640" w:right="630"/>
              <w:jc w:val="center"/>
              <w:rPr>
                <w:sz w:val="21"/>
              </w:rPr>
            </w:pPr>
            <w:r>
              <w:rPr>
                <w:spacing w:val="-5"/>
                <w:sz w:val="21"/>
              </w:rPr>
              <w:t>Ⅲ期</w:t>
            </w:r>
          </w:p>
        </w:tc>
        <w:tc>
          <w:tcPr>
            <w:tcW w:w="1901" w:type="dxa"/>
          </w:tcPr>
          <w:p>
            <w:pPr>
              <w:pStyle w:val="10"/>
              <w:ind w:left="739"/>
              <w:rPr>
                <w:sz w:val="21"/>
              </w:rPr>
            </w:pPr>
            <w:r>
              <w:rPr>
                <w:spacing w:val="-5"/>
                <w:sz w:val="21"/>
              </w:rPr>
              <w:t>1～3</w:t>
            </w:r>
          </w:p>
        </w:tc>
        <w:tc>
          <w:tcPr>
            <w:tcW w:w="1889" w:type="dxa"/>
          </w:tcPr>
          <w:p>
            <w:pPr>
              <w:pStyle w:val="10"/>
              <w:ind w:left="718" w:right="706"/>
              <w:jc w:val="center"/>
              <w:rPr>
                <w:sz w:val="21"/>
              </w:rPr>
            </w:pPr>
            <w:r>
              <w:rPr>
                <w:spacing w:val="-5"/>
                <w:sz w:val="21"/>
              </w:rPr>
              <w:t>1a</w:t>
            </w:r>
          </w:p>
        </w:tc>
        <w:tc>
          <w:tcPr>
            <w:tcW w:w="1863" w:type="dxa"/>
          </w:tcPr>
          <w:p>
            <w:pPr>
              <w:pStyle w:val="10"/>
              <w:ind w:left="10"/>
              <w:jc w:val="center"/>
              <w:rPr>
                <w:sz w:val="21"/>
              </w:rPr>
            </w:pPr>
            <w:r>
              <w:rPr>
                <w:w w:val="100"/>
                <w:sz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887" w:type="dxa"/>
            <w:vMerge w:val="restart"/>
          </w:tcPr>
          <w:p>
            <w:pPr>
              <w:pStyle w:val="10"/>
              <w:ind w:left="640" w:right="630"/>
              <w:jc w:val="center"/>
              <w:rPr>
                <w:sz w:val="21"/>
              </w:rPr>
            </w:pPr>
            <w:r>
              <w:rPr>
                <w:sz w:val="21"/>
              </w:rPr>
              <w:t>ⅣA</w:t>
            </w:r>
            <w:r>
              <w:rPr>
                <w:spacing w:val="-32"/>
                <w:sz w:val="21"/>
              </w:rPr>
              <w:t xml:space="preserve"> 期</w:t>
            </w:r>
          </w:p>
        </w:tc>
        <w:tc>
          <w:tcPr>
            <w:tcW w:w="1901" w:type="dxa"/>
          </w:tcPr>
          <w:p>
            <w:pPr>
              <w:pStyle w:val="10"/>
              <w:ind w:left="830" w:right="821"/>
              <w:jc w:val="center"/>
              <w:rPr>
                <w:sz w:val="21"/>
              </w:rPr>
            </w:pPr>
            <w:r>
              <w:rPr>
                <w:spacing w:val="-5"/>
                <w:sz w:val="21"/>
              </w:rPr>
              <w:t>4a</w:t>
            </w:r>
          </w:p>
        </w:tc>
        <w:tc>
          <w:tcPr>
            <w:tcW w:w="1889" w:type="dxa"/>
          </w:tcPr>
          <w:p>
            <w:pPr>
              <w:pStyle w:val="10"/>
              <w:ind w:left="723" w:right="706"/>
              <w:jc w:val="center"/>
              <w:rPr>
                <w:sz w:val="21"/>
              </w:rPr>
            </w:pPr>
            <w:r>
              <w:rPr>
                <w:spacing w:val="-5"/>
                <w:sz w:val="21"/>
              </w:rPr>
              <w:t>任何</w:t>
            </w:r>
          </w:p>
        </w:tc>
        <w:tc>
          <w:tcPr>
            <w:tcW w:w="1863" w:type="dxa"/>
          </w:tcPr>
          <w:p>
            <w:pPr>
              <w:pStyle w:val="10"/>
              <w:ind w:left="10"/>
              <w:jc w:val="center"/>
              <w:rPr>
                <w:sz w:val="21"/>
              </w:rPr>
            </w:pPr>
            <w:r>
              <w:rPr>
                <w:w w:val="100"/>
                <w:sz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887" w:type="dxa"/>
            <w:vMerge w:val="continue"/>
            <w:tcBorders>
              <w:top w:val="nil"/>
            </w:tcBorders>
          </w:tcPr>
          <w:p>
            <w:pPr>
              <w:rPr>
                <w:sz w:val="2"/>
                <w:szCs w:val="2"/>
              </w:rPr>
            </w:pPr>
          </w:p>
        </w:tc>
        <w:tc>
          <w:tcPr>
            <w:tcW w:w="1901" w:type="dxa"/>
          </w:tcPr>
          <w:p>
            <w:pPr>
              <w:pStyle w:val="10"/>
              <w:ind w:left="739"/>
              <w:rPr>
                <w:sz w:val="21"/>
              </w:rPr>
            </w:pPr>
            <w:r>
              <w:rPr>
                <w:spacing w:val="-5"/>
                <w:sz w:val="21"/>
              </w:rPr>
              <w:t>1～3</w:t>
            </w:r>
          </w:p>
        </w:tc>
        <w:tc>
          <w:tcPr>
            <w:tcW w:w="1889" w:type="dxa"/>
          </w:tcPr>
          <w:p>
            <w:pPr>
              <w:pStyle w:val="10"/>
              <w:ind w:left="718" w:right="706"/>
              <w:jc w:val="center"/>
              <w:rPr>
                <w:sz w:val="21"/>
              </w:rPr>
            </w:pPr>
            <w:r>
              <w:rPr>
                <w:spacing w:val="-5"/>
                <w:sz w:val="21"/>
              </w:rPr>
              <w:t>1b</w:t>
            </w:r>
          </w:p>
        </w:tc>
        <w:tc>
          <w:tcPr>
            <w:tcW w:w="1863" w:type="dxa"/>
          </w:tcPr>
          <w:p>
            <w:pPr>
              <w:pStyle w:val="10"/>
              <w:ind w:left="10"/>
              <w:jc w:val="center"/>
              <w:rPr>
                <w:sz w:val="21"/>
              </w:rPr>
            </w:pPr>
            <w:r>
              <w:rPr>
                <w:w w:val="100"/>
                <w:sz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887" w:type="dxa"/>
          </w:tcPr>
          <w:p>
            <w:pPr>
              <w:pStyle w:val="10"/>
              <w:ind w:left="640" w:right="630"/>
              <w:jc w:val="center"/>
              <w:rPr>
                <w:sz w:val="21"/>
              </w:rPr>
            </w:pPr>
            <w:r>
              <w:rPr>
                <w:sz w:val="21"/>
              </w:rPr>
              <w:t>ⅣB</w:t>
            </w:r>
            <w:r>
              <w:rPr>
                <w:spacing w:val="-32"/>
                <w:sz w:val="21"/>
              </w:rPr>
              <w:t xml:space="preserve"> 期</w:t>
            </w:r>
          </w:p>
        </w:tc>
        <w:tc>
          <w:tcPr>
            <w:tcW w:w="1901" w:type="dxa"/>
          </w:tcPr>
          <w:p>
            <w:pPr>
              <w:pStyle w:val="10"/>
              <w:ind w:left="830" w:right="821"/>
              <w:jc w:val="center"/>
              <w:rPr>
                <w:sz w:val="21"/>
              </w:rPr>
            </w:pPr>
            <w:r>
              <w:rPr>
                <w:spacing w:val="-5"/>
                <w:sz w:val="21"/>
              </w:rPr>
              <w:t>4b</w:t>
            </w:r>
          </w:p>
        </w:tc>
        <w:tc>
          <w:tcPr>
            <w:tcW w:w="1889" w:type="dxa"/>
          </w:tcPr>
          <w:p>
            <w:pPr>
              <w:pStyle w:val="10"/>
              <w:ind w:left="723" w:right="706"/>
              <w:jc w:val="center"/>
              <w:rPr>
                <w:sz w:val="21"/>
              </w:rPr>
            </w:pPr>
            <w:r>
              <w:rPr>
                <w:spacing w:val="-5"/>
                <w:sz w:val="21"/>
              </w:rPr>
              <w:t>任何</w:t>
            </w:r>
          </w:p>
        </w:tc>
        <w:tc>
          <w:tcPr>
            <w:tcW w:w="1863" w:type="dxa"/>
          </w:tcPr>
          <w:p>
            <w:pPr>
              <w:pStyle w:val="10"/>
              <w:ind w:left="10"/>
              <w:jc w:val="center"/>
              <w:rPr>
                <w:sz w:val="21"/>
              </w:rPr>
            </w:pPr>
            <w:r>
              <w:rPr>
                <w:w w:val="100"/>
                <w:sz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887" w:type="dxa"/>
          </w:tcPr>
          <w:p>
            <w:pPr>
              <w:pStyle w:val="10"/>
              <w:ind w:left="640" w:right="630"/>
              <w:jc w:val="center"/>
              <w:rPr>
                <w:sz w:val="21"/>
              </w:rPr>
            </w:pPr>
            <w:r>
              <w:rPr>
                <w:sz w:val="21"/>
              </w:rPr>
              <w:t>ⅣC</w:t>
            </w:r>
            <w:r>
              <w:rPr>
                <w:spacing w:val="-32"/>
                <w:sz w:val="21"/>
              </w:rPr>
              <w:t xml:space="preserve"> 期</w:t>
            </w:r>
          </w:p>
        </w:tc>
        <w:tc>
          <w:tcPr>
            <w:tcW w:w="1901" w:type="dxa"/>
          </w:tcPr>
          <w:p>
            <w:pPr>
              <w:pStyle w:val="10"/>
              <w:ind w:left="739"/>
              <w:rPr>
                <w:sz w:val="21"/>
              </w:rPr>
            </w:pPr>
            <w:r>
              <w:rPr>
                <w:spacing w:val="-5"/>
                <w:sz w:val="21"/>
              </w:rPr>
              <w:t>任何</w:t>
            </w:r>
          </w:p>
        </w:tc>
        <w:tc>
          <w:tcPr>
            <w:tcW w:w="1889" w:type="dxa"/>
          </w:tcPr>
          <w:p>
            <w:pPr>
              <w:pStyle w:val="10"/>
              <w:ind w:left="723" w:right="706"/>
              <w:jc w:val="center"/>
              <w:rPr>
                <w:sz w:val="21"/>
              </w:rPr>
            </w:pPr>
            <w:r>
              <w:rPr>
                <w:spacing w:val="-5"/>
                <w:sz w:val="21"/>
              </w:rPr>
              <w:t>任何</w:t>
            </w:r>
          </w:p>
        </w:tc>
        <w:tc>
          <w:tcPr>
            <w:tcW w:w="1863" w:type="dxa"/>
          </w:tcPr>
          <w:p>
            <w:pPr>
              <w:pStyle w:val="10"/>
              <w:ind w:left="10"/>
              <w:jc w:val="center"/>
              <w:rPr>
                <w:sz w:val="21"/>
              </w:rPr>
            </w:pPr>
            <w:r>
              <w:rPr>
                <w:w w:val="100"/>
                <w:sz w:val="21"/>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7540" w:type="dxa"/>
            <w:gridSpan w:val="4"/>
          </w:tcPr>
          <w:p>
            <w:pPr>
              <w:pStyle w:val="10"/>
              <w:spacing w:before="25"/>
              <w:ind w:left="107"/>
              <w:rPr>
                <w:sz w:val="21"/>
              </w:rPr>
            </w:pPr>
            <w:r>
              <w:rPr>
                <w:spacing w:val="-2"/>
                <w:sz w:val="21"/>
              </w:rPr>
              <w:t>未分化癌（所有年龄组</w:t>
            </w:r>
            <w:r>
              <w:rPr>
                <w:spacing w:val="-10"/>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887" w:type="dxa"/>
          </w:tcPr>
          <w:p>
            <w:pPr>
              <w:pStyle w:val="10"/>
              <w:ind w:left="640" w:right="630"/>
              <w:jc w:val="center"/>
              <w:rPr>
                <w:sz w:val="21"/>
              </w:rPr>
            </w:pPr>
            <w:r>
              <w:rPr>
                <w:sz w:val="21"/>
              </w:rPr>
              <w:t>ⅣA</w:t>
            </w:r>
            <w:r>
              <w:rPr>
                <w:spacing w:val="-32"/>
                <w:sz w:val="21"/>
              </w:rPr>
              <w:t xml:space="preserve"> 期</w:t>
            </w:r>
          </w:p>
        </w:tc>
        <w:tc>
          <w:tcPr>
            <w:tcW w:w="1901" w:type="dxa"/>
          </w:tcPr>
          <w:p>
            <w:pPr>
              <w:pStyle w:val="10"/>
              <w:ind w:left="686"/>
              <w:rPr>
                <w:sz w:val="21"/>
              </w:rPr>
            </w:pPr>
            <w:r>
              <w:rPr>
                <w:spacing w:val="-4"/>
                <w:sz w:val="21"/>
              </w:rPr>
              <w:t>1～3a</w:t>
            </w:r>
          </w:p>
        </w:tc>
        <w:tc>
          <w:tcPr>
            <w:tcW w:w="1889" w:type="dxa"/>
          </w:tcPr>
          <w:p>
            <w:pPr>
              <w:pStyle w:val="10"/>
              <w:ind w:left="723" w:right="706"/>
              <w:jc w:val="center"/>
              <w:rPr>
                <w:sz w:val="21"/>
              </w:rPr>
            </w:pPr>
            <w:r>
              <w:rPr>
                <w:spacing w:val="-5"/>
                <w:sz w:val="21"/>
              </w:rPr>
              <w:t>0/x</w:t>
            </w:r>
          </w:p>
        </w:tc>
        <w:tc>
          <w:tcPr>
            <w:tcW w:w="1863" w:type="dxa"/>
          </w:tcPr>
          <w:p>
            <w:pPr>
              <w:pStyle w:val="10"/>
              <w:ind w:left="10"/>
              <w:jc w:val="center"/>
              <w:rPr>
                <w:sz w:val="21"/>
              </w:rPr>
            </w:pPr>
            <w:r>
              <w:rPr>
                <w:w w:val="100"/>
                <w:sz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887" w:type="dxa"/>
            <w:vMerge w:val="restart"/>
          </w:tcPr>
          <w:p>
            <w:pPr>
              <w:pStyle w:val="10"/>
              <w:ind w:left="640" w:right="630"/>
              <w:jc w:val="center"/>
              <w:rPr>
                <w:sz w:val="21"/>
              </w:rPr>
            </w:pPr>
            <w:r>
              <w:rPr>
                <w:sz w:val="21"/>
              </w:rPr>
              <w:t>ⅣB</w:t>
            </w:r>
            <w:r>
              <w:rPr>
                <w:spacing w:val="-32"/>
                <w:sz w:val="21"/>
              </w:rPr>
              <w:t xml:space="preserve"> 期</w:t>
            </w:r>
          </w:p>
        </w:tc>
        <w:tc>
          <w:tcPr>
            <w:tcW w:w="1901" w:type="dxa"/>
          </w:tcPr>
          <w:p>
            <w:pPr>
              <w:pStyle w:val="10"/>
              <w:ind w:left="686"/>
              <w:rPr>
                <w:sz w:val="21"/>
              </w:rPr>
            </w:pPr>
            <w:r>
              <w:rPr>
                <w:spacing w:val="-4"/>
                <w:sz w:val="21"/>
              </w:rPr>
              <w:t>1～3a</w:t>
            </w:r>
          </w:p>
        </w:tc>
        <w:tc>
          <w:tcPr>
            <w:tcW w:w="1889" w:type="dxa"/>
          </w:tcPr>
          <w:p>
            <w:pPr>
              <w:pStyle w:val="10"/>
              <w:ind w:left="12"/>
              <w:jc w:val="center"/>
              <w:rPr>
                <w:sz w:val="21"/>
              </w:rPr>
            </w:pPr>
            <w:r>
              <w:rPr>
                <w:w w:val="100"/>
                <w:sz w:val="21"/>
              </w:rPr>
              <w:t>1</w:t>
            </w:r>
          </w:p>
        </w:tc>
        <w:tc>
          <w:tcPr>
            <w:tcW w:w="1863" w:type="dxa"/>
          </w:tcPr>
          <w:p>
            <w:pPr>
              <w:pStyle w:val="10"/>
              <w:ind w:left="10"/>
              <w:jc w:val="center"/>
              <w:rPr>
                <w:sz w:val="21"/>
              </w:rPr>
            </w:pPr>
            <w:r>
              <w:rPr>
                <w:w w:val="100"/>
                <w:sz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887" w:type="dxa"/>
            <w:vMerge w:val="continue"/>
            <w:tcBorders>
              <w:top w:val="nil"/>
            </w:tcBorders>
          </w:tcPr>
          <w:p>
            <w:pPr>
              <w:rPr>
                <w:sz w:val="2"/>
                <w:szCs w:val="2"/>
              </w:rPr>
            </w:pPr>
          </w:p>
        </w:tc>
        <w:tc>
          <w:tcPr>
            <w:tcW w:w="1901" w:type="dxa"/>
          </w:tcPr>
          <w:p>
            <w:pPr>
              <w:pStyle w:val="10"/>
              <w:ind w:left="686"/>
              <w:rPr>
                <w:sz w:val="21"/>
              </w:rPr>
            </w:pPr>
            <w:r>
              <w:rPr>
                <w:spacing w:val="-4"/>
                <w:sz w:val="21"/>
              </w:rPr>
              <w:t>3b～4</w:t>
            </w:r>
          </w:p>
        </w:tc>
        <w:tc>
          <w:tcPr>
            <w:tcW w:w="1889" w:type="dxa"/>
          </w:tcPr>
          <w:p>
            <w:pPr>
              <w:pStyle w:val="10"/>
              <w:ind w:left="723" w:right="706"/>
              <w:jc w:val="center"/>
              <w:rPr>
                <w:sz w:val="21"/>
              </w:rPr>
            </w:pPr>
            <w:r>
              <w:rPr>
                <w:spacing w:val="-5"/>
                <w:sz w:val="21"/>
              </w:rPr>
              <w:t>任何</w:t>
            </w:r>
          </w:p>
        </w:tc>
        <w:tc>
          <w:tcPr>
            <w:tcW w:w="1863" w:type="dxa"/>
          </w:tcPr>
          <w:p>
            <w:pPr>
              <w:pStyle w:val="10"/>
              <w:ind w:left="10"/>
              <w:jc w:val="center"/>
              <w:rPr>
                <w:sz w:val="21"/>
              </w:rPr>
            </w:pPr>
            <w:r>
              <w:rPr>
                <w:w w:val="100"/>
                <w:sz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887" w:type="dxa"/>
          </w:tcPr>
          <w:p>
            <w:pPr>
              <w:pStyle w:val="10"/>
              <w:ind w:left="640" w:right="630"/>
              <w:jc w:val="center"/>
              <w:rPr>
                <w:sz w:val="21"/>
              </w:rPr>
            </w:pPr>
            <w:r>
              <w:rPr>
                <w:sz w:val="21"/>
              </w:rPr>
              <w:t>ⅣC</w:t>
            </w:r>
            <w:r>
              <w:rPr>
                <w:spacing w:val="-32"/>
                <w:sz w:val="21"/>
              </w:rPr>
              <w:t xml:space="preserve"> 期</w:t>
            </w:r>
          </w:p>
        </w:tc>
        <w:tc>
          <w:tcPr>
            <w:tcW w:w="1901" w:type="dxa"/>
          </w:tcPr>
          <w:p>
            <w:pPr>
              <w:pStyle w:val="10"/>
              <w:ind w:left="739"/>
              <w:rPr>
                <w:sz w:val="21"/>
              </w:rPr>
            </w:pPr>
            <w:r>
              <w:rPr>
                <w:spacing w:val="-5"/>
                <w:sz w:val="21"/>
              </w:rPr>
              <w:t>任何</w:t>
            </w:r>
          </w:p>
        </w:tc>
        <w:tc>
          <w:tcPr>
            <w:tcW w:w="1889" w:type="dxa"/>
          </w:tcPr>
          <w:p>
            <w:pPr>
              <w:pStyle w:val="10"/>
              <w:ind w:left="723" w:right="706"/>
              <w:jc w:val="center"/>
              <w:rPr>
                <w:sz w:val="21"/>
              </w:rPr>
            </w:pPr>
            <w:r>
              <w:rPr>
                <w:spacing w:val="-5"/>
                <w:sz w:val="21"/>
              </w:rPr>
              <w:t>任何</w:t>
            </w:r>
          </w:p>
        </w:tc>
        <w:tc>
          <w:tcPr>
            <w:tcW w:w="1863" w:type="dxa"/>
          </w:tcPr>
          <w:p>
            <w:pPr>
              <w:pStyle w:val="10"/>
              <w:ind w:left="10"/>
              <w:jc w:val="center"/>
              <w:rPr>
                <w:sz w:val="21"/>
              </w:rPr>
            </w:pPr>
            <w:r>
              <w:rPr>
                <w:w w:val="100"/>
                <w:sz w:val="21"/>
              </w:rPr>
              <w:t>1</w:t>
            </w:r>
          </w:p>
        </w:tc>
      </w:tr>
    </w:tbl>
    <w:p>
      <w:pPr>
        <w:pStyle w:val="5"/>
        <w:spacing w:before="194"/>
        <w:ind w:left="2606"/>
      </w:pPr>
      <w:r>
        <w:rPr>
          <w:spacing w:val="-3"/>
        </w:rPr>
        <w:t>注：以上表格中“年龄”指患者病理组织标本获取日期时的年龄。</w:t>
      </w:r>
    </w:p>
    <w:sectPr>
      <w:pgSz w:w="11910" w:h="16840"/>
      <w:pgMar w:top="1400" w:right="360" w:bottom="280" w:left="92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Wingdings 2">
    <w:panose1 w:val="05020102010507070707"/>
    <w:charset w:val="02"/>
    <w:family w:val="roman"/>
    <w:pitch w:val="default"/>
    <w:sig w:usb0="00000000" w:usb1="00000000" w:usb2="00000000" w:usb3="00000000" w:csb0="80000000" w:csb1="00000000"/>
  </w:font>
  <w:font w:name="楷体">
    <w:panose1 w:val="02010609060101010101"/>
    <w:charset w:val="86"/>
    <w:family w:val="modern"/>
    <w:pitch w:val="default"/>
    <w:sig w:usb0="800002BF" w:usb1="38CF7CFA" w:usb2="00000016" w:usb3="00000000" w:csb0="00040001" w:csb1="00000000"/>
  </w:font>
  <w:font w:name="Cambria Math">
    <w:panose1 w:val="02040503050406030204"/>
    <w:charset w:val="00"/>
    <w:family w:val="roman"/>
    <w:pitch w:val="default"/>
    <w:sig w:usb0="E00006FF" w:usb1="420024FF" w:usb2="02000000"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39341B"/>
    <w:multiLevelType w:val="multilevel"/>
    <w:tmpl w:val="9239341B"/>
    <w:lvl w:ilvl="0" w:tentative="0">
      <w:start w:val="1"/>
      <w:numFmt w:val="decimal"/>
      <w:lvlText w:val="（%1）"/>
      <w:lvlJc w:val="left"/>
      <w:pPr>
        <w:ind w:left="3526" w:hanging="530"/>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4230" w:hanging="530"/>
      </w:pPr>
      <w:rPr>
        <w:rFonts w:hint="default"/>
        <w:lang w:val="en-US" w:eastAsia="zh-CN" w:bidi="ar-SA"/>
      </w:rPr>
    </w:lvl>
    <w:lvl w:ilvl="2" w:tentative="0">
      <w:start w:val="0"/>
      <w:numFmt w:val="bullet"/>
      <w:lvlText w:val="•"/>
      <w:lvlJc w:val="left"/>
      <w:pPr>
        <w:ind w:left="4941" w:hanging="530"/>
      </w:pPr>
      <w:rPr>
        <w:rFonts w:hint="default"/>
        <w:lang w:val="en-US" w:eastAsia="zh-CN" w:bidi="ar-SA"/>
      </w:rPr>
    </w:lvl>
    <w:lvl w:ilvl="3" w:tentative="0">
      <w:start w:val="0"/>
      <w:numFmt w:val="bullet"/>
      <w:lvlText w:val="•"/>
      <w:lvlJc w:val="left"/>
      <w:pPr>
        <w:ind w:left="5651" w:hanging="530"/>
      </w:pPr>
      <w:rPr>
        <w:rFonts w:hint="default"/>
        <w:lang w:val="en-US" w:eastAsia="zh-CN" w:bidi="ar-SA"/>
      </w:rPr>
    </w:lvl>
    <w:lvl w:ilvl="4" w:tentative="0">
      <w:start w:val="0"/>
      <w:numFmt w:val="bullet"/>
      <w:lvlText w:val="•"/>
      <w:lvlJc w:val="left"/>
      <w:pPr>
        <w:ind w:left="6362" w:hanging="530"/>
      </w:pPr>
      <w:rPr>
        <w:rFonts w:hint="default"/>
        <w:lang w:val="en-US" w:eastAsia="zh-CN" w:bidi="ar-SA"/>
      </w:rPr>
    </w:lvl>
    <w:lvl w:ilvl="5" w:tentative="0">
      <w:start w:val="0"/>
      <w:numFmt w:val="bullet"/>
      <w:lvlText w:val="•"/>
      <w:lvlJc w:val="left"/>
      <w:pPr>
        <w:ind w:left="7073" w:hanging="530"/>
      </w:pPr>
      <w:rPr>
        <w:rFonts w:hint="default"/>
        <w:lang w:val="en-US" w:eastAsia="zh-CN" w:bidi="ar-SA"/>
      </w:rPr>
    </w:lvl>
    <w:lvl w:ilvl="6" w:tentative="0">
      <w:start w:val="0"/>
      <w:numFmt w:val="bullet"/>
      <w:lvlText w:val="•"/>
      <w:lvlJc w:val="left"/>
      <w:pPr>
        <w:ind w:left="7783" w:hanging="530"/>
      </w:pPr>
      <w:rPr>
        <w:rFonts w:hint="default"/>
        <w:lang w:val="en-US" w:eastAsia="zh-CN" w:bidi="ar-SA"/>
      </w:rPr>
    </w:lvl>
    <w:lvl w:ilvl="7" w:tentative="0">
      <w:start w:val="0"/>
      <w:numFmt w:val="bullet"/>
      <w:lvlText w:val="•"/>
      <w:lvlJc w:val="left"/>
      <w:pPr>
        <w:ind w:left="8494" w:hanging="530"/>
      </w:pPr>
      <w:rPr>
        <w:rFonts w:hint="default"/>
        <w:lang w:val="en-US" w:eastAsia="zh-CN" w:bidi="ar-SA"/>
      </w:rPr>
    </w:lvl>
    <w:lvl w:ilvl="8" w:tentative="0">
      <w:start w:val="0"/>
      <w:numFmt w:val="bullet"/>
      <w:lvlText w:val="•"/>
      <w:lvlJc w:val="left"/>
      <w:pPr>
        <w:ind w:left="9205" w:hanging="530"/>
      </w:pPr>
      <w:rPr>
        <w:rFonts w:hint="default"/>
        <w:lang w:val="en-US" w:eastAsia="zh-CN" w:bidi="ar-SA"/>
      </w:rPr>
    </w:lvl>
  </w:abstractNum>
  <w:abstractNum w:abstractNumId="1">
    <w:nsid w:val="B5E306ED"/>
    <w:multiLevelType w:val="multilevel"/>
    <w:tmpl w:val="B5E306ED"/>
    <w:lvl w:ilvl="0" w:tentative="0">
      <w:start w:val="1"/>
      <w:numFmt w:val="decimal"/>
      <w:lvlText w:val="（%1）"/>
      <w:lvlJc w:val="left"/>
      <w:pPr>
        <w:ind w:left="160" w:hanging="453"/>
        <w:jc w:val="left"/>
      </w:pPr>
      <w:rPr>
        <w:rFonts w:hint="default"/>
        <w:spacing w:val="-24"/>
        <w:w w:val="100"/>
        <w:lang w:val="en-US" w:eastAsia="zh-CN" w:bidi="ar-SA"/>
      </w:rPr>
    </w:lvl>
    <w:lvl w:ilvl="1" w:tentative="0">
      <w:start w:val="6"/>
      <w:numFmt w:val="decimal"/>
      <w:lvlText w:val="（%2）"/>
      <w:lvlJc w:val="left"/>
      <w:pPr>
        <w:ind w:left="3526" w:hanging="530"/>
        <w:jc w:val="left"/>
      </w:pPr>
      <w:rPr>
        <w:rFonts w:hint="default" w:ascii="宋体" w:hAnsi="宋体" w:eastAsia="宋体" w:cs="宋体"/>
        <w:b w:val="0"/>
        <w:bCs w:val="0"/>
        <w:i w:val="0"/>
        <w:iCs w:val="0"/>
        <w:spacing w:val="-3"/>
        <w:w w:val="100"/>
        <w:sz w:val="19"/>
        <w:szCs w:val="19"/>
        <w:lang w:val="en-US" w:eastAsia="zh-CN" w:bidi="ar-SA"/>
      </w:rPr>
    </w:lvl>
    <w:lvl w:ilvl="2" w:tentative="0">
      <w:start w:val="0"/>
      <w:numFmt w:val="bullet"/>
      <w:lvlText w:val="•"/>
      <w:lvlJc w:val="left"/>
      <w:pPr>
        <w:ind w:left="4309" w:hanging="530"/>
      </w:pPr>
      <w:rPr>
        <w:rFonts w:hint="default"/>
        <w:lang w:val="en-US" w:eastAsia="zh-CN" w:bidi="ar-SA"/>
      </w:rPr>
    </w:lvl>
    <w:lvl w:ilvl="3" w:tentative="0">
      <w:start w:val="0"/>
      <w:numFmt w:val="bullet"/>
      <w:lvlText w:val="•"/>
      <w:lvlJc w:val="left"/>
      <w:pPr>
        <w:ind w:left="5099" w:hanging="530"/>
      </w:pPr>
      <w:rPr>
        <w:rFonts w:hint="default"/>
        <w:lang w:val="en-US" w:eastAsia="zh-CN" w:bidi="ar-SA"/>
      </w:rPr>
    </w:lvl>
    <w:lvl w:ilvl="4" w:tentative="0">
      <w:start w:val="0"/>
      <w:numFmt w:val="bullet"/>
      <w:lvlText w:val="•"/>
      <w:lvlJc w:val="left"/>
      <w:pPr>
        <w:ind w:left="5888" w:hanging="530"/>
      </w:pPr>
      <w:rPr>
        <w:rFonts w:hint="default"/>
        <w:lang w:val="en-US" w:eastAsia="zh-CN" w:bidi="ar-SA"/>
      </w:rPr>
    </w:lvl>
    <w:lvl w:ilvl="5" w:tentative="0">
      <w:start w:val="0"/>
      <w:numFmt w:val="bullet"/>
      <w:lvlText w:val="•"/>
      <w:lvlJc w:val="left"/>
      <w:pPr>
        <w:ind w:left="6678" w:hanging="530"/>
      </w:pPr>
      <w:rPr>
        <w:rFonts w:hint="default"/>
        <w:lang w:val="en-US" w:eastAsia="zh-CN" w:bidi="ar-SA"/>
      </w:rPr>
    </w:lvl>
    <w:lvl w:ilvl="6" w:tentative="0">
      <w:start w:val="0"/>
      <w:numFmt w:val="bullet"/>
      <w:lvlText w:val="•"/>
      <w:lvlJc w:val="left"/>
      <w:pPr>
        <w:ind w:left="7468" w:hanging="530"/>
      </w:pPr>
      <w:rPr>
        <w:rFonts w:hint="default"/>
        <w:lang w:val="en-US" w:eastAsia="zh-CN" w:bidi="ar-SA"/>
      </w:rPr>
    </w:lvl>
    <w:lvl w:ilvl="7" w:tentative="0">
      <w:start w:val="0"/>
      <w:numFmt w:val="bullet"/>
      <w:lvlText w:val="•"/>
      <w:lvlJc w:val="left"/>
      <w:pPr>
        <w:ind w:left="8257" w:hanging="530"/>
      </w:pPr>
      <w:rPr>
        <w:rFonts w:hint="default"/>
        <w:lang w:val="en-US" w:eastAsia="zh-CN" w:bidi="ar-SA"/>
      </w:rPr>
    </w:lvl>
    <w:lvl w:ilvl="8" w:tentative="0">
      <w:start w:val="0"/>
      <w:numFmt w:val="bullet"/>
      <w:lvlText w:val="•"/>
      <w:lvlJc w:val="left"/>
      <w:pPr>
        <w:ind w:left="9047" w:hanging="530"/>
      </w:pPr>
      <w:rPr>
        <w:rFonts w:hint="default"/>
        <w:lang w:val="en-US" w:eastAsia="zh-CN" w:bidi="ar-SA"/>
      </w:rPr>
    </w:lvl>
  </w:abstractNum>
  <w:abstractNum w:abstractNumId="2">
    <w:nsid w:val="BF205925"/>
    <w:multiLevelType w:val="multilevel"/>
    <w:tmpl w:val="BF205925"/>
    <w:lvl w:ilvl="0" w:tentative="0">
      <w:start w:val="1"/>
      <w:numFmt w:val="decimal"/>
      <w:lvlText w:val="（%1）"/>
      <w:lvlJc w:val="left"/>
      <w:pPr>
        <w:ind w:left="704" w:hanging="530"/>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410" w:hanging="530"/>
      </w:pPr>
      <w:rPr>
        <w:rFonts w:hint="default"/>
        <w:lang w:val="en-US" w:eastAsia="zh-CN" w:bidi="ar-SA"/>
      </w:rPr>
    </w:lvl>
    <w:lvl w:ilvl="2" w:tentative="0">
      <w:start w:val="0"/>
      <w:numFmt w:val="bullet"/>
      <w:lvlText w:val="•"/>
      <w:lvlJc w:val="left"/>
      <w:pPr>
        <w:ind w:left="2120" w:hanging="530"/>
      </w:pPr>
      <w:rPr>
        <w:rFonts w:hint="default"/>
        <w:lang w:val="en-US" w:eastAsia="zh-CN" w:bidi="ar-SA"/>
      </w:rPr>
    </w:lvl>
    <w:lvl w:ilvl="3" w:tentative="0">
      <w:start w:val="0"/>
      <w:numFmt w:val="bullet"/>
      <w:lvlText w:val="•"/>
      <w:lvlJc w:val="left"/>
      <w:pPr>
        <w:ind w:left="2831" w:hanging="530"/>
      </w:pPr>
      <w:rPr>
        <w:rFonts w:hint="default"/>
        <w:lang w:val="en-US" w:eastAsia="zh-CN" w:bidi="ar-SA"/>
      </w:rPr>
    </w:lvl>
    <w:lvl w:ilvl="4" w:tentative="0">
      <w:start w:val="0"/>
      <w:numFmt w:val="bullet"/>
      <w:lvlText w:val="•"/>
      <w:lvlJc w:val="left"/>
      <w:pPr>
        <w:ind w:left="3541" w:hanging="530"/>
      </w:pPr>
      <w:rPr>
        <w:rFonts w:hint="default"/>
        <w:lang w:val="en-US" w:eastAsia="zh-CN" w:bidi="ar-SA"/>
      </w:rPr>
    </w:lvl>
    <w:lvl w:ilvl="5" w:tentative="0">
      <w:start w:val="0"/>
      <w:numFmt w:val="bullet"/>
      <w:lvlText w:val="•"/>
      <w:lvlJc w:val="left"/>
      <w:pPr>
        <w:ind w:left="4251" w:hanging="530"/>
      </w:pPr>
      <w:rPr>
        <w:rFonts w:hint="default"/>
        <w:lang w:val="en-US" w:eastAsia="zh-CN" w:bidi="ar-SA"/>
      </w:rPr>
    </w:lvl>
    <w:lvl w:ilvl="6" w:tentative="0">
      <w:start w:val="0"/>
      <w:numFmt w:val="bullet"/>
      <w:lvlText w:val="•"/>
      <w:lvlJc w:val="left"/>
      <w:pPr>
        <w:ind w:left="4962" w:hanging="530"/>
      </w:pPr>
      <w:rPr>
        <w:rFonts w:hint="default"/>
        <w:lang w:val="en-US" w:eastAsia="zh-CN" w:bidi="ar-SA"/>
      </w:rPr>
    </w:lvl>
    <w:lvl w:ilvl="7" w:tentative="0">
      <w:start w:val="0"/>
      <w:numFmt w:val="bullet"/>
      <w:lvlText w:val="•"/>
      <w:lvlJc w:val="left"/>
      <w:pPr>
        <w:ind w:left="5672" w:hanging="530"/>
      </w:pPr>
      <w:rPr>
        <w:rFonts w:hint="default"/>
        <w:lang w:val="en-US" w:eastAsia="zh-CN" w:bidi="ar-SA"/>
      </w:rPr>
    </w:lvl>
    <w:lvl w:ilvl="8" w:tentative="0">
      <w:start w:val="0"/>
      <w:numFmt w:val="bullet"/>
      <w:lvlText w:val="•"/>
      <w:lvlJc w:val="left"/>
      <w:pPr>
        <w:ind w:left="6382" w:hanging="530"/>
      </w:pPr>
      <w:rPr>
        <w:rFonts w:hint="default"/>
        <w:lang w:val="en-US" w:eastAsia="zh-CN" w:bidi="ar-SA"/>
      </w:rPr>
    </w:lvl>
  </w:abstractNum>
  <w:abstractNum w:abstractNumId="3">
    <w:nsid w:val="C8879AEF"/>
    <w:multiLevelType w:val="multilevel"/>
    <w:tmpl w:val="C8879AEF"/>
    <w:lvl w:ilvl="0" w:tentative="0">
      <w:start w:val="1"/>
      <w:numFmt w:val="decimal"/>
      <w:lvlText w:val="%1)"/>
      <w:lvlJc w:val="left"/>
      <w:pPr>
        <w:ind w:left="3326" w:hanging="721"/>
        <w:jc w:val="left"/>
      </w:pPr>
      <w:rPr>
        <w:rFonts w:hint="default" w:ascii="宋体" w:hAnsi="宋体" w:eastAsia="宋体" w:cs="宋体"/>
        <w:b w:val="0"/>
        <w:bCs w:val="0"/>
        <w:i w:val="0"/>
        <w:iCs w:val="0"/>
        <w:w w:val="100"/>
        <w:sz w:val="21"/>
        <w:szCs w:val="21"/>
        <w:lang w:val="en-US" w:eastAsia="zh-CN" w:bidi="ar-SA"/>
      </w:rPr>
    </w:lvl>
    <w:lvl w:ilvl="1" w:tentative="0">
      <w:start w:val="1"/>
      <w:numFmt w:val="lowerLetter"/>
      <w:lvlText w:val="%2."/>
      <w:lvlJc w:val="left"/>
      <w:pPr>
        <w:ind w:left="3326" w:hanging="213"/>
        <w:jc w:val="left"/>
      </w:pPr>
      <w:rPr>
        <w:rFonts w:hint="default" w:ascii="宋体" w:hAnsi="宋体" w:eastAsia="宋体" w:cs="宋体"/>
        <w:b w:val="0"/>
        <w:bCs w:val="0"/>
        <w:i w:val="0"/>
        <w:iCs w:val="0"/>
        <w:w w:val="100"/>
        <w:sz w:val="19"/>
        <w:szCs w:val="19"/>
        <w:shd w:val="clear" w:color="auto" w:fill="E4E4E4"/>
        <w:lang w:val="en-US" w:eastAsia="zh-CN" w:bidi="ar-SA"/>
      </w:rPr>
    </w:lvl>
    <w:lvl w:ilvl="2" w:tentative="0">
      <w:start w:val="0"/>
      <w:numFmt w:val="bullet"/>
      <w:lvlText w:val="•"/>
      <w:lvlJc w:val="left"/>
      <w:pPr>
        <w:ind w:left="4781" w:hanging="213"/>
      </w:pPr>
      <w:rPr>
        <w:rFonts w:hint="default"/>
        <w:lang w:val="en-US" w:eastAsia="zh-CN" w:bidi="ar-SA"/>
      </w:rPr>
    </w:lvl>
    <w:lvl w:ilvl="3" w:tentative="0">
      <w:start w:val="0"/>
      <w:numFmt w:val="bullet"/>
      <w:lvlText w:val="•"/>
      <w:lvlJc w:val="left"/>
      <w:pPr>
        <w:ind w:left="5511" w:hanging="213"/>
      </w:pPr>
      <w:rPr>
        <w:rFonts w:hint="default"/>
        <w:lang w:val="en-US" w:eastAsia="zh-CN" w:bidi="ar-SA"/>
      </w:rPr>
    </w:lvl>
    <w:lvl w:ilvl="4" w:tentative="0">
      <w:start w:val="0"/>
      <w:numFmt w:val="bullet"/>
      <w:lvlText w:val="•"/>
      <w:lvlJc w:val="left"/>
      <w:pPr>
        <w:ind w:left="6242" w:hanging="213"/>
      </w:pPr>
      <w:rPr>
        <w:rFonts w:hint="default"/>
        <w:lang w:val="en-US" w:eastAsia="zh-CN" w:bidi="ar-SA"/>
      </w:rPr>
    </w:lvl>
    <w:lvl w:ilvl="5" w:tentative="0">
      <w:start w:val="0"/>
      <w:numFmt w:val="bullet"/>
      <w:lvlText w:val="•"/>
      <w:lvlJc w:val="left"/>
      <w:pPr>
        <w:ind w:left="6973" w:hanging="213"/>
      </w:pPr>
      <w:rPr>
        <w:rFonts w:hint="default"/>
        <w:lang w:val="en-US" w:eastAsia="zh-CN" w:bidi="ar-SA"/>
      </w:rPr>
    </w:lvl>
    <w:lvl w:ilvl="6" w:tentative="0">
      <w:start w:val="0"/>
      <w:numFmt w:val="bullet"/>
      <w:lvlText w:val="•"/>
      <w:lvlJc w:val="left"/>
      <w:pPr>
        <w:ind w:left="7703" w:hanging="213"/>
      </w:pPr>
      <w:rPr>
        <w:rFonts w:hint="default"/>
        <w:lang w:val="en-US" w:eastAsia="zh-CN" w:bidi="ar-SA"/>
      </w:rPr>
    </w:lvl>
    <w:lvl w:ilvl="7" w:tentative="0">
      <w:start w:val="0"/>
      <w:numFmt w:val="bullet"/>
      <w:lvlText w:val="•"/>
      <w:lvlJc w:val="left"/>
      <w:pPr>
        <w:ind w:left="8434" w:hanging="213"/>
      </w:pPr>
      <w:rPr>
        <w:rFonts w:hint="default"/>
        <w:lang w:val="en-US" w:eastAsia="zh-CN" w:bidi="ar-SA"/>
      </w:rPr>
    </w:lvl>
    <w:lvl w:ilvl="8" w:tentative="0">
      <w:start w:val="0"/>
      <w:numFmt w:val="bullet"/>
      <w:lvlText w:val="•"/>
      <w:lvlJc w:val="left"/>
      <w:pPr>
        <w:ind w:left="9165" w:hanging="213"/>
      </w:pPr>
      <w:rPr>
        <w:rFonts w:hint="default"/>
        <w:lang w:val="en-US" w:eastAsia="zh-CN" w:bidi="ar-SA"/>
      </w:rPr>
    </w:lvl>
  </w:abstractNum>
  <w:abstractNum w:abstractNumId="4">
    <w:nsid w:val="CF092B84"/>
    <w:multiLevelType w:val="multilevel"/>
    <w:tmpl w:val="CF092B84"/>
    <w:lvl w:ilvl="0" w:tentative="0">
      <w:start w:val="6"/>
      <w:numFmt w:val="decimal"/>
      <w:lvlText w:val="%1."/>
      <w:lvlJc w:val="left"/>
      <w:pPr>
        <w:ind w:left="1389" w:hanging="213"/>
        <w:jc w:val="left"/>
      </w:pPr>
      <w:rPr>
        <w:rFonts w:hint="default" w:ascii="宋体" w:hAnsi="宋体" w:eastAsia="宋体" w:cs="宋体"/>
        <w:b/>
        <w:bCs/>
        <w:i w:val="0"/>
        <w:iCs w:val="0"/>
        <w:w w:val="99"/>
        <w:sz w:val="19"/>
        <w:szCs w:val="19"/>
        <w:lang w:val="en-US" w:eastAsia="zh-CN" w:bidi="ar-SA"/>
      </w:rPr>
    </w:lvl>
    <w:lvl w:ilvl="1" w:tentative="0">
      <w:start w:val="1"/>
      <w:numFmt w:val="decimal"/>
      <w:lvlText w:val="%1.%2"/>
      <w:lvlJc w:val="left"/>
      <w:pPr>
        <w:ind w:left="1811" w:hanging="423"/>
        <w:jc w:val="left"/>
      </w:pPr>
      <w:rPr>
        <w:rFonts w:hint="default" w:ascii="宋体" w:hAnsi="宋体" w:eastAsia="宋体" w:cs="宋体"/>
        <w:b w:val="0"/>
        <w:bCs w:val="0"/>
        <w:i w:val="0"/>
        <w:iCs w:val="0"/>
        <w:w w:val="100"/>
        <w:sz w:val="21"/>
        <w:szCs w:val="21"/>
        <w:lang w:val="en-US" w:eastAsia="zh-CN" w:bidi="ar-SA"/>
      </w:rPr>
    </w:lvl>
    <w:lvl w:ilvl="2" w:tentative="0">
      <w:start w:val="0"/>
      <w:numFmt w:val="bullet"/>
      <w:lvlText w:val="•"/>
      <w:lvlJc w:val="left"/>
      <w:pPr>
        <w:ind w:left="2311" w:hanging="423"/>
      </w:pPr>
      <w:rPr>
        <w:rFonts w:hint="default"/>
        <w:lang w:val="en-US" w:eastAsia="zh-CN" w:bidi="ar-SA"/>
      </w:rPr>
    </w:lvl>
    <w:lvl w:ilvl="3" w:tentative="0">
      <w:start w:val="0"/>
      <w:numFmt w:val="bullet"/>
      <w:lvlText w:val="•"/>
      <w:lvlJc w:val="left"/>
      <w:pPr>
        <w:ind w:left="2802" w:hanging="423"/>
      </w:pPr>
      <w:rPr>
        <w:rFonts w:hint="default"/>
        <w:lang w:val="en-US" w:eastAsia="zh-CN" w:bidi="ar-SA"/>
      </w:rPr>
    </w:lvl>
    <w:lvl w:ilvl="4" w:tentative="0">
      <w:start w:val="0"/>
      <w:numFmt w:val="bullet"/>
      <w:lvlText w:val="•"/>
      <w:lvlJc w:val="left"/>
      <w:pPr>
        <w:ind w:left="3293" w:hanging="423"/>
      </w:pPr>
      <w:rPr>
        <w:rFonts w:hint="default"/>
        <w:lang w:val="en-US" w:eastAsia="zh-CN" w:bidi="ar-SA"/>
      </w:rPr>
    </w:lvl>
    <w:lvl w:ilvl="5" w:tentative="0">
      <w:start w:val="0"/>
      <w:numFmt w:val="bullet"/>
      <w:lvlText w:val="•"/>
      <w:lvlJc w:val="left"/>
      <w:pPr>
        <w:ind w:left="3784" w:hanging="423"/>
      </w:pPr>
      <w:rPr>
        <w:rFonts w:hint="default"/>
        <w:lang w:val="en-US" w:eastAsia="zh-CN" w:bidi="ar-SA"/>
      </w:rPr>
    </w:lvl>
    <w:lvl w:ilvl="6" w:tentative="0">
      <w:start w:val="0"/>
      <w:numFmt w:val="bullet"/>
      <w:lvlText w:val="•"/>
      <w:lvlJc w:val="left"/>
      <w:pPr>
        <w:ind w:left="4275" w:hanging="423"/>
      </w:pPr>
      <w:rPr>
        <w:rFonts w:hint="default"/>
        <w:lang w:val="en-US" w:eastAsia="zh-CN" w:bidi="ar-SA"/>
      </w:rPr>
    </w:lvl>
    <w:lvl w:ilvl="7" w:tentative="0">
      <w:start w:val="0"/>
      <w:numFmt w:val="bullet"/>
      <w:lvlText w:val="•"/>
      <w:lvlJc w:val="left"/>
      <w:pPr>
        <w:ind w:left="4766" w:hanging="423"/>
      </w:pPr>
      <w:rPr>
        <w:rFonts w:hint="default"/>
        <w:lang w:val="en-US" w:eastAsia="zh-CN" w:bidi="ar-SA"/>
      </w:rPr>
    </w:lvl>
    <w:lvl w:ilvl="8" w:tentative="0">
      <w:start w:val="0"/>
      <w:numFmt w:val="bullet"/>
      <w:lvlText w:val="•"/>
      <w:lvlJc w:val="left"/>
      <w:pPr>
        <w:ind w:left="5257" w:hanging="423"/>
      </w:pPr>
      <w:rPr>
        <w:rFonts w:hint="default"/>
        <w:lang w:val="en-US" w:eastAsia="zh-CN" w:bidi="ar-SA"/>
      </w:rPr>
    </w:lvl>
  </w:abstractNum>
  <w:abstractNum w:abstractNumId="5">
    <w:nsid w:val="0053208E"/>
    <w:multiLevelType w:val="multilevel"/>
    <w:tmpl w:val="0053208E"/>
    <w:lvl w:ilvl="0" w:tentative="0">
      <w:start w:val="0"/>
      <w:numFmt w:val="bullet"/>
      <w:lvlText w:val=""/>
      <w:lvlJc w:val="left"/>
      <w:pPr>
        <w:ind w:left="1106" w:hanging="420"/>
      </w:pPr>
      <w:rPr>
        <w:rFonts w:hint="default" w:ascii="Wingdings" w:hAnsi="Wingdings" w:eastAsia="Wingdings" w:cs="Wingdings"/>
        <w:b w:val="0"/>
        <w:bCs w:val="0"/>
        <w:i w:val="0"/>
        <w:iCs w:val="0"/>
        <w:w w:val="100"/>
        <w:sz w:val="21"/>
        <w:szCs w:val="21"/>
        <w:lang w:val="en-US" w:eastAsia="zh-CN" w:bidi="ar-SA"/>
      </w:rPr>
    </w:lvl>
    <w:lvl w:ilvl="1" w:tentative="0">
      <w:start w:val="2"/>
      <w:numFmt w:val="decimal"/>
      <w:lvlText w:val="%2."/>
      <w:lvlJc w:val="left"/>
      <w:pPr>
        <w:ind w:left="2455" w:hanging="213"/>
        <w:jc w:val="left"/>
      </w:pPr>
      <w:rPr>
        <w:rFonts w:hint="default" w:ascii="宋体" w:hAnsi="宋体" w:eastAsia="宋体" w:cs="宋体"/>
        <w:b/>
        <w:bCs/>
        <w:i w:val="0"/>
        <w:iCs w:val="0"/>
        <w:w w:val="99"/>
        <w:sz w:val="19"/>
        <w:szCs w:val="19"/>
        <w:lang w:val="en-US" w:eastAsia="zh-CN" w:bidi="ar-SA"/>
      </w:rPr>
    </w:lvl>
    <w:lvl w:ilvl="2" w:tentative="0">
      <w:start w:val="1"/>
      <w:numFmt w:val="decimal"/>
      <w:lvlText w:val="%2.%3"/>
      <w:lvlJc w:val="left"/>
      <w:pPr>
        <w:ind w:left="2877" w:hanging="423"/>
        <w:jc w:val="left"/>
      </w:pPr>
      <w:rPr>
        <w:rFonts w:hint="default" w:ascii="宋体" w:hAnsi="宋体" w:eastAsia="宋体" w:cs="宋体"/>
        <w:b w:val="0"/>
        <w:bCs w:val="0"/>
        <w:i w:val="0"/>
        <w:iCs w:val="0"/>
        <w:w w:val="100"/>
        <w:sz w:val="21"/>
        <w:szCs w:val="21"/>
        <w:lang w:val="en-US" w:eastAsia="zh-CN" w:bidi="ar-SA"/>
      </w:rPr>
    </w:lvl>
    <w:lvl w:ilvl="3" w:tentative="0">
      <w:start w:val="0"/>
      <w:numFmt w:val="bullet"/>
      <w:lvlText w:val="•"/>
      <w:lvlJc w:val="left"/>
      <w:pPr>
        <w:ind w:left="3063" w:hanging="423"/>
      </w:pPr>
      <w:rPr>
        <w:rFonts w:hint="default"/>
        <w:lang w:val="en-US" w:eastAsia="zh-CN" w:bidi="ar-SA"/>
      </w:rPr>
    </w:lvl>
    <w:lvl w:ilvl="4" w:tentative="0">
      <w:start w:val="0"/>
      <w:numFmt w:val="bullet"/>
      <w:lvlText w:val="•"/>
      <w:lvlJc w:val="left"/>
      <w:pPr>
        <w:ind w:left="3246" w:hanging="423"/>
      </w:pPr>
      <w:rPr>
        <w:rFonts w:hint="default"/>
        <w:lang w:val="en-US" w:eastAsia="zh-CN" w:bidi="ar-SA"/>
      </w:rPr>
    </w:lvl>
    <w:lvl w:ilvl="5" w:tentative="0">
      <w:start w:val="0"/>
      <w:numFmt w:val="bullet"/>
      <w:lvlText w:val="•"/>
      <w:lvlJc w:val="left"/>
      <w:pPr>
        <w:ind w:left="3429" w:hanging="423"/>
      </w:pPr>
      <w:rPr>
        <w:rFonts w:hint="default"/>
        <w:lang w:val="en-US" w:eastAsia="zh-CN" w:bidi="ar-SA"/>
      </w:rPr>
    </w:lvl>
    <w:lvl w:ilvl="6" w:tentative="0">
      <w:start w:val="0"/>
      <w:numFmt w:val="bullet"/>
      <w:lvlText w:val="•"/>
      <w:lvlJc w:val="left"/>
      <w:pPr>
        <w:ind w:left="3613" w:hanging="423"/>
      </w:pPr>
      <w:rPr>
        <w:rFonts w:hint="default"/>
        <w:lang w:val="en-US" w:eastAsia="zh-CN" w:bidi="ar-SA"/>
      </w:rPr>
    </w:lvl>
    <w:lvl w:ilvl="7" w:tentative="0">
      <w:start w:val="0"/>
      <w:numFmt w:val="bullet"/>
      <w:lvlText w:val="•"/>
      <w:lvlJc w:val="left"/>
      <w:pPr>
        <w:ind w:left="3796" w:hanging="423"/>
      </w:pPr>
      <w:rPr>
        <w:rFonts w:hint="default"/>
        <w:lang w:val="en-US" w:eastAsia="zh-CN" w:bidi="ar-SA"/>
      </w:rPr>
    </w:lvl>
    <w:lvl w:ilvl="8" w:tentative="0">
      <w:start w:val="0"/>
      <w:numFmt w:val="bullet"/>
      <w:lvlText w:val="•"/>
      <w:lvlJc w:val="left"/>
      <w:pPr>
        <w:ind w:left="3979" w:hanging="423"/>
      </w:pPr>
      <w:rPr>
        <w:rFonts w:hint="default"/>
        <w:lang w:val="en-US" w:eastAsia="zh-CN" w:bidi="ar-SA"/>
      </w:rPr>
    </w:lvl>
  </w:abstractNum>
  <w:abstractNum w:abstractNumId="6">
    <w:nsid w:val="0248C179"/>
    <w:multiLevelType w:val="multilevel"/>
    <w:tmpl w:val="0248C179"/>
    <w:lvl w:ilvl="0" w:tentative="0">
      <w:start w:val="1"/>
      <w:numFmt w:val="decimal"/>
      <w:lvlText w:val="（%1）"/>
      <w:lvlJc w:val="left"/>
      <w:pPr>
        <w:ind w:left="160" w:hanging="453"/>
        <w:jc w:val="left"/>
      </w:pPr>
      <w:rPr>
        <w:rFonts w:hint="default"/>
        <w:spacing w:val="-12"/>
        <w:w w:val="100"/>
        <w:lang w:val="en-US" w:eastAsia="zh-CN" w:bidi="ar-SA"/>
      </w:rPr>
    </w:lvl>
    <w:lvl w:ilvl="1" w:tentative="0">
      <w:start w:val="0"/>
      <w:numFmt w:val="bullet"/>
      <w:lvlText w:val="•"/>
      <w:lvlJc w:val="left"/>
      <w:pPr>
        <w:ind w:left="1206" w:hanging="453"/>
      </w:pPr>
      <w:rPr>
        <w:rFonts w:hint="default"/>
        <w:lang w:val="en-US" w:eastAsia="zh-CN" w:bidi="ar-SA"/>
      </w:rPr>
    </w:lvl>
    <w:lvl w:ilvl="2" w:tentative="0">
      <w:start w:val="0"/>
      <w:numFmt w:val="bullet"/>
      <w:lvlText w:val="•"/>
      <w:lvlJc w:val="left"/>
      <w:pPr>
        <w:ind w:left="2253" w:hanging="453"/>
      </w:pPr>
      <w:rPr>
        <w:rFonts w:hint="default"/>
        <w:lang w:val="en-US" w:eastAsia="zh-CN" w:bidi="ar-SA"/>
      </w:rPr>
    </w:lvl>
    <w:lvl w:ilvl="3" w:tentative="0">
      <w:start w:val="0"/>
      <w:numFmt w:val="bullet"/>
      <w:lvlText w:val="•"/>
      <w:lvlJc w:val="left"/>
      <w:pPr>
        <w:ind w:left="3299" w:hanging="453"/>
      </w:pPr>
      <w:rPr>
        <w:rFonts w:hint="default"/>
        <w:lang w:val="en-US" w:eastAsia="zh-CN" w:bidi="ar-SA"/>
      </w:rPr>
    </w:lvl>
    <w:lvl w:ilvl="4" w:tentative="0">
      <w:start w:val="0"/>
      <w:numFmt w:val="bullet"/>
      <w:lvlText w:val="•"/>
      <w:lvlJc w:val="left"/>
      <w:pPr>
        <w:ind w:left="4346" w:hanging="453"/>
      </w:pPr>
      <w:rPr>
        <w:rFonts w:hint="default"/>
        <w:lang w:val="en-US" w:eastAsia="zh-CN" w:bidi="ar-SA"/>
      </w:rPr>
    </w:lvl>
    <w:lvl w:ilvl="5" w:tentative="0">
      <w:start w:val="0"/>
      <w:numFmt w:val="bullet"/>
      <w:lvlText w:val="•"/>
      <w:lvlJc w:val="left"/>
      <w:pPr>
        <w:ind w:left="5393" w:hanging="453"/>
      </w:pPr>
      <w:rPr>
        <w:rFonts w:hint="default"/>
        <w:lang w:val="en-US" w:eastAsia="zh-CN" w:bidi="ar-SA"/>
      </w:rPr>
    </w:lvl>
    <w:lvl w:ilvl="6" w:tentative="0">
      <w:start w:val="0"/>
      <w:numFmt w:val="bullet"/>
      <w:lvlText w:val="•"/>
      <w:lvlJc w:val="left"/>
      <w:pPr>
        <w:ind w:left="6439" w:hanging="453"/>
      </w:pPr>
      <w:rPr>
        <w:rFonts w:hint="default"/>
        <w:lang w:val="en-US" w:eastAsia="zh-CN" w:bidi="ar-SA"/>
      </w:rPr>
    </w:lvl>
    <w:lvl w:ilvl="7" w:tentative="0">
      <w:start w:val="0"/>
      <w:numFmt w:val="bullet"/>
      <w:lvlText w:val="•"/>
      <w:lvlJc w:val="left"/>
      <w:pPr>
        <w:ind w:left="7486" w:hanging="453"/>
      </w:pPr>
      <w:rPr>
        <w:rFonts w:hint="default"/>
        <w:lang w:val="en-US" w:eastAsia="zh-CN" w:bidi="ar-SA"/>
      </w:rPr>
    </w:lvl>
    <w:lvl w:ilvl="8" w:tentative="0">
      <w:start w:val="0"/>
      <w:numFmt w:val="bullet"/>
      <w:lvlText w:val="•"/>
      <w:lvlJc w:val="left"/>
      <w:pPr>
        <w:ind w:left="8533" w:hanging="453"/>
      </w:pPr>
      <w:rPr>
        <w:rFonts w:hint="default"/>
        <w:lang w:val="en-US" w:eastAsia="zh-CN" w:bidi="ar-SA"/>
      </w:rPr>
    </w:lvl>
  </w:abstractNum>
  <w:abstractNum w:abstractNumId="7">
    <w:nsid w:val="03D62ECE"/>
    <w:multiLevelType w:val="multilevel"/>
    <w:tmpl w:val="03D62ECE"/>
    <w:lvl w:ilvl="0" w:tentative="0">
      <w:start w:val="3"/>
      <w:numFmt w:val="decimal"/>
      <w:lvlText w:val="（%1）"/>
      <w:lvlJc w:val="left"/>
      <w:pPr>
        <w:ind w:left="612" w:hanging="453"/>
        <w:jc w:val="left"/>
      </w:pPr>
      <w:rPr>
        <w:rFonts w:hint="default" w:ascii="楷体" w:hAnsi="楷体" w:eastAsia="楷体" w:cs="楷体"/>
        <w:b w:val="0"/>
        <w:bCs w:val="0"/>
        <w:i w:val="0"/>
        <w:iCs w:val="0"/>
        <w:w w:val="100"/>
        <w:sz w:val="16"/>
        <w:szCs w:val="16"/>
        <w:lang w:val="en-US" w:eastAsia="zh-CN" w:bidi="ar-SA"/>
      </w:rPr>
    </w:lvl>
    <w:lvl w:ilvl="1" w:tentative="0">
      <w:start w:val="1"/>
      <w:numFmt w:val="decimal"/>
      <w:lvlText w:val="（%2）"/>
      <w:lvlJc w:val="left"/>
      <w:pPr>
        <w:ind w:left="3526" w:hanging="530"/>
        <w:jc w:val="left"/>
      </w:pPr>
      <w:rPr>
        <w:rFonts w:hint="default" w:ascii="宋体" w:hAnsi="宋体" w:eastAsia="宋体" w:cs="宋体"/>
        <w:b w:val="0"/>
        <w:bCs w:val="0"/>
        <w:i w:val="0"/>
        <w:iCs w:val="0"/>
        <w:spacing w:val="-3"/>
        <w:w w:val="100"/>
        <w:sz w:val="19"/>
        <w:szCs w:val="19"/>
        <w:lang w:val="en-US" w:eastAsia="zh-CN" w:bidi="ar-SA"/>
      </w:rPr>
    </w:lvl>
    <w:lvl w:ilvl="2" w:tentative="0">
      <w:start w:val="0"/>
      <w:numFmt w:val="bullet"/>
      <w:lvlText w:val="•"/>
      <w:lvlJc w:val="left"/>
      <w:pPr>
        <w:ind w:left="4309" w:hanging="530"/>
      </w:pPr>
      <w:rPr>
        <w:rFonts w:hint="default"/>
        <w:lang w:val="en-US" w:eastAsia="zh-CN" w:bidi="ar-SA"/>
      </w:rPr>
    </w:lvl>
    <w:lvl w:ilvl="3" w:tentative="0">
      <w:start w:val="0"/>
      <w:numFmt w:val="bullet"/>
      <w:lvlText w:val="•"/>
      <w:lvlJc w:val="left"/>
      <w:pPr>
        <w:ind w:left="5099" w:hanging="530"/>
      </w:pPr>
      <w:rPr>
        <w:rFonts w:hint="default"/>
        <w:lang w:val="en-US" w:eastAsia="zh-CN" w:bidi="ar-SA"/>
      </w:rPr>
    </w:lvl>
    <w:lvl w:ilvl="4" w:tentative="0">
      <w:start w:val="0"/>
      <w:numFmt w:val="bullet"/>
      <w:lvlText w:val="•"/>
      <w:lvlJc w:val="left"/>
      <w:pPr>
        <w:ind w:left="5888" w:hanging="530"/>
      </w:pPr>
      <w:rPr>
        <w:rFonts w:hint="default"/>
        <w:lang w:val="en-US" w:eastAsia="zh-CN" w:bidi="ar-SA"/>
      </w:rPr>
    </w:lvl>
    <w:lvl w:ilvl="5" w:tentative="0">
      <w:start w:val="0"/>
      <w:numFmt w:val="bullet"/>
      <w:lvlText w:val="•"/>
      <w:lvlJc w:val="left"/>
      <w:pPr>
        <w:ind w:left="6678" w:hanging="530"/>
      </w:pPr>
      <w:rPr>
        <w:rFonts w:hint="default"/>
        <w:lang w:val="en-US" w:eastAsia="zh-CN" w:bidi="ar-SA"/>
      </w:rPr>
    </w:lvl>
    <w:lvl w:ilvl="6" w:tentative="0">
      <w:start w:val="0"/>
      <w:numFmt w:val="bullet"/>
      <w:lvlText w:val="•"/>
      <w:lvlJc w:val="left"/>
      <w:pPr>
        <w:ind w:left="7468" w:hanging="530"/>
      </w:pPr>
      <w:rPr>
        <w:rFonts w:hint="default"/>
        <w:lang w:val="en-US" w:eastAsia="zh-CN" w:bidi="ar-SA"/>
      </w:rPr>
    </w:lvl>
    <w:lvl w:ilvl="7" w:tentative="0">
      <w:start w:val="0"/>
      <w:numFmt w:val="bullet"/>
      <w:lvlText w:val="•"/>
      <w:lvlJc w:val="left"/>
      <w:pPr>
        <w:ind w:left="8257" w:hanging="530"/>
      </w:pPr>
      <w:rPr>
        <w:rFonts w:hint="default"/>
        <w:lang w:val="en-US" w:eastAsia="zh-CN" w:bidi="ar-SA"/>
      </w:rPr>
    </w:lvl>
    <w:lvl w:ilvl="8" w:tentative="0">
      <w:start w:val="0"/>
      <w:numFmt w:val="bullet"/>
      <w:lvlText w:val="•"/>
      <w:lvlJc w:val="left"/>
      <w:pPr>
        <w:ind w:left="9047" w:hanging="530"/>
      </w:pPr>
      <w:rPr>
        <w:rFonts w:hint="default"/>
        <w:lang w:val="en-US" w:eastAsia="zh-CN" w:bidi="ar-SA"/>
      </w:rPr>
    </w:lvl>
  </w:abstractNum>
  <w:abstractNum w:abstractNumId="8">
    <w:nsid w:val="25B654F3"/>
    <w:multiLevelType w:val="multilevel"/>
    <w:tmpl w:val="25B654F3"/>
    <w:lvl w:ilvl="0" w:tentative="0">
      <w:start w:val="7"/>
      <w:numFmt w:val="decimal"/>
      <w:lvlText w:val="（%1）"/>
      <w:lvlJc w:val="left"/>
      <w:pPr>
        <w:ind w:left="612" w:hanging="453"/>
        <w:jc w:val="left"/>
      </w:pPr>
      <w:rPr>
        <w:rFonts w:hint="default" w:ascii="楷体" w:hAnsi="楷体" w:eastAsia="楷体" w:cs="楷体"/>
        <w:b w:val="0"/>
        <w:bCs w:val="0"/>
        <w:i w:val="0"/>
        <w:iCs w:val="0"/>
        <w:w w:val="100"/>
        <w:sz w:val="16"/>
        <w:szCs w:val="16"/>
        <w:lang w:val="en-US" w:eastAsia="zh-CN" w:bidi="ar-SA"/>
      </w:rPr>
    </w:lvl>
    <w:lvl w:ilvl="1" w:tentative="0">
      <w:start w:val="7"/>
      <w:numFmt w:val="decimal"/>
      <w:lvlText w:val="（%2）"/>
      <w:lvlJc w:val="left"/>
      <w:pPr>
        <w:ind w:left="3526" w:hanging="530"/>
        <w:jc w:val="left"/>
      </w:pPr>
      <w:rPr>
        <w:rFonts w:hint="default" w:ascii="宋体" w:hAnsi="宋体" w:eastAsia="宋体" w:cs="宋体"/>
        <w:b w:val="0"/>
        <w:bCs w:val="0"/>
        <w:i w:val="0"/>
        <w:iCs w:val="0"/>
        <w:spacing w:val="-3"/>
        <w:w w:val="100"/>
        <w:sz w:val="19"/>
        <w:szCs w:val="19"/>
        <w:lang w:val="en-US" w:eastAsia="zh-CN" w:bidi="ar-SA"/>
      </w:rPr>
    </w:lvl>
    <w:lvl w:ilvl="2" w:tentative="0">
      <w:start w:val="0"/>
      <w:numFmt w:val="bullet"/>
      <w:lvlText w:val="•"/>
      <w:lvlJc w:val="left"/>
      <w:pPr>
        <w:ind w:left="4309" w:hanging="530"/>
      </w:pPr>
      <w:rPr>
        <w:rFonts w:hint="default"/>
        <w:lang w:val="en-US" w:eastAsia="zh-CN" w:bidi="ar-SA"/>
      </w:rPr>
    </w:lvl>
    <w:lvl w:ilvl="3" w:tentative="0">
      <w:start w:val="0"/>
      <w:numFmt w:val="bullet"/>
      <w:lvlText w:val="•"/>
      <w:lvlJc w:val="left"/>
      <w:pPr>
        <w:ind w:left="5099" w:hanging="530"/>
      </w:pPr>
      <w:rPr>
        <w:rFonts w:hint="default"/>
        <w:lang w:val="en-US" w:eastAsia="zh-CN" w:bidi="ar-SA"/>
      </w:rPr>
    </w:lvl>
    <w:lvl w:ilvl="4" w:tentative="0">
      <w:start w:val="0"/>
      <w:numFmt w:val="bullet"/>
      <w:lvlText w:val="•"/>
      <w:lvlJc w:val="left"/>
      <w:pPr>
        <w:ind w:left="5888" w:hanging="530"/>
      </w:pPr>
      <w:rPr>
        <w:rFonts w:hint="default"/>
        <w:lang w:val="en-US" w:eastAsia="zh-CN" w:bidi="ar-SA"/>
      </w:rPr>
    </w:lvl>
    <w:lvl w:ilvl="5" w:tentative="0">
      <w:start w:val="0"/>
      <w:numFmt w:val="bullet"/>
      <w:lvlText w:val="•"/>
      <w:lvlJc w:val="left"/>
      <w:pPr>
        <w:ind w:left="6678" w:hanging="530"/>
      </w:pPr>
      <w:rPr>
        <w:rFonts w:hint="default"/>
        <w:lang w:val="en-US" w:eastAsia="zh-CN" w:bidi="ar-SA"/>
      </w:rPr>
    </w:lvl>
    <w:lvl w:ilvl="6" w:tentative="0">
      <w:start w:val="0"/>
      <w:numFmt w:val="bullet"/>
      <w:lvlText w:val="•"/>
      <w:lvlJc w:val="left"/>
      <w:pPr>
        <w:ind w:left="7468" w:hanging="530"/>
      </w:pPr>
      <w:rPr>
        <w:rFonts w:hint="default"/>
        <w:lang w:val="en-US" w:eastAsia="zh-CN" w:bidi="ar-SA"/>
      </w:rPr>
    </w:lvl>
    <w:lvl w:ilvl="7" w:tentative="0">
      <w:start w:val="0"/>
      <w:numFmt w:val="bullet"/>
      <w:lvlText w:val="•"/>
      <w:lvlJc w:val="left"/>
      <w:pPr>
        <w:ind w:left="8257" w:hanging="530"/>
      </w:pPr>
      <w:rPr>
        <w:rFonts w:hint="default"/>
        <w:lang w:val="en-US" w:eastAsia="zh-CN" w:bidi="ar-SA"/>
      </w:rPr>
    </w:lvl>
    <w:lvl w:ilvl="8" w:tentative="0">
      <w:start w:val="0"/>
      <w:numFmt w:val="bullet"/>
      <w:lvlText w:val="•"/>
      <w:lvlJc w:val="left"/>
      <w:pPr>
        <w:ind w:left="9047" w:hanging="530"/>
      </w:pPr>
      <w:rPr>
        <w:rFonts w:hint="default"/>
        <w:lang w:val="en-US" w:eastAsia="zh-CN" w:bidi="ar-SA"/>
      </w:rPr>
    </w:lvl>
  </w:abstractNum>
  <w:abstractNum w:abstractNumId="9">
    <w:nsid w:val="2A8F537B"/>
    <w:multiLevelType w:val="multilevel"/>
    <w:tmpl w:val="2A8F537B"/>
    <w:lvl w:ilvl="0" w:tentative="0">
      <w:start w:val="1"/>
      <w:numFmt w:val="decimal"/>
      <w:lvlText w:val="（%1）"/>
      <w:lvlJc w:val="left"/>
      <w:pPr>
        <w:ind w:left="704" w:hanging="530"/>
        <w:jc w:val="left"/>
      </w:pPr>
      <w:rPr>
        <w:rFonts w:hint="default" w:ascii="宋体" w:hAnsi="宋体" w:eastAsia="宋体" w:cs="宋体"/>
        <w:b w:val="0"/>
        <w:bCs w:val="0"/>
        <w:i w:val="0"/>
        <w:iCs w:val="0"/>
        <w:spacing w:val="-3"/>
        <w:w w:val="100"/>
        <w:sz w:val="19"/>
        <w:szCs w:val="19"/>
        <w:lang w:val="en-US" w:eastAsia="zh-CN" w:bidi="ar-SA"/>
      </w:rPr>
    </w:lvl>
    <w:lvl w:ilvl="1" w:tentative="0">
      <w:start w:val="0"/>
      <w:numFmt w:val="bullet"/>
      <w:lvlText w:val="•"/>
      <w:lvlJc w:val="left"/>
      <w:pPr>
        <w:ind w:left="1410" w:hanging="530"/>
      </w:pPr>
      <w:rPr>
        <w:rFonts w:hint="default"/>
        <w:lang w:val="en-US" w:eastAsia="zh-CN" w:bidi="ar-SA"/>
      </w:rPr>
    </w:lvl>
    <w:lvl w:ilvl="2" w:tentative="0">
      <w:start w:val="0"/>
      <w:numFmt w:val="bullet"/>
      <w:lvlText w:val="•"/>
      <w:lvlJc w:val="left"/>
      <w:pPr>
        <w:ind w:left="2120" w:hanging="530"/>
      </w:pPr>
      <w:rPr>
        <w:rFonts w:hint="default"/>
        <w:lang w:val="en-US" w:eastAsia="zh-CN" w:bidi="ar-SA"/>
      </w:rPr>
    </w:lvl>
    <w:lvl w:ilvl="3" w:tentative="0">
      <w:start w:val="0"/>
      <w:numFmt w:val="bullet"/>
      <w:lvlText w:val="•"/>
      <w:lvlJc w:val="left"/>
      <w:pPr>
        <w:ind w:left="2831" w:hanging="530"/>
      </w:pPr>
      <w:rPr>
        <w:rFonts w:hint="default"/>
        <w:lang w:val="en-US" w:eastAsia="zh-CN" w:bidi="ar-SA"/>
      </w:rPr>
    </w:lvl>
    <w:lvl w:ilvl="4" w:tentative="0">
      <w:start w:val="0"/>
      <w:numFmt w:val="bullet"/>
      <w:lvlText w:val="•"/>
      <w:lvlJc w:val="left"/>
      <w:pPr>
        <w:ind w:left="3541" w:hanging="530"/>
      </w:pPr>
      <w:rPr>
        <w:rFonts w:hint="default"/>
        <w:lang w:val="en-US" w:eastAsia="zh-CN" w:bidi="ar-SA"/>
      </w:rPr>
    </w:lvl>
    <w:lvl w:ilvl="5" w:tentative="0">
      <w:start w:val="0"/>
      <w:numFmt w:val="bullet"/>
      <w:lvlText w:val="•"/>
      <w:lvlJc w:val="left"/>
      <w:pPr>
        <w:ind w:left="4251" w:hanging="530"/>
      </w:pPr>
      <w:rPr>
        <w:rFonts w:hint="default"/>
        <w:lang w:val="en-US" w:eastAsia="zh-CN" w:bidi="ar-SA"/>
      </w:rPr>
    </w:lvl>
    <w:lvl w:ilvl="6" w:tentative="0">
      <w:start w:val="0"/>
      <w:numFmt w:val="bullet"/>
      <w:lvlText w:val="•"/>
      <w:lvlJc w:val="left"/>
      <w:pPr>
        <w:ind w:left="4962" w:hanging="530"/>
      </w:pPr>
      <w:rPr>
        <w:rFonts w:hint="default"/>
        <w:lang w:val="en-US" w:eastAsia="zh-CN" w:bidi="ar-SA"/>
      </w:rPr>
    </w:lvl>
    <w:lvl w:ilvl="7" w:tentative="0">
      <w:start w:val="0"/>
      <w:numFmt w:val="bullet"/>
      <w:lvlText w:val="•"/>
      <w:lvlJc w:val="left"/>
      <w:pPr>
        <w:ind w:left="5672" w:hanging="530"/>
      </w:pPr>
      <w:rPr>
        <w:rFonts w:hint="default"/>
        <w:lang w:val="en-US" w:eastAsia="zh-CN" w:bidi="ar-SA"/>
      </w:rPr>
    </w:lvl>
    <w:lvl w:ilvl="8" w:tentative="0">
      <w:start w:val="0"/>
      <w:numFmt w:val="bullet"/>
      <w:lvlText w:val="•"/>
      <w:lvlJc w:val="left"/>
      <w:pPr>
        <w:ind w:left="6382" w:hanging="530"/>
      </w:pPr>
      <w:rPr>
        <w:rFonts w:hint="default"/>
        <w:lang w:val="en-US" w:eastAsia="zh-CN" w:bidi="ar-SA"/>
      </w:rPr>
    </w:lvl>
  </w:abstractNum>
  <w:abstractNum w:abstractNumId="10">
    <w:nsid w:val="4D4DC07F"/>
    <w:multiLevelType w:val="multilevel"/>
    <w:tmpl w:val="4D4DC07F"/>
    <w:lvl w:ilvl="0" w:tentative="0">
      <w:start w:val="4"/>
      <w:numFmt w:val="decimal"/>
      <w:lvlText w:val="%1)"/>
      <w:lvlJc w:val="left"/>
      <w:pPr>
        <w:ind w:left="3326" w:hanging="721"/>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4050" w:hanging="721"/>
      </w:pPr>
      <w:rPr>
        <w:rFonts w:hint="default"/>
        <w:lang w:val="en-US" w:eastAsia="zh-CN" w:bidi="ar-SA"/>
      </w:rPr>
    </w:lvl>
    <w:lvl w:ilvl="2" w:tentative="0">
      <w:start w:val="0"/>
      <w:numFmt w:val="bullet"/>
      <w:lvlText w:val="•"/>
      <w:lvlJc w:val="left"/>
      <w:pPr>
        <w:ind w:left="4781" w:hanging="721"/>
      </w:pPr>
      <w:rPr>
        <w:rFonts w:hint="default"/>
        <w:lang w:val="en-US" w:eastAsia="zh-CN" w:bidi="ar-SA"/>
      </w:rPr>
    </w:lvl>
    <w:lvl w:ilvl="3" w:tentative="0">
      <w:start w:val="0"/>
      <w:numFmt w:val="bullet"/>
      <w:lvlText w:val="•"/>
      <w:lvlJc w:val="left"/>
      <w:pPr>
        <w:ind w:left="5511" w:hanging="721"/>
      </w:pPr>
      <w:rPr>
        <w:rFonts w:hint="default"/>
        <w:lang w:val="en-US" w:eastAsia="zh-CN" w:bidi="ar-SA"/>
      </w:rPr>
    </w:lvl>
    <w:lvl w:ilvl="4" w:tentative="0">
      <w:start w:val="0"/>
      <w:numFmt w:val="bullet"/>
      <w:lvlText w:val="•"/>
      <w:lvlJc w:val="left"/>
      <w:pPr>
        <w:ind w:left="6242" w:hanging="721"/>
      </w:pPr>
      <w:rPr>
        <w:rFonts w:hint="default"/>
        <w:lang w:val="en-US" w:eastAsia="zh-CN" w:bidi="ar-SA"/>
      </w:rPr>
    </w:lvl>
    <w:lvl w:ilvl="5" w:tentative="0">
      <w:start w:val="0"/>
      <w:numFmt w:val="bullet"/>
      <w:lvlText w:val="•"/>
      <w:lvlJc w:val="left"/>
      <w:pPr>
        <w:ind w:left="6973" w:hanging="721"/>
      </w:pPr>
      <w:rPr>
        <w:rFonts w:hint="default"/>
        <w:lang w:val="en-US" w:eastAsia="zh-CN" w:bidi="ar-SA"/>
      </w:rPr>
    </w:lvl>
    <w:lvl w:ilvl="6" w:tentative="0">
      <w:start w:val="0"/>
      <w:numFmt w:val="bullet"/>
      <w:lvlText w:val="•"/>
      <w:lvlJc w:val="left"/>
      <w:pPr>
        <w:ind w:left="7703" w:hanging="721"/>
      </w:pPr>
      <w:rPr>
        <w:rFonts w:hint="default"/>
        <w:lang w:val="en-US" w:eastAsia="zh-CN" w:bidi="ar-SA"/>
      </w:rPr>
    </w:lvl>
    <w:lvl w:ilvl="7" w:tentative="0">
      <w:start w:val="0"/>
      <w:numFmt w:val="bullet"/>
      <w:lvlText w:val="•"/>
      <w:lvlJc w:val="left"/>
      <w:pPr>
        <w:ind w:left="8434" w:hanging="721"/>
      </w:pPr>
      <w:rPr>
        <w:rFonts w:hint="default"/>
        <w:lang w:val="en-US" w:eastAsia="zh-CN" w:bidi="ar-SA"/>
      </w:rPr>
    </w:lvl>
    <w:lvl w:ilvl="8" w:tentative="0">
      <w:start w:val="0"/>
      <w:numFmt w:val="bullet"/>
      <w:lvlText w:val="•"/>
      <w:lvlJc w:val="left"/>
      <w:pPr>
        <w:ind w:left="9165" w:hanging="721"/>
      </w:pPr>
      <w:rPr>
        <w:rFonts w:hint="default"/>
        <w:lang w:val="en-US" w:eastAsia="zh-CN" w:bidi="ar-SA"/>
      </w:rPr>
    </w:lvl>
  </w:abstractNum>
  <w:abstractNum w:abstractNumId="11">
    <w:nsid w:val="59ADCABA"/>
    <w:multiLevelType w:val="multilevel"/>
    <w:tmpl w:val="59ADCABA"/>
    <w:lvl w:ilvl="0" w:tentative="0">
      <w:start w:val="1"/>
      <w:numFmt w:val="decimal"/>
      <w:lvlText w:val="%1"/>
      <w:lvlJc w:val="left"/>
      <w:pPr>
        <w:ind w:left="1362" w:hanging="1016"/>
        <w:jc w:val="left"/>
      </w:pPr>
      <w:rPr>
        <w:rFonts w:hint="default"/>
        <w:w w:val="99"/>
        <w:position w:val="-3"/>
        <w:lang w:val="en-US" w:eastAsia="zh-CN" w:bidi="ar-SA"/>
      </w:rPr>
    </w:lvl>
    <w:lvl w:ilvl="1" w:tentative="0">
      <w:start w:val="1"/>
      <w:numFmt w:val="decimal"/>
      <w:lvlText w:val="%1.%2"/>
      <w:lvlJc w:val="left"/>
      <w:pPr>
        <w:ind w:left="2997" w:hanging="1016"/>
        <w:jc w:val="left"/>
      </w:pPr>
      <w:rPr>
        <w:rFonts w:hint="default" w:ascii="宋体" w:hAnsi="宋体" w:eastAsia="宋体" w:cs="宋体"/>
        <w:b/>
        <w:bCs/>
        <w:i w:val="0"/>
        <w:iCs w:val="0"/>
        <w:w w:val="99"/>
        <w:sz w:val="21"/>
        <w:szCs w:val="21"/>
        <w:lang w:val="en-US" w:eastAsia="zh-CN" w:bidi="ar-SA"/>
      </w:rPr>
    </w:lvl>
    <w:lvl w:ilvl="2" w:tentative="0">
      <w:start w:val="1"/>
      <w:numFmt w:val="decimal"/>
      <w:lvlText w:val="%1.%2.%3"/>
      <w:lvlJc w:val="left"/>
      <w:pPr>
        <w:ind w:left="1362" w:hanging="804"/>
        <w:jc w:val="right"/>
      </w:pPr>
      <w:rPr>
        <w:rFonts w:hint="default" w:ascii="宋体" w:hAnsi="宋体" w:eastAsia="宋体" w:cs="宋体"/>
        <w:b/>
        <w:bCs/>
        <w:i w:val="0"/>
        <w:iCs w:val="0"/>
        <w:w w:val="99"/>
        <w:sz w:val="21"/>
        <w:szCs w:val="21"/>
        <w:lang w:val="en-US" w:eastAsia="zh-CN" w:bidi="ar-SA"/>
      </w:rPr>
    </w:lvl>
    <w:lvl w:ilvl="3" w:tentative="0">
      <w:start w:val="1"/>
      <w:numFmt w:val="decimal"/>
      <w:lvlText w:val="（%4）"/>
      <w:lvlJc w:val="left"/>
      <w:pPr>
        <w:ind w:left="3717" w:hanging="721"/>
        <w:jc w:val="left"/>
      </w:pPr>
      <w:rPr>
        <w:rFonts w:hint="default" w:ascii="宋体" w:hAnsi="宋体" w:eastAsia="宋体" w:cs="宋体"/>
        <w:b w:val="0"/>
        <w:bCs w:val="0"/>
        <w:i w:val="0"/>
        <w:iCs w:val="0"/>
        <w:w w:val="100"/>
        <w:sz w:val="21"/>
        <w:szCs w:val="21"/>
        <w:lang w:val="en-US" w:eastAsia="zh-CN" w:bidi="ar-SA"/>
      </w:rPr>
    </w:lvl>
    <w:lvl w:ilvl="4" w:tentative="0">
      <w:start w:val="0"/>
      <w:numFmt w:val="bullet"/>
      <w:lvlText w:val="•"/>
      <w:lvlJc w:val="left"/>
      <w:pPr>
        <w:ind w:left="3485" w:hanging="721"/>
      </w:pPr>
      <w:rPr>
        <w:rFonts w:hint="default"/>
        <w:lang w:val="en-US" w:eastAsia="zh-CN" w:bidi="ar-SA"/>
      </w:rPr>
    </w:lvl>
    <w:lvl w:ilvl="5" w:tentative="0">
      <w:start w:val="0"/>
      <w:numFmt w:val="bullet"/>
      <w:lvlText w:val="•"/>
      <w:lvlJc w:val="left"/>
      <w:pPr>
        <w:ind w:left="3368" w:hanging="721"/>
      </w:pPr>
      <w:rPr>
        <w:rFonts w:hint="default"/>
        <w:lang w:val="en-US" w:eastAsia="zh-CN" w:bidi="ar-SA"/>
      </w:rPr>
    </w:lvl>
    <w:lvl w:ilvl="6" w:tentative="0">
      <w:start w:val="0"/>
      <w:numFmt w:val="bullet"/>
      <w:lvlText w:val="•"/>
      <w:lvlJc w:val="left"/>
      <w:pPr>
        <w:ind w:left="3251" w:hanging="721"/>
      </w:pPr>
      <w:rPr>
        <w:rFonts w:hint="default"/>
        <w:lang w:val="en-US" w:eastAsia="zh-CN" w:bidi="ar-SA"/>
      </w:rPr>
    </w:lvl>
    <w:lvl w:ilvl="7" w:tentative="0">
      <w:start w:val="0"/>
      <w:numFmt w:val="bullet"/>
      <w:lvlText w:val="•"/>
      <w:lvlJc w:val="left"/>
      <w:pPr>
        <w:ind w:left="3134" w:hanging="721"/>
      </w:pPr>
      <w:rPr>
        <w:rFonts w:hint="default"/>
        <w:lang w:val="en-US" w:eastAsia="zh-CN" w:bidi="ar-SA"/>
      </w:rPr>
    </w:lvl>
    <w:lvl w:ilvl="8" w:tentative="0">
      <w:start w:val="0"/>
      <w:numFmt w:val="bullet"/>
      <w:lvlText w:val="•"/>
      <w:lvlJc w:val="left"/>
      <w:pPr>
        <w:ind w:left="3017" w:hanging="721"/>
      </w:pPr>
      <w:rPr>
        <w:rFonts w:hint="default"/>
        <w:lang w:val="en-US" w:eastAsia="zh-CN" w:bidi="ar-SA"/>
      </w:rPr>
    </w:lvl>
  </w:abstractNum>
  <w:abstractNum w:abstractNumId="12">
    <w:nsid w:val="5A241D34"/>
    <w:multiLevelType w:val="multilevel"/>
    <w:tmpl w:val="5A241D34"/>
    <w:lvl w:ilvl="0" w:tentative="0">
      <w:start w:val="6"/>
      <w:numFmt w:val="decimal"/>
      <w:lvlText w:val="%1"/>
      <w:lvlJc w:val="left"/>
      <w:pPr>
        <w:ind w:left="2997" w:hanging="1016"/>
        <w:jc w:val="left"/>
      </w:pPr>
      <w:rPr>
        <w:rFonts w:hint="default"/>
        <w:lang w:val="en-US" w:eastAsia="zh-CN" w:bidi="ar-SA"/>
      </w:rPr>
    </w:lvl>
    <w:lvl w:ilvl="1" w:tentative="0">
      <w:start w:val="3"/>
      <w:numFmt w:val="decimal"/>
      <w:lvlText w:val="%1.%2"/>
      <w:lvlJc w:val="left"/>
      <w:pPr>
        <w:ind w:left="2997" w:hanging="1016"/>
        <w:jc w:val="left"/>
      </w:pPr>
      <w:rPr>
        <w:rFonts w:hint="default" w:ascii="宋体" w:hAnsi="宋体" w:eastAsia="宋体" w:cs="宋体"/>
        <w:b/>
        <w:bCs/>
        <w:i w:val="0"/>
        <w:iCs w:val="0"/>
        <w:w w:val="99"/>
        <w:sz w:val="21"/>
        <w:szCs w:val="21"/>
        <w:lang w:val="en-US" w:eastAsia="zh-CN" w:bidi="ar-SA"/>
      </w:rPr>
    </w:lvl>
    <w:lvl w:ilvl="2" w:tentative="0">
      <w:start w:val="1"/>
      <w:numFmt w:val="decimal"/>
      <w:lvlText w:val="（%3）"/>
      <w:lvlJc w:val="left"/>
      <w:pPr>
        <w:ind w:left="2997" w:hanging="530"/>
        <w:jc w:val="left"/>
      </w:pPr>
      <w:rPr>
        <w:rFonts w:hint="default" w:ascii="宋体" w:hAnsi="宋体" w:eastAsia="宋体" w:cs="宋体"/>
        <w:b w:val="0"/>
        <w:bCs w:val="0"/>
        <w:i w:val="0"/>
        <w:iCs w:val="0"/>
        <w:spacing w:val="-3"/>
        <w:w w:val="100"/>
        <w:sz w:val="19"/>
        <w:szCs w:val="19"/>
        <w:lang w:val="en-US" w:eastAsia="zh-CN" w:bidi="ar-SA"/>
      </w:rPr>
    </w:lvl>
    <w:lvl w:ilvl="3" w:tentative="0">
      <w:start w:val="0"/>
      <w:numFmt w:val="bullet"/>
      <w:lvlText w:val="•"/>
      <w:lvlJc w:val="left"/>
      <w:pPr>
        <w:ind w:left="5287" w:hanging="530"/>
      </w:pPr>
      <w:rPr>
        <w:rFonts w:hint="default"/>
        <w:lang w:val="en-US" w:eastAsia="zh-CN" w:bidi="ar-SA"/>
      </w:rPr>
    </w:lvl>
    <w:lvl w:ilvl="4" w:tentative="0">
      <w:start w:val="0"/>
      <w:numFmt w:val="bullet"/>
      <w:lvlText w:val="•"/>
      <w:lvlJc w:val="left"/>
      <w:pPr>
        <w:ind w:left="6050" w:hanging="530"/>
      </w:pPr>
      <w:rPr>
        <w:rFonts w:hint="default"/>
        <w:lang w:val="en-US" w:eastAsia="zh-CN" w:bidi="ar-SA"/>
      </w:rPr>
    </w:lvl>
    <w:lvl w:ilvl="5" w:tentative="0">
      <w:start w:val="0"/>
      <w:numFmt w:val="bullet"/>
      <w:lvlText w:val="•"/>
      <w:lvlJc w:val="left"/>
      <w:pPr>
        <w:ind w:left="6813" w:hanging="530"/>
      </w:pPr>
      <w:rPr>
        <w:rFonts w:hint="default"/>
        <w:lang w:val="en-US" w:eastAsia="zh-CN" w:bidi="ar-SA"/>
      </w:rPr>
    </w:lvl>
    <w:lvl w:ilvl="6" w:tentative="0">
      <w:start w:val="0"/>
      <w:numFmt w:val="bullet"/>
      <w:lvlText w:val="•"/>
      <w:lvlJc w:val="left"/>
      <w:pPr>
        <w:ind w:left="7575" w:hanging="530"/>
      </w:pPr>
      <w:rPr>
        <w:rFonts w:hint="default"/>
        <w:lang w:val="en-US" w:eastAsia="zh-CN" w:bidi="ar-SA"/>
      </w:rPr>
    </w:lvl>
    <w:lvl w:ilvl="7" w:tentative="0">
      <w:start w:val="0"/>
      <w:numFmt w:val="bullet"/>
      <w:lvlText w:val="•"/>
      <w:lvlJc w:val="left"/>
      <w:pPr>
        <w:ind w:left="8338" w:hanging="530"/>
      </w:pPr>
      <w:rPr>
        <w:rFonts w:hint="default"/>
        <w:lang w:val="en-US" w:eastAsia="zh-CN" w:bidi="ar-SA"/>
      </w:rPr>
    </w:lvl>
    <w:lvl w:ilvl="8" w:tentative="0">
      <w:start w:val="0"/>
      <w:numFmt w:val="bullet"/>
      <w:lvlText w:val="•"/>
      <w:lvlJc w:val="left"/>
      <w:pPr>
        <w:ind w:left="9101" w:hanging="530"/>
      </w:pPr>
      <w:rPr>
        <w:rFonts w:hint="default"/>
        <w:lang w:val="en-US" w:eastAsia="zh-CN" w:bidi="ar-SA"/>
      </w:rPr>
    </w:lvl>
  </w:abstractNum>
  <w:abstractNum w:abstractNumId="13">
    <w:nsid w:val="72183CF9"/>
    <w:multiLevelType w:val="multilevel"/>
    <w:tmpl w:val="72183CF9"/>
    <w:lvl w:ilvl="0" w:tentative="0">
      <w:start w:val="2"/>
      <w:numFmt w:val="decimal"/>
      <w:lvlText w:val="%1"/>
      <w:lvlJc w:val="left"/>
      <w:pPr>
        <w:ind w:left="2997" w:hanging="910"/>
        <w:jc w:val="left"/>
      </w:pPr>
      <w:rPr>
        <w:rFonts w:hint="default"/>
        <w:lang w:val="en-US" w:eastAsia="zh-CN" w:bidi="ar-SA"/>
      </w:rPr>
    </w:lvl>
    <w:lvl w:ilvl="1" w:tentative="0">
      <w:start w:val="3"/>
      <w:numFmt w:val="decimal"/>
      <w:lvlText w:val="%1.%2"/>
      <w:lvlJc w:val="left"/>
      <w:pPr>
        <w:ind w:left="2997" w:hanging="910"/>
        <w:jc w:val="left"/>
      </w:pPr>
      <w:rPr>
        <w:rFonts w:hint="default"/>
        <w:lang w:val="en-US" w:eastAsia="zh-CN" w:bidi="ar-SA"/>
      </w:rPr>
    </w:lvl>
    <w:lvl w:ilvl="2" w:tentative="0">
      <w:start w:val="5"/>
      <w:numFmt w:val="decimal"/>
      <w:lvlText w:val="%1.%2.%3"/>
      <w:lvlJc w:val="left"/>
      <w:pPr>
        <w:ind w:left="2997" w:hanging="910"/>
        <w:jc w:val="left"/>
      </w:pPr>
      <w:rPr>
        <w:rFonts w:hint="default" w:ascii="宋体" w:hAnsi="宋体" w:eastAsia="宋体" w:cs="宋体"/>
        <w:b/>
        <w:bCs/>
        <w:i w:val="0"/>
        <w:iCs w:val="0"/>
        <w:w w:val="99"/>
        <w:sz w:val="21"/>
        <w:szCs w:val="21"/>
        <w:lang w:val="en-US" w:eastAsia="zh-CN" w:bidi="ar-SA"/>
      </w:rPr>
    </w:lvl>
    <w:lvl w:ilvl="3" w:tentative="0">
      <w:start w:val="0"/>
      <w:numFmt w:val="bullet"/>
      <w:lvlText w:val="•"/>
      <w:lvlJc w:val="left"/>
      <w:pPr>
        <w:ind w:left="5287" w:hanging="910"/>
      </w:pPr>
      <w:rPr>
        <w:rFonts w:hint="default"/>
        <w:lang w:val="en-US" w:eastAsia="zh-CN" w:bidi="ar-SA"/>
      </w:rPr>
    </w:lvl>
    <w:lvl w:ilvl="4" w:tentative="0">
      <w:start w:val="0"/>
      <w:numFmt w:val="bullet"/>
      <w:lvlText w:val="•"/>
      <w:lvlJc w:val="left"/>
      <w:pPr>
        <w:ind w:left="6050" w:hanging="910"/>
      </w:pPr>
      <w:rPr>
        <w:rFonts w:hint="default"/>
        <w:lang w:val="en-US" w:eastAsia="zh-CN" w:bidi="ar-SA"/>
      </w:rPr>
    </w:lvl>
    <w:lvl w:ilvl="5" w:tentative="0">
      <w:start w:val="0"/>
      <w:numFmt w:val="bullet"/>
      <w:lvlText w:val="•"/>
      <w:lvlJc w:val="left"/>
      <w:pPr>
        <w:ind w:left="6813" w:hanging="910"/>
      </w:pPr>
      <w:rPr>
        <w:rFonts w:hint="default"/>
        <w:lang w:val="en-US" w:eastAsia="zh-CN" w:bidi="ar-SA"/>
      </w:rPr>
    </w:lvl>
    <w:lvl w:ilvl="6" w:tentative="0">
      <w:start w:val="0"/>
      <w:numFmt w:val="bullet"/>
      <w:lvlText w:val="•"/>
      <w:lvlJc w:val="left"/>
      <w:pPr>
        <w:ind w:left="7575" w:hanging="910"/>
      </w:pPr>
      <w:rPr>
        <w:rFonts w:hint="default"/>
        <w:lang w:val="en-US" w:eastAsia="zh-CN" w:bidi="ar-SA"/>
      </w:rPr>
    </w:lvl>
    <w:lvl w:ilvl="7" w:tentative="0">
      <w:start w:val="0"/>
      <w:numFmt w:val="bullet"/>
      <w:lvlText w:val="•"/>
      <w:lvlJc w:val="left"/>
      <w:pPr>
        <w:ind w:left="8338" w:hanging="910"/>
      </w:pPr>
      <w:rPr>
        <w:rFonts w:hint="default"/>
        <w:lang w:val="en-US" w:eastAsia="zh-CN" w:bidi="ar-SA"/>
      </w:rPr>
    </w:lvl>
    <w:lvl w:ilvl="8" w:tentative="0">
      <w:start w:val="0"/>
      <w:numFmt w:val="bullet"/>
      <w:lvlText w:val="•"/>
      <w:lvlJc w:val="left"/>
      <w:pPr>
        <w:ind w:left="9101" w:hanging="910"/>
      </w:pPr>
      <w:rPr>
        <w:rFonts w:hint="default"/>
        <w:lang w:val="en-US" w:eastAsia="zh-CN" w:bidi="ar-SA"/>
      </w:rPr>
    </w:lvl>
  </w:abstractNum>
  <w:num w:numId="1">
    <w:abstractNumId w:val="5"/>
  </w:num>
  <w:num w:numId="2">
    <w:abstractNumId w:val="4"/>
  </w:num>
  <w:num w:numId="3">
    <w:abstractNumId w:val="11"/>
  </w:num>
  <w:num w:numId="4">
    <w:abstractNumId w:val="2"/>
  </w:num>
  <w:num w:numId="5">
    <w:abstractNumId w:val="1"/>
  </w:num>
  <w:num w:numId="6">
    <w:abstractNumId w:val="7"/>
  </w:num>
  <w:num w:numId="7">
    <w:abstractNumId w:val="8"/>
  </w:num>
  <w:num w:numId="8">
    <w:abstractNumId w:val="13"/>
  </w:num>
  <w:num w:numId="9">
    <w:abstractNumId w:val="6"/>
  </w:num>
  <w:num w:numId="10">
    <w:abstractNumId w:val="0"/>
  </w:num>
  <w:num w:numId="11">
    <w:abstractNumId w:val="9"/>
  </w:num>
  <w:num w:numId="12">
    <w:abstractNumId w:val="12"/>
  </w:num>
  <w:num w:numId="13">
    <w:abstractNumId w:val="3"/>
  </w:num>
  <w:num w:numId="1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2"/>
  </w:compat>
  <w:docVars>
    <w:docVar w:name="commondata" w:val="eyJoZGlkIjoiNDA5YjcwNjgxNzNhYjExMDgzZWI2NGI0YmE1ODUyYmMifQ=="/>
  </w:docVars>
  <w:rsids>
    <w:rsidRoot w:val="00000000"/>
    <w:rsid w:val="63D83EC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zh-CN" w:bidi="ar-SA"/>
    </w:rPr>
  </w:style>
  <w:style w:type="paragraph" w:styleId="2">
    <w:name w:val="heading 1"/>
    <w:basedOn w:val="1"/>
    <w:next w:val="1"/>
    <w:qFormat/>
    <w:uiPriority w:val="1"/>
    <w:pPr>
      <w:ind w:left="2065" w:right="2623"/>
      <w:jc w:val="center"/>
      <w:outlineLvl w:val="1"/>
    </w:pPr>
    <w:rPr>
      <w:rFonts w:ascii="宋体" w:hAnsi="宋体" w:eastAsia="宋体" w:cs="宋体"/>
      <w:b/>
      <w:bCs/>
      <w:sz w:val="28"/>
      <w:szCs w:val="28"/>
      <w:lang w:val="en-US" w:eastAsia="zh-CN" w:bidi="ar-SA"/>
    </w:rPr>
  </w:style>
  <w:style w:type="paragraph" w:styleId="3">
    <w:name w:val="heading 2"/>
    <w:basedOn w:val="1"/>
    <w:next w:val="1"/>
    <w:qFormat/>
    <w:uiPriority w:val="1"/>
    <w:pPr>
      <w:ind w:left="1362" w:hanging="1016"/>
      <w:outlineLvl w:val="2"/>
    </w:pPr>
    <w:rPr>
      <w:rFonts w:ascii="宋体" w:hAnsi="宋体" w:eastAsia="宋体" w:cs="宋体"/>
      <w:b/>
      <w:bCs/>
      <w:sz w:val="24"/>
      <w:szCs w:val="24"/>
      <w:lang w:val="en-US" w:eastAsia="zh-CN" w:bidi="ar-SA"/>
    </w:rPr>
  </w:style>
  <w:style w:type="paragraph" w:styleId="4">
    <w:name w:val="heading 3"/>
    <w:basedOn w:val="1"/>
    <w:next w:val="1"/>
    <w:qFormat/>
    <w:uiPriority w:val="1"/>
    <w:pPr>
      <w:ind w:left="1362"/>
      <w:outlineLvl w:val="3"/>
    </w:pPr>
    <w:rPr>
      <w:rFonts w:ascii="宋体" w:hAnsi="宋体" w:eastAsia="宋体" w:cs="宋体"/>
      <w:b/>
      <w:bCs/>
      <w:sz w:val="21"/>
      <w:szCs w:val="21"/>
      <w:lang w:val="en-US" w:eastAsia="zh-CN" w:bidi="ar-SA"/>
    </w:rPr>
  </w:style>
  <w:style w:type="character" w:default="1" w:styleId="7">
    <w:name w:val="Default Paragraph Font"/>
    <w:semiHidden/>
    <w:unhideWhenUsed/>
    <w:uiPriority w:val="1"/>
  </w:style>
  <w:style w:type="table" w:default="1" w:styleId="6">
    <w:name w:val="Normal Table"/>
    <w:semiHidden/>
    <w:qFormat/>
    <w:uiPriority w:val="0"/>
    <w:tblPr>
      <w:tblCellMar>
        <w:top w:w="0" w:type="dxa"/>
        <w:left w:w="108" w:type="dxa"/>
        <w:bottom w:w="0" w:type="dxa"/>
        <w:right w:w="108" w:type="dxa"/>
      </w:tblCellMar>
    </w:tblPr>
  </w:style>
  <w:style w:type="paragraph" w:styleId="5">
    <w:name w:val="Body Text"/>
    <w:basedOn w:val="1"/>
    <w:qFormat/>
    <w:uiPriority w:val="1"/>
    <w:rPr>
      <w:rFonts w:ascii="宋体" w:hAnsi="宋体" w:eastAsia="宋体" w:cs="宋体"/>
      <w:sz w:val="21"/>
      <w:szCs w:val="21"/>
      <w:lang w:val="en-US" w:eastAsia="zh-CN" w:bidi="ar-SA"/>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pPr>
      <w:ind w:left="2997" w:hanging="721"/>
    </w:pPr>
    <w:rPr>
      <w:rFonts w:ascii="宋体" w:hAnsi="宋体" w:eastAsia="宋体" w:cs="宋体"/>
      <w:lang w:val="en-US" w:eastAsia="zh-CN" w:bidi="ar-SA"/>
    </w:rPr>
  </w:style>
  <w:style w:type="paragraph" w:customStyle="1" w:styleId="10">
    <w:name w:val="Table Paragraph"/>
    <w:basedOn w:val="1"/>
    <w:qFormat/>
    <w:uiPriority w:val="1"/>
    <w:pPr>
      <w:spacing w:before="22"/>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Info spid="_x0000_s1027"/>
    <customShpInfo spid="_x0000_s1028"/>
    <customShpInfo spid="_x0000_s1029"/>
    <customShpInfo spid="_x0000_s1030"/>
    <customShpInfo spid="_x0000_s1031"/>
    <customShpInfo spid="_x0000_s1032"/>
    <customShpInfo spid="_x0000_s1033"/>
    <customShpInfo spid="_x0000_s1034"/>
    <customShpInfo spid="_x0000_s103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17</Pages>
  <Words>16177</Words>
  <Characters>16623</Characters>
  <TotalTime>0</TotalTime>
  <ScaleCrop>false</ScaleCrop>
  <LinksUpToDate>false</LinksUpToDate>
  <CharactersWithSpaces>17532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2023-06-02T06:06:00Z</dcterms:created>
  <dc:creator>木木</dc:creator>
  <cp:lastModifiedBy>木木</cp:lastModifiedBy>
  <dcterms:modified xsi:type="dcterms:W3CDTF">2023-06-02T06:41:51Z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y fmtid="{D5CDD505-2E9C-101B-9397-08002B2CF9AE}" pid="5" name="KSOProductBuildVer">
    <vt:lpwstr>2052-11.1.0.14309</vt:lpwstr>
  </property>
  <property fmtid="{D5CDD505-2E9C-101B-9397-08002B2CF9AE}" pid="6" name="ICV">
    <vt:lpwstr>4B77C8151F70420FA5B6EF5D22C8F4F5_12</vt:lpwstr>
  </property>
</Properties>
</file>