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8"/>
        <w:ind w:left="0" w:right="169" w:firstLine="0"/>
        <w:jc w:val="right"/>
        <w:rPr>
          <w:sz w:val="16"/>
        </w:rPr>
      </w:pPr>
      <w:r>
        <w:rPr/>
        <w:drawing>
          <wp:anchor distT="0" distB="0" distL="0" distR="0" allowOverlap="1" layoutInCell="1" locked="0" behindDoc="0" simplePos="0" relativeHeight="15728640">
            <wp:simplePos x="0" y="0"/>
            <wp:positionH relativeFrom="page">
              <wp:posOffset>6191884</wp:posOffset>
            </wp:positionH>
            <wp:positionV relativeFrom="paragraph">
              <wp:posOffset>233172</wp:posOffset>
            </wp:positionV>
            <wp:extent cx="723899"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899" cy="723900"/>
                    </a:xfrm>
                    <a:prstGeom prst="rect">
                      <a:avLst/>
                    </a:prstGeom>
                  </pic:spPr>
                </pic:pic>
              </a:graphicData>
            </a:graphic>
          </wp:anchor>
        </w:drawing>
      </w:r>
      <w:r>
        <w:rPr>
          <w:spacing w:val="-2"/>
          <w:sz w:val="16"/>
        </w:rPr>
        <w:t>君康人寿[2020</w:t>
      </w:r>
      <w:r>
        <w:rPr>
          <w:spacing w:val="-8"/>
          <w:sz w:val="16"/>
        </w:rPr>
        <w:t>]终身寿险 </w:t>
      </w:r>
      <w:r>
        <w:rPr>
          <w:spacing w:val="-2"/>
          <w:sz w:val="16"/>
        </w:rPr>
        <w:t>009</w:t>
      </w:r>
      <w:r>
        <w:rPr>
          <w:spacing w:val="-21"/>
          <w:sz w:val="16"/>
        </w:rPr>
        <w:t> 号</w:t>
      </w:r>
    </w:p>
    <w:p>
      <w:pPr>
        <w:pStyle w:val="BodyText"/>
        <w:ind w:left="0"/>
        <w:rPr>
          <w:sz w:val="20"/>
        </w:rPr>
      </w:pPr>
    </w:p>
    <w:p>
      <w:pPr>
        <w:pStyle w:val="BodyText"/>
        <w:spacing w:before="1"/>
        <w:ind w:left="0"/>
        <w:rPr>
          <w:sz w:val="15"/>
        </w:rPr>
      </w:pPr>
    </w:p>
    <w:p>
      <w:pPr>
        <w:spacing w:after="0"/>
        <w:rPr>
          <w:sz w:val="15"/>
        </w:rPr>
        <w:sectPr>
          <w:type w:val="continuous"/>
          <w:pgSz w:w="11910" w:h="16840"/>
          <w:pgMar w:top="620" w:bottom="280" w:left="800" w:right="700"/>
        </w:sectPr>
      </w:pPr>
    </w:p>
    <w:p>
      <w:pPr>
        <w:spacing w:line="538" w:lineRule="exact" w:before="0"/>
        <w:ind w:left="2555" w:right="134" w:firstLine="0"/>
        <w:jc w:val="center"/>
        <w:rPr>
          <w:rFonts w:ascii="Microsoft JhengHei" w:eastAsia="Microsoft JhengHei"/>
          <w:b/>
          <w:sz w:val="32"/>
        </w:rPr>
      </w:pPr>
      <w:r>
        <w:rPr>
          <w:rFonts w:ascii="Microsoft JhengHei" w:eastAsia="Microsoft JhengHei"/>
          <w:b/>
          <w:w w:val="95"/>
          <w:sz w:val="32"/>
        </w:rPr>
        <w:t>君康</w:t>
      </w:r>
      <w:r>
        <w:rPr>
          <w:rFonts w:ascii="Microsoft JhengHei" w:eastAsia="Microsoft JhengHei"/>
          <w:b/>
          <w:w w:val="95"/>
          <w:sz w:val="32"/>
        </w:rPr>
        <w:t>金</w:t>
      </w:r>
      <w:r>
        <w:rPr>
          <w:rFonts w:ascii="Microsoft JhengHei" w:eastAsia="Microsoft JhengHei"/>
          <w:b/>
          <w:w w:val="95"/>
          <w:sz w:val="32"/>
        </w:rPr>
        <w:t>生</w:t>
      </w:r>
      <w:r>
        <w:rPr>
          <w:rFonts w:ascii="Microsoft JhengHei" w:eastAsia="Microsoft JhengHei"/>
          <w:b/>
          <w:w w:val="95"/>
          <w:sz w:val="32"/>
        </w:rPr>
        <w:t>金</w:t>
      </w:r>
      <w:r>
        <w:rPr>
          <w:rFonts w:ascii="Microsoft JhengHei" w:eastAsia="Microsoft JhengHei"/>
          <w:b/>
          <w:w w:val="95"/>
          <w:sz w:val="32"/>
        </w:rPr>
        <w:t>世</w:t>
      </w:r>
      <w:r>
        <w:rPr>
          <w:rFonts w:ascii="Microsoft JhengHei" w:eastAsia="Microsoft JhengHei"/>
          <w:b/>
          <w:w w:val="95"/>
          <w:sz w:val="32"/>
        </w:rPr>
        <w:t>（</w:t>
      </w:r>
      <w:r>
        <w:rPr>
          <w:rFonts w:ascii="Microsoft JhengHei" w:eastAsia="Microsoft JhengHei"/>
          <w:b/>
          <w:w w:val="95"/>
          <w:sz w:val="32"/>
        </w:rPr>
        <w:t>黄</w:t>
      </w:r>
      <w:r>
        <w:rPr>
          <w:rFonts w:ascii="Microsoft JhengHei" w:eastAsia="Microsoft JhengHei"/>
          <w:b/>
          <w:w w:val="95"/>
          <w:sz w:val="32"/>
        </w:rPr>
        <w:t>金</w:t>
      </w:r>
      <w:r>
        <w:rPr>
          <w:rFonts w:ascii="Microsoft JhengHei" w:eastAsia="Microsoft JhengHei"/>
          <w:b/>
          <w:w w:val="95"/>
          <w:sz w:val="32"/>
        </w:rPr>
        <w:t>版</w:t>
      </w:r>
      <w:r>
        <w:rPr>
          <w:rFonts w:ascii="Microsoft JhengHei" w:eastAsia="Microsoft JhengHei"/>
          <w:b/>
          <w:w w:val="95"/>
          <w:sz w:val="32"/>
        </w:rPr>
        <w:t>）</w:t>
      </w:r>
      <w:r>
        <w:rPr>
          <w:rFonts w:ascii="Microsoft JhengHei" w:eastAsia="Microsoft JhengHei"/>
          <w:b/>
          <w:w w:val="95"/>
          <w:sz w:val="32"/>
        </w:rPr>
        <w:t>终</w:t>
      </w:r>
      <w:r>
        <w:rPr>
          <w:rFonts w:ascii="Microsoft JhengHei" w:eastAsia="Microsoft JhengHei"/>
          <w:b/>
          <w:w w:val="95"/>
          <w:sz w:val="32"/>
        </w:rPr>
        <w:t>身</w:t>
      </w:r>
      <w:r>
        <w:rPr>
          <w:rFonts w:ascii="Microsoft JhengHei" w:eastAsia="Microsoft JhengHei"/>
          <w:b/>
          <w:spacing w:val="-3"/>
          <w:w w:val="95"/>
          <w:sz w:val="32"/>
        </w:rPr>
        <w:t>寿险条款</w:t>
      </w:r>
    </w:p>
    <w:p>
      <w:pPr>
        <w:spacing w:before="35"/>
        <w:ind w:left="2555" w:right="134" w:firstLine="0"/>
        <w:jc w:val="center"/>
        <w:rPr>
          <w:rFonts w:ascii="Microsoft JhengHei" w:eastAsia="Microsoft JhengHei"/>
          <w:b/>
          <w:sz w:val="32"/>
        </w:rPr>
      </w:pPr>
      <w:r>
        <w:rPr>
          <w:rFonts w:ascii="Microsoft JhengHei" w:eastAsia="Microsoft JhengHei"/>
          <w:b/>
          <w:sz w:val="32"/>
        </w:rPr>
        <w:t>阅</w:t>
      </w:r>
      <w:r>
        <w:rPr>
          <w:rFonts w:ascii="Microsoft JhengHei" w:eastAsia="Microsoft JhengHei"/>
          <w:b/>
          <w:spacing w:val="41"/>
          <w:w w:val="150"/>
          <w:sz w:val="32"/>
        </w:rPr>
        <w:t> </w:t>
      </w:r>
      <w:r>
        <w:rPr>
          <w:rFonts w:ascii="Microsoft JhengHei" w:eastAsia="Microsoft JhengHei"/>
          <w:b/>
          <w:spacing w:val="25"/>
          <w:sz w:val="32"/>
        </w:rPr>
        <w:t>读 指</w:t>
      </w:r>
      <w:r>
        <w:rPr>
          <w:rFonts w:ascii="Microsoft JhengHei" w:eastAsia="Microsoft JhengHei"/>
          <w:b/>
          <w:spacing w:val="40"/>
          <w:w w:val="150"/>
          <w:sz w:val="32"/>
        </w:rPr>
        <w:t> </w:t>
      </w:r>
      <w:r>
        <w:rPr>
          <w:rFonts w:ascii="Microsoft JhengHei" w:eastAsia="Microsoft JhengHei"/>
          <w:b/>
          <w:spacing w:val="-10"/>
          <w:sz w:val="32"/>
        </w:rPr>
        <w:t>引</w:t>
      </w:r>
    </w:p>
    <w:p>
      <w:pPr>
        <w:spacing w:line="240" w:lineRule="auto" w:before="0"/>
        <w:rPr>
          <w:rFonts w:ascii="Microsoft JhengHei"/>
          <w:b/>
          <w:sz w:val="14"/>
        </w:rPr>
      </w:pPr>
      <w:r>
        <w:rPr/>
        <w:br w:type="column"/>
      </w:r>
      <w:r>
        <w:rPr>
          <w:rFonts w:ascii="Microsoft JhengHei"/>
          <w:b/>
          <w:sz w:val="14"/>
        </w:rPr>
      </w:r>
    </w:p>
    <w:p>
      <w:pPr>
        <w:pStyle w:val="BodyText"/>
        <w:ind w:left="0"/>
        <w:rPr>
          <w:rFonts w:ascii="Microsoft JhengHei"/>
          <w:b/>
          <w:sz w:val="14"/>
        </w:rPr>
      </w:pPr>
    </w:p>
    <w:p>
      <w:pPr>
        <w:pStyle w:val="BodyText"/>
        <w:ind w:left="0"/>
        <w:rPr>
          <w:rFonts w:ascii="Microsoft JhengHei"/>
          <w:b/>
          <w:sz w:val="14"/>
        </w:rPr>
      </w:pPr>
    </w:p>
    <w:p>
      <w:pPr>
        <w:pStyle w:val="BodyText"/>
        <w:spacing w:before="8"/>
        <w:ind w:left="0"/>
        <w:rPr>
          <w:rFonts w:ascii="Microsoft JhengHei"/>
          <w:b/>
          <w:sz w:val="7"/>
        </w:rPr>
      </w:pPr>
    </w:p>
    <w:p>
      <w:pPr>
        <w:spacing w:before="0"/>
        <w:ind w:left="802" w:right="0" w:firstLine="0"/>
        <w:jc w:val="left"/>
        <w:rPr>
          <w:sz w:val="15"/>
        </w:rPr>
      </w:pPr>
      <w:r>
        <w:rPr>
          <w:spacing w:val="-3"/>
          <w:sz w:val="15"/>
        </w:rPr>
        <w:t>请扫描以查询验证条款</w:t>
      </w:r>
    </w:p>
    <w:p>
      <w:pPr>
        <w:spacing w:after="0"/>
        <w:jc w:val="left"/>
        <w:rPr>
          <w:sz w:val="15"/>
        </w:rPr>
        <w:sectPr>
          <w:type w:val="continuous"/>
          <w:pgSz w:w="11910" w:h="16840"/>
          <w:pgMar w:top="620" w:bottom="280" w:left="800" w:right="700"/>
          <w:cols w:num="2" w:equalWidth="0">
            <w:col w:w="7885" w:space="40"/>
            <w:col w:w="2485"/>
          </w:cols>
        </w:sectPr>
      </w:pPr>
    </w:p>
    <w:p>
      <w:pPr>
        <w:pStyle w:val="BodyText"/>
        <w:spacing w:before="62"/>
        <w:ind w:left="844"/>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50"/>
        </w:rPr>
        <w:t>有</w:t>
      </w:r>
      <w:r>
        <w:rPr>
          <w:spacing w:val="-63"/>
          <w:position w:val="-7"/>
        </w:rPr>
        <w:t>．</w:t>
      </w:r>
      <w:r>
        <w:rPr>
          <w:spacing w:val="-152"/>
        </w:rPr>
        <w:t>助</w:t>
      </w:r>
      <w:r>
        <w:rPr>
          <w:spacing w:val="-63"/>
          <w:position w:val="-7"/>
        </w:rPr>
        <w:t>．</w:t>
      </w:r>
      <w:r>
        <w:rPr>
          <w:spacing w:val="-150"/>
        </w:rPr>
        <w:t>于</w:t>
      </w:r>
      <w:r>
        <w:rPr>
          <w:spacing w:val="-63"/>
          <w:position w:val="-7"/>
        </w:rPr>
        <w:t>．</w:t>
      </w:r>
      <w:r>
        <w:rPr>
          <w:spacing w:val="-152"/>
        </w:rPr>
        <w:t>您</w:t>
      </w:r>
      <w:r>
        <w:rPr>
          <w:spacing w:val="-92"/>
          <w:position w:val="-7"/>
        </w:rPr>
        <w:t>．</w:t>
      </w:r>
      <w:r>
        <w:rPr>
          <w:spacing w:val="-92"/>
        </w:rPr>
        <w:t>（</w:t>
      </w:r>
      <w:r>
        <w:rPr>
          <w:spacing w:val="-92"/>
          <w:position w:val="-7"/>
        </w:rPr>
        <w:t>．</w:t>
      </w:r>
      <w:r>
        <w:rPr>
          <w:spacing w:val="-151"/>
        </w:rPr>
        <w:t>投</w:t>
      </w:r>
      <w:r>
        <w:rPr>
          <w:spacing w:val="-63"/>
          <w:position w:val="-7"/>
        </w:rPr>
        <w:t>．</w:t>
      </w:r>
      <w:r>
        <w:rPr>
          <w:spacing w:val="-149"/>
        </w:rPr>
        <w:t>保</w:t>
      </w:r>
      <w:r>
        <w:rPr>
          <w:spacing w:val="-63"/>
          <w:position w:val="-7"/>
        </w:rPr>
        <w:t>．</w:t>
      </w:r>
      <w:r>
        <w:rPr>
          <w:spacing w:val="-149"/>
        </w:rPr>
        <w:t>人</w:t>
      </w:r>
      <w:r>
        <w:rPr>
          <w:spacing w:val="-93"/>
          <w:position w:val="-7"/>
        </w:rPr>
        <w:t>．</w:t>
      </w:r>
      <w:r>
        <w:rPr>
          <w:spacing w:val="-93"/>
        </w:rPr>
        <w:t>，</w:t>
      </w:r>
      <w:r>
        <w:rPr>
          <w:spacing w:val="-93"/>
          <w:position w:val="-7"/>
        </w:rPr>
        <w:t>．</w:t>
      </w:r>
      <w:r>
        <w:rPr>
          <w:spacing w:val="-149"/>
        </w:rPr>
        <w:t>以</w:t>
      </w:r>
      <w:r>
        <w:rPr>
          <w:spacing w:val="-63"/>
          <w:position w:val="-7"/>
        </w:rPr>
        <w:t>．</w:t>
      </w:r>
      <w:r>
        <w:rPr>
          <w:spacing w:val="-151"/>
        </w:rPr>
        <w:t>下</w:t>
      </w:r>
      <w:r>
        <w:rPr>
          <w:spacing w:val="-63"/>
          <w:position w:val="-7"/>
        </w:rPr>
        <w:t>．</w:t>
      </w:r>
      <w:r>
        <w:rPr>
          <w:spacing w:val="-149"/>
        </w:rPr>
        <w:t>含</w:t>
      </w:r>
      <w:r>
        <w:rPr>
          <w:spacing w:val="-63"/>
          <w:position w:val="-7"/>
        </w:rPr>
        <w:t>．</w:t>
      </w:r>
      <w:r>
        <w:rPr>
          <w:spacing w:val="-151"/>
        </w:rPr>
        <w:t>义</w:t>
      </w:r>
      <w:r>
        <w:rPr>
          <w:spacing w:val="-63"/>
          <w:position w:val="-7"/>
        </w:rPr>
        <w:t>．</w:t>
      </w:r>
      <w:r>
        <w:rPr>
          <w:spacing w:val="-149"/>
        </w:rPr>
        <w:t>相</w:t>
      </w:r>
      <w:r>
        <w:rPr>
          <w:spacing w:val="-63"/>
          <w:position w:val="-7"/>
        </w:rPr>
        <w:t>．</w:t>
      </w:r>
      <w:r>
        <w:rPr>
          <w:spacing w:val="-151"/>
        </w:rPr>
        <w:t>同</w:t>
      </w:r>
      <w:r>
        <w:rPr>
          <w:spacing w:val="-92"/>
          <w:position w:val="-7"/>
        </w:rPr>
        <w:t>．</w:t>
      </w:r>
      <w:r>
        <w:rPr>
          <w:spacing w:val="-92"/>
        </w:rPr>
        <w:t>）</w:t>
      </w:r>
      <w:r>
        <w:rPr>
          <w:spacing w:val="-92"/>
          <w:position w:val="-7"/>
        </w:rPr>
        <w:t>．</w:t>
      </w:r>
      <w:r>
        <w:rPr>
          <w:spacing w:val="-152"/>
        </w:rPr>
        <w:t>理</w:t>
      </w:r>
      <w:r>
        <w:rPr>
          <w:spacing w:val="-63"/>
          <w:position w:val="-7"/>
        </w:rPr>
        <w:t>．</w:t>
      </w:r>
      <w:r>
        <w:rPr>
          <w:spacing w:val="-149"/>
        </w:rPr>
        <w:t>解</w:t>
      </w:r>
      <w:r>
        <w:rPr>
          <w:spacing w:val="-63"/>
          <w:position w:val="-7"/>
        </w:rPr>
        <w:t>．</w:t>
      </w:r>
      <w:r>
        <w:rPr>
          <w:spacing w:val="-149"/>
        </w:rPr>
        <w:t>条</w:t>
      </w:r>
      <w:r>
        <w:rPr>
          <w:spacing w:val="-63"/>
          <w:position w:val="-7"/>
        </w:rPr>
        <w:t>．</w:t>
      </w:r>
      <w:r>
        <w:rPr>
          <w:spacing w:val="-151"/>
        </w:rPr>
        <w:t>款</w:t>
      </w:r>
      <w:r>
        <w:rPr>
          <w:spacing w:val="-92"/>
          <w:position w:val="-7"/>
        </w:rPr>
        <w:t>．</w:t>
      </w:r>
      <w:r>
        <w:rPr>
          <w:spacing w:val="-92"/>
        </w:rPr>
        <w:t>，</w:t>
      </w:r>
      <w:r>
        <w:rPr>
          <w:spacing w:val="-92"/>
          <w:position w:val="-7"/>
        </w:rPr>
        <w:t>．</w:t>
      </w:r>
      <w:r>
        <w:rPr>
          <w:spacing w:val="-151"/>
        </w:rPr>
        <w:t>对</w:t>
      </w:r>
      <w:r>
        <w:rPr>
          <w:spacing w:val="-63"/>
          <w:position w:val="-7"/>
        </w:rPr>
        <w:t>．</w:t>
      </w:r>
      <w:r>
        <w:rPr>
          <w:spacing w:val="-149"/>
        </w:rPr>
        <w:t>本</w:t>
      </w:r>
      <w:r>
        <w:rPr>
          <w:spacing w:val="-63"/>
          <w:position w:val="-7"/>
        </w:rPr>
        <w:t>．</w:t>
      </w:r>
      <w:r>
        <w:rPr>
          <w:spacing w:val="-152"/>
        </w:rPr>
        <w:t>合</w:t>
      </w:r>
      <w:r>
        <w:rPr>
          <w:spacing w:val="-63"/>
          <w:position w:val="-7"/>
        </w:rPr>
        <w:t>．</w:t>
      </w:r>
      <w:r>
        <w:rPr>
          <w:spacing w:val="-149"/>
        </w:rPr>
        <w:t>同</w:t>
      </w:r>
      <w:r>
        <w:rPr>
          <w:spacing w:val="-63"/>
          <w:position w:val="-7"/>
        </w:rPr>
        <w:t>．</w:t>
      </w:r>
      <w:r>
        <w:rPr>
          <w:spacing w:val="-152"/>
        </w:rPr>
        <w:t>内</w:t>
      </w:r>
      <w:r>
        <w:rPr>
          <w:spacing w:val="-63"/>
          <w:position w:val="-7"/>
        </w:rPr>
        <w:t>．</w:t>
      </w:r>
      <w:r>
        <w:rPr>
          <w:spacing w:val="-149"/>
        </w:rPr>
        <w:t>容</w:t>
      </w:r>
      <w:r>
        <w:rPr>
          <w:spacing w:val="-63"/>
          <w:position w:val="-7"/>
        </w:rPr>
        <w:t>．</w:t>
      </w:r>
      <w:r>
        <w:rPr>
          <w:spacing w:val="-152"/>
        </w:rPr>
        <w:t>的</w:t>
      </w:r>
      <w:r>
        <w:rPr>
          <w:spacing w:val="-63"/>
          <w:position w:val="-7"/>
        </w:rPr>
        <w:t>．</w:t>
      </w:r>
      <w:r>
        <w:rPr>
          <w:spacing w:val="-149"/>
        </w:rPr>
        <w:t>解</w:t>
      </w:r>
      <w:r>
        <w:rPr>
          <w:spacing w:val="-63"/>
          <w:position w:val="-7"/>
        </w:rPr>
        <w:t>．</w:t>
      </w:r>
      <w:r>
        <w:rPr>
          <w:spacing w:val="-149"/>
        </w:rPr>
        <w:t>释</w:t>
      </w:r>
      <w:r>
        <w:rPr>
          <w:spacing w:val="-63"/>
          <w:position w:val="-7"/>
        </w:rPr>
        <w:t>．</w:t>
      </w:r>
      <w:r>
        <w:rPr>
          <w:spacing w:val="-151"/>
        </w:rPr>
        <w:t>以</w:t>
      </w:r>
      <w:r>
        <w:rPr>
          <w:spacing w:val="-63"/>
          <w:position w:val="-7"/>
        </w:rPr>
        <w:t>．</w:t>
      </w:r>
      <w:r>
        <w:rPr>
          <w:spacing w:val="-149"/>
        </w:rPr>
        <w:t>条</w:t>
      </w:r>
      <w:r>
        <w:rPr>
          <w:spacing w:val="-63"/>
          <w:position w:val="-7"/>
        </w:rPr>
        <w:t>．</w:t>
      </w:r>
      <w:r>
        <w:rPr>
          <w:spacing w:val="-151"/>
        </w:rPr>
        <w:t>款</w:t>
      </w:r>
      <w:r>
        <w:rPr>
          <w:spacing w:val="-63"/>
          <w:position w:val="-7"/>
        </w:rPr>
        <w:t>．</w:t>
      </w:r>
      <w:r>
        <w:rPr>
          <w:spacing w:val="-149"/>
        </w:rPr>
        <w:t>为</w:t>
      </w:r>
      <w:r>
        <w:rPr>
          <w:spacing w:val="-63"/>
          <w:position w:val="-7"/>
        </w:rPr>
        <w:t>．</w:t>
      </w:r>
      <w:r>
        <w:rPr>
          <w:spacing w:val="-151"/>
        </w:rPr>
        <w:t>准</w:t>
      </w:r>
      <w:r>
        <w:rPr>
          <w:spacing w:val="-63"/>
          <w:position w:val="-7"/>
        </w:rPr>
        <w:t>．</w:t>
      </w:r>
      <w:r>
        <w:rPr>
          <w:spacing w:val="-10"/>
        </w:rPr>
        <w:t>。</w:t>
      </w:r>
    </w:p>
    <w:p>
      <w:pPr>
        <w:pStyle w:val="BodyText"/>
        <w:spacing w:before="3"/>
        <w:ind w:left="0"/>
        <w:rPr>
          <w:sz w:val="20"/>
        </w:rPr>
      </w:pPr>
    </w:p>
    <w:p>
      <w:pPr>
        <w:pStyle w:val="Heading2"/>
        <w:tabs>
          <w:tab w:pos="1230" w:val="left" w:leader="none"/>
        </w:tabs>
        <w:spacing w:line="240" w:lineRule="auto" w:before="1"/>
        <w:ind w:left="220" w:firstLine="0"/>
      </w:pPr>
      <w:r>
        <w:rPr/>
        <w:drawing>
          <wp:anchor distT="0" distB="0" distL="0" distR="0" allowOverlap="1" layoutInCell="1" locked="0" behindDoc="1" simplePos="0" relativeHeight="487100928">
            <wp:simplePos x="0" y="0"/>
            <wp:positionH relativeFrom="page">
              <wp:posOffset>559308</wp:posOffset>
            </wp:positionH>
            <wp:positionV relativeFrom="paragraph">
              <wp:posOffset>-60771</wp:posOffset>
            </wp:positionV>
            <wp:extent cx="6511798" cy="796234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11798" cy="7962341"/>
                    </a:xfrm>
                    <a:prstGeom prst="rect">
                      <a:avLst/>
                    </a:prstGeom>
                  </pic:spPr>
                </pic:pic>
              </a:graphicData>
            </a:graphic>
          </wp:anchor>
        </w:drawing>
      </w: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pStyle w:val="ListParagraph"/>
        <w:numPr>
          <w:ilvl w:val="0"/>
          <w:numId w:val="1"/>
        </w:numPr>
        <w:tabs>
          <w:tab w:pos="1612" w:val="left" w:leader="none"/>
          <w:tab w:pos="1613" w:val="left" w:leader="none"/>
          <w:tab w:pos="10121" w:val="right" w:leader="dot"/>
        </w:tabs>
        <w:spacing w:line="240" w:lineRule="auto" w:before="62" w:after="0"/>
        <w:ind w:left="1612" w:right="0" w:hanging="421"/>
        <w:jc w:val="left"/>
        <w:rPr>
          <w:sz w:val="21"/>
        </w:rPr>
      </w:pPr>
      <w:r>
        <w:rPr>
          <w:spacing w:val="-2"/>
          <w:sz w:val="21"/>
        </w:rPr>
        <w:t>在</w:t>
      </w:r>
      <w:r>
        <w:rPr>
          <w:spacing w:val="-2"/>
          <w:sz w:val="21"/>
        </w:rPr>
        <w:t>犹</w:t>
      </w:r>
      <w:r>
        <w:rPr>
          <w:spacing w:val="-2"/>
          <w:sz w:val="21"/>
        </w:rPr>
        <w:t>豫期内您可以要求退</w:t>
      </w:r>
      <w:r>
        <w:rPr>
          <w:spacing w:val="-2"/>
          <w:sz w:val="21"/>
        </w:rPr>
        <w:t>还</w:t>
      </w:r>
      <w:r>
        <w:rPr>
          <w:spacing w:val="-2"/>
          <w:sz w:val="21"/>
        </w:rPr>
        <w:t>全</w:t>
      </w:r>
      <w:r>
        <w:rPr>
          <w:spacing w:val="-2"/>
          <w:sz w:val="21"/>
        </w:rPr>
        <w:t>部保险</w:t>
      </w:r>
      <w:r>
        <w:rPr>
          <w:spacing w:val="-10"/>
          <w:sz w:val="21"/>
        </w:rPr>
        <w:t>费</w:t>
      </w:r>
      <w:r>
        <w:rPr>
          <w:rFonts w:ascii="Times New Roman" w:hAnsi="Times New Roman" w:eastAsia="Times New Roman"/>
          <w:sz w:val="21"/>
        </w:rPr>
        <w:tab/>
      </w:r>
      <w:r>
        <w:rPr>
          <w:spacing w:val="-5"/>
          <w:sz w:val="21"/>
        </w:rPr>
        <w:t>1.4</w:t>
      </w:r>
    </w:p>
    <w:p>
      <w:pPr>
        <w:pStyle w:val="ListParagraph"/>
        <w:numPr>
          <w:ilvl w:val="0"/>
          <w:numId w:val="1"/>
        </w:numPr>
        <w:tabs>
          <w:tab w:pos="1612" w:val="left" w:leader="none"/>
          <w:tab w:pos="1613" w:val="left" w:leader="none"/>
          <w:tab w:pos="10121" w:val="right" w:leader="dot"/>
        </w:tabs>
        <w:spacing w:line="240" w:lineRule="auto" w:before="42" w:after="0"/>
        <w:ind w:left="1612" w:right="0" w:hanging="421"/>
        <w:jc w:val="left"/>
        <w:rPr>
          <w:sz w:val="21"/>
        </w:rPr>
      </w:pPr>
      <w:r>
        <w:rPr>
          <w:spacing w:val="-2"/>
          <w:sz w:val="21"/>
        </w:rPr>
        <w:t>被</w:t>
      </w:r>
      <w:r>
        <w:rPr>
          <w:spacing w:val="-2"/>
          <w:sz w:val="21"/>
        </w:rPr>
        <w:t>保</w:t>
      </w:r>
      <w:r>
        <w:rPr>
          <w:spacing w:val="-2"/>
          <w:sz w:val="21"/>
        </w:rPr>
        <w:t>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2.1</w:t>
      </w:r>
    </w:p>
    <w:p>
      <w:pPr>
        <w:pStyle w:val="ListParagraph"/>
        <w:numPr>
          <w:ilvl w:val="0"/>
          <w:numId w:val="1"/>
        </w:numPr>
        <w:tabs>
          <w:tab w:pos="1612" w:val="left" w:leader="none"/>
          <w:tab w:pos="1613" w:val="left" w:leader="none"/>
          <w:tab w:pos="10121" w:val="right" w:leader="dot"/>
        </w:tabs>
        <w:spacing w:line="240" w:lineRule="auto" w:before="43" w:after="0"/>
        <w:ind w:left="1612" w:right="0" w:hanging="421"/>
        <w:jc w:val="left"/>
        <w:rPr>
          <w:sz w:val="21"/>
        </w:rPr>
      </w:pPr>
      <w:r>
        <w:rPr>
          <w:spacing w:val="-2"/>
          <w:sz w:val="21"/>
        </w:rPr>
        <w:t>您</w:t>
      </w:r>
      <w:r>
        <w:rPr>
          <w:spacing w:val="-2"/>
          <w:sz w:val="21"/>
        </w:rPr>
        <w:t>有</w:t>
      </w:r>
      <w:r>
        <w:rPr>
          <w:spacing w:val="-2"/>
          <w:sz w:val="21"/>
        </w:rPr>
        <w:t>按合同约定申请保单</w:t>
      </w:r>
      <w:r>
        <w:rPr>
          <w:spacing w:val="-2"/>
          <w:sz w:val="21"/>
        </w:rPr>
        <w:t>贷</w:t>
      </w:r>
      <w:r>
        <w:rPr>
          <w:spacing w:val="-2"/>
          <w:sz w:val="21"/>
        </w:rPr>
        <w:t>款</w:t>
      </w:r>
      <w:r>
        <w:rPr>
          <w:spacing w:val="-2"/>
          <w:sz w:val="21"/>
        </w:rPr>
        <w:t>的</w:t>
      </w:r>
      <w:r>
        <w:rPr>
          <w:spacing w:val="-2"/>
          <w:sz w:val="21"/>
        </w:rPr>
        <w:t>权</w:t>
      </w:r>
      <w:r>
        <w:rPr>
          <w:spacing w:val="-10"/>
          <w:sz w:val="21"/>
        </w:rPr>
        <w:t>利</w:t>
      </w:r>
      <w:r>
        <w:rPr>
          <w:rFonts w:ascii="Times New Roman" w:hAnsi="Times New Roman" w:eastAsia="Times New Roman"/>
          <w:sz w:val="21"/>
        </w:rPr>
        <w:tab/>
      </w:r>
      <w:r>
        <w:rPr>
          <w:spacing w:val="-5"/>
          <w:sz w:val="21"/>
        </w:rPr>
        <w:t>5.2</w:t>
      </w:r>
    </w:p>
    <w:p>
      <w:pPr>
        <w:pStyle w:val="ListParagraph"/>
        <w:numPr>
          <w:ilvl w:val="0"/>
          <w:numId w:val="1"/>
        </w:numPr>
        <w:tabs>
          <w:tab w:pos="1612" w:val="left" w:leader="none"/>
          <w:tab w:pos="1613" w:val="left" w:leader="none"/>
          <w:tab w:pos="10119" w:val="right" w:leader="dot"/>
        </w:tabs>
        <w:spacing w:line="240" w:lineRule="auto" w:before="43" w:after="0"/>
        <w:ind w:left="1612" w:right="0" w:hanging="421"/>
        <w:jc w:val="left"/>
        <w:rPr>
          <w:sz w:val="21"/>
        </w:rPr>
      </w:pPr>
      <w:r>
        <w:rPr>
          <w:spacing w:val="-2"/>
          <w:sz w:val="21"/>
        </w:rPr>
        <w:t>您</w:t>
      </w:r>
      <w:r>
        <w:rPr>
          <w:spacing w:val="-2"/>
          <w:sz w:val="21"/>
        </w:rPr>
        <w:t>有</w:t>
      </w:r>
      <w:r>
        <w:rPr>
          <w:spacing w:val="-2"/>
          <w:sz w:val="21"/>
        </w:rPr>
        <w:t>解除合同的</w:t>
      </w:r>
      <w:r>
        <w:rPr>
          <w:spacing w:val="-2"/>
          <w:sz w:val="21"/>
        </w:rPr>
        <w:t>权</w:t>
      </w:r>
      <w:r>
        <w:rPr>
          <w:spacing w:val="-10"/>
          <w:sz w:val="21"/>
        </w:rPr>
        <w:t>利</w:t>
      </w:r>
      <w:r>
        <w:rPr>
          <w:rFonts w:ascii="Times New Roman" w:hAnsi="Times New Roman" w:eastAsia="Times New Roman"/>
          <w:sz w:val="21"/>
        </w:rPr>
        <w:tab/>
      </w:r>
      <w:r>
        <w:rPr>
          <w:spacing w:val="-5"/>
          <w:sz w:val="21"/>
        </w:rPr>
        <w:t>7.1</w:t>
      </w:r>
    </w:p>
    <w:p>
      <w:pPr>
        <w:pStyle w:val="Heading2"/>
        <w:tabs>
          <w:tab w:pos="1230" w:val="left" w:leader="none"/>
        </w:tabs>
        <w:spacing w:line="240" w:lineRule="auto" w:before="58"/>
        <w:ind w:left="220"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612" w:val="left" w:leader="none"/>
          <w:tab w:pos="1613" w:val="left" w:leader="none"/>
          <w:tab w:pos="10121" w:val="right" w:leader="dot"/>
        </w:tabs>
        <w:spacing w:line="240" w:lineRule="auto" w:before="62" w:after="0"/>
        <w:ind w:left="1612" w:right="0" w:hanging="421"/>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2.2</w:t>
      </w:r>
    </w:p>
    <w:p>
      <w:pPr>
        <w:pStyle w:val="ListParagraph"/>
        <w:numPr>
          <w:ilvl w:val="0"/>
          <w:numId w:val="1"/>
        </w:numPr>
        <w:tabs>
          <w:tab w:pos="1612" w:val="left" w:leader="none"/>
          <w:tab w:pos="1613" w:val="left" w:leader="none"/>
          <w:tab w:pos="10121" w:val="right" w:leader="dot"/>
        </w:tabs>
        <w:spacing w:line="240" w:lineRule="auto" w:before="43" w:after="0"/>
        <w:ind w:left="1612" w:right="0" w:hanging="421"/>
        <w:jc w:val="left"/>
        <w:rPr>
          <w:sz w:val="21"/>
        </w:rPr>
      </w:pPr>
      <w:r>
        <w:rPr>
          <w:spacing w:val="-2"/>
          <w:sz w:val="21"/>
        </w:rPr>
        <w:t>保</w:t>
      </w:r>
      <w:r>
        <w:rPr>
          <w:spacing w:val="-2"/>
          <w:sz w:val="21"/>
        </w:rPr>
        <w:t>险</w:t>
      </w:r>
      <w:r>
        <w:rPr>
          <w:spacing w:val="-2"/>
          <w:sz w:val="21"/>
        </w:rPr>
        <w:t>事故发生后请您及时</w:t>
      </w:r>
      <w:r>
        <w:rPr>
          <w:spacing w:val="-2"/>
          <w:sz w:val="21"/>
        </w:rPr>
        <w:t>通</w:t>
      </w:r>
      <w:r>
        <w:rPr>
          <w:spacing w:val="-2"/>
          <w:sz w:val="21"/>
        </w:rPr>
        <w:t>知</w:t>
      </w:r>
      <w:r>
        <w:rPr>
          <w:spacing w:val="-2"/>
          <w:sz w:val="21"/>
        </w:rPr>
        <w:t>本</w:t>
      </w:r>
      <w:r>
        <w:rPr>
          <w:spacing w:val="-2"/>
          <w:sz w:val="21"/>
        </w:rPr>
        <w:t>公</w:t>
      </w:r>
      <w:r>
        <w:rPr>
          <w:spacing w:val="-10"/>
          <w:sz w:val="21"/>
        </w:rPr>
        <w:t>司</w:t>
      </w:r>
      <w:r>
        <w:rPr>
          <w:rFonts w:ascii="Times New Roman" w:hAnsi="Times New Roman" w:eastAsia="Times New Roman"/>
          <w:sz w:val="21"/>
        </w:rPr>
        <w:tab/>
      </w:r>
      <w:r>
        <w:rPr>
          <w:spacing w:val="-5"/>
          <w:sz w:val="21"/>
        </w:rPr>
        <w:t>3.2</w:t>
      </w:r>
    </w:p>
    <w:p>
      <w:pPr>
        <w:pStyle w:val="ListParagraph"/>
        <w:numPr>
          <w:ilvl w:val="0"/>
          <w:numId w:val="1"/>
        </w:numPr>
        <w:tabs>
          <w:tab w:pos="1612" w:val="left" w:leader="none"/>
          <w:tab w:pos="1613" w:val="left" w:leader="none"/>
          <w:tab w:pos="10119" w:val="right" w:leader="dot"/>
        </w:tabs>
        <w:spacing w:line="240" w:lineRule="auto" w:before="43" w:after="0"/>
        <w:ind w:left="1612" w:right="0" w:hanging="421"/>
        <w:jc w:val="left"/>
        <w:rPr>
          <w:sz w:val="21"/>
        </w:rPr>
      </w:pPr>
      <w:r>
        <w:rPr>
          <w:spacing w:val="-2"/>
          <w:sz w:val="21"/>
        </w:rPr>
        <w:t>您</w:t>
      </w:r>
      <w:r>
        <w:rPr>
          <w:spacing w:val="-2"/>
          <w:sz w:val="21"/>
        </w:rPr>
        <w:t>如</w:t>
      </w:r>
      <w:r>
        <w:rPr>
          <w:spacing w:val="-2"/>
          <w:sz w:val="21"/>
        </w:rPr>
        <w:t>何交付保险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612" w:val="left" w:leader="none"/>
          <w:tab w:pos="1613" w:val="left" w:leader="none"/>
          <w:tab w:pos="10119" w:val="right" w:leader="dot"/>
        </w:tabs>
        <w:spacing w:line="240" w:lineRule="auto" w:before="43" w:after="0"/>
        <w:ind w:left="1612"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612" w:val="left" w:leader="none"/>
          <w:tab w:pos="1613" w:val="left" w:leader="none"/>
          <w:tab w:pos="9913" w:val="right" w:leader="dot"/>
        </w:tabs>
        <w:spacing w:line="240" w:lineRule="auto" w:before="42" w:after="0"/>
        <w:ind w:left="1612" w:right="0" w:hanging="421"/>
        <w:jc w:val="left"/>
        <w:rPr>
          <w:sz w:val="21"/>
        </w:rPr>
      </w:pPr>
      <w:r>
        <w:rPr>
          <w:spacing w:val="-2"/>
          <w:sz w:val="21"/>
        </w:rPr>
        <w:t>本</w:t>
      </w:r>
      <w:r>
        <w:rPr>
          <w:spacing w:val="-2"/>
          <w:sz w:val="21"/>
        </w:rPr>
        <w:t>公</w:t>
      </w:r>
      <w:r>
        <w:rPr>
          <w:spacing w:val="-2"/>
          <w:sz w:val="21"/>
        </w:rPr>
        <w:t>司对一些重要术语进</w:t>
      </w:r>
      <w:r>
        <w:rPr>
          <w:spacing w:val="-2"/>
          <w:sz w:val="21"/>
        </w:rPr>
        <w:t>行</w:t>
      </w:r>
      <w:r>
        <w:rPr>
          <w:spacing w:val="-2"/>
          <w:sz w:val="21"/>
        </w:rPr>
        <w:t>了</w:t>
      </w:r>
      <w:r>
        <w:rPr>
          <w:spacing w:val="-2"/>
          <w:sz w:val="21"/>
        </w:rPr>
        <w:t>解释，并作了显著标</w:t>
      </w:r>
      <w:r>
        <w:rPr>
          <w:spacing w:val="-2"/>
          <w:sz w:val="21"/>
        </w:rPr>
        <w:t>识</w:t>
      </w:r>
      <w:r>
        <w:rPr>
          <w:spacing w:val="-2"/>
          <w:sz w:val="21"/>
        </w:rPr>
        <w:t>，请您注</w:t>
      </w:r>
      <w:r>
        <w:rPr>
          <w:spacing w:val="-10"/>
          <w:sz w:val="21"/>
        </w:rPr>
        <w:t>意</w:t>
      </w:r>
      <w:r>
        <w:rPr>
          <w:rFonts w:ascii="Times New Roman" w:hAnsi="Times New Roman" w:eastAsia="Times New Roman"/>
          <w:sz w:val="21"/>
        </w:rPr>
        <w:tab/>
      </w:r>
      <w:r>
        <w:rPr>
          <w:spacing w:val="-10"/>
          <w:sz w:val="21"/>
        </w:rPr>
        <w:t>9</w:t>
      </w:r>
    </w:p>
    <w:p>
      <w:pPr>
        <w:tabs>
          <w:tab w:pos="1230" w:val="left" w:leader="none"/>
        </w:tabs>
        <w:spacing w:line="208" w:lineRule="auto" w:before="60"/>
        <w:ind w:left="1235" w:right="740" w:hanging="1016"/>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2"/>
          <w:sz w:val="21"/>
        </w:rPr>
        <w:t>条款中加粗显示的内容是本公司不承担或限制承担保险责任的内容和释义，请您特别注意。</w:t>
      </w:r>
      <w:r>
        <w:rPr>
          <w:rFonts w:ascii="Microsoft JhengHei" w:hAnsi="Microsoft JhengHei" w:eastAsia="Microsoft JhengHei"/>
          <w:b/>
          <w:spacing w:val="-2"/>
          <w:sz w:val="21"/>
        </w:rPr>
        <w:t>条款中每个第一次出现的释义名词的右方有标注，其他相同的释义名词不另作标注。</w:t>
      </w:r>
    </w:p>
    <w:p>
      <w:pPr>
        <w:tabs>
          <w:tab w:pos="1230" w:val="left" w:leader="none"/>
        </w:tabs>
        <w:spacing w:line="382" w:lineRule="exact" w:before="5"/>
        <w:ind w:left="220"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line="382" w:lineRule="exact"/>
        <w:jc w:val="left"/>
        <w:rPr>
          <w:rFonts w:ascii="Microsoft JhengHei" w:hAnsi="Microsoft JhengHei" w:eastAsia="Microsoft JhengHei"/>
          <w:sz w:val="21"/>
        </w:rPr>
        <w:sectPr>
          <w:type w:val="continuous"/>
          <w:pgSz w:w="11910" w:h="16840"/>
          <w:pgMar w:top="620" w:bottom="280" w:left="800" w:right="700"/>
        </w:sectPr>
      </w:pPr>
    </w:p>
    <w:p>
      <w:pPr>
        <w:pStyle w:val="Heading2"/>
        <w:numPr>
          <w:ilvl w:val="0"/>
          <w:numId w:val="2"/>
        </w:numPr>
        <w:tabs>
          <w:tab w:pos="1280" w:val="left" w:leader="none"/>
        </w:tabs>
        <w:spacing w:line="298" w:lineRule="exact" w:before="0" w:after="0"/>
        <w:ind w:left="1279" w:right="0" w:hanging="318"/>
        <w:jc w:val="left"/>
      </w:pPr>
      <w:r>
        <w:rPr/>
        <w:pict>
          <v:shapetype id="_x0000_t202" o:spt="202" coordsize="21600,21600" path="m,l,21600r21600,l21600,xe">
            <v:stroke joinstyle="miter"/>
            <v:path gradientshapeok="t" o:connecttype="rect"/>
          </v:shapetype>
          <v:shape style="position:absolute;margin-left:96.164001pt;margin-top:15.646531pt;width:252pt;height:68pt;mso-position-horizontal-relative:page;mso-position-vertical-relative:paragraph;z-index:15729664" type="#_x0000_t202" id="docshape1"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1"/>
                    <w:gridCol w:w="2049"/>
                    <w:gridCol w:w="894"/>
                    <w:gridCol w:w="1626"/>
                  </w:tblGrid>
                  <w:tr>
                    <w:trPr>
                      <w:trHeight w:val="250" w:hRule="atLeast"/>
                    </w:trPr>
                    <w:tc>
                      <w:tcPr>
                        <w:tcW w:w="471" w:type="dxa"/>
                      </w:tcPr>
                      <w:p>
                        <w:pPr>
                          <w:pStyle w:val="TableParagraph"/>
                          <w:spacing w:line="231" w:lineRule="exact"/>
                          <w:ind w:left="39" w:right="91"/>
                          <w:jc w:val="center"/>
                          <w:rPr>
                            <w:sz w:val="21"/>
                          </w:rPr>
                        </w:pPr>
                        <w:r>
                          <w:rPr>
                            <w:spacing w:val="-5"/>
                            <w:sz w:val="21"/>
                          </w:rPr>
                          <w:t>1.1</w:t>
                        </w:r>
                      </w:p>
                    </w:tc>
                    <w:tc>
                      <w:tcPr>
                        <w:tcW w:w="2049" w:type="dxa"/>
                      </w:tcPr>
                      <w:p>
                        <w:pPr>
                          <w:pStyle w:val="TableParagraph"/>
                          <w:spacing w:line="231" w:lineRule="exact"/>
                          <w:ind w:left="104"/>
                          <w:rPr>
                            <w:sz w:val="21"/>
                          </w:rPr>
                        </w:pPr>
                        <w:r>
                          <w:rPr>
                            <w:spacing w:val="-4"/>
                            <w:sz w:val="21"/>
                          </w:rPr>
                          <w:t>合同构成</w:t>
                        </w:r>
                      </w:p>
                    </w:tc>
                    <w:tc>
                      <w:tcPr>
                        <w:tcW w:w="894" w:type="dxa"/>
                      </w:tcPr>
                      <w:p>
                        <w:pPr>
                          <w:pStyle w:val="TableParagraph"/>
                          <w:spacing w:line="231" w:lineRule="exact"/>
                          <w:ind w:right="102"/>
                          <w:jc w:val="right"/>
                          <w:rPr>
                            <w:sz w:val="21"/>
                          </w:rPr>
                        </w:pPr>
                        <w:r>
                          <w:rPr>
                            <w:spacing w:val="-5"/>
                            <w:sz w:val="21"/>
                          </w:rPr>
                          <w:t>5.1</w:t>
                        </w:r>
                      </w:p>
                    </w:tc>
                    <w:tc>
                      <w:tcPr>
                        <w:tcW w:w="1626" w:type="dxa"/>
                      </w:tcPr>
                      <w:p>
                        <w:pPr>
                          <w:pStyle w:val="TableParagraph"/>
                          <w:spacing w:line="231" w:lineRule="exact"/>
                          <w:ind w:left="104"/>
                          <w:rPr>
                            <w:sz w:val="21"/>
                          </w:rPr>
                        </w:pPr>
                        <w:r>
                          <w:rPr>
                            <w:spacing w:val="-4"/>
                            <w:sz w:val="21"/>
                          </w:rPr>
                          <w:t>现金价值</w:t>
                        </w:r>
                      </w:p>
                    </w:tc>
                  </w:tr>
                  <w:tr>
                    <w:trPr>
                      <w:trHeight w:val="291" w:hRule="atLeast"/>
                    </w:trPr>
                    <w:tc>
                      <w:tcPr>
                        <w:tcW w:w="471" w:type="dxa"/>
                      </w:tcPr>
                      <w:p>
                        <w:pPr>
                          <w:pStyle w:val="TableParagraph"/>
                          <w:spacing w:before="1"/>
                          <w:ind w:left="39" w:right="91"/>
                          <w:jc w:val="center"/>
                          <w:rPr>
                            <w:sz w:val="21"/>
                          </w:rPr>
                        </w:pPr>
                        <w:r>
                          <w:rPr>
                            <w:spacing w:val="-5"/>
                            <w:sz w:val="21"/>
                          </w:rPr>
                          <w:t>1.2</w:t>
                        </w:r>
                      </w:p>
                    </w:tc>
                    <w:tc>
                      <w:tcPr>
                        <w:tcW w:w="2049" w:type="dxa"/>
                      </w:tcPr>
                      <w:p>
                        <w:pPr>
                          <w:pStyle w:val="TableParagraph"/>
                          <w:spacing w:before="1"/>
                          <w:ind w:left="104"/>
                          <w:rPr>
                            <w:sz w:val="21"/>
                          </w:rPr>
                        </w:pPr>
                        <w:r>
                          <w:rPr>
                            <w:spacing w:val="-4"/>
                            <w:sz w:val="21"/>
                          </w:rPr>
                          <w:t>合同成立与生效</w:t>
                        </w:r>
                      </w:p>
                    </w:tc>
                    <w:tc>
                      <w:tcPr>
                        <w:tcW w:w="894" w:type="dxa"/>
                      </w:tcPr>
                      <w:p>
                        <w:pPr>
                          <w:pStyle w:val="TableParagraph"/>
                          <w:spacing w:line="239" w:lineRule="exact" w:before="32"/>
                          <w:ind w:right="102"/>
                          <w:jc w:val="right"/>
                          <w:rPr>
                            <w:sz w:val="21"/>
                          </w:rPr>
                        </w:pPr>
                        <w:r>
                          <w:rPr>
                            <w:spacing w:val="-5"/>
                            <w:sz w:val="21"/>
                          </w:rPr>
                          <w:t>5.2</w:t>
                        </w:r>
                      </w:p>
                    </w:tc>
                    <w:tc>
                      <w:tcPr>
                        <w:tcW w:w="1626" w:type="dxa"/>
                      </w:tcPr>
                      <w:p>
                        <w:pPr>
                          <w:pStyle w:val="TableParagraph"/>
                          <w:spacing w:line="239" w:lineRule="exact" w:before="32"/>
                          <w:ind w:left="104"/>
                          <w:rPr>
                            <w:sz w:val="21"/>
                          </w:rPr>
                        </w:pPr>
                        <w:r>
                          <w:rPr>
                            <w:spacing w:val="-4"/>
                            <w:sz w:val="21"/>
                          </w:rPr>
                          <w:t>保单贷款</w:t>
                        </w:r>
                      </w:p>
                    </w:tc>
                  </w:tr>
                  <w:tr>
                    <w:trPr>
                      <w:trHeight w:val="278" w:hRule="atLeast"/>
                    </w:trPr>
                    <w:tc>
                      <w:tcPr>
                        <w:tcW w:w="471" w:type="dxa"/>
                      </w:tcPr>
                      <w:p>
                        <w:pPr>
                          <w:pStyle w:val="TableParagraph"/>
                          <w:spacing w:line="258" w:lineRule="exact"/>
                          <w:ind w:left="39" w:right="91"/>
                          <w:jc w:val="center"/>
                          <w:rPr>
                            <w:sz w:val="21"/>
                          </w:rPr>
                        </w:pPr>
                        <w:r>
                          <w:rPr>
                            <w:spacing w:val="-5"/>
                            <w:sz w:val="21"/>
                          </w:rPr>
                          <w:t>1.3</w:t>
                        </w:r>
                      </w:p>
                    </w:tc>
                    <w:tc>
                      <w:tcPr>
                        <w:tcW w:w="2049" w:type="dxa"/>
                      </w:tcPr>
                      <w:p>
                        <w:pPr>
                          <w:pStyle w:val="TableParagraph"/>
                          <w:spacing w:line="258" w:lineRule="exact"/>
                          <w:ind w:left="104"/>
                          <w:rPr>
                            <w:sz w:val="21"/>
                          </w:rPr>
                        </w:pPr>
                        <w:r>
                          <w:rPr>
                            <w:spacing w:val="-4"/>
                            <w:sz w:val="21"/>
                          </w:rPr>
                          <w:t>投保范围</w:t>
                        </w:r>
                      </w:p>
                    </w:tc>
                    <w:tc>
                      <w:tcPr>
                        <w:tcW w:w="894" w:type="dxa"/>
                      </w:tcPr>
                      <w:p>
                        <w:pPr>
                          <w:pStyle w:val="TableParagraph"/>
                          <w:spacing w:line="239" w:lineRule="exact" w:before="19"/>
                          <w:ind w:right="102"/>
                          <w:jc w:val="right"/>
                          <w:rPr>
                            <w:sz w:val="21"/>
                          </w:rPr>
                        </w:pPr>
                        <w:r>
                          <w:rPr>
                            <w:spacing w:val="-5"/>
                            <w:sz w:val="21"/>
                          </w:rPr>
                          <w:t>5.3</w:t>
                        </w:r>
                      </w:p>
                    </w:tc>
                    <w:tc>
                      <w:tcPr>
                        <w:tcW w:w="1626" w:type="dxa"/>
                      </w:tcPr>
                      <w:p>
                        <w:pPr>
                          <w:pStyle w:val="TableParagraph"/>
                          <w:spacing w:line="239" w:lineRule="exact" w:before="19"/>
                          <w:ind w:left="104"/>
                          <w:rPr>
                            <w:sz w:val="21"/>
                          </w:rPr>
                        </w:pPr>
                        <w:r>
                          <w:rPr>
                            <w:spacing w:val="-4"/>
                            <w:sz w:val="21"/>
                          </w:rPr>
                          <w:t>减额交清</w:t>
                        </w:r>
                      </w:p>
                    </w:tc>
                  </w:tr>
                  <w:tr>
                    <w:trPr>
                      <w:trHeight w:val="296" w:hRule="atLeast"/>
                    </w:trPr>
                    <w:tc>
                      <w:tcPr>
                        <w:tcW w:w="471" w:type="dxa"/>
                      </w:tcPr>
                      <w:p>
                        <w:pPr>
                          <w:pStyle w:val="TableParagraph"/>
                          <w:spacing w:line="260" w:lineRule="exact"/>
                          <w:ind w:left="39" w:right="91"/>
                          <w:jc w:val="center"/>
                          <w:rPr>
                            <w:sz w:val="21"/>
                          </w:rPr>
                        </w:pPr>
                        <w:r>
                          <w:rPr>
                            <w:spacing w:val="-5"/>
                            <w:sz w:val="21"/>
                          </w:rPr>
                          <w:t>1.4</w:t>
                        </w:r>
                      </w:p>
                    </w:tc>
                    <w:tc>
                      <w:tcPr>
                        <w:tcW w:w="2049" w:type="dxa"/>
                      </w:tcPr>
                      <w:p>
                        <w:pPr>
                          <w:pStyle w:val="TableParagraph"/>
                          <w:spacing w:line="260" w:lineRule="exact"/>
                          <w:ind w:left="104"/>
                          <w:rPr>
                            <w:sz w:val="21"/>
                          </w:rPr>
                        </w:pPr>
                        <w:r>
                          <w:rPr>
                            <w:spacing w:val="-5"/>
                            <w:sz w:val="21"/>
                          </w:rPr>
                          <w:t>犹豫期</w:t>
                        </w:r>
                      </w:p>
                    </w:tc>
                    <w:tc>
                      <w:tcPr>
                        <w:tcW w:w="894" w:type="dxa"/>
                      </w:tcPr>
                      <w:p>
                        <w:pPr>
                          <w:pStyle w:val="TableParagraph"/>
                          <w:spacing w:line="254" w:lineRule="exact" w:before="22"/>
                          <w:ind w:right="102"/>
                          <w:jc w:val="right"/>
                          <w:rPr>
                            <w:sz w:val="21"/>
                          </w:rPr>
                        </w:pPr>
                        <w:r>
                          <w:rPr>
                            <w:spacing w:val="-5"/>
                            <w:sz w:val="21"/>
                          </w:rPr>
                          <w:t>5.4</w:t>
                        </w:r>
                      </w:p>
                    </w:tc>
                    <w:tc>
                      <w:tcPr>
                        <w:tcW w:w="1626" w:type="dxa"/>
                      </w:tcPr>
                      <w:p>
                        <w:pPr>
                          <w:pStyle w:val="TableParagraph"/>
                          <w:spacing w:line="254" w:lineRule="exact" w:before="22"/>
                          <w:ind w:left="104"/>
                          <w:rPr>
                            <w:sz w:val="21"/>
                          </w:rPr>
                        </w:pPr>
                        <w:r>
                          <w:rPr>
                            <w:spacing w:val="-4"/>
                            <w:sz w:val="21"/>
                          </w:rPr>
                          <w:t>保险金额的变更</w:t>
                        </w:r>
                      </w:p>
                    </w:tc>
                  </w:tr>
                  <w:tr>
                    <w:trPr>
                      <w:trHeight w:val="245" w:hRule="atLeast"/>
                    </w:trPr>
                    <w:tc>
                      <w:tcPr>
                        <w:tcW w:w="471" w:type="dxa"/>
                      </w:tcPr>
                      <w:p>
                        <w:pPr>
                          <w:pStyle w:val="TableParagraph"/>
                          <w:rPr>
                            <w:rFonts w:ascii="Times New Roman"/>
                            <w:sz w:val="16"/>
                          </w:rPr>
                        </w:pPr>
                      </w:p>
                    </w:tc>
                    <w:tc>
                      <w:tcPr>
                        <w:tcW w:w="2049" w:type="dxa"/>
                      </w:tcPr>
                      <w:p>
                        <w:pPr>
                          <w:pStyle w:val="TableParagraph"/>
                          <w:rPr>
                            <w:rFonts w:ascii="Times New Roman"/>
                            <w:sz w:val="16"/>
                          </w:rPr>
                        </w:pPr>
                      </w:p>
                    </w:tc>
                    <w:tc>
                      <w:tcPr>
                        <w:tcW w:w="894" w:type="dxa"/>
                      </w:tcPr>
                      <w:p>
                        <w:pPr>
                          <w:pStyle w:val="TableParagraph"/>
                          <w:spacing w:line="220" w:lineRule="exact" w:before="6"/>
                          <w:ind w:right="102"/>
                          <w:jc w:val="right"/>
                          <w:rPr>
                            <w:sz w:val="21"/>
                          </w:rPr>
                        </w:pPr>
                        <w:r>
                          <w:rPr>
                            <w:spacing w:val="-5"/>
                            <w:sz w:val="21"/>
                          </w:rPr>
                          <w:t>5.5</w:t>
                        </w:r>
                      </w:p>
                    </w:tc>
                    <w:tc>
                      <w:tcPr>
                        <w:tcW w:w="1626" w:type="dxa"/>
                      </w:tcPr>
                      <w:p>
                        <w:pPr>
                          <w:pStyle w:val="TableParagraph"/>
                          <w:spacing w:line="220" w:lineRule="exact" w:before="6"/>
                          <w:ind w:left="104"/>
                          <w:rPr>
                            <w:sz w:val="21"/>
                          </w:rPr>
                        </w:pPr>
                        <w:r>
                          <w:rPr>
                            <w:spacing w:val="-4"/>
                            <w:sz w:val="21"/>
                          </w:rPr>
                          <w:t>保险费自动垫交</w:t>
                        </w:r>
                      </w:p>
                    </w:tc>
                  </w:tr>
                </w:tbl>
                <w:p>
                  <w:pPr>
                    <w:pStyle w:val="BodyText"/>
                    <w:ind w:left="0"/>
                  </w:pPr>
                </w:p>
              </w:txbxContent>
            </v:textbox>
            <w10:wrap type="none"/>
          </v:shape>
        </w:pict>
      </w:r>
      <w:r>
        <w:rPr>
          <w:spacing w:val="-3"/>
        </w:rPr>
        <w:t>投保人与本公司的合同</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3"/>
        <w:ind w:left="0"/>
        <w:rPr>
          <w:rFonts w:ascii="Microsoft JhengHei"/>
          <w:b/>
          <w:sz w:val="12"/>
        </w:rPr>
      </w:pPr>
    </w:p>
    <w:p>
      <w:pPr>
        <w:pStyle w:val="ListParagraph"/>
        <w:numPr>
          <w:ilvl w:val="0"/>
          <w:numId w:val="2"/>
        </w:numPr>
        <w:tabs>
          <w:tab w:pos="1280" w:val="left" w:leader="none"/>
        </w:tabs>
        <w:spacing w:line="379" w:lineRule="exact" w:before="1" w:after="0"/>
        <w:ind w:left="1279" w:right="0" w:hanging="318"/>
        <w:jc w:val="left"/>
        <w:rPr>
          <w:rFonts w:ascii="Microsoft JhengHei" w:eastAsia="Microsoft JhengHei"/>
          <w:b/>
          <w:sz w:val="21"/>
        </w:rPr>
      </w:pPr>
      <w:r>
        <w:rPr>
          <w:rFonts w:ascii="Microsoft JhengHei" w:eastAsia="Microsoft JhengHei"/>
          <w:b/>
          <w:spacing w:val="-2"/>
          <w:sz w:val="21"/>
        </w:rPr>
        <w:t>本公司提供的保障</w:t>
      </w:r>
    </w:p>
    <w:p>
      <w:pPr>
        <w:pStyle w:val="ListParagraph"/>
        <w:numPr>
          <w:ilvl w:val="1"/>
          <w:numId w:val="2"/>
        </w:numPr>
        <w:tabs>
          <w:tab w:pos="1699" w:val="left" w:leader="none"/>
        </w:tabs>
        <w:spacing w:line="262" w:lineRule="exact" w:before="0" w:after="0"/>
        <w:ind w:left="1698" w:right="0" w:hanging="526"/>
        <w:jc w:val="left"/>
        <w:rPr>
          <w:sz w:val="21"/>
        </w:rPr>
      </w:pPr>
      <w:r>
        <w:rPr>
          <w:spacing w:val="-4"/>
          <w:sz w:val="21"/>
        </w:rPr>
        <w:t>保险责任</w:t>
      </w:r>
    </w:p>
    <w:p>
      <w:pPr>
        <w:pStyle w:val="ListParagraph"/>
        <w:numPr>
          <w:ilvl w:val="1"/>
          <w:numId w:val="2"/>
        </w:numPr>
        <w:tabs>
          <w:tab w:pos="1699" w:val="left" w:leader="none"/>
        </w:tabs>
        <w:spacing w:line="240" w:lineRule="auto" w:before="9" w:after="0"/>
        <w:ind w:left="1698" w:right="0" w:hanging="526"/>
        <w:jc w:val="left"/>
        <w:rPr>
          <w:sz w:val="21"/>
        </w:rPr>
      </w:pPr>
      <w:r>
        <w:rPr>
          <w:spacing w:val="-4"/>
          <w:sz w:val="21"/>
        </w:rPr>
        <w:t>责任免除</w:t>
      </w:r>
    </w:p>
    <w:p>
      <w:pPr>
        <w:pStyle w:val="ListParagraph"/>
        <w:numPr>
          <w:ilvl w:val="1"/>
          <w:numId w:val="2"/>
        </w:numPr>
        <w:tabs>
          <w:tab w:pos="1699" w:val="left" w:leader="none"/>
        </w:tabs>
        <w:spacing w:line="240" w:lineRule="auto" w:before="12" w:after="0"/>
        <w:ind w:left="1698" w:right="0" w:hanging="526"/>
        <w:jc w:val="left"/>
        <w:rPr>
          <w:sz w:val="21"/>
        </w:rPr>
      </w:pPr>
      <w:r>
        <w:rPr>
          <w:spacing w:val="-4"/>
          <w:sz w:val="21"/>
        </w:rPr>
        <w:t>基本保险金额</w:t>
      </w:r>
    </w:p>
    <w:p>
      <w:pPr>
        <w:pStyle w:val="ListParagraph"/>
        <w:numPr>
          <w:ilvl w:val="1"/>
          <w:numId w:val="2"/>
        </w:numPr>
        <w:tabs>
          <w:tab w:pos="1699" w:val="left" w:leader="none"/>
        </w:tabs>
        <w:spacing w:line="247" w:lineRule="auto" w:before="11" w:after="0"/>
        <w:ind w:left="1696" w:right="4" w:hanging="524"/>
        <w:jc w:val="left"/>
        <w:rPr>
          <w:sz w:val="21"/>
        </w:rPr>
      </w:pPr>
      <w:r>
        <w:rPr>
          <w:spacing w:val="-2"/>
          <w:sz w:val="21"/>
        </w:rPr>
        <w:t>未成年人身故利益</w:t>
      </w:r>
      <w:r>
        <w:rPr>
          <w:spacing w:val="-4"/>
          <w:sz w:val="21"/>
        </w:rPr>
        <w:t>给付限制</w:t>
      </w:r>
    </w:p>
    <w:p>
      <w:pPr>
        <w:pStyle w:val="ListParagraph"/>
        <w:numPr>
          <w:ilvl w:val="1"/>
          <w:numId w:val="2"/>
        </w:numPr>
        <w:tabs>
          <w:tab w:pos="1699" w:val="left" w:leader="none"/>
        </w:tabs>
        <w:spacing w:line="240" w:lineRule="auto" w:before="5" w:after="0"/>
        <w:ind w:left="1698" w:right="0" w:hanging="526"/>
        <w:jc w:val="left"/>
        <w:rPr>
          <w:sz w:val="21"/>
        </w:rPr>
      </w:pPr>
      <w:r>
        <w:rPr>
          <w:spacing w:val="-4"/>
          <w:sz w:val="21"/>
        </w:rPr>
        <w:t>保险期间</w:t>
      </w:r>
    </w:p>
    <w:p>
      <w:pPr>
        <w:pStyle w:val="BodyText"/>
        <w:spacing w:before="1"/>
        <w:ind w:left="0"/>
        <w:rPr>
          <w:sz w:val="18"/>
        </w:rPr>
      </w:pPr>
    </w:p>
    <w:p>
      <w:pPr>
        <w:pStyle w:val="Heading2"/>
        <w:numPr>
          <w:ilvl w:val="0"/>
          <w:numId w:val="2"/>
        </w:numPr>
        <w:tabs>
          <w:tab w:pos="1280" w:val="left" w:leader="none"/>
        </w:tabs>
        <w:spacing w:line="379" w:lineRule="exact" w:before="0" w:after="0"/>
        <w:ind w:left="1279" w:right="0" w:hanging="318"/>
        <w:jc w:val="left"/>
      </w:pPr>
      <w:r>
        <w:rPr>
          <w:spacing w:val="-2"/>
        </w:rPr>
        <w:t>如何申请领取保险金</w:t>
      </w:r>
    </w:p>
    <w:p>
      <w:pPr>
        <w:pStyle w:val="ListParagraph"/>
        <w:numPr>
          <w:ilvl w:val="1"/>
          <w:numId w:val="2"/>
        </w:numPr>
        <w:tabs>
          <w:tab w:pos="1699" w:val="left" w:leader="none"/>
        </w:tabs>
        <w:spacing w:line="262" w:lineRule="exact" w:before="0" w:after="0"/>
        <w:ind w:left="1698" w:right="0" w:hanging="526"/>
        <w:jc w:val="left"/>
        <w:rPr>
          <w:sz w:val="21"/>
        </w:rPr>
      </w:pPr>
      <w:r>
        <w:rPr>
          <w:spacing w:val="-5"/>
          <w:sz w:val="21"/>
        </w:rPr>
        <w:t>受益人</w:t>
      </w:r>
    </w:p>
    <w:p>
      <w:pPr>
        <w:pStyle w:val="ListParagraph"/>
        <w:numPr>
          <w:ilvl w:val="1"/>
          <w:numId w:val="2"/>
        </w:numPr>
        <w:tabs>
          <w:tab w:pos="1699" w:val="left" w:leader="none"/>
        </w:tabs>
        <w:spacing w:line="240" w:lineRule="auto" w:before="11" w:after="0"/>
        <w:ind w:left="1698" w:right="0" w:hanging="526"/>
        <w:jc w:val="left"/>
        <w:rPr>
          <w:sz w:val="21"/>
        </w:rPr>
      </w:pPr>
      <w:r>
        <w:rPr>
          <w:spacing w:val="-4"/>
          <w:sz w:val="21"/>
        </w:rPr>
        <w:t>保险事故通知</w:t>
      </w:r>
    </w:p>
    <w:p>
      <w:pPr>
        <w:pStyle w:val="ListParagraph"/>
        <w:numPr>
          <w:ilvl w:val="1"/>
          <w:numId w:val="2"/>
        </w:numPr>
        <w:tabs>
          <w:tab w:pos="1699" w:val="left" w:leader="none"/>
        </w:tabs>
        <w:spacing w:line="240" w:lineRule="auto" w:before="12" w:after="0"/>
        <w:ind w:left="1698" w:right="0" w:hanging="526"/>
        <w:jc w:val="left"/>
        <w:rPr>
          <w:sz w:val="21"/>
        </w:rPr>
      </w:pPr>
      <w:r>
        <w:rPr>
          <w:spacing w:val="-4"/>
          <w:sz w:val="21"/>
        </w:rPr>
        <w:t>保险金申请</w:t>
      </w:r>
    </w:p>
    <w:p>
      <w:pPr>
        <w:pStyle w:val="ListParagraph"/>
        <w:numPr>
          <w:ilvl w:val="1"/>
          <w:numId w:val="2"/>
        </w:numPr>
        <w:tabs>
          <w:tab w:pos="1699" w:val="left" w:leader="none"/>
        </w:tabs>
        <w:spacing w:line="240" w:lineRule="auto" w:before="10" w:after="0"/>
        <w:ind w:left="1698" w:right="0" w:hanging="526"/>
        <w:jc w:val="left"/>
        <w:rPr>
          <w:sz w:val="21"/>
        </w:rPr>
      </w:pPr>
      <w:r>
        <w:rPr>
          <w:spacing w:val="-4"/>
          <w:sz w:val="21"/>
        </w:rPr>
        <w:t>保险金给付</w:t>
      </w:r>
    </w:p>
    <w:p>
      <w:pPr>
        <w:pStyle w:val="ListParagraph"/>
        <w:numPr>
          <w:ilvl w:val="1"/>
          <w:numId w:val="2"/>
        </w:numPr>
        <w:tabs>
          <w:tab w:pos="1699" w:val="left" w:leader="none"/>
        </w:tabs>
        <w:spacing w:line="240" w:lineRule="auto" w:before="11" w:after="0"/>
        <w:ind w:left="1698" w:right="0" w:hanging="526"/>
        <w:jc w:val="left"/>
        <w:rPr>
          <w:sz w:val="21"/>
        </w:rPr>
      </w:pPr>
      <w:r>
        <w:rPr>
          <w:spacing w:val="-4"/>
          <w:sz w:val="21"/>
        </w:rPr>
        <w:t>保险金诉讼时效</w:t>
      </w:r>
    </w:p>
    <w:p>
      <w:pPr>
        <w:pStyle w:val="ListParagraph"/>
        <w:numPr>
          <w:ilvl w:val="1"/>
          <w:numId w:val="2"/>
        </w:numPr>
        <w:tabs>
          <w:tab w:pos="1699" w:val="left" w:leader="none"/>
        </w:tabs>
        <w:spacing w:line="240" w:lineRule="auto" w:before="12" w:after="0"/>
        <w:ind w:left="1698" w:right="0" w:hanging="526"/>
        <w:jc w:val="left"/>
        <w:rPr>
          <w:sz w:val="21"/>
        </w:rPr>
      </w:pPr>
      <w:r>
        <w:rPr>
          <w:spacing w:val="-4"/>
          <w:sz w:val="21"/>
        </w:rPr>
        <w:t>宣告死亡处理</w:t>
      </w:r>
    </w:p>
    <w:p>
      <w:pPr>
        <w:pStyle w:val="BodyText"/>
        <w:spacing w:before="5"/>
        <w:ind w:left="0"/>
        <w:rPr>
          <w:sz w:val="20"/>
        </w:rPr>
      </w:pPr>
    </w:p>
    <w:p>
      <w:pPr>
        <w:pStyle w:val="Heading2"/>
        <w:numPr>
          <w:ilvl w:val="0"/>
          <w:numId w:val="2"/>
        </w:numPr>
        <w:tabs>
          <w:tab w:pos="1280" w:val="left" w:leader="none"/>
        </w:tabs>
        <w:spacing w:line="379" w:lineRule="exact" w:before="0" w:after="0"/>
        <w:ind w:left="1279" w:right="0" w:hanging="318"/>
        <w:jc w:val="left"/>
      </w:pPr>
      <w:r>
        <w:rPr>
          <w:spacing w:val="-4"/>
        </w:rPr>
        <w:t>如何交付保险费</w:t>
      </w:r>
    </w:p>
    <w:p>
      <w:pPr>
        <w:pStyle w:val="ListParagraph"/>
        <w:numPr>
          <w:ilvl w:val="1"/>
          <w:numId w:val="2"/>
        </w:numPr>
        <w:tabs>
          <w:tab w:pos="1699" w:val="left" w:leader="none"/>
        </w:tabs>
        <w:spacing w:line="262" w:lineRule="exact" w:before="0" w:after="0"/>
        <w:ind w:left="1698" w:right="0" w:hanging="526"/>
        <w:jc w:val="left"/>
        <w:rPr>
          <w:sz w:val="21"/>
        </w:rPr>
      </w:pPr>
      <w:r>
        <w:rPr>
          <w:spacing w:val="-4"/>
          <w:sz w:val="21"/>
        </w:rPr>
        <w:t>保险费的交付</w:t>
      </w:r>
    </w:p>
    <w:p>
      <w:pPr>
        <w:pStyle w:val="ListParagraph"/>
        <w:numPr>
          <w:ilvl w:val="1"/>
          <w:numId w:val="2"/>
        </w:numPr>
        <w:tabs>
          <w:tab w:pos="1699" w:val="left" w:leader="none"/>
        </w:tabs>
        <w:spacing w:line="240" w:lineRule="auto" w:before="12" w:after="0"/>
        <w:ind w:left="1698" w:right="0" w:hanging="526"/>
        <w:jc w:val="left"/>
        <w:rPr>
          <w:sz w:val="21"/>
        </w:rPr>
      </w:pPr>
      <w:r>
        <w:rPr>
          <w:spacing w:val="-5"/>
          <w:sz w:val="21"/>
        </w:rPr>
        <w:t>宽限期</w:t>
      </w:r>
    </w:p>
    <w:p>
      <w:pPr>
        <w:pStyle w:val="Heading2"/>
        <w:numPr>
          <w:ilvl w:val="0"/>
          <w:numId w:val="2"/>
        </w:numPr>
        <w:tabs>
          <w:tab w:pos="795" w:val="left" w:leader="none"/>
        </w:tabs>
        <w:spacing w:line="298" w:lineRule="exact" w:before="0" w:after="0"/>
        <w:ind w:left="794" w:right="0" w:hanging="319"/>
        <w:jc w:val="left"/>
      </w:pPr>
      <w:r>
        <w:rPr/>
        <w:br w:type="column"/>
      </w:r>
      <w:r>
        <w:rPr>
          <w:spacing w:val="-2"/>
        </w:rPr>
        <w:t>现金价值权益</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9"/>
        </w:rPr>
      </w:pPr>
    </w:p>
    <w:p>
      <w:pPr>
        <w:pStyle w:val="ListParagraph"/>
        <w:numPr>
          <w:ilvl w:val="0"/>
          <w:numId w:val="2"/>
        </w:numPr>
        <w:tabs>
          <w:tab w:pos="795" w:val="left" w:leader="none"/>
        </w:tabs>
        <w:spacing w:line="379" w:lineRule="exact" w:before="1" w:after="0"/>
        <w:ind w:left="794" w:right="0" w:hanging="319"/>
        <w:jc w:val="left"/>
        <w:rPr>
          <w:rFonts w:ascii="Microsoft JhengHei" w:eastAsia="Microsoft JhengHei"/>
          <w:b/>
          <w:sz w:val="21"/>
        </w:rPr>
      </w:pPr>
      <w:r>
        <w:rPr>
          <w:rFonts w:ascii="Microsoft JhengHei" w:eastAsia="Microsoft JhengHei"/>
          <w:b/>
          <w:spacing w:val="-3"/>
          <w:sz w:val="21"/>
        </w:rPr>
        <w:t>合同效力的中止及恢复</w:t>
      </w:r>
    </w:p>
    <w:p>
      <w:pPr>
        <w:pStyle w:val="ListParagraph"/>
        <w:numPr>
          <w:ilvl w:val="1"/>
          <w:numId w:val="2"/>
        </w:numPr>
        <w:tabs>
          <w:tab w:pos="1214" w:val="left" w:leader="none"/>
        </w:tabs>
        <w:spacing w:line="262" w:lineRule="exact" w:before="0" w:after="0"/>
        <w:ind w:left="1213" w:right="0" w:hanging="527"/>
        <w:jc w:val="left"/>
        <w:rPr>
          <w:sz w:val="21"/>
        </w:rPr>
      </w:pPr>
      <w:r>
        <w:rPr>
          <w:spacing w:val="-4"/>
          <w:sz w:val="21"/>
        </w:rPr>
        <w:t>效力中止</w:t>
      </w:r>
    </w:p>
    <w:p>
      <w:pPr>
        <w:pStyle w:val="ListParagraph"/>
        <w:numPr>
          <w:ilvl w:val="1"/>
          <w:numId w:val="2"/>
        </w:numPr>
        <w:tabs>
          <w:tab w:pos="1214" w:val="left" w:leader="none"/>
        </w:tabs>
        <w:spacing w:line="240" w:lineRule="auto" w:before="11" w:after="0"/>
        <w:ind w:left="1213" w:right="0" w:hanging="527"/>
        <w:jc w:val="left"/>
        <w:rPr>
          <w:sz w:val="21"/>
        </w:rPr>
      </w:pPr>
      <w:r>
        <w:rPr>
          <w:spacing w:val="-4"/>
          <w:sz w:val="21"/>
        </w:rPr>
        <w:t>效力恢复</w:t>
      </w:r>
    </w:p>
    <w:p>
      <w:pPr>
        <w:pStyle w:val="BodyText"/>
        <w:ind w:left="0"/>
        <w:rPr>
          <w:sz w:val="18"/>
        </w:rPr>
      </w:pPr>
    </w:p>
    <w:p>
      <w:pPr>
        <w:pStyle w:val="Heading2"/>
        <w:numPr>
          <w:ilvl w:val="0"/>
          <w:numId w:val="2"/>
        </w:numPr>
        <w:tabs>
          <w:tab w:pos="795" w:val="left" w:leader="none"/>
        </w:tabs>
        <w:spacing w:line="379" w:lineRule="exact" w:before="0" w:after="0"/>
        <w:ind w:left="794" w:right="0" w:hanging="319"/>
        <w:jc w:val="left"/>
      </w:pPr>
      <w:r>
        <w:rPr>
          <w:spacing w:val="-2"/>
        </w:rPr>
        <w:t>如何解除保险合同</w:t>
      </w:r>
    </w:p>
    <w:p>
      <w:pPr>
        <w:pStyle w:val="ListParagraph"/>
        <w:numPr>
          <w:ilvl w:val="1"/>
          <w:numId w:val="2"/>
        </w:numPr>
        <w:tabs>
          <w:tab w:pos="1214" w:val="left" w:leader="none"/>
        </w:tabs>
        <w:spacing w:line="262" w:lineRule="exact" w:before="0" w:after="0"/>
        <w:ind w:left="1213" w:right="0" w:hanging="527"/>
        <w:jc w:val="left"/>
        <w:rPr>
          <w:sz w:val="21"/>
        </w:rPr>
      </w:pPr>
      <w:r>
        <w:rPr>
          <w:spacing w:val="-4"/>
          <w:sz w:val="21"/>
        </w:rPr>
        <w:t>合同解除</w:t>
      </w:r>
    </w:p>
    <w:p>
      <w:pPr>
        <w:pStyle w:val="BodyText"/>
        <w:ind w:left="0"/>
        <w:rPr>
          <w:sz w:val="18"/>
        </w:rPr>
      </w:pPr>
    </w:p>
    <w:p>
      <w:pPr>
        <w:pStyle w:val="Heading2"/>
        <w:numPr>
          <w:ilvl w:val="0"/>
          <w:numId w:val="2"/>
        </w:numPr>
        <w:tabs>
          <w:tab w:pos="795" w:val="left" w:leader="none"/>
        </w:tabs>
        <w:spacing w:line="379" w:lineRule="exact" w:before="0" w:after="0"/>
        <w:ind w:left="794" w:right="0" w:hanging="319"/>
        <w:jc w:val="left"/>
      </w:pPr>
      <w:r>
        <w:rPr>
          <w:spacing w:val="-2"/>
        </w:rPr>
        <w:t>其他需要关注的事项</w:t>
      </w:r>
    </w:p>
    <w:p>
      <w:pPr>
        <w:pStyle w:val="ListParagraph"/>
        <w:numPr>
          <w:ilvl w:val="1"/>
          <w:numId w:val="2"/>
        </w:numPr>
        <w:tabs>
          <w:tab w:pos="1214" w:val="left" w:leader="none"/>
        </w:tabs>
        <w:spacing w:line="262" w:lineRule="exact" w:before="0" w:after="0"/>
        <w:ind w:left="1213" w:right="0" w:hanging="527"/>
        <w:jc w:val="left"/>
        <w:rPr>
          <w:sz w:val="21"/>
        </w:rPr>
      </w:pPr>
      <w:r>
        <w:rPr>
          <w:spacing w:val="-3"/>
          <w:sz w:val="21"/>
        </w:rPr>
        <w:t>明确说明与如实告知</w:t>
      </w:r>
    </w:p>
    <w:p>
      <w:pPr>
        <w:pStyle w:val="ListParagraph"/>
        <w:numPr>
          <w:ilvl w:val="1"/>
          <w:numId w:val="2"/>
        </w:numPr>
        <w:tabs>
          <w:tab w:pos="1214" w:val="left" w:leader="none"/>
        </w:tabs>
        <w:spacing w:line="240" w:lineRule="auto" w:before="12" w:after="0"/>
        <w:ind w:left="1213" w:right="0" w:hanging="527"/>
        <w:jc w:val="left"/>
        <w:rPr>
          <w:sz w:val="21"/>
        </w:rPr>
      </w:pPr>
      <w:r>
        <w:rPr>
          <w:spacing w:val="-3"/>
          <w:sz w:val="21"/>
        </w:rPr>
        <w:t>年龄确定与错误处理</w:t>
      </w:r>
    </w:p>
    <w:p>
      <w:pPr>
        <w:pStyle w:val="ListParagraph"/>
        <w:numPr>
          <w:ilvl w:val="1"/>
          <w:numId w:val="2"/>
        </w:numPr>
        <w:tabs>
          <w:tab w:pos="1214" w:val="left" w:leader="none"/>
        </w:tabs>
        <w:spacing w:line="240" w:lineRule="auto" w:before="12" w:after="0"/>
        <w:ind w:left="1213" w:right="0" w:hanging="527"/>
        <w:jc w:val="left"/>
        <w:rPr>
          <w:sz w:val="21"/>
        </w:rPr>
      </w:pPr>
      <w:r>
        <w:rPr>
          <w:spacing w:val="-4"/>
          <w:sz w:val="21"/>
        </w:rPr>
        <w:t>未还款项</w:t>
      </w:r>
    </w:p>
    <w:p>
      <w:pPr>
        <w:pStyle w:val="ListParagraph"/>
        <w:numPr>
          <w:ilvl w:val="1"/>
          <w:numId w:val="2"/>
        </w:numPr>
        <w:tabs>
          <w:tab w:pos="1214" w:val="left" w:leader="none"/>
        </w:tabs>
        <w:spacing w:line="240" w:lineRule="auto" w:before="9" w:after="0"/>
        <w:ind w:left="1213" w:right="0" w:hanging="527"/>
        <w:jc w:val="left"/>
        <w:rPr>
          <w:sz w:val="21"/>
        </w:rPr>
      </w:pPr>
      <w:r>
        <w:rPr>
          <w:spacing w:val="-4"/>
          <w:sz w:val="21"/>
        </w:rPr>
        <w:t>合同内容变更</w:t>
      </w:r>
    </w:p>
    <w:p>
      <w:pPr>
        <w:pStyle w:val="ListParagraph"/>
        <w:numPr>
          <w:ilvl w:val="1"/>
          <w:numId w:val="2"/>
        </w:numPr>
        <w:tabs>
          <w:tab w:pos="1214" w:val="left" w:leader="none"/>
        </w:tabs>
        <w:spacing w:line="240" w:lineRule="auto" w:before="12" w:after="0"/>
        <w:ind w:left="1213" w:right="0" w:hanging="527"/>
        <w:jc w:val="left"/>
        <w:rPr>
          <w:sz w:val="21"/>
        </w:rPr>
      </w:pPr>
      <w:r>
        <w:rPr>
          <w:spacing w:val="-4"/>
          <w:sz w:val="21"/>
        </w:rPr>
        <w:t>联系方式变更</w:t>
      </w:r>
    </w:p>
    <w:p>
      <w:pPr>
        <w:pStyle w:val="ListParagraph"/>
        <w:numPr>
          <w:ilvl w:val="1"/>
          <w:numId w:val="2"/>
        </w:numPr>
        <w:tabs>
          <w:tab w:pos="1214" w:val="left" w:leader="none"/>
        </w:tabs>
        <w:spacing w:line="240" w:lineRule="auto" w:before="12" w:after="0"/>
        <w:ind w:left="1213" w:right="0" w:hanging="527"/>
        <w:jc w:val="left"/>
        <w:rPr>
          <w:sz w:val="21"/>
        </w:rPr>
      </w:pPr>
      <w:r>
        <w:rPr>
          <w:spacing w:val="-4"/>
          <w:sz w:val="21"/>
        </w:rPr>
        <w:t>争议处理</w:t>
      </w:r>
    </w:p>
    <w:p>
      <w:pPr>
        <w:pStyle w:val="BodyText"/>
        <w:spacing w:before="5"/>
        <w:ind w:left="0"/>
        <w:rPr>
          <w:sz w:val="20"/>
        </w:rPr>
      </w:pPr>
    </w:p>
    <w:p>
      <w:pPr>
        <w:pStyle w:val="Heading2"/>
        <w:numPr>
          <w:ilvl w:val="0"/>
          <w:numId w:val="2"/>
        </w:numPr>
        <w:tabs>
          <w:tab w:pos="795" w:val="left" w:leader="none"/>
        </w:tabs>
        <w:spacing w:line="379" w:lineRule="exact" w:before="0" w:after="0"/>
        <w:ind w:left="794" w:right="0" w:hanging="319"/>
        <w:jc w:val="left"/>
      </w:pPr>
      <w:r>
        <w:rPr>
          <w:spacing w:val="-5"/>
        </w:rPr>
        <w:t>释义</w:t>
      </w:r>
    </w:p>
    <w:p>
      <w:pPr>
        <w:pStyle w:val="ListParagraph"/>
        <w:numPr>
          <w:ilvl w:val="1"/>
          <w:numId w:val="2"/>
        </w:numPr>
        <w:tabs>
          <w:tab w:pos="1214" w:val="left" w:leader="none"/>
        </w:tabs>
        <w:spacing w:line="262" w:lineRule="exact" w:before="0" w:after="0"/>
        <w:ind w:left="1213" w:right="0" w:hanging="527"/>
        <w:jc w:val="left"/>
        <w:rPr>
          <w:sz w:val="21"/>
        </w:rPr>
      </w:pPr>
      <w:r>
        <w:rPr>
          <w:spacing w:val="-5"/>
          <w:sz w:val="21"/>
        </w:rPr>
        <w:t>本公司</w:t>
      </w:r>
    </w:p>
    <w:p>
      <w:pPr>
        <w:pStyle w:val="ListParagraph"/>
        <w:numPr>
          <w:ilvl w:val="1"/>
          <w:numId w:val="2"/>
        </w:numPr>
        <w:tabs>
          <w:tab w:pos="1242" w:val="left" w:leader="none"/>
        </w:tabs>
        <w:spacing w:line="241" w:lineRule="exact" w:before="0" w:after="0"/>
        <w:ind w:left="1241" w:right="0" w:hanging="526"/>
        <w:jc w:val="left"/>
        <w:rPr>
          <w:sz w:val="21"/>
        </w:rPr>
      </w:pPr>
      <w:r>
        <w:rPr>
          <w:sz w:val="21"/>
        </w:rPr>
        <w:br w:type="column"/>
      </w:r>
      <w:r>
        <w:rPr>
          <w:spacing w:val="-4"/>
          <w:sz w:val="21"/>
        </w:rPr>
        <w:t>保单年度</w:t>
      </w:r>
    </w:p>
    <w:p>
      <w:pPr>
        <w:pStyle w:val="ListParagraph"/>
        <w:numPr>
          <w:ilvl w:val="1"/>
          <w:numId w:val="2"/>
        </w:numPr>
        <w:tabs>
          <w:tab w:pos="1242" w:val="left" w:leader="none"/>
        </w:tabs>
        <w:spacing w:line="240" w:lineRule="auto" w:before="9" w:after="0"/>
        <w:ind w:left="1241" w:right="0" w:hanging="526"/>
        <w:jc w:val="left"/>
        <w:rPr>
          <w:sz w:val="21"/>
        </w:rPr>
      </w:pPr>
      <w:r>
        <w:rPr>
          <w:spacing w:val="-4"/>
          <w:sz w:val="21"/>
        </w:rPr>
        <w:t>保险费应交日</w:t>
      </w:r>
    </w:p>
    <w:p>
      <w:pPr>
        <w:pStyle w:val="ListParagraph"/>
        <w:numPr>
          <w:ilvl w:val="1"/>
          <w:numId w:val="2"/>
        </w:numPr>
        <w:tabs>
          <w:tab w:pos="1242" w:val="left" w:leader="none"/>
        </w:tabs>
        <w:spacing w:line="240" w:lineRule="auto" w:before="12" w:after="0"/>
        <w:ind w:left="1241" w:right="0" w:hanging="526"/>
        <w:jc w:val="left"/>
        <w:rPr>
          <w:sz w:val="21"/>
        </w:rPr>
      </w:pPr>
      <w:r>
        <w:rPr>
          <w:spacing w:val="-5"/>
          <w:sz w:val="21"/>
        </w:rPr>
        <w:t>周岁</w:t>
      </w:r>
    </w:p>
    <w:p>
      <w:pPr>
        <w:pStyle w:val="ListParagraph"/>
        <w:numPr>
          <w:ilvl w:val="1"/>
          <w:numId w:val="2"/>
        </w:numPr>
        <w:tabs>
          <w:tab w:pos="1242" w:val="left" w:leader="none"/>
        </w:tabs>
        <w:spacing w:line="240" w:lineRule="auto" w:before="12" w:after="0"/>
        <w:ind w:left="1241" w:right="0" w:hanging="526"/>
        <w:jc w:val="left"/>
        <w:rPr>
          <w:sz w:val="21"/>
        </w:rPr>
      </w:pPr>
      <w:r>
        <w:rPr>
          <w:spacing w:val="-5"/>
          <w:sz w:val="21"/>
        </w:rPr>
        <w:t>全残</w:t>
      </w:r>
    </w:p>
    <w:p>
      <w:pPr>
        <w:pStyle w:val="ListParagraph"/>
        <w:numPr>
          <w:ilvl w:val="1"/>
          <w:numId w:val="2"/>
        </w:numPr>
        <w:tabs>
          <w:tab w:pos="1242" w:val="left" w:leader="none"/>
        </w:tabs>
        <w:spacing w:line="240" w:lineRule="auto" w:before="9" w:after="0"/>
        <w:ind w:left="1241" w:right="0" w:hanging="526"/>
        <w:jc w:val="left"/>
        <w:rPr>
          <w:sz w:val="21"/>
        </w:rPr>
      </w:pPr>
      <w:r>
        <w:rPr>
          <w:spacing w:val="-4"/>
          <w:sz w:val="21"/>
        </w:rPr>
        <w:t>累计已交保险费</w:t>
      </w:r>
    </w:p>
    <w:p>
      <w:pPr>
        <w:pStyle w:val="ListParagraph"/>
        <w:numPr>
          <w:ilvl w:val="1"/>
          <w:numId w:val="2"/>
        </w:numPr>
        <w:tabs>
          <w:tab w:pos="1242" w:val="left" w:leader="none"/>
        </w:tabs>
        <w:spacing w:line="240" w:lineRule="auto" w:before="12" w:after="0"/>
        <w:ind w:left="1241" w:right="0" w:hanging="526"/>
        <w:jc w:val="left"/>
        <w:rPr>
          <w:sz w:val="21"/>
        </w:rPr>
      </w:pPr>
      <w:r>
        <w:rPr>
          <w:spacing w:val="-4"/>
          <w:sz w:val="21"/>
        </w:rPr>
        <w:t>保单年度数</w:t>
      </w:r>
    </w:p>
    <w:p>
      <w:pPr>
        <w:pStyle w:val="ListParagraph"/>
        <w:numPr>
          <w:ilvl w:val="1"/>
          <w:numId w:val="2"/>
        </w:numPr>
        <w:tabs>
          <w:tab w:pos="1242" w:val="left" w:leader="none"/>
        </w:tabs>
        <w:spacing w:line="240" w:lineRule="auto" w:before="12" w:after="0"/>
        <w:ind w:left="1241" w:right="0" w:hanging="526"/>
        <w:jc w:val="left"/>
        <w:rPr>
          <w:sz w:val="21"/>
        </w:rPr>
      </w:pPr>
      <w:r>
        <w:rPr>
          <w:spacing w:val="-4"/>
          <w:sz w:val="21"/>
        </w:rPr>
        <w:t>交费年期数</w:t>
      </w:r>
    </w:p>
    <w:p>
      <w:pPr>
        <w:pStyle w:val="ListParagraph"/>
        <w:numPr>
          <w:ilvl w:val="1"/>
          <w:numId w:val="2"/>
        </w:numPr>
        <w:tabs>
          <w:tab w:pos="1242" w:val="left" w:leader="none"/>
        </w:tabs>
        <w:spacing w:line="240" w:lineRule="auto" w:before="9" w:after="0"/>
        <w:ind w:left="1241" w:right="0" w:hanging="526"/>
        <w:jc w:val="left"/>
        <w:rPr>
          <w:sz w:val="21"/>
        </w:rPr>
      </w:pPr>
      <w:r>
        <w:rPr>
          <w:spacing w:val="-4"/>
          <w:sz w:val="21"/>
        </w:rPr>
        <w:t>意外伤害</w:t>
      </w:r>
    </w:p>
    <w:p>
      <w:pPr>
        <w:pStyle w:val="ListParagraph"/>
        <w:numPr>
          <w:ilvl w:val="1"/>
          <w:numId w:val="2"/>
        </w:numPr>
        <w:tabs>
          <w:tab w:pos="1242" w:val="left" w:leader="none"/>
        </w:tabs>
        <w:spacing w:line="240" w:lineRule="auto" w:before="12" w:after="0"/>
        <w:ind w:left="1241" w:right="0" w:hanging="526"/>
        <w:jc w:val="left"/>
        <w:rPr>
          <w:sz w:val="21"/>
        </w:rPr>
      </w:pPr>
      <w:r>
        <w:rPr>
          <w:spacing w:val="-4"/>
          <w:sz w:val="21"/>
        </w:rPr>
        <w:t>保险事故</w:t>
      </w:r>
    </w:p>
    <w:p>
      <w:pPr>
        <w:pStyle w:val="ListParagraph"/>
        <w:numPr>
          <w:ilvl w:val="1"/>
          <w:numId w:val="2"/>
        </w:numPr>
        <w:tabs>
          <w:tab w:pos="1242" w:val="left" w:leader="none"/>
        </w:tabs>
        <w:spacing w:line="240" w:lineRule="auto" w:before="12" w:after="0"/>
        <w:ind w:left="1241" w:right="0" w:hanging="526"/>
        <w:jc w:val="left"/>
        <w:rPr>
          <w:sz w:val="21"/>
        </w:rPr>
      </w:pPr>
      <w:r>
        <w:rPr>
          <w:spacing w:val="-5"/>
          <w:sz w:val="21"/>
        </w:rPr>
        <w:t>毒品</w:t>
      </w:r>
    </w:p>
    <w:p>
      <w:pPr>
        <w:pStyle w:val="ListParagraph"/>
        <w:numPr>
          <w:ilvl w:val="1"/>
          <w:numId w:val="2"/>
        </w:numPr>
        <w:tabs>
          <w:tab w:pos="1242" w:val="left" w:leader="none"/>
        </w:tabs>
        <w:spacing w:line="240" w:lineRule="auto" w:before="9" w:after="0"/>
        <w:ind w:left="1241" w:right="0" w:hanging="526"/>
        <w:jc w:val="left"/>
        <w:rPr>
          <w:sz w:val="21"/>
        </w:rPr>
      </w:pPr>
      <w:r>
        <w:rPr>
          <w:spacing w:val="-4"/>
          <w:sz w:val="21"/>
        </w:rPr>
        <w:t>管制药品</w:t>
      </w:r>
    </w:p>
    <w:p>
      <w:pPr>
        <w:pStyle w:val="ListParagraph"/>
        <w:numPr>
          <w:ilvl w:val="1"/>
          <w:numId w:val="2"/>
        </w:numPr>
        <w:tabs>
          <w:tab w:pos="1242" w:val="left" w:leader="none"/>
        </w:tabs>
        <w:spacing w:line="240" w:lineRule="auto" w:before="12" w:after="0"/>
        <w:ind w:left="1241" w:right="0" w:hanging="526"/>
        <w:jc w:val="left"/>
        <w:rPr>
          <w:sz w:val="21"/>
        </w:rPr>
      </w:pPr>
      <w:r>
        <w:rPr>
          <w:spacing w:val="-4"/>
          <w:sz w:val="21"/>
        </w:rPr>
        <w:t>酒后驾驶</w:t>
      </w:r>
    </w:p>
    <w:p>
      <w:pPr>
        <w:pStyle w:val="ListParagraph"/>
        <w:numPr>
          <w:ilvl w:val="1"/>
          <w:numId w:val="2"/>
        </w:numPr>
        <w:tabs>
          <w:tab w:pos="1259" w:val="left" w:leader="none"/>
        </w:tabs>
        <w:spacing w:line="247" w:lineRule="auto" w:before="11" w:after="0"/>
        <w:ind w:left="1239" w:right="775" w:hanging="524"/>
        <w:jc w:val="left"/>
        <w:rPr>
          <w:sz w:val="21"/>
        </w:rPr>
      </w:pPr>
      <w:r>
        <w:rPr>
          <w:spacing w:val="10"/>
          <w:sz w:val="21"/>
        </w:rPr>
        <w:t>无合法有效驾驶证</w:t>
      </w:r>
      <w:r>
        <w:rPr>
          <w:spacing w:val="-6"/>
          <w:sz w:val="21"/>
        </w:rPr>
        <w:t>驾驶</w:t>
      </w:r>
    </w:p>
    <w:p>
      <w:pPr>
        <w:pStyle w:val="ListParagraph"/>
        <w:numPr>
          <w:ilvl w:val="1"/>
          <w:numId w:val="2"/>
        </w:numPr>
        <w:tabs>
          <w:tab w:pos="1242" w:val="left" w:leader="none"/>
        </w:tabs>
        <w:spacing w:line="240" w:lineRule="auto" w:before="6" w:after="0"/>
        <w:ind w:left="1241" w:right="0" w:hanging="526"/>
        <w:jc w:val="left"/>
        <w:rPr>
          <w:sz w:val="21"/>
        </w:rPr>
      </w:pPr>
      <w:r>
        <w:rPr>
          <w:spacing w:val="-4"/>
          <w:sz w:val="21"/>
        </w:rPr>
        <w:t>无有效行驶证</w:t>
      </w:r>
    </w:p>
    <w:p>
      <w:pPr>
        <w:pStyle w:val="ListParagraph"/>
        <w:numPr>
          <w:ilvl w:val="1"/>
          <w:numId w:val="2"/>
        </w:numPr>
        <w:tabs>
          <w:tab w:pos="1242" w:val="left" w:leader="none"/>
        </w:tabs>
        <w:spacing w:line="240" w:lineRule="auto" w:before="12" w:after="0"/>
        <w:ind w:left="1241" w:right="0" w:hanging="526"/>
        <w:jc w:val="left"/>
        <w:rPr>
          <w:sz w:val="21"/>
        </w:rPr>
      </w:pPr>
      <w:r>
        <w:rPr>
          <w:spacing w:val="-5"/>
          <w:sz w:val="21"/>
        </w:rPr>
        <w:t>机动车</w:t>
      </w:r>
    </w:p>
    <w:p>
      <w:pPr>
        <w:pStyle w:val="ListParagraph"/>
        <w:numPr>
          <w:ilvl w:val="1"/>
          <w:numId w:val="2"/>
        </w:numPr>
        <w:tabs>
          <w:tab w:pos="1242" w:val="left" w:leader="none"/>
        </w:tabs>
        <w:spacing w:line="240" w:lineRule="auto" w:before="9" w:after="0"/>
        <w:ind w:left="1241" w:right="0" w:hanging="526"/>
        <w:jc w:val="left"/>
        <w:rPr>
          <w:sz w:val="21"/>
        </w:rPr>
      </w:pPr>
      <w:r>
        <w:rPr>
          <w:spacing w:val="-4"/>
          <w:sz w:val="21"/>
        </w:rPr>
        <w:t>助动交通工具</w:t>
      </w:r>
    </w:p>
    <w:p>
      <w:pPr>
        <w:pStyle w:val="ListParagraph"/>
        <w:numPr>
          <w:ilvl w:val="1"/>
          <w:numId w:val="2"/>
        </w:numPr>
        <w:tabs>
          <w:tab w:pos="1242" w:val="left" w:leader="none"/>
        </w:tabs>
        <w:spacing w:line="240" w:lineRule="auto" w:before="12" w:after="0"/>
        <w:ind w:left="1241" w:right="0" w:hanging="526"/>
        <w:jc w:val="left"/>
        <w:rPr>
          <w:sz w:val="21"/>
        </w:rPr>
      </w:pPr>
      <w:r>
        <w:rPr>
          <w:spacing w:val="-4"/>
          <w:sz w:val="21"/>
        </w:rPr>
        <w:t>恐怖活动</w:t>
      </w:r>
    </w:p>
    <w:p>
      <w:pPr>
        <w:pStyle w:val="ListParagraph"/>
        <w:numPr>
          <w:ilvl w:val="1"/>
          <w:numId w:val="2"/>
        </w:numPr>
        <w:tabs>
          <w:tab w:pos="1242" w:val="left" w:leader="none"/>
        </w:tabs>
        <w:spacing w:line="240" w:lineRule="auto" w:before="11" w:after="0"/>
        <w:ind w:left="1241" w:right="0" w:hanging="526"/>
        <w:jc w:val="left"/>
        <w:rPr>
          <w:sz w:val="21"/>
        </w:rPr>
      </w:pPr>
      <w:r>
        <w:rPr>
          <w:spacing w:val="-4"/>
          <w:sz w:val="21"/>
        </w:rPr>
        <w:t>其他权利人</w:t>
      </w:r>
    </w:p>
    <w:p>
      <w:pPr>
        <w:pStyle w:val="ListParagraph"/>
        <w:numPr>
          <w:ilvl w:val="1"/>
          <w:numId w:val="2"/>
        </w:numPr>
        <w:tabs>
          <w:tab w:pos="1242" w:val="left" w:leader="none"/>
        </w:tabs>
        <w:spacing w:line="240" w:lineRule="auto" w:before="10" w:after="0"/>
        <w:ind w:left="1241" w:right="0" w:hanging="526"/>
        <w:jc w:val="left"/>
        <w:rPr>
          <w:sz w:val="21"/>
        </w:rPr>
      </w:pPr>
      <w:r>
        <w:rPr>
          <w:spacing w:val="-4"/>
          <w:sz w:val="21"/>
        </w:rPr>
        <w:t>不可抗力</w:t>
      </w:r>
    </w:p>
    <w:p>
      <w:pPr>
        <w:pStyle w:val="ListParagraph"/>
        <w:numPr>
          <w:ilvl w:val="1"/>
          <w:numId w:val="2"/>
        </w:numPr>
        <w:tabs>
          <w:tab w:pos="1242" w:val="left" w:leader="none"/>
        </w:tabs>
        <w:spacing w:line="240" w:lineRule="auto" w:before="12" w:after="0"/>
        <w:ind w:left="1241" w:right="0" w:hanging="526"/>
        <w:jc w:val="left"/>
        <w:rPr>
          <w:sz w:val="21"/>
        </w:rPr>
      </w:pPr>
      <w:r>
        <w:rPr>
          <w:spacing w:val="-4"/>
          <w:sz w:val="21"/>
        </w:rPr>
        <w:t>法定身份证明</w:t>
      </w:r>
    </w:p>
    <w:p>
      <w:pPr>
        <w:pStyle w:val="ListParagraph"/>
        <w:numPr>
          <w:ilvl w:val="1"/>
          <w:numId w:val="2"/>
        </w:numPr>
        <w:tabs>
          <w:tab w:pos="1242" w:val="left" w:leader="none"/>
        </w:tabs>
        <w:spacing w:line="240" w:lineRule="auto" w:before="11" w:after="0"/>
        <w:ind w:left="1241" w:right="0" w:hanging="526"/>
        <w:jc w:val="left"/>
        <w:rPr>
          <w:sz w:val="21"/>
        </w:rPr>
      </w:pPr>
      <w:r>
        <w:rPr>
          <w:spacing w:val="-4"/>
          <w:sz w:val="21"/>
        </w:rPr>
        <w:t>现金价值净额</w:t>
      </w:r>
    </w:p>
    <w:p>
      <w:pPr>
        <w:pStyle w:val="ListParagraph"/>
        <w:numPr>
          <w:ilvl w:val="1"/>
          <w:numId w:val="2"/>
        </w:numPr>
        <w:tabs>
          <w:tab w:pos="1242" w:val="left" w:leader="none"/>
        </w:tabs>
        <w:spacing w:line="240" w:lineRule="auto" w:before="10" w:after="0"/>
        <w:ind w:left="1241" w:right="0" w:hanging="526"/>
        <w:jc w:val="left"/>
        <w:rPr>
          <w:sz w:val="21"/>
        </w:rPr>
      </w:pPr>
      <w:r>
        <w:rPr>
          <w:spacing w:val="-4"/>
          <w:sz w:val="21"/>
        </w:rPr>
        <w:t>约定利率</w:t>
      </w:r>
    </w:p>
    <w:p>
      <w:pPr>
        <w:spacing w:after="0" w:line="240" w:lineRule="auto"/>
        <w:jc w:val="left"/>
        <w:rPr>
          <w:sz w:val="21"/>
        </w:rPr>
        <w:sectPr>
          <w:type w:val="continuous"/>
          <w:pgSz w:w="11910" w:h="16840"/>
          <w:pgMar w:top="620" w:bottom="280" w:left="800" w:right="700"/>
          <w:cols w:num="3" w:equalWidth="0">
            <w:col w:w="3389" w:space="40"/>
            <w:col w:w="3105" w:space="39"/>
            <w:col w:w="3837"/>
          </w:cols>
        </w:sectPr>
      </w:pPr>
    </w:p>
    <w:p>
      <w:pPr>
        <w:spacing w:line="510" w:lineRule="exact" w:before="0"/>
        <w:ind w:left="2556" w:right="2655" w:firstLine="0"/>
        <w:jc w:val="center"/>
        <w:rPr>
          <w:rFonts w:ascii="Microsoft JhengHei" w:eastAsia="Microsoft JhengHei"/>
          <w:b/>
          <w:sz w:val="32"/>
        </w:rPr>
      </w:pPr>
      <w:r>
        <w:rPr>
          <w:rFonts w:ascii="Microsoft JhengHei" w:eastAsia="Microsoft JhengHei"/>
          <w:b/>
          <w:w w:val="95"/>
          <w:sz w:val="32"/>
        </w:rPr>
        <w:t>君</w:t>
      </w:r>
      <w:r>
        <w:rPr>
          <w:rFonts w:ascii="Microsoft JhengHei" w:eastAsia="Microsoft JhengHei"/>
          <w:b/>
          <w:w w:val="95"/>
          <w:sz w:val="32"/>
        </w:rPr>
        <w:t>康</w:t>
      </w:r>
      <w:r>
        <w:rPr>
          <w:rFonts w:ascii="Microsoft JhengHei" w:eastAsia="Microsoft JhengHei"/>
          <w:b/>
          <w:w w:val="95"/>
          <w:sz w:val="32"/>
        </w:rPr>
        <w:t>人</w:t>
      </w:r>
      <w:r>
        <w:rPr>
          <w:rFonts w:ascii="Microsoft JhengHei" w:eastAsia="Microsoft JhengHei"/>
          <w:b/>
          <w:w w:val="95"/>
          <w:sz w:val="32"/>
        </w:rPr>
        <w:t>寿</w:t>
      </w:r>
      <w:r>
        <w:rPr>
          <w:rFonts w:ascii="Microsoft JhengHei" w:eastAsia="Microsoft JhengHei"/>
          <w:b/>
          <w:w w:val="95"/>
          <w:sz w:val="32"/>
        </w:rPr>
        <w:t>保</w:t>
      </w:r>
      <w:r>
        <w:rPr>
          <w:rFonts w:ascii="Microsoft JhengHei" w:eastAsia="Microsoft JhengHei"/>
          <w:b/>
          <w:w w:val="95"/>
          <w:sz w:val="32"/>
        </w:rPr>
        <w:t>险</w:t>
      </w:r>
      <w:r>
        <w:rPr>
          <w:rFonts w:ascii="Microsoft JhengHei" w:eastAsia="Microsoft JhengHei"/>
          <w:b/>
          <w:w w:val="95"/>
          <w:sz w:val="32"/>
        </w:rPr>
        <w:t>股</w:t>
      </w:r>
      <w:r>
        <w:rPr>
          <w:rFonts w:ascii="Microsoft JhengHei" w:eastAsia="Microsoft JhengHei"/>
          <w:b/>
          <w:w w:val="95"/>
          <w:sz w:val="32"/>
        </w:rPr>
        <w:t>份</w:t>
      </w:r>
      <w:r>
        <w:rPr>
          <w:rFonts w:ascii="Microsoft JhengHei" w:eastAsia="Microsoft JhengHei"/>
          <w:b/>
          <w:w w:val="95"/>
          <w:sz w:val="32"/>
        </w:rPr>
        <w:t>有</w:t>
      </w:r>
      <w:r>
        <w:rPr>
          <w:rFonts w:ascii="Microsoft JhengHei" w:eastAsia="Microsoft JhengHei"/>
          <w:b/>
          <w:w w:val="95"/>
          <w:sz w:val="32"/>
        </w:rPr>
        <w:t>限</w:t>
      </w:r>
      <w:r>
        <w:rPr>
          <w:rFonts w:ascii="Microsoft JhengHei" w:eastAsia="Microsoft JhengHei"/>
          <w:b/>
          <w:w w:val="95"/>
          <w:sz w:val="32"/>
        </w:rPr>
        <w:t>公</w:t>
      </w:r>
      <w:r>
        <w:rPr>
          <w:rFonts w:ascii="Microsoft JhengHei" w:eastAsia="Microsoft JhengHei"/>
          <w:b/>
          <w:spacing w:val="-10"/>
          <w:w w:val="95"/>
          <w:sz w:val="32"/>
        </w:rPr>
        <w:t>司</w:t>
      </w:r>
    </w:p>
    <w:p>
      <w:pPr>
        <w:spacing w:before="35"/>
        <w:ind w:left="2557" w:right="2655" w:firstLine="0"/>
        <w:jc w:val="center"/>
        <w:rPr>
          <w:rFonts w:ascii="Microsoft JhengHei" w:eastAsia="Microsoft JhengHei"/>
          <w:b/>
          <w:sz w:val="32"/>
        </w:rPr>
      </w:pPr>
      <w:r>
        <w:rPr>
          <w:rFonts w:ascii="Microsoft JhengHei" w:eastAsia="Microsoft JhengHei"/>
          <w:b/>
          <w:w w:val="95"/>
          <w:sz w:val="32"/>
        </w:rPr>
        <w:t>君康</w:t>
      </w:r>
      <w:r>
        <w:rPr>
          <w:rFonts w:ascii="Microsoft JhengHei" w:eastAsia="Microsoft JhengHei"/>
          <w:b/>
          <w:w w:val="95"/>
          <w:sz w:val="32"/>
        </w:rPr>
        <w:t>金</w:t>
      </w:r>
      <w:r>
        <w:rPr>
          <w:rFonts w:ascii="Microsoft JhengHei" w:eastAsia="Microsoft JhengHei"/>
          <w:b/>
          <w:w w:val="95"/>
          <w:sz w:val="32"/>
        </w:rPr>
        <w:t>生</w:t>
      </w:r>
      <w:r>
        <w:rPr>
          <w:rFonts w:ascii="Microsoft JhengHei" w:eastAsia="Microsoft JhengHei"/>
          <w:b/>
          <w:w w:val="95"/>
          <w:sz w:val="32"/>
        </w:rPr>
        <w:t>金</w:t>
      </w:r>
      <w:r>
        <w:rPr>
          <w:rFonts w:ascii="Microsoft JhengHei" w:eastAsia="Microsoft JhengHei"/>
          <w:b/>
          <w:w w:val="95"/>
          <w:sz w:val="32"/>
        </w:rPr>
        <w:t>世</w:t>
      </w:r>
      <w:r>
        <w:rPr>
          <w:rFonts w:ascii="Microsoft JhengHei" w:eastAsia="Microsoft JhengHei"/>
          <w:b/>
          <w:w w:val="95"/>
          <w:sz w:val="32"/>
        </w:rPr>
        <w:t>（</w:t>
      </w:r>
      <w:r>
        <w:rPr>
          <w:rFonts w:ascii="Microsoft JhengHei" w:eastAsia="Microsoft JhengHei"/>
          <w:b/>
          <w:w w:val="95"/>
          <w:sz w:val="32"/>
        </w:rPr>
        <w:t>黄</w:t>
      </w:r>
      <w:r>
        <w:rPr>
          <w:rFonts w:ascii="Microsoft JhengHei" w:eastAsia="Microsoft JhengHei"/>
          <w:b/>
          <w:w w:val="95"/>
          <w:sz w:val="32"/>
        </w:rPr>
        <w:t>金</w:t>
      </w:r>
      <w:r>
        <w:rPr>
          <w:rFonts w:ascii="Microsoft JhengHei" w:eastAsia="Microsoft JhengHei"/>
          <w:b/>
          <w:w w:val="95"/>
          <w:sz w:val="32"/>
        </w:rPr>
        <w:t>版</w:t>
      </w:r>
      <w:r>
        <w:rPr>
          <w:rFonts w:ascii="Microsoft JhengHei" w:eastAsia="Microsoft JhengHei"/>
          <w:b/>
          <w:w w:val="95"/>
          <w:sz w:val="32"/>
        </w:rPr>
        <w:t>）</w:t>
      </w:r>
      <w:r>
        <w:rPr>
          <w:rFonts w:ascii="Microsoft JhengHei" w:eastAsia="Microsoft JhengHei"/>
          <w:b/>
          <w:w w:val="95"/>
          <w:sz w:val="32"/>
        </w:rPr>
        <w:t>终</w:t>
      </w:r>
      <w:r>
        <w:rPr>
          <w:rFonts w:ascii="Microsoft JhengHei" w:eastAsia="Microsoft JhengHei"/>
          <w:b/>
          <w:w w:val="95"/>
          <w:sz w:val="32"/>
        </w:rPr>
        <w:t>身</w:t>
      </w:r>
      <w:r>
        <w:rPr>
          <w:rFonts w:ascii="Microsoft JhengHei" w:eastAsia="Microsoft JhengHei"/>
          <w:b/>
          <w:w w:val="95"/>
          <w:sz w:val="32"/>
        </w:rPr>
        <w:t>寿险</w:t>
      </w:r>
      <w:r>
        <w:rPr>
          <w:rFonts w:ascii="Microsoft JhengHei" w:eastAsia="Microsoft JhengHei"/>
          <w:b/>
          <w:w w:val="95"/>
          <w:sz w:val="32"/>
        </w:rPr>
        <w:t>条</w:t>
      </w:r>
      <w:r>
        <w:rPr>
          <w:rFonts w:ascii="Microsoft JhengHei" w:eastAsia="Microsoft JhengHei"/>
          <w:b/>
          <w:spacing w:val="-10"/>
          <w:w w:val="95"/>
          <w:sz w:val="32"/>
        </w:rPr>
        <w:t>款</w:t>
      </w:r>
    </w:p>
    <w:p>
      <w:pPr>
        <w:pStyle w:val="BodyText"/>
        <w:spacing w:before="2"/>
        <w:ind w:left="0"/>
        <w:rPr>
          <w:rFonts w:ascii="Microsoft JhengHei"/>
          <w:b/>
          <w:sz w:val="19"/>
        </w:rPr>
      </w:pPr>
    </w:p>
    <w:p>
      <w:pPr>
        <w:pStyle w:val="Heading1"/>
        <w:numPr>
          <w:ilvl w:val="0"/>
          <w:numId w:val="3"/>
        </w:numPr>
        <w:tabs>
          <w:tab w:pos="1173" w:val="left" w:leader="none"/>
          <w:tab w:pos="1174" w:val="left" w:leader="none"/>
        </w:tabs>
        <w:spacing w:line="240" w:lineRule="auto" w:before="0" w:after="0"/>
        <w:ind w:left="1173" w:right="0" w:hanging="954"/>
        <w:jc w:val="left"/>
      </w:pPr>
      <w:r>
        <w:rPr/>
        <w:drawing>
          <wp:anchor distT="0" distB="0" distL="0" distR="0" allowOverlap="1" layoutInCell="1" locked="0" behindDoc="0" simplePos="0" relativeHeight="3">
            <wp:simplePos x="0" y="0"/>
            <wp:positionH relativeFrom="page">
              <wp:posOffset>579119</wp:posOffset>
            </wp:positionH>
            <wp:positionV relativeFrom="paragraph">
              <wp:posOffset>394477</wp:posOffset>
            </wp:positionV>
            <wp:extent cx="6459854" cy="6096"/>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459854" cy="6096"/>
                    </a:xfrm>
                    <a:prstGeom prst="rect">
                      <a:avLst/>
                    </a:prstGeom>
                  </pic:spPr>
                </pic:pic>
              </a:graphicData>
            </a:graphic>
          </wp:anchor>
        </w:drawing>
      </w:r>
      <w:r>
        <w:rPr>
          <w:spacing w:val="-1"/>
        </w:rPr>
        <w:t>投保人与本公司的合同</w:t>
      </w:r>
    </w:p>
    <w:p>
      <w:pPr>
        <w:pStyle w:val="ListParagraph"/>
        <w:numPr>
          <w:ilvl w:val="1"/>
          <w:numId w:val="3"/>
        </w:numPr>
        <w:tabs>
          <w:tab w:pos="1173" w:val="left" w:leader="none"/>
          <w:tab w:pos="1174" w:val="left" w:leader="none"/>
          <w:tab w:pos="2959" w:val="left" w:leader="none"/>
        </w:tabs>
        <w:spacing w:line="204" w:lineRule="auto" w:before="175" w:after="0"/>
        <w:ind w:left="2959" w:right="224" w:hanging="2740"/>
        <w:jc w:val="left"/>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position w:val="2"/>
          <w:sz w:val="21"/>
        </w:rPr>
        <w:t>本保险条款、保险单</w:t>
      </w:r>
      <w:r>
        <w:rPr>
          <w:spacing w:val="-2"/>
          <w:position w:val="2"/>
          <w:sz w:val="21"/>
        </w:rPr>
        <w:t>或</w:t>
      </w:r>
      <w:r>
        <w:rPr>
          <w:spacing w:val="-2"/>
          <w:position w:val="2"/>
          <w:sz w:val="21"/>
        </w:rPr>
        <w:t>其</w:t>
      </w:r>
      <w:r>
        <w:rPr>
          <w:spacing w:val="-2"/>
          <w:position w:val="2"/>
          <w:sz w:val="21"/>
        </w:rPr>
        <w:t>他保险凭证、投保单</w:t>
      </w:r>
      <w:r>
        <w:rPr>
          <w:spacing w:val="-2"/>
          <w:position w:val="2"/>
          <w:sz w:val="21"/>
        </w:rPr>
        <w:t>、</w:t>
      </w:r>
      <w:r>
        <w:rPr>
          <w:spacing w:val="-2"/>
          <w:position w:val="2"/>
          <w:sz w:val="21"/>
        </w:rPr>
        <w:t>与</w:t>
      </w:r>
      <w:r>
        <w:rPr>
          <w:spacing w:val="-2"/>
          <w:position w:val="2"/>
          <w:sz w:val="21"/>
        </w:rPr>
        <w:t>保险合同有关的投保</w:t>
      </w:r>
      <w:r>
        <w:rPr>
          <w:spacing w:val="-2"/>
          <w:position w:val="2"/>
          <w:sz w:val="21"/>
        </w:rPr>
        <w:t>文</w:t>
      </w:r>
      <w:r>
        <w:rPr>
          <w:spacing w:val="-2"/>
          <w:position w:val="2"/>
          <w:sz w:val="21"/>
        </w:rPr>
        <w:t>件</w:t>
      </w:r>
      <w:r>
        <w:rPr>
          <w:spacing w:val="-2"/>
          <w:position w:val="2"/>
          <w:sz w:val="21"/>
        </w:rPr>
        <w:t>、</w:t>
      </w:r>
      <w:r>
        <w:rPr>
          <w:spacing w:val="-4"/>
          <w:sz w:val="21"/>
        </w:rPr>
        <w:t>合</w:t>
      </w:r>
      <w:r>
        <w:rPr>
          <w:spacing w:val="-4"/>
          <w:sz w:val="21"/>
        </w:rPr>
        <w:t>法</w:t>
      </w:r>
      <w:r>
        <w:rPr>
          <w:spacing w:val="-4"/>
          <w:sz w:val="21"/>
        </w:rPr>
        <w:t>有效的声明、批注、</w:t>
      </w:r>
      <w:r>
        <w:rPr>
          <w:spacing w:val="-4"/>
          <w:sz w:val="21"/>
        </w:rPr>
        <w:t>批</w:t>
      </w:r>
      <w:r>
        <w:rPr>
          <w:spacing w:val="-4"/>
          <w:sz w:val="21"/>
        </w:rPr>
        <w:t>单</w:t>
      </w:r>
      <w:r>
        <w:rPr>
          <w:spacing w:val="-4"/>
          <w:sz w:val="21"/>
        </w:rPr>
        <w:t>、其他经投保人与</w:t>
      </w:r>
      <w:r>
        <w:rPr>
          <w:rFonts w:ascii="Microsoft JhengHei" w:eastAsia="Microsoft JhengHei"/>
          <w:b/>
          <w:spacing w:val="-4"/>
          <w:sz w:val="21"/>
        </w:rPr>
        <w:t>本</w:t>
      </w:r>
      <w:r>
        <w:rPr>
          <w:rFonts w:ascii="Microsoft JhengHei" w:eastAsia="Microsoft JhengHei"/>
          <w:b/>
          <w:spacing w:val="-4"/>
          <w:sz w:val="21"/>
        </w:rPr>
        <w:t>公</w:t>
      </w:r>
      <w:r>
        <w:rPr>
          <w:rFonts w:ascii="Microsoft JhengHei" w:eastAsia="Microsoft JhengHei"/>
          <w:b/>
          <w:spacing w:val="-4"/>
          <w:sz w:val="21"/>
        </w:rPr>
        <w:t>司</w:t>
      </w:r>
      <w:r>
        <w:rPr>
          <w:spacing w:val="-4"/>
          <w:sz w:val="21"/>
        </w:rPr>
        <w:t>（</w:t>
      </w:r>
      <w:r>
        <w:rPr>
          <w:spacing w:val="-4"/>
          <w:sz w:val="21"/>
        </w:rPr>
        <w:t>见</w:t>
      </w:r>
      <w:r>
        <w:rPr>
          <w:spacing w:val="-46"/>
          <w:sz w:val="21"/>
        </w:rPr>
        <w:t> </w:t>
      </w:r>
      <w:r>
        <w:rPr>
          <w:spacing w:val="-4"/>
          <w:sz w:val="21"/>
        </w:rPr>
        <w:t>9.1）共同认可的与</w:t>
      </w:r>
    </w:p>
    <w:p>
      <w:pPr>
        <w:pStyle w:val="BodyText"/>
        <w:spacing w:line="307" w:lineRule="auto" w:before="41"/>
        <w:ind w:right="227"/>
      </w:pPr>
      <w:r>
        <w:rPr>
          <w:spacing w:val="-2"/>
        </w:rPr>
        <w:t>本合同有关的书面协议都是投保人与本公司之间订立的“君康金生金世（黄金</w:t>
      </w:r>
      <w:r>
        <w:rPr>
          <w:spacing w:val="-2"/>
        </w:rPr>
        <w:t>版）</w:t>
      </w:r>
      <w:r>
        <w:rPr>
          <w:spacing w:val="-18"/>
        </w:rPr>
        <w:t>终身寿险合同”</w:t>
      </w:r>
      <w:r>
        <w:rPr/>
        <w:t>（</w:t>
      </w:r>
      <w:r>
        <w:rPr>
          <w:spacing w:val="-13"/>
        </w:rPr>
        <w:t>以下简称为“本合同”</w:t>
      </w:r>
      <w:r>
        <w:rPr>
          <w:spacing w:val="-3"/>
        </w:rPr>
        <w:t>）</w:t>
      </w:r>
      <w:r>
        <w:rPr>
          <w:spacing w:val="-2"/>
        </w:rPr>
        <w:t>的构成部分。</w:t>
      </w:r>
    </w:p>
    <w:p>
      <w:pPr>
        <w:pStyle w:val="ListParagraph"/>
        <w:numPr>
          <w:ilvl w:val="1"/>
          <w:numId w:val="3"/>
        </w:numPr>
        <w:tabs>
          <w:tab w:pos="1173" w:val="left" w:leader="none"/>
          <w:tab w:pos="1174" w:val="left" w:leader="none"/>
          <w:tab w:pos="2959" w:val="left" w:leader="none"/>
        </w:tabs>
        <w:spacing w:line="240" w:lineRule="auto" w:before="106" w:after="0"/>
        <w:ind w:left="1173" w:right="0" w:hanging="954"/>
        <w:jc w:val="left"/>
        <w:rPr>
          <w:sz w:val="21"/>
        </w:rPr>
      </w:pPr>
      <w:r>
        <w:rPr>
          <w:rFonts w:ascii="Microsoft JhengHei" w:eastAsia="Microsoft JhengHei"/>
          <w:b/>
          <w:spacing w:val="-2"/>
          <w:sz w:val="21"/>
        </w:rPr>
        <w:t>合同</w:t>
      </w:r>
      <w:r>
        <w:rPr>
          <w:rFonts w:ascii="Microsoft JhengHei" w:eastAsia="Microsoft JhengHei"/>
          <w:b/>
          <w:spacing w:val="-2"/>
          <w:sz w:val="21"/>
        </w:rPr>
        <w:t>成</w:t>
      </w:r>
      <w:r>
        <w:rPr>
          <w:rFonts w:ascii="Microsoft JhengHei" w:eastAsia="Microsoft JhengHei"/>
          <w:b/>
          <w:spacing w:val="-2"/>
          <w:sz w:val="21"/>
        </w:rPr>
        <w:t>立</w:t>
      </w:r>
      <w:r>
        <w:rPr>
          <w:rFonts w:ascii="Microsoft JhengHei" w:eastAsia="Microsoft JhengHei"/>
          <w:b/>
          <w:spacing w:val="-2"/>
          <w:sz w:val="21"/>
        </w:rPr>
        <w:t>与</w:t>
      </w:r>
      <w:r>
        <w:rPr>
          <w:rFonts w:ascii="Microsoft JhengHei" w:eastAsia="Microsoft JhengHei"/>
          <w:b/>
          <w:spacing w:val="-2"/>
          <w:sz w:val="21"/>
        </w:rPr>
        <w:t>生</w:t>
      </w:r>
      <w:r>
        <w:rPr>
          <w:rFonts w:ascii="Microsoft JhengHei" w:eastAsia="Microsoft JhengHei"/>
          <w:b/>
          <w:spacing w:val="-12"/>
          <w:sz w:val="21"/>
        </w:rPr>
        <w:t>效</w:t>
      </w:r>
      <w:r>
        <w:rPr>
          <w:rFonts w:ascii="Microsoft JhengHei" w:eastAsia="Microsoft JhengHei"/>
          <w:b/>
          <w:sz w:val="21"/>
        </w:rPr>
        <w:tab/>
      </w:r>
      <w:r>
        <w:rPr>
          <w:spacing w:val="-2"/>
          <w:position w:val="2"/>
          <w:sz w:val="21"/>
        </w:rPr>
        <w:t>投</w:t>
      </w:r>
      <w:r>
        <w:rPr>
          <w:spacing w:val="-2"/>
          <w:position w:val="2"/>
          <w:sz w:val="21"/>
        </w:rPr>
        <w:t>保</w:t>
      </w:r>
      <w:r>
        <w:rPr>
          <w:spacing w:val="-2"/>
          <w:position w:val="2"/>
          <w:sz w:val="21"/>
        </w:rPr>
        <w:t>人提出保险申请，本</w:t>
      </w:r>
      <w:r>
        <w:rPr>
          <w:spacing w:val="-2"/>
          <w:position w:val="2"/>
          <w:sz w:val="21"/>
        </w:rPr>
        <w:t>公</w:t>
      </w:r>
      <w:r>
        <w:rPr>
          <w:spacing w:val="-2"/>
          <w:position w:val="2"/>
          <w:sz w:val="21"/>
        </w:rPr>
        <w:t>司</w:t>
      </w:r>
      <w:r>
        <w:rPr>
          <w:spacing w:val="-2"/>
          <w:position w:val="2"/>
          <w:sz w:val="21"/>
        </w:rPr>
        <w:t>同意承保，本合同成</w:t>
      </w:r>
      <w:r>
        <w:rPr>
          <w:spacing w:val="-2"/>
          <w:position w:val="2"/>
          <w:sz w:val="21"/>
        </w:rPr>
        <w:t>立</w:t>
      </w:r>
      <w:r>
        <w:rPr>
          <w:spacing w:val="-10"/>
          <w:position w:val="2"/>
          <w:sz w:val="21"/>
        </w:rPr>
        <w:t>。</w:t>
      </w:r>
    </w:p>
    <w:p>
      <w:pPr>
        <w:pStyle w:val="BodyText"/>
        <w:spacing w:line="307" w:lineRule="auto" w:before="166"/>
        <w:ind w:right="229"/>
        <w:jc w:val="both"/>
      </w:pPr>
      <w:r>
        <w:rPr>
          <w:spacing w:val="-2"/>
        </w:rPr>
        <w:t>除另有约定外，自本合同成立、本公司收取首期保险费并签发保险单后次日零</w:t>
      </w:r>
      <w:r>
        <w:rPr>
          <w:spacing w:val="-2"/>
        </w:rPr>
        <w:t>时起本合同生效，生效日应载于保险单上。本公司自生效日的零时起开始承担</w:t>
      </w:r>
      <w:r>
        <w:rPr>
          <w:spacing w:val="-2"/>
        </w:rPr>
        <w:t>本合同约定的保险责任。</w:t>
      </w:r>
    </w:p>
    <w:p>
      <w:pPr>
        <w:pStyle w:val="BodyText"/>
        <w:spacing w:line="307" w:lineRule="auto" w:before="152"/>
        <w:ind w:right="229"/>
      </w:pPr>
      <w:r>
        <w:rPr>
          <w:spacing w:val="-2"/>
        </w:rPr>
        <w:t>本合同生效日以后每年的对应日是保单周年日，若当月无对应日期，则以该月</w:t>
      </w:r>
      <w:r>
        <w:rPr>
          <w:spacing w:val="-2"/>
        </w:rPr>
        <w:t>最后一日作为对应日。</w:t>
      </w:r>
    </w:p>
    <w:p>
      <w:pPr>
        <w:spacing w:before="84"/>
        <w:ind w:left="2959" w:right="0" w:firstLine="0"/>
        <w:jc w:val="left"/>
        <w:rPr>
          <w:sz w:val="21"/>
        </w:rPr>
      </w:pPr>
      <w:r>
        <w:rPr>
          <w:rFonts w:ascii="Microsoft JhengHei" w:eastAsia="Microsoft JhengHei"/>
          <w:b/>
          <w:spacing w:val="-2"/>
          <w:sz w:val="21"/>
        </w:rPr>
        <w:t>保单年度</w:t>
      </w:r>
      <w:r>
        <w:rPr>
          <w:spacing w:val="-2"/>
          <w:sz w:val="21"/>
        </w:rPr>
        <w:t>（</w:t>
      </w:r>
      <w:r>
        <w:rPr>
          <w:spacing w:val="-20"/>
          <w:sz w:val="21"/>
        </w:rPr>
        <w:t>见 </w:t>
      </w:r>
      <w:r>
        <w:rPr>
          <w:spacing w:val="-2"/>
          <w:sz w:val="21"/>
        </w:rPr>
        <w:t>9.2）、</w:t>
      </w:r>
      <w:r>
        <w:rPr>
          <w:rFonts w:ascii="Microsoft JhengHei" w:eastAsia="Microsoft JhengHei"/>
          <w:b/>
          <w:spacing w:val="-2"/>
          <w:sz w:val="21"/>
        </w:rPr>
        <w:t>保险费应交日</w:t>
      </w:r>
      <w:r>
        <w:rPr>
          <w:spacing w:val="-2"/>
          <w:sz w:val="21"/>
        </w:rPr>
        <w:t>（</w:t>
      </w:r>
      <w:r>
        <w:rPr>
          <w:spacing w:val="-20"/>
          <w:sz w:val="21"/>
        </w:rPr>
        <w:t>见 </w:t>
      </w:r>
      <w:r>
        <w:rPr>
          <w:spacing w:val="-2"/>
          <w:sz w:val="21"/>
        </w:rPr>
        <w:t>9.3）</w:t>
      </w:r>
      <w:r>
        <w:rPr>
          <w:spacing w:val="-3"/>
          <w:sz w:val="21"/>
        </w:rPr>
        <w:t>均依据生效日进行计算。</w:t>
      </w:r>
    </w:p>
    <w:p>
      <w:pPr>
        <w:pStyle w:val="ListParagraph"/>
        <w:numPr>
          <w:ilvl w:val="1"/>
          <w:numId w:val="3"/>
        </w:numPr>
        <w:tabs>
          <w:tab w:pos="1173" w:val="left" w:leader="none"/>
          <w:tab w:pos="1174" w:val="left" w:leader="none"/>
          <w:tab w:pos="2959" w:val="left" w:leader="none"/>
        </w:tabs>
        <w:spacing w:line="247" w:lineRule="auto" w:before="115" w:after="0"/>
        <w:ind w:left="2959" w:right="224" w:hanging="2740"/>
        <w:jc w:val="left"/>
        <w:rPr>
          <w:sz w:val="21"/>
        </w:rPr>
      </w:pPr>
      <w:r>
        <w:rPr>
          <w:rFonts w:ascii="Microsoft JhengHei" w:eastAsia="Microsoft JhengHei"/>
          <w:b/>
          <w:spacing w:val="-4"/>
          <w:sz w:val="21"/>
        </w:rPr>
        <w:t>投保</w:t>
      </w:r>
      <w:r>
        <w:rPr>
          <w:rFonts w:ascii="Microsoft JhengHei" w:eastAsia="Microsoft JhengHei"/>
          <w:b/>
          <w:spacing w:val="-4"/>
          <w:sz w:val="21"/>
        </w:rPr>
        <w:t>范</w:t>
      </w:r>
      <w:r>
        <w:rPr>
          <w:rFonts w:ascii="Microsoft JhengHei" w:eastAsia="Microsoft JhengHei"/>
          <w:b/>
          <w:spacing w:val="-4"/>
          <w:sz w:val="21"/>
        </w:rPr>
        <w:t>围</w:t>
      </w:r>
      <w:r>
        <w:rPr>
          <w:rFonts w:ascii="Microsoft JhengHei" w:eastAsia="Microsoft JhengHei"/>
          <w:b/>
          <w:sz w:val="21"/>
        </w:rPr>
        <w:tab/>
      </w:r>
      <w:r>
        <w:rPr>
          <w:spacing w:val="-6"/>
          <w:position w:val="2"/>
          <w:sz w:val="21"/>
        </w:rPr>
        <w:t>投</w:t>
      </w:r>
      <w:r>
        <w:rPr>
          <w:spacing w:val="-6"/>
          <w:position w:val="2"/>
          <w:sz w:val="21"/>
        </w:rPr>
        <w:t>保</w:t>
      </w:r>
      <w:r>
        <w:rPr>
          <w:spacing w:val="-6"/>
          <w:position w:val="2"/>
          <w:sz w:val="21"/>
        </w:rPr>
        <w:t>人：凡年满</w:t>
      </w:r>
      <w:r>
        <w:rPr>
          <w:spacing w:val="-50"/>
          <w:position w:val="2"/>
          <w:sz w:val="21"/>
        </w:rPr>
        <w:t> </w:t>
      </w:r>
      <w:r>
        <w:rPr>
          <w:spacing w:val="-6"/>
          <w:position w:val="2"/>
          <w:sz w:val="21"/>
        </w:rPr>
        <w:t>18</w:t>
      </w:r>
      <w:r>
        <w:rPr>
          <w:spacing w:val="-52"/>
          <w:position w:val="2"/>
          <w:sz w:val="21"/>
        </w:rPr>
        <w:t> </w:t>
      </w:r>
      <w:r>
        <w:rPr>
          <w:rFonts w:ascii="Microsoft JhengHei" w:eastAsia="Microsoft JhengHei"/>
          <w:b/>
          <w:spacing w:val="-6"/>
          <w:position w:val="2"/>
          <w:sz w:val="21"/>
        </w:rPr>
        <w:t>周岁</w:t>
      </w:r>
      <w:r>
        <w:rPr>
          <w:spacing w:val="-6"/>
          <w:position w:val="2"/>
          <w:sz w:val="21"/>
        </w:rPr>
        <w:t>（见</w:t>
      </w:r>
      <w:r>
        <w:rPr>
          <w:spacing w:val="-48"/>
          <w:position w:val="2"/>
          <w:sz w:val="21"/>
        </w:rPr>
        <w:t> </w:t>
      </w:r>
      <w:r>
        <w:rPr>
          <w:spacing w:val="21"/>
          <w:position w:val="2"/>
          <w:sz w:val="21"/>
        </w:rPr>
        <w:t>9.</w:t>
      </w:r>
      <w:r>
        <w:rPr>
          <w:spacing w:val="18"/>
          <w:position w:val="2"/>
          <w:sz w:val="21"/>
        </w:rPr>
        <w:t>4</w:t>
      </w:r>
      <w:r>
        <w:rPr>
          <w:spacing w:val="-87"/>
          <w:position w:val="2"/>
          <w:sz w:val="21"/>
        </w:rPr>
        <w:t>）</w:t>
      </w:r>
      <w:r>
        <w:rPr>
          <w:spacing w:val="-6"/>
          <w:position w:val="2"/>
          <w:sz w:val="21"/>
        </w:rPr>
        <w:t>，具有完全民事行</w:t>
      </w:r>
      <w:r>
        <w:rPr>
          <w:spacing w:val="-6"/>
          <w:position w:val="2"/>
          <w:sz w:val="21"/>
        </w:rPr>
        <w:t>为</w:t>
      </w:r>
      <w:r>
        <w:rPr>
          <w:spacing w:val="-6"/>
          <w:position w:val="2"/>
          <w:sz w:val="21"/>
        </w:rPr>
        <w:t>能</w:t>
      </w:r>
      <w:r>
        <w:rPr>
          <w:spacing w:val="-6"/>
          <w:position w:val="2"/>
          <w:sz w:val="21"/>
        </w:rPr>
        <w:t>力且对被保险人具有保</w:t>
      </w:r>
      <w:r>
        <w:rPr>
          <w:spacing w:val="-2"/>
          <w:sz w:val="21"/>
        </w:rPr>
        <w:t>险</w:t>
      </w:r>
      <w:r>
        <w:rPr>
          <w:spacing w:val="-2"/>
          <w:sz w:val="21"/>
        </w:rPr>
        <w:t>利</w:t>
      </w:r>
      <w:r>
        <w:rPr>
          <w:spacing w:val="-2"/>
          <w:sz w:val="21"/>
        </w:rPr>
        <w:t>益的人，均可作为本</w:t>
      </w:r>
      <w:r>
        <w:rPr>
          <w:spacing w:val="-2"/>
          <w:sz w:val="21"/>
        </w:rPr>
        <w:t>合</w:t>
      </w:r>
      <w:r>
        <w:rPr>
          <w:spacing w:val="-2"/>
          <w:sz w:val="21"/>
        </w:rPr>
        <w:t>同</w:t>
      </w:r>
      <w:r>
        <w:rPr>
          <w:spacing w:val="-2"/>
          <w:sz w:val="21"/>
        </w:rPr>
        <w:t>的投保</w:t>
      </w:r>
      <w:r>
        <w:rPr>
          <w:spacing w:val="-2"/>
          <w:sz w:val="21"/>
        </w:rPr>
        <w:t>人</w:t>
      </w:r>
      <w:r>
        <w:rPr>
          <w:spacing w:val="-2"/>
          <w:sz w:val="21"/>
        </w:rPr>
        <w:t>。</w:t>
      </w:r>
    </w:p>
    <w:p>
      <w:pPr>
        <w:pStyle w:val="BodyText"/>
        <w:spacing w:before="2"/>
        <w:ind w:left="0"/>
        <w:rPr>
          <w:sz w:val="17"/>
        </w:rPr>
      </w:pPr>
    </w:p>
    <w:p>
      <w:pPr>
        <w:pStyle w:val="BodyText"/>
        <w:spacing w:line="307" w:lineRule="auto" w:before="1"/>
        <w:ind w:right="224"/>
      </w:pPr>
      <w:r>
        <w:rPr>
          <w:spacing w:val="-3"/>
        </w:rPr>
        <w:t>被保险人：凡出生届满 </w:t>
      </w:r>
      <w:r>
        <w:rPr/>
        <w:t>28</w:t>
      </w:r>
      <w:r>
        <w:rPr>
          <w:spacing w:val="-18"/>
        </w:rPr>
        <w:t> 日至 </w:t>
      </w:r>
      <w:r>
        <w:rPr/>
        <w:t>80</w:t>
      </w:r>
      <w:r>
        <w:rPr>
          <w:spacing w:val="-12"/>
        </w:rPr>
        <w:t> 周岁</w:t>
      </w:r>
      <w:r>
        <w:rPr/>
        <w:t>（含）身体健康的人，均可作为本合同</w:t>
      </w:r>
      <w:r>
        <w:rPr>
          <w:spacing w:val="-2"/>
        </w:rPr>
        <w:t>的被保险人。</w:t>
      </w:r>
    </w:p>
    <w:p>
      <w:pPr>
        <w:pStyle w:val="ListParagraph"/>
        <w:numPr>
          <w:ilvl w:val="1"/>
          <w:numId w:val="3"/>
        </w:numPr>
        <w:tabs>
          <w:tab w:pos="1173" w:val="left" w:leader="none"/>
          <w:tab w:pos="1174" w:val="left" w:leader="none"/>
          <w:tab w:pos="2959" w:val="left" w:leader="none"/>
        </w:tabs>
        <w:spacing w:line="244" w:lineRule="auto" w:before="103" w:after="0"/>
        <w:ind w:left="2959" w:right="195" w:hanging="2740"/>
        <w:jc w:val="left"/>
        <w:rPr>
          <w:sz w:val="21"/>
        </w:rPr>
      </w:pPr>
      <w:r>
        <w:rPr>
          <w:rFonts w:ascii="Microsoft JhengHei" w:eastAsia="Microsoft JhengHei"/>
          <w:b/>
          <w:spacing w:val="-4"/>
          <w:sz w:val="21"/>
        </w:rPr>
        <w:t>犹</w:t>
      </w:r>
      <w:r>
        <w:rPr>
          <w:rFonts w:ascii="Microsoft JhengHei" w:eastAsia="Microsoft JhengHei"/>
          <w:b/>
          <w:spacing w:val="-4"/>
          <w:sz w:val="21"/>
        </w:rPr>
        <w:t>豫</w:t>
      </w:r>
      <w:r>
        <w:rPr>
          <w:rFonts w:ascii="Microsoft JhengHei" w:eastAsia="Microsoft JhengHei"/>
          <w:b/>
          <w:spacing w:val="-4"/>
          <w:sz w:val="21"/>
        </w:rPr>
        <w:t>期</w:t>
      </w:r>
      <w:r>
        <w:rPr>
          <w:rFonts w:ascii="Microsoft JhengHei" w:eastAsia="Microsoft JhengHei"/>
          <w:b/>
          <w:sz w:val="21"/>
        </w:rPr>
        <w:tab/>
      </w:r>
      <w:r>
        <w:rPr>
          <w:position w:val="2"/>
          <w:sz w:val="21"/>
        </w:rPr>
        <w:t>从投保人收到本合同并书</w:t>
      </w:r>
      <w:r>
        <w:rPr>
          <w:position w:val="2"/>
          <w:sz w:val="21"/>
        </w:rPr>
        <w:t>面签收之日起，有</w:t>
      </w:r>
      <w:r>
        <w:rPr>
          <w:spacing w:val="-53"/>
          <w:position w:val="2"/>
          <w:sz w:val="21"/>
        </w:rPr>
        <w:t> </w:t>
      </w:r>
      <w:r>
        <w:rPr>
          <w:position w:val="2"/>
          <w:sz w:val="21"/>
        </w:rPr>
        <w:t>15</w:t>
      </w:r>
      <w:r>
        <w:rPr>
          <w:spacing w:val="-53"/>
          <w:position w:val="2"/>
          <w:sz w:val="21"/>
        </w:rPr>
        <w:t> </w:t>
      </w:r>
      <w:r>
        <w:rPr>
          <w:position w:val="2"/>
          <w:sz w:val="21"/>
        </w:rPr>
        <w:t>个自</w:t>
      </w:r>
      <w:r>
        <w:rPr>
          <w:position w:val="2"/>
          <w:sz w:val="21"/>
        </w:rPr>
        <w:t>然日的犹豫期。在此期间，</w:t>
      </w:r>
      <w:r>
        <w:rPr>
          <w:spacing w:val="-2"/>
          <w:sz w:val="21"/>
        </w:rPr>
        <w:t>若投保人认为本合同</w:t>
      </w:r>
      <w:r>
        <w:rPr>
          <w:spacing w:val="-2"/>
          <w:sz w:val="21"/>
        </w:rPr>
        <w:t>与</w:t>
      </w:r>
      <w:r>
        <w:rPr>
          <w:spacing w:val="-2"/>
          <w:sz w:val="21"/>
        </w:rPr>
        <w:t>投</w:t>
      </w:r>
      <w:r>
        <w:rPr>
          <w:spacing w:val="-2"/>
          <w:sz w:val="21"/>
        </w:rPr>
        <w:t>保人的需求不相符，</w:t>
      </w:r>
      <w:r>
        <w:rPr>
          <w:spacing w:val="-2"/>
          <w:sz w:val="21"/>
        </w:rPr>
        <w:t>可</w:t>
      </w:r>
      <w:r>
        <w:rPr>
          <w:spacing w:val="-2"/>
          <w:sz w:val="21"/>
        </w:rPr>
        <w:t>以</w:t>
      </w:r>
      <w:r>
        <w:rPr>
          <w:spacing w:val="-2"/>
          <w:sz w:val="21"/>
        </w:rPr>
        <w:t>解除本合同，本公司</w:t>
      </w:r>
      <w:r>
        <w:rPr>
          <w:spacing w:val="-2"/>
          <w:sz w:val="21"/>
        </w:rPr>
        <w:t>将</w:t>
      </w:r>
      <w:r>
        <w:rPr>
          <w:spacing w:val="-2"/>
          <w:sz w:val="21"/>
        </w:rPr>
        <w:t>无</w:t>
      </w:r>
      <w:r>
        <w:rPr>
          <w:spacing w:val="-2"/>
          <w:sz w:val="21"/>
        </w:rPr>
        <w:t>息</w:t>
      </w:r>
    </w:p>
    <w:p>
      <w:pPr>
        <w:pStyle w:val="BodyText"/>
        <w:spacing w:before="71"/>
      </w:pPr>
      <w:r>
        <w:rPr>
          <w:spacing w:val="-4"/>
        </w:rPr>
        <w:t>退还保险费。</w:t>
      </w:r>
    </w:p>
    <w:p>
      <w:pPr>
        <w:pStyle w:val="BodyText"/>
        <w:spacing w:before="12"/>
        <w:ind w:left="0"/>
        <w:rPr>
          <w:sz w:val="17"/>
        </w:rPr>
      </w:pPr>
    </w:p>
    <w:p>
      <w:pPr>
        <w:pStyle w:val="BodyText"/>
        <w:spacing w:line="307" w:lineRule="auto"/>
        <w:ind w:right="231"/>
        <w:jc w:val="both"/>
      </w:pPr>
      <w:r>
        <w:rPr>
          <w:spacing w:val="-2"/>
        </w:rPr>
        <w:t>犹豫期内解除合同时，投保人需要填写申请书，并提供本合同及本公司要求的</w:t>
      </w:r>
      <w:r>
        <w:rPr>
          <w:spacing w:val="-2"/>
        </w:rPr>
        <w:t>相关资料。自本公司收到投保人申请解除合同的书面申请之日起，本合同即被</w:t>
      </w:r>
      <w:r>
        <w:rPr>
          <w:spacing w:val="-2"/>
        </w:rPr>
        <w:t>解除，本公司自本合同生效日起自始不承担保险责任。</w:t>
      </w:r>
    </w:p>
    <w:p>
      <w:pPr>
        <w:pStyle w:val="Heading1"/>
        <w:numPr>
          <w:ilvl w:val="0"/>
          <w:numId w:val="3"/>
        </w:numPr>
        <w:tabs>
          <w:tab w:pos="1173" w:val="left" w:leader="none"/>
          <w:tab w:pos="1174" w:val="left" w:leader="none"/>
        </w:tabs>
        <w:spacing w:line="240" w:lineRule="auto" w:before="123" w:after="0"/>
        <w:ind w:left="1173" w:right="0" w:hanging="954"/>
        <w:jc w:val="left"/>
      </w:pPr>
      <w:r>
        <w:rPr/>
        <w:drawing>
          <wp:anchor distT="0" distB="0" distL="0" distR="0" allowOverlap="1" layoutInCell="1" locked="0" behindDoc="0" simplePos="0" relativeHeight="4">
            <wp:simplePos x="0" y="0"/>
            <wp:positionH relativeFrom="page">
              <wp:posOffset>579119</wp:posOffset>
            </wp:positionH>
            <wp:positionV relativeFrom="paragraph">
              <wp:posOffset>472583</wp:posOffset>
            </wp:positionV>
            <wp:extent cx="6460124" cy="6095"/>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460124" cy="6095"/>
                    </a:xfrm>
                    <a:prstGeom prst="rect">
                      <a:avLst/>
                    </a:prstGeom>
                  </pic:spPr>
                </pic:pic>
              </a:graphicData>
            </a:graphic>
          </wp:anchor>
        </w:drawing>
      </w:r>
      <w:r>
        <w:rPr>
          <w:spacing w:val="-2"/>
        </w:rPr>
        <w:t>本公司提供的保障</w:t>
      </w:r>
    </w:p>
    <w:p>
      <w:pPr>
        <w:pStyle w:val="ListParagraph"/>
        <w:numPr>
          <w:ilvl w:val="1"/>
          <w:numId w:val="3"/>
        </w:numPr>
        <w:tabs>
          <w:tab w:pos="1173" w:val="left" w:leader="none"/>
          <w:tab w:pos="1174" w:val="left" w:leader="none"/>
          <w:tab w:pos="2959" w:val="left" w:leader="none"/>
        </w:tabs>
        <w:spacing w:line="240" w:lineRule="auto" w:before="136" w:after="0"/>
        <w:ind w:left="1173" w:right="0" w:hanging="954"/>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position w:val="2"/>
          <w:sz w:val="21"/>
        </w:rPr>
        <w:t>在</w:t>
      </w:r>
      <w:r>
        <w:rPr>
          <w:spacing w:val="-2"/>
          <w:position w:val="2"/>
          <w:sz w:val="21"/>
        </w:rPr>
        <w:t>本</w:t>
      </w:r>
      <w:r>
        <w:rPr>
          <w:spacing w:val="-2"/>
          <w:position w:val="2"/>
          <w:sz w:val="21"/>
        </w:rPr>
        <w:t>合同有效期内，本公</w:t>
      </w:r>
      <w:r>
        <w:rPr>
          <w:spacing w:val="-2"/>
          <w:position w:val="2"/>
          <w:sz w:val="21"/>
        </w:rPr>
        <w:t>司</w:t>
      </w:r>
      <w:r>
        <w:rPr>
          <w:spacing w:val="-2"/>
          <w:position w:val="2"/>
          <w:sz w:val="21"/>
        </w:rPr>
        <w:t>承</w:t>
      </w:r>
      <w:r>
        <w:rPr>
          <w:spacing w:val="-2"/>
          <w:position w:val="2"/>
          <w:sz w:val="21"/>
        </w:rPr>
        <w:t>担下列保险责任</w:t>
      </w:r>
      <w:r>
        <w:rPr>
          <w:spacing w:val="-10"/>
          <w:position w:val="2"/>
          <w:sz w:val="21"/>
        </w:rPr>
        <w:t>：</w:t>
      </w:r>
    </w:p>
    <w:p>
      <w:pPr>
        <w:pStyle w:val="BodyText"/>
        <w:spacing w:before="6"/>
        <w:ind w:left="0"/>
        <w:rPr>
          <w:sz w:val="15"/>
        </w:rPr>
      </w:pPr>
    </w:p>
    <w:p>
      <w:pPr>
        <w:pStyle w:val="BodyText"/>
        <w:spacing w:before="1"/>
      </w:pPr>
      <w:r>
        <w:rPr>
          <w:spacing w:val="-3"/>
        </w:rPr>
        <w:t>一、身故或全残保险金</w:t>
      </w:r>
    </w:p>
    <w:p>
      <w:pPr>
        <w:pStyle w:val="BodyText"/>
        <w:spacing w:line="344" w:lineRule="exact" w:before="8"/>
        <w:ind w:right="119"/>
      </w:pPr>
      <w:r>
        <w:rPr>
          <w:w w:val="100"/>
        </w:rPr>
        <w:t>（</w:t>
      </w:r>
      <w:r>
        <w:rPr>
          <w:spacing w:val="-3"/>
          <w:w w:val="100"/>
        </w:rPr>
        <w:t>一</w:t>
      </w:r>
      <w:r>
        <w:rPr>
          <w:spacing w:val="-41"/>
          <w:w w:val="100"/>
        </w:rPr>
        <w:t>）</w:t>
      </w:r>
      <w:r>
        <w:rPr>
          <w:spacing w:val="-3"/>
          <w:w w:val="100"/>
        </w:rPr>
        <w:t>若被保险人年龄达</w:t>
      </w:r>
      <w:r>
        <w:rPr>
          <w:spacing w:val="-53"/>
        </w:rPr>
        <w:t> </w:t>
      </w:r>
      <w:r>
        <w:rPr>
          <w:spacing w:val="-3"/>
          <w:w w:val="100"/>
        </w:rPr>
        <w:t>1</w:t>
      </w:r>
      <w:r>
        <w:rPr>
          <w:w w:val="100"/>
        </w:rPr>
        <w:t>8</w:t>
      </w:r>
      <w:r>
        <w:rPr>
          <w:spacing w:val="-52"/>
        </w:rPr>
        <w:t> </w:t>
      </w:r>
      <w:r>
        <w:rPr>
          <w:spacing w:val="-3"/>
          <w:w w:val="100"/>
        </w:rPr>
        <w:t>周岁的保单周年日(不含)以前身故或</w:t>
      </w:r>
      <w:r>
        <w:rPr>
          <w:rFonts w:ascii="Microsoft JhengHei" w:eastAsia="Microsoft JhengHei"/>
          <w:b/>
          <w:spacing w:val="-21"/>
          <w:w w:val="100"/>
        </w:rPr>
        <w:t>全残</w:t>
      </w:r>
      <w:r>
        <w:rPr>
          <w:w w:val="100"/>
        </w:rPr>
        <w:t>（见</w:t>
      </w:r>
      <w:r>
        <w:rPr>
          <w:spacing w:val="-53"/>
        </w:rPr>
        <w:t> </w:t>
      </w:r>
      <w:r>
        <w:rPr>
          <w:spacing w:val="-3"/>
          <w:w w:val="100"/>
        </w:rPr>
        <w:t>9</w:t>
      </w:r>
      <w:r>
        <w:rPr>
          <w:w w:val="100"/>
        </w:rPr>
        <w:t>.</w:t>
      </w:r>
      <w:r>
        <w:rPr>
          <w:spacing w:val="-1"/>
          <w:w w:val="100"/>
        </w:rPr>
        <w:t>5</w:t>
      </w:r>
      <w:r>
        <w:rPr>
          <w:w w:val="100"/>
        </w:rPr>
        <w:t>）的，本公司将按以下两项金额中的较大者给付身故或全残保险金，同时本合同</w:t>
      </w:r>
      <w:r>
        <w:rPr>
          <w:spacing w:val="-1"/>
          <w:w w:val="100"/>
        </w:rPr>
        <w:t>效力终止：</w:t>
      </w:r>
    </w:p>
    <w:p>
      <w:pPr>
        <w:pStyle w:val="ListParagraph"/>
        <w:numPr>
          <w:ilvl w:val="2"/>
          <w:numId w:val="3"/>
        </w:numPr>
        <w:tabs>
          <w:tab w:pos="3489" w:val="left" w:leader="none"/>
        </w:tabs>
        <w:spacing w:line="380" w:lineRule="exact" w:before="0" w:after="0"/>
        <w:ind w:left="3488" w:right="0" w:hanging="530"/>
        <w:jc w:val="left"/>
        <w:rPr>
          <w:sz w:val="21"/>
        </w:rPr>
      </w:pPr>
      <w:r>
        <w:rPr>
          <w:spacing w:val="-2"/>
          <w:sz w:val="21"/>
        </w:rPr>
        <w:t>被保险人身故或全残时本合同的</w:t>
      </w:r>
      <w:r>
        <w:rPr>
          <w:rFonts w:ascii="Microsoft JhengHei" w:eastAsia="Microsoft JhengHei"/>
          <w:b/>
          <w:spacing w:val="-2"/>
          <w:sz w:val="21"/>
        </w:rPr>
        <w:t>累计已交保险费</w:t>
      </w:r>
      <w:r>
        <w:rPr>
          <w:spacing w:val="-2"/>
          <w:sz w:val="21"/>
        </w:rPr>
        <w:t>（</w:t>
      </w:r>
      <w:r>
        <w:rPr>
          <w:spacing w:val="-18"/>
          <w:sz w:val="21"/>
        </w:rPr>
        <w:t>见 </w:t>
      </w:r>
      <w:r>
        <w:rPr>
          <w:spacing w:val="19"/>
          <w:sz w:val="21"/>
        </w:rPr>
        <w:t>9.</w:t>
      </w:r>
      <w:r>
        <w:rPr>
          <w:spacing w:val="16"/>
          <w:sz w:val="21"/>
        </w:rPr>
        <w:t>6</w:t>
      </w:r>
      <w:r>
        <w:rPr>
          <w:spacing w:val="-87"/>
          <w:sz w:val="21"/>
        </w:rPr>
        <w:t>）</w:t>
      </w:r>
      <w:r>
        <w:rPr>
          <w:spacing w:val="19"/>
          <w:sz w:val="21"/>
        </w:rPr>
        <w:t>；</w:t>
      </w:r>
    </w:p>
    <w:p>
      <w:pPr>
        <w:spacing w:after="0" w:line="380" w:lineRule="exact"/>
        <w:jc w:val="left"/>
        <w:rPr>
          <w:sz w:val="21"/>
        </w:rPr>
        <w:sectPr>
          <w:pgSz w:w="11910" w:h="16840"/>
          <w:pgMar w:top="1360" w:bottom="280" w:left="800" w:right="700"/>
        </w:sectPr>
      </w:pPr>
    </w:p>
    <w:p>
      <w:pPr>
        <w:pStyle w:val="ListParagraph"/>
        <w:numPr>
          <w:ilvl w:val="2"/>
          <w:numId w:val="3"/>
        </w:numPr>
        <w:tabs>
          <w:tab w:pos="3489" w:val="left" w:leader="none"/>
        </w:tabs>
        <w:spacing w:line="240" w:lineRule="auto" w:before="59" w:after="0"/>
        <w:ind w:left="3488" w:right="0" w:hanging="530"/>
        <w:jc w:val="left"/>
        <w:rPr>
          <w:sz w:val="21"/>
        </w:rPr>
      </w:pPr>
      <w:r>
        <w:rPr>
          <w:spacing w:val="-3"/>
          <w:sz w:val="21"/>
        </w:rPr>
        <w:t>被保险人身故或全残时本合同的现金价值。</w:t>
      </w:r>
    </w:p>
    <w:p>
      <w:pPr>
        <w:pStyle w:val="BodyText"/>
        <w:ind w:left="0"/>
        <w:rPr>
          <w:sz w:val="18"/>
        </w:rPr>
      </w:pPr>
    </w:p>
    <w:p>
      <w:pPr>
        <w:pStyle w:val="BodyText"/>
        <w:spacing w:line="307" w:lineRule="auto"/>
        <w:ind w:right="224"/>
        <w:jc w:val="both"/>
      </w:pPr>
      <w:r>
        <w:rPr>
          <w:spacing w:val="-4"/>
        </w:rPr>
        <w:t>（二）</w:t>
      </w:r>
      <w:r>
        <w:rPr>
          <w:spacing w:val="-5"/>
        </w:rPr>
        <w:t>若被保险人年龄达 </w:t>
      </w:r>
      <w:r>
        <w:rPr>
          <w:spacing w:val="-4"/>
        </w:rPr>
        <w:t>18</w:t>
      </w:r>
      <w:r>
        <w:rPr>
          <w:spacing w:val="-6"/>
        </w:rPr>
        <w:t> 周岁的保单周年日(含)以后，且在本合同交费期满</w:t>
      </w:r>
      <w:r>
        <w:rPr>
          <w:spacing w:val="-2"/>
        </w:rPr>
        <w:t>日之前（不含交费期满日）身故或全残的，本公司按以下两项金额中的较大者</w:t>
      </w:r>
      <w:r>
        <w:rPr>
          <w:spacing w:val="-2"/>
        </w:rPr>
        <w:t>给付身故或全残保险金，同时本合同效力终止：</w:t>
      </w:r>
    </w:p>
    <w:p>
      <w:pPr>
        <w:pStyle w:val="ListParagraph"/>
        <w:numPr>
          <w:ilvl w:val="0"/>
          <w:numId w:val="4"/>
        </w:numPr>
        <w:tabs>
          <w:tab w:pos="3489" w:val="left" w:leader="none"/>
        </w:tabs>
        <w:spacing w:line="265" w:lineRule="exact" w:before="0" w:after="0"/>
        <w:ind w:left="3488" w:right="0" w:hanging="530"/>
        <w:jc w:val="left"/>
        <w:rPr>
          <w:sz w:val="18"/>
        </w:rPr>
      </w:pPr>
      <w:r>
        <w:rPr>
          <w:spacing w:val="-2"/>
          <w:sz w:val="21"/>
        </w:rPr>
        <w:t>被保险人身故或全残时累计已交保险费的一定比例</w:t>
      </w:r>
      <w:r>
        <w:rPr>
          <w:spacing w:val="-10"/>
          <w:sz w:val="18"/>
        </w:rPr>
        <w:t>；</w:t>
      </w:r>
    </w:p>
    <w:p>
      <w:pPr>
        <w:pStyle w:val="ListParagraph"/>
        <w:numPr>
          <w:ilvl w:val="0"/>
          <w:numId w:val="4"/>
        </w:numPr>
        <w:tabs>
          <w:tab w:pos="3489" w:val="left" w:leader="none"/>
        </w:tabs>
        <w:spacing w:line="240" w:lineRule="auto" w:before="74" w:after="0"/>
        <w:ind w:left="3488" w:right="0" w:hanging="530"/>
        <w:jc w:val="left"/>
        <w:rPr>
          <w:sz w:val="21"/>
        </w:rPr>
      </w:pPr>
      <w:r>
        <w:rPr>
          <w:spacing w:val="-3"/>
          <w:sz w:val="21"/>
        </w:rPr>
        <w:t>被保险人身故或全残时本合同的现金价值。</w:t>
      </w:r>
    </w:p>
    <w:p>
      <w:pPr>
        <w:pStyle w:val="BodyText"/>
        <w:ind w:left="0"/>
        <w:rPr>
          <w:sz w:val="18"/>
        </w:rPr>
      </w:pPr>
    </w:p>
    <w:p>
      <w:pPr>
        <w:pStyle w:val="BodyText"/>
        <w:spacing w:line="307" w:lineRule="auto"/>
        <w:ind w:right="224"/>
        <w:jc w:val="both"/>
      </w:pPr>
      <w:r>
        <w:rPr>
          <w:spacing w:val="-4"/>
        </w:rPr>
        <w:t>（三）</w:t>
      </w:r>
      <w:r>
        <w:rPr>
          <w:spacing w:val="-5"/>
        </w:rPr>
        <w:t>若被保险人年龄达 </w:t>
      </w:r>
      <w:r>
        <w:rPr>
          <w:spacing w:val="-4"/>
        </w:rPr>
        <w:t>18</w:t>
      </w:r>
      <w:r>
        <w:rPr>
          <w:spacing w:val="-6"/>
        </w:rPr>
        <w:t> 周岁的保单周年日(含)以后，且在本合同交费期满</w:t>
      </w:r>
      <w:r>
        <w:rPr>
          <w:spacing w:val="-2"/>
        </w:rPr>
        <w:t>日（含）之后身故或全残的，本公司按以下三项金额中的较大者给付身故或全</w:t>
      </w:r>
      <w:r>
        <w:rPr>
          <w:spacing w:val="-2"/>
        </w:rPr>
        <w:t>残保险金，同时本合同效力终止：</w:t>
      </w:r>
    </w:p>
    <w:p>
      <w:pPr>
        <w:pStyle w:val="ListParagraph"/>
        <w:numPr>
          <w:ilvl w:val="0"/>
          <w:numId w:val="5"/>
        </w:numPr>
        <w:tabs>
          <w:tab w:pos="3489" w:val="left" w:leader="none"/>
        </w:tabs>
        <w:spacing w:line="265" w:lineRule="exact" w:before="0" w:after="0"/>
        <w:ind w:left="3488" w:right="0" w:hanging="530"/>
        <w:jc w:val="left"/>
        <w:rPr>
          <w:sz w:val="21"/>
        </w:rPr>
      </w:pPr>
      <w:r>
        <w:rPr>
          <w:spacing w:val="-3"/>
          <w:sz w:val="21"/>
        </w:rPr>
        <w:t>被保险人身故或全残时累计已交保险费的一定比例；</w:t>
      </w:r>
    </w:p>
    <w:p>
      <w:pPr>
        <w:pStyle w:val="ListParagraph"/>
        <w:numPr>
          <w:ilvl w:val="0"/>
          <w:numId w:val="5"/>
        </w:numPr>
        <w:tabs>
          <w:tab w:pos="3489" w:val="left" w:leader="none"/>
        </w:tabs>
        <w:spacing w:line="240" w:lineRule="auto" w:before="75" w:after="0"/>
        <w:ind w:left="3488" w:right="0" w:hanging="530"/>
        <w:jc w:val="left"/>
        <w:rPr>
          <w:sz w:val="21"/>
        </w:rPr>
      </w:pPr>
      <w:r>
        <w:rPr>
          <w:spacing w:val="-3"/>
          <w:sz w:val="21"/>
        </w:rPr>
        <w:t>被保险人身故或全残时本合同的现金价值；</w:t>
      </w:r>
    </w:p>
    <w:p>
      <w:pPr>
        <w:pStyle w:val="ListParagraph"/>
        <w:numPr>
          <w:ilvl w:val="0"/>
          <w:numId w:val="5"/>
        </w:numPr>
        <w:tabs>
          <w:tab w:pos="3489" w:val="left" w:leader="none"/>
        </w:tabs>
        <w:spacing w:line="240" w:lineRule="auto" w:before="74" w:after="0"/>
        <w:ind w:left="3488" w:right="0" w:hanging="530"/>
        <w:jc w:val="left"/>
        <w:rPr>
          <w:sz w:val="21"/>
        </w:rPr>
      </w:pPr>
      <w:r>
        <w:rPr>
          <w:spacing w:val="-3"/>
          <w:sz w:val="21"/>
        </w:rPr>
        <w:t>被保险人身故或全残时本合同当年度的保险金额。</w:t>
      </w:r>
    </w:p>
    <w:p>
      <w:pPr>
        <w:pStyle w:val="BodyText"/>
        <w:spacing w:line="307" w:lineRule="auto" w:before="74"/>
        <w:ind w:left="3470" w:right="222"/>
        <w:jc w:val="both"/>
      </w:pPr>
      <w:r>
        <w:rPr>
          <w:spacing w:val="-2"/>
        </w:rPr>
        <w:t>本合同首个保单年度内，当年度的保险金额为基本保险金额；从第二个保</w:t>
      </w:r>
      <w:r>
        <w:rPr>
          <w:spacing w:val="-5"/>
        </w:rPr>
        <w:t>单年度起，年度保险金额每年按基本保险金额的 </w:t>
      </w:r>
      <w:r>
        <w:rPr>
          <w:spacing w:val="-4"/>
        </w:rPr>
        <w:t>3.5%以年复利增加，即当</w:t>
      </w:r>
      <w:r>
        <w:rPr>
          <w:spacing w:val="-2"/>
        </w:rPr>
        <w:t>年度保险金额等于上一个保单年度的保险金额乘以</w:t>
      </w:r>
      <w:r>
        <w:rPr>
          <w:spacing w:val="12"/>
        </w:rPr>
        <w:t>（1+3</w:t>
      </w:r>
      <w:r>
        <w:rPr>
          <w:spacing w:val="9"/>
        </w:rPr>
        <w:t>.</w:t>
      </w:r>
      <w:r>
        <w:rPr>
          <w:spacing w:val="12"/>
        </w:rPr>
        <w:t>5</w:t>
      </w:r>
      <w:r>
        <w:rPr>
          <w:spacing w:val="11"/>
        </w:rPr>
        <w:t>%</w:t>
      </w:r>
      <w:r>
        <w:rPr>
          <w:spacing w:val="-96"/>
        </w:rPr>
        <w:t>）</w:t>
      </w:r>
      <w:r>
        <w:rPr>
          <w:spacing w:val="-108"/>
        </w:rPr>
        <w:t>。</w:t>
      </w:r>
    </w:p>
    <w:p>
      <w:pPr>
        <w:pStyle w:val="BodyText"/>
        <w:spacing w:line="307" w:lineRule="auto" w:before="152"/>
        <w:ind w:right="232" w:firstLine="420"/>
      </w:pPr>
      <w:r>
        <w:rPr>
          <w:spacing w:val="5"/>
          <w:w w:val="100"/>
        </w:rPr>
        <w:t>上述被保险人身故或全残当时累计已交保险费的比例根据到达年龄来区</w:t>
      </w:r>
      <w:r>
        <w:rPr>
          <w:spacing w:val="-1"/>
          <w:w w:val="100"/>
        </w:rPr>
        <w:t>分，如下表所示：</w:t>
      </w:r>
    </w:p>
    <w:tbl>
      <w:tblPr>
        <w:tblW w:w="0" w:type="auto"/>
        <w:jc w:val="left"/>
        <w:tblInd w:w="29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03"/>
        <w:gridCol w:w="3601"/>
      </w:tblGrid>
      <w:tr>
        <w:trPr>
          <w:trHeight w:val="342" w:hRule="atLeast"/>
        </w:trPr>
        <w:tc>
          <w:tcPr>
            <w:tcW w:w="3603" w:type="dxa"/>
          </w:tcPr>
          <w:p>
            <w:pPr>
              <w:pStyle w:val="TableParagraph"/>
              <w:spacing w:line="267" w:lineRule="exact"/>
              <w:ind w:left="925" w:right="916"/>
              <w:jc w:val="center"/>
              <w:rPr>
                <w:sz w:val="21"/>
              </w:rPr>
            </w:pPr>
            <w:r>
              <w:rPr>
                <w:spacing w:val="-4"/>
                <w:sz w:val="21"/>
              </w:rPr>
              <w:t>到达年龄</w:t>
            </w:r>
          </w:p>
        </w:tc>
        <w:tc>
          <w:tcPr>
            <w:tcW w:w="3601" w:type="dxa"/>
          </w:tcPr>
          <w:p>
            <w:pPr>
              <w:pStyle w:val="TableParagraph"/>
              <w:spacing w:line="267" w:lineRule="exact"/>
              <w:ind w:left="1575" w:right="1566"/>
              <w:jc w:val="center"/>
              <w:rPr>
                <w:sz w:val="21"/>
              </w:rPr>
            </w:pPr>
            <w:r>
              <w:rPr>
                <w:spacing w:val="-5"/>
                <w:sz w:val="21"/>
              </w:rPr>
              <w:t>比例</w:t>
            </w:r>
          </w:p>
        </w:tc>
      </w:tr>
      <w:tr>
        <w:trPr>
          <w:trHeight w:val="342" w:hRule="atLeast"/>
        </w:trPr>
        <w:tc>
          <w:tcPr>
            <w:tcW w:w="3603" w:type="dxa"/>
          </w:tcPr>
          <w:p>
            <w:pPr>
              <w:pStyle w:val="TableParagraph"/>
              <w:spacing w:line="267" w:lineRule="exact"/>
              <w:ind w:left="925" w:right="916"/>
              <w:jc w:val="center"/>
              <w:rPr>
                <w:sz w:val="21"/>
              </w:rPr>
            </w:pPr>
            <w:r>
              <w:rPr>
                <w:spacing w:val="-2"/>
                <w:sz w:val="21"/>
              </w:rPr>
              <w:t>17</w:t>
            </w:r>
            <w:r>
              <w:rPr>
                <w:spacing w:val="-17"/>
                <w:sz w:val="21"/>
              </w:rPr>
              <w:t> 周岁</w:t>
            </w:r>
            <w:r>
              <w:rPr>
                <w:spacing w:val="-2"/>
                <w:sz w:val="21"/>
              </w:rPr>
              <w:t>（含）</w:t>
            </w:r>
            <w:r>
              <w:rPr>
                <w:spacing w:val="-6"/>
                <w:sz w:val="21"/>
              </w:rPr>
              <w:t>以下</w:t>
            </w:r>
          </w:p>
        </w:tc>
        <w:tc>
          <w:tcPr>
            <w:tcW w:w="3601" w:type="dxa"/>
          </w:tcPr>
          <w:p>
            <w:pPr>
              <w:pStyle w:val="TableParagraph"/>
              <w:spacing w:line="267" w:lineRule="exact"/>
              <w:ind w:left="1575" w:right="1566"/>
              <w:jc w:val="center"/>
              <w:rPr>
                <w:sz w:val="21"/>
              </w:rPr>
            </w:pPr>
            <w:r>
              <w:rPr>
                <w:spacing w:val="-4"/>
                <w:sz w:val="21"/>
              </w:rPr>
              <w:t>100%</w:t>
            </w:r>
          </w:p>
        </w:tc>
      </w:tr>
      <w:tr>
        <w:trPr>
          <w:trHeight w:val="342" w:hRule="atLeast"/>
        </w:trPr>
        <w:tc>
          <w:tcPr>
            <w:tcW w:w="3603" w:type="dxa"/>
          </w:tcPr>
          <w:p>
            <w:pPr>
              <w:pStyle w:val="TableParagraph"/>
              <w:spacing w:line="267" w:lineRule="exact"/>
              <w:ind w:left="925" w:right="916"/>
              <w:jc w:val="center"/>
              <w:rPr>
                <w:sz w:val="21"/>
              </w:rPr>
            </w:pPr>
            <w:r>
              <w:rPr>
                <w:sz w:val="21"/>
              </w:rPr>
              <w:t>18-40</w:t>
            </w:r>
            <w:r>
              <w:rPr>
                <w:spacing w:val="-22"/>
                <w:sz w:val="21"/>
              </w:rPr>
              <w:t> 周岁</w:t>
            </w:r>
          </w:p>
        </w:tc>
        <w:tc>
          <w:tcPr>
            <w:tcW w:w="3601" w:type="dxa"/>
          </w:tcPr>
          <w:p>
            <w:pPr>
              <w:pStyle w:val="TableParagraph"/>
              <w:spacing w:line="267" w:lineRule="exact"/>
              <w:ind w:left="1575" w:right="1566"/>
              <w:jc w:val="center"/>
              <w:rPr>
                <w:sz w:val="21"/>
              </w:rPr>
            </w:pPr>
            <w:r>
              <w:rPr>
                <w:spacing w:val="-4"/>
                <w:sz w:val="21"/>
              </w:rPr>
              <w:t>160%</w:t>
            </w:r>
          </w:p>
        </w:tc>
      </w:tr>
      <w:tr>
        <w:trPr>
          <w:trHeight w:val="343" w:hRule="atLeast"/>
        </w:trPr>
        <w:tc>
          <w:tcPr>
            <w:tcW w:w="3603" w:type="dxa"/>
          </w:tcPr>
          <w:p>
            <w:pPr>
              <w:pStyle w:val="TableParagraph"/>
              <w:spacing w:line="267" w:lineRule="exact"/>
              <w:ind w:left="925" w:right="916"/>
              <w:jc w:val="center"/>
              <w:rPr>
                <w:sz w:val="21"/>
              </w:rPr>
            </w:pPr>
            <w:r>
              <w:rPr>
                <w:sz w:val="21"/>
              </w:rPr>
              <w:t>41-60</w:t>
            </w:r>
            <w:r>
              <w:rPr>
                <w:spacing w:val="-22"/>
                <w:sz w:val="21"/>
              </w:rPr>
              <w:t> 周岁</w:t>
            </w:r>
          </w:p>
        </w:tc>
        <w:tc>
          <w:tcPr>
            <w:tcW w:w="3601" w:type="dxa"/>
          </w:tcPr>
          <w:p>
            <w:pPr>
              <w:pStyle w:val="TableParagraph"/>
              <w:spacing w:line="267" w:lineRule="exact"/>
              <w:ind w:left="1575" w:right="1566"/>
              <w:jc w:val="center"/>
              <w:rPr>
                <w:sz w:val="21"/>
              </w:rPr>
            </w:pPr>
            <w:r>
              <w:rPr>
                <w:spacing w:val="-4"/>
                <w:sz w:val="21"/>
              </w:rPr>
              <w:t>140%</w:t>
            </w:r>
          </w:p>
        </w:tc>
      </w:tr>
      <w:tr>
        <w:trPr>
          <w:trHeight w:val="345" w:hRule="atLeast"/>
        </w:trPr>
        <w:tc>
          <w:tcPr>
            <w:tcW w:w="3603" w:type="dxa"/>
          </w:tcPr>
          <w:p>
            <w:pPr>
              <w:pStyle w:val="TableParagraph"/>
              <w:spacing w:line="267" w:lineRule="exact"/>
              <w:ind w:left="925" w:right="916"/>
              <w:jc w:val="center"/>
              <w:rPr>
                <w:sz w:val="21"/>
              </w:rPr>
            </w:pPr>
            <w:r>
              <w:rPr>
                <w:spacing w:val="-2"/>
                <w:sz w:val="21"/>
              </w:rPr>
              <w:t>61</w:t>
            </w:r>
            <w:r>
              <w:rPr>
                <w:spacing w:val="-17"/>
                <w:sz w:val="21"/>
              </w:rPr>
              <w:t> 周岁</w:t>
            </w:r>
            <w:r>
              <w:rPr>
                <w:spacing w:val="-2"/>
                <w:sz w:val="21"/>
              </w:rPr>
              <w:t>（含）</w:t>
            </w:r>
            <w:r>
              <w:rPr>
                <w:spacing w:val="-6"/>
                <w:sz w:val="21"/>
              </w:rPr>
              <w:t>以上</w:t>
            </w:r>
          </w:p>
        </w:tc>
        <w:tc>
          <w:tcPr>
            <w:tcW w:w="3601" w:type="dxa"/>
          </w:tcPr>
          <w:p>
            <w:pPr>
              <w:pStyle w:val="TableParagraph"/>
              <w:spacing w:line="267" w:lineRule="exact"/>
              <w:ind w:left="1575" w:right="1566"/>
              <w:jc w:val="center"/>
              <w:rPr>
                <w:sz w:val="21"/>
              </w:rPr>
            </w:pPr>
            <w:r>
              <w:rPr>
                <w:spacing w:val="-4"/>
                <w:sz w:val="21"/>
              </w:rPr>
              <w:t>120%</w:t>
            </w:r>
          </w:p>
        </w:tc>
      </w:tr>
    </w:tbl>
    <w:p>
      <w:pPr>
        <w:pStyle w:val="BodyText"/>
        <w:spacing w:line="307" w:lineRule="auto"/>
        <w:ind w:right="225" w:firstLine="420"/>
        <w:jc w:val="both"/>
      </w:pPr>
      <w:r>
        <w:rPr>
          <w:spacing w:val="-2"/>
        </w:rPr>
        <w:t>其中，到达年龄指的是被保险人原始投保年龄，加上身故或全残当时保单</w:t>
      </w:r>
      <w:r>
        <w:rPr>
          <w:spacing w:val="-3"/>
        </w:rPr>
        <w:t>年度数，再减去 </w:t>
      </w:r>
      <w:r>
        <w:rPr/>
        <w:t>1</w:t>
      </w:r>
      <w:r>
        <w:rPr>
          <w:spacing w:val="-5"/>
        </w:rPr>
        <w:t> 后所得到的年龄。</w:t>
      </w:r>
    </w:p>
    <w:p>
      <w:pPr>
        <w:pStyle w:val="BodyText"/>
        <w:spacing w:line="344" w:lineRule="exact" w:before="89"/>
        <w:ind w:right="224"/>
        <w:jc w:val="both"/>
      </w:pPr>
      <w:r>
        <w:rPr>
          <w:spacing w:val="-2"/>
        </w:rPr>
        <w:t>分期交付保险费的</w:t>
      </w:r>
      <w:r>
        <w:rPr>
          <w:spacing w:val="-14"/>
        </w:rPr>
        <w:t>，“累计已交保险费”按照身故或全残时本合同的基本保险金</w:t>
      </w:r>
      <w:r>
        <w:rPr>
          <w:spacing w:val="-4"/>
        </w:rPr>
        <w:t>额确定的年交保险费与</w:t>
      </w:r>
      <w:r>
        <w:rPr>
          <w:rFonts w:ascii="Microsoft JhengHei" w:hAnsi="Microsoft JhengHei" w:eastAsia="Microsoft JhengHei"/>
          <w:b/>
          <w:spacing w:val="-4"/>
        </w:rPr>
        <w:t>保单年度数</w:t>
      </w:r>
      <w:r>
        <w:rPr>
          <w:spacing w:val="-4"/>
        </w:rPr>
        <w:t>（</w:t>
      </w:r>
      <w:r>
        <w:rPr>
          <w:spacing w:val="-6"/>
        </w:rPr>
        <w:t>见 </w:t>
      </w:r>
      <w:r>
        <w:rPr>
          <w:spacing w:val="-4"/>
        </w:rPr>
        <w:t>9.7）或</w:t>
      </w:r>
      <w:r>
        <w:rPr>
          <w:rFonts w:ascii="Microsoft JhengHei" w:hAnsi="Microsoft JhengHei" w:eastAsia="Microsoft JhengHei"/>
          <w:b/>
          <w:spacing w:val="-4"/>
        </w:rPr>
        <w:t>交费年期数</w:t>
      </w:r>
      <w:r>
        <w:rPr>
          <w:spacing w:val="-4"/>
        </w:rPr>
        <w:t>（</w:t>
      </w:r>
      <w:r>
        <w:rPr>
          <w:spacing w:val="-6"/>
        </w:rPr>
        <w:t>见 </w:t>
      </w:r>
      <w:r>
        <w:rPr>
          <w:spacing w:val="17"/>
        </w:rPr>
        <w:t>9.8</w:t>
      </w:r>
      <w:r>
        <w:rPr>
          <w:spacing w:val="-91"/>
        </w:rPr>
        <w:t>）</w:t>
      </w:r>
      <w:r>
        <w:rPr>
          <w:spacing w:val="17"/>
        </w:rPr>
        <w:t>（</w:t>
      </w:r>
      <w:r>
        <w:rPr>
          <w:spacing w:val="-4"/>
        </w:rPr>
        <w:t>以较小</w:t>
      </w:r>
      <w:r>
        <w:rPr>
          <w:spacing w:val="-2"/>
        </w:rPr>
        <w:t>者为准）的乘积计算。一次性交付保险费的</w:t>
      </w:r>
      <w:r>
        <w:rPr>
          <w:spacing w:val="-14"/>
        </w:rPr>
        <w:t>，“累计已交保险费”按照身故或全</w:t>
      </w:r>
      <w:r>
        <w:rPr>
          <w:spacing w:val="-2"/>
        </w:rPr>
        <w:t>残时本合同的基本保险金额确定的一次性交付的保险费计算。</w:t>
      </w:r>
    </w:p>
    <w:p>
      <w:pPr>
        <w:pStyle w:val="BodyText"/>
        <w:ind w:left="0"/>
        <w:rPr>
          <w:sz w:val="20"/>
        </w:rPr>
      </w:pPr>
    </w:p>
    <w:p>
      <w:pPr>
        <w:pStyle w:val="BodyText"/>
        <w:spacing w:before="149"/>
      </w:pPr>
      <w:r>
        <w:rPr>
          <w:spacing w:val="-3"/>
        </w:rPr>
        <w:t>二、投保人意外身故或意外全残豁免保险费</w:t>
      </w:r>
    </w:p>
    <w:p>
      <w:pPr>
        <w:pStyle w:val="BodyText"/>
        <w:spacing w:line="344" w:lineRule="exact" w:before="9"/>
        <w:ind w:right="227"/>
        <w:jc w:val="both"/>
      </w:pPr>
      <w:r>
        <w:rPr>
          <w:spacing w:val="-4"/>
        </w:rPr>
        <w:t>除另有约定外，若投保人因</w:t>
      </w:r>
      <w:r>
        <w:rPr>
          <w:rFonts w:ascii="Microsoft JhengHei" w:eastAsia="Microsoft JhengHei"/>
          <w:b/>
          <w:spacing w:val="-4"/>
        </w:rPr>
        <w:t>意外伤害</w:t>
      </w:r>
      <w:r>
        <w:rPr>
          <w:spacing w:val="-4"/>
        </w:rPr>
        <w:t>（</w:t>
      </w:r>
      <w:r>
        <w:rPr>
          <w:spacing w:val="-14"/>
        </w:rPr>
        <w:t>见 </w:t>
      </w:r>
      <w:r>
        <w:rPr>
          <w:spacing w:val="-4"/>
        </w:rPr>
        <w:t>9.9）导致身故或全残，且投保人身故</w:t>
      </w:r>
      <w:r>
        <w:rPr>
          <w:spacing w:val="-2"/>
        </w:rPr>
        <w:t>或全残时满足下列两个条件，可免交自投保人身故或被确定全残之日起的续期</w:t>
      </w:r>
      <w:r>
        <w:rPr>
          <w:spacing w:val="-2"/>
        </w:rPr>
        <w:t>保险费，已豁免保费视为已交，本合同继续有效。</w:t>
      </w:r>
    </w:p>
    <w:p>
      <w:pPr>
        <w:pStyle w:val="ListParagraph"/>
        <w:numPr>
          <w:ilvl w:val="0"/>
          <w:numId w:val="6"/>
        </w:numPr>
        <w:tabs>
          <w:tab w:pos="3489" w:val="left" w:leader="none"/>
        </w:tabs>
        <w:spacing w:line="240" w:lineRule="auto" w:before="49" w:after="0"/>
        <w:ind w:left="3488" w:right="0" w:hanging="530"/>
        <w:jc w:val="left"/>
        <w:rPr>
          <w:sz w:val="21"/>
        </w:rPr>
      </w:pPr>
      <w:r>
        <w:rPr>
          <w:spacing w:val="-3"/>
          <w:sz w:val="21"/>
        </w:rPr>
        <w:t>投保人与被保险人不为同一人；</w:t>
      </w:r>
    </w:p>
    <w:p>
      <w:pPr>
        <w:pStyle w:val="ListParagraph"/>
        <w:numPr>
          <w:ilvl w:val="0"/>
          <w:numId w:val="6"/>
        </w:numPr>
        <w:tabs>
          <w:tab w:pos="3489" w:val="left" w:leader="none"/>
        </w:tabs>
        <w:spacing w:line="240" w:lineRule="auto" w:before="43" w:after="0"/>
        <w:ind w:left="3488" w:right="0" w:hanging="530"/>
        <w:jc w:val="left"/>
        <w:rPr>
          <w:sz w:val="21"/>
        </w:rPr>
      </w:pPr>
      <w:r>
        <w:rPr>
          <w:spacing w:val="-7"/>
          <w:sz w:val="21"/>
        </w:rPr>
        <w:t>投保人身故或全残时未满 </w:t>
      </w:r>
      <w:r>
        <w:rPr>
          <w:spacing w:val="-2"/>
          <w:sz w:val="21"/>
        </w:rPr>
        <w:t>60</w:t>
      </w:r>
      <w:r>
        <w:rPr>
          <w:spacing w:val="-16"/>
          <w:sz w:val="21"/>
        </w:rPr>
        <w:t> 周岁。</w:t>
      </w:r>
    </w:p>
    <w:p>
      <w:pPr>
        <w:pStyle w:val="BodyText"/>
        <w:spacing w:before="8"/>
        <w:ind w:left="0"/>
        <w:rPr>
          <w:sz w:val="16"/>
        </w:rPr>
      </w:pPr>
    </w:p>
    <w:p>
      <w:pPr>
        <w:pStyle w:val="BodyText"/>
      </w:pPr>
      <w:r>
        <w:rPr>
          <w:spacing w:val="-3"/>
        </w:rPr>
        <w:t>上述豁免的保险费不包含以下款项：</w:t>
      </w:r>
    </w:p>
    <w:p>
      <w:pPr>
        <w:pStyle w:val="ListParagraph"/>
        <w:numPr>
          <w:ilvl w:val="0"/>
          <w:numId w:val="7"/>
        </w:numPr>
        <w:tabs>
          <w:tab w:pos="3489" w:val="left" w:leader="none"/>
        </w:tabs>
        <w:spacing w:line="240" w:lineRule="auto" w:before="60" w:after="0"/>
        <w:ind w:left="3488" w:right="0" w:hanging="530"/>
        <w:jc w:val="left"/>
        <w:rPr>
          <w:sz w:val="21"/>
        </w:rPr>
      </w:pPr>
      <w:r>
        <w:rPr>
          <w:spacing w:val="-3"/>
          <w:sz w:val="21"/>
        </w:rPr>
        <w:t>投保人身故或全残之日前所欠交的保险费和利息；</w:t>
      </w:r>
    </w:p>
    <w:p>
      <w:pPr>
        <w:pStyle w:val="ListParagraph"/>
        <w:numPr>
          <w:ilvl w:val="0"/>
          <w:numId w:val="7"/>
        </w:numPr>
        <w:tabs>
          <w:tab w:pos="3489" w:val="left" w:leader="none"/>
        </w:tabs>
        <w:spacing w:line="240" w:lineRule="auto" w:before="57" w:after="0"/>
        <w:ind w:left="3488" w:right="0" w:hanging="530"/>
        <w:jc w:val="left"/>
        <w:rPr>
          <w:sz w:val="21"/>
        </w:rPr>
      </w:pPr>
      <w:r>
        <w:rPr>
          <w:spacing w:val="-3"/>
          <w:sz w:val="21"/>
        </w:rPr>
        <w:t>续期保险费交费宽限期内的应交未交保险费；</w:t>
      </w:r>
    </w:p>
    <w:p>
      <w:pPr>
        <w:spacing w:after="0" w:line="240" w:lineRule="auto"/>
        <w:jc w:val="left"/>
        <w:rPr>
          <w:sz w:val="21"/>
        </w:rPr>
        <w:sectPr>
          <w:pgSz w:w="11910" w:h="16840"/>
          <w:pgMar w:top="1260" w:bottom="280" w:left="800" w:right="700"/>
        </w:sectPr>
      </w:pPr>
    </w:p>
    <w:p>
      <w:pPr>
        <w:pStyle w:val="ListParagraph"/>
        <w:numPr>
          <w:ilvl w:val="0"/>
          <w:numId w:val="7"/>
        </w:numPr>
        <w:tabs>
          <w:tab w:pos="3489" w:val="left" w:leader="none"/>
        </w:tabs>
        <w:spacing w:line="240" w:lineRule="auto" w:before="59" w:after="0"/>
        <w:ind w:left="3488" w:right="0" w:hanging="530"/>
        <w:jc w:val="left"/>
        <w:rPr>
          <w:sz w:val="21"/>
        </w:rPr>
      </w:pPr>
      <w:r>
        <w:rPr>
          <w:spacing w:val="-3"/>
          <w:sz w:val="21"/>
        </w:rPr>
        <w:t>保险单上载明的其他保险合同的保险费。</w:t>
      </w:r>
    </w:p>
    <w:p>
      <w:pPr>
        <w:pStyle w:val="BodyText"/>
        <w:ind w:left="0"/>
        <w:rPr>
          <w:sz w:val="18"/>
        </w:rPr>
      </w:pPr>
    </w:p>
    <w:p>
      <w:pPr>
        <w:pStyle w:val="BodyText"/>
        <w:spacing w:line="307" w:lineRule="auto"/>
        <w:ind w:right="227"/>
      </w:pPr>
      <w:r>
        <w:rPr>
          <w:spacing w:val="-2"/>
        </w:rPr>
        <w:t>投保人在保险期间内变更的，变更后的投保人因意外伤害导致的身故或全残，</w:t>
      </w:r>
      <w:r>
        <w:rPr>
          <w:spacing w:val="-2"/>
        </w:rPr>
        <w:t>本公司不予豁免保险费。</w:t>
      </w:r>
    </w:p>
    <w:p>
      <w:pPr>
        <w:pStyle w:val="ListParagraph"/>
        <w:numPr>
          <w:ilvl w:val="1"/>
          <w:numId w:val="3"/>
        </w:numPr>
        <w:tabs>
          <w:tab w:pos="1173" w:val="left" w:leader="none"/>
          <w:tab w:pos="1174" w:val="left" w:leader="none"/>
          <w:tab w:pos="2959" w:val="left" w:leader="none"/>
        </w:tabs>
        <w:spacing w:line="216" w:lineRule="auto" w:before="97" w:after="0"/>
        <w:ind w:left="2959" w:right="224" w:hanging="2740"/>
        <w:jc w:val="left"/>
        <w:rPr>
          <w:sz w:val="21"/>
        </w:rPr>
      </w:pPr>
      <w:r>
        <w:rPr>
          <w:rFonts w:ascii="Microsoft JhengHei" w:eastAsia="Microsoft JhengHei"/>
          <w:b/>
          <w:spacing w:val="-4"/>
          <w:position w:val="-2"/>
          <w:sz w:val="21"/>
        </w:rPr>
        <w:t>责任</w:t>
      </w:r>
      <w:r>
        <w:rPr>
          <w:rFonts w:ascii="Microsoft JhengHei" w:eastAsia="Microsoft JhengHei"/>
          <w:b/>
          <w:spacing w:val="-4"/>
          <w:position w:val="-2"/>
          <w:sz w:val="21"/>
        </w:rPr>
        <w:t>免</w:t>
      </w:r>
      <w:r>
        <w:rPr>
          <w:rFonts w:ascii="Microsoft JhengHei" w:eastAsia="Microsoft JhengHei"/>
          <w:b/>
          <w:spacing w:val="-4"/>
          <w:position w:val="-2"/>
          <w:sz w:val="21"/>
        </w:rPr>
        <w:t>除</w:t>
      </w:r>
      <w:r>
        <w:rPr>
          <w:rFonts w:ascii="Microsoft JhengHei" w:eastAsia="Microsoft JhengHei"/>
          <w:b/>
          <w:position w:val="-2"/>
          <w:sz w:val="21"/>
        </w:rPr>
        <w:tab/>
      </w:r>
      <w:r>
        <w:rPr>
          <w:sz w:val="21"/>
        </w:rPr>
        <w:t>因下列情形之一，造成被</w:t>
      </w:r>
      <w:r>
        <w:rPr>
          <w:sz w:val="21"/>
        </w:rPr>
        <w:t>保险人发生</w:t>
      </w:r>
      <w:r>
        <w:rPr>
          <w:rFonts w:ascii="Microsoft JhengHei" w:eastAsia="Microsoft JhengHei"/>
          <w:b/>
          <w:sz w:val="21"/>
        </w:rPr>
        <w:t>保险事故</w:t>
      </w:r>
      <w:r>
        <w:rPr>
          <w:sz w:val="21"/>
        </w:rPr>
        <w:t>（见</w:t>
      </w:r>
      <w:r>
        <w:rPr>
          <w:spacing w:val="-33"/>
          <w:sz w:val="21"/>
        </w:rPr>
        <w:t> </w:t>
      </w:r>
      <w:r>
        <w:rPr>
          <w:sz w:val="21"/>
        </w:rPr>
        <w:t>9.10）的，本公司不承担给</w:t>
      </w:r>
      <w:r>
        <w:rPr>
          <w:spacing w:val="-2"/>
          <w:sz w:val="21"/>
        </w:rPr>
        <w:t>付</w:t>
      </w:r>
      <w:r>
        <w:rPr>
          <w:spacing w:val="-2"/>
          <w:sz w:val="21"/>
        </w:rPr>
        <w:t>保</w:t>
      </w:r>
      <w:r>
        <w:rPr>
          <w:spacing w:val="-2"/>
          <w:sz w:val="21"/>
        </w:rPr>
        <w:t>险金的责任：</w:t>
      </w:r>
    </w:p>
    <w:p>
      <w:pPr>
        <w:pStyle w:val="ListParagraph"/>
        <w:numPr>
          <w:ilvl w:val="0"/>
          <w:numId w:val="8"/>
        </w:numPr>
        <w:tabs>
          <w:tab w:pos="3526" w:val="left" w:leader="none"/>
        </w:tabs>
        <w:spacing w:line="240" w:lineRule="auto" w:before="64" w:after="0"/>
        <w:ind w:left="3525" w:right="0" w:hanging="567"/>
        <w:jc w:val="left"/>
        <w:rPr>
          <w:sz w:val="21"/>
        </w:rPr>
      </w:pPr>
      <w:r>
        <w:rPr>
          <w:spacing w:val="-3"/>
          <w:sz w:val="21"/>
        </w:rPr>
        <w:t>投保人对被保险人的故意杀害、故意伤害；</w:t>
      </w:r>
    </w:p>
    <w:p>
      <w:pPr>
        <w:pStyle w:val="ListParagraph"/>
        <w:numPr>
          <w:ilvl w:val="0"/>
          <w:numId w:val="8"/>
        </w:numPr>
        <w:tabs>
          <w:tab w:pos="3526" w:val="left" w:leader="none"/>
        </w:tabs>
        <w:spacing w:line="240" w:lineRule="auto" w:before="74" w:after="0"/>
        <w:ind w:left="3525" w:right="0" w:hanging="567"/>
        <w:jc w:val="left"/>
        <w:rPr>
          <w:sz w:val="21"/>
        </w:rPr>
      </w:pPr>
      <w:r>
        <w:rPr>
          <w:spacing w:val="-3"/>
          <w:sz w:val="21"/>
        </w:rPr>
        <w:t>故意自伤、故意犯罪或者抗拒依法采取的刑事强制措施；</w:t>
      </w:r>
    </w:p>
    <w:p>
      <w:pPr>
        <w:pStyle w:val="ListParagraph"/>
        <w:numPr>
          <w:ilvl w:val="0"/>
          <w:numId w:val="8"/>
        </w:numPr>
        <w:tabs>
          <w:tab w:pos="3526" w:val="left" w:leader="none"/>
        </w:tabs>
        <w:spacing w:line="307" w:lineRule="auto" w:before="74" w:after="0"/>
        <w:ind w:left="3525" w:right="222" w:hanging="567"/>
        <w:jc w:val="left"/>
        <w:rPr>
          <w:sz w:val="21"/>
        </w:rPr>
      </w:pPr>
      <w:r>
        <w:rPr>
          <w:spacing w:val="-6"/>
          <w:sz w:val="21"/>
        </w:rPr>
        <w:t>在本合同生效或最后复效之日起二年内自杀，但自杀时为无民事行为能力</w:t>
      </w:r>
      <w:r>
        <w:rPr>
          <w:spacing w:val="-2"/>
          <w:sz w:val="21"/>
        </w:rPr>
        <w:t>人的除外；</w:t>
      </w:r>
    </w:p>
    <w:p>
      <w:pPr>
        <w:pStyle w:val="ListParagraph"/>
        <w:numPr>
          <w:ilvl w:val="0"/>
          <w:numId w:val="8"/>
        </w:numPr>
        <w:tabs>
          <w:tab w:pos="3526" w:val="left" w:leader="none"/>
        </w:tabs>
        <w:spacing w:line="293" w:lineRule="exact" w:before="0" w:after="0"/>
        <w:ind w:left="3525" w:right="0" w:hanging="567"/>
        <w:jc w:val="left"/>
        <w:rPr>
          <w:sz w:val="21"/>
        </w:rPr>
      </w:pPr>
      <w:r>
        <w:rPr>
          <w:spacing w:val="-2"/>
          <w:sz w:val="21"/>
        </w:rPr>
        <w:t>服用、吸食或注射</w:t>
      </w:r>
      <w:r>
        <w:rPr>
          <w:rFonts w:ascii="Microsoft JhengHei" w:eastAsia="Microsoft JhengHei"/>
          <w:b/>
          <w:spacing w:val="-2"/>
          <w:sz w:val="21"/>
        </w:rPr>
        <w:t>毒品</w:t>
      </w:r>
      <w:r>
        <w:rPr>
          <w:spacing w:val="-2"/>
          <w:sz w:val="21"/>
        </w:rPr>
        <w:t>（</w:t>
      </w:r>
      <w:r>
        <w:rPr>
          <w:spacing w:val="-22"/>
          <w:sz w:val="21"/>
        </w:rPr>
        <w:t>见 </w:t>
      </w:r>
      <w:r>
        <w:rPr>
          <w:spacing w:val="-2"/>
          <w:sz w:val="21"/>
        </w:rPr>
        <w:t>9.11）或滥用政府</w:t>
      </w:r>
      <w:r>
        <w:rPr>
          <w:rFonts w:ascii="Microsoft JhengHei" w:eastAsia="Microsoft JhengHei"/>
          <w:b/>
          <w:spacing w:val="-2"/>
          <w:sz w:val="21"/>
        </w:rPr>
        <w:t>管制药品</w:t>
      </w:r>
      <w:r>
        <w:rPr>
          <w:spacing w:val="-2"/>
          <w:sz w:val="21"/>
        </w:rPr>
        <w:t>（</w:t>
      </w:r>
      <w:r>
        <w:rPr>
          <w:spacing w:val="-22"/>
          <w:sz w:val="21"/>
        </w:rPr>
        <w:t>见 </w:t>
      </w:r>
      <w:r>
        <w:rPr>
          <w:spacing w:val="-2"/>
          <w:sz w:val="21"/>
        </w:rPr>
        <w:t>9.12）；</w:t>
      </w:r>
    </w:p>
    <w:p>
      <w:pPr>
        <w:pStyle w:val="ListParagraph"/>
        <w:numPr>
          <w:ilvl w:val="0"/>
          <w:numId w:val="8"/>
        </w:numPr>
        <w:tabs>
          <w:tab w:pos="3526" w:val="left" w:leader="none"/>
        </w:tabs>
        <w:spacing w:line="213" w:lineRule="auto" w:before="9" w:after="0"/>
        <w:ind w:left="3525" w:right="224" w:hanging="567"/>
        <w:jc w:val="left"/>
        <w:rPr>
          <w:sz w:val="21"/>
        </w:rPr>
      </w:pPr>
      <w:r>
        <w:rPr>
          <w:rFonts w:ascii="Microsoft JhengHei" w:eastAsia="Microsoft JhengHei"/>
          <w:b/>
          <w:sz w:val="21"/>
        </w:rPr>
        <w:t>酒后驾驶</w:t>
      </w:r>
      <w:r>
        <w:rPr>
          <w:sz w:val="21"/>
        </w:rPr>
        <w:t>（</w:t>
      </w:r>
      <w:r>
        <w:rPr>
          <w:spacing w:val="-23"/>
          <w:sz w:val="21"/>
        </w:rPr>
        <w:t>见 </w:t>
      </w:r>
      <w:r>
        <w:rPr>
          <w:sz w:val="21"/>
        </w:rPr>
        <w:t>9.13）、</w:t>
      </w:r>
      <w:r>
        <w:rPr>
          <w:rFonts w:ascii="Microsoft JhengHei" w:eastAsia="Microsoft JhengHei"/>
          <w:b/>
          <w:sz w:val="21"/>
        </w:rPr>
        <w:t>无合法有效驾驶证驾驶</w:t>
      </w:r>
      <w:r>
        <w:rPr>
          <w:sz w:val="21"/>
        </w:rPr>
        <w:t>（</w:t>
      </w:r>
      <w:r>
        <w:rPr>
          <w:spacing w:val="-23"/>
          <w:sz w:val="21"/>
        </w:rPr>
        <w:t>见 </w:t>
      </w:r>
      <w:r>
        <w:rPr>
          <w:sz w:val="21"/>
        </w:rPr>
        <w:t>9.14）或驾驶</w:t>
      </w:r>
      <w:r>
        <w:rPr>
          <w:rFonts w:ascii="Microsoft JhengHei" w:eastAsia="Microsoft JhengHei"/>
          <w:b/>
          <w:sz w:val="21"/>
        </w:rPr>
        <w:t>无有效</w:t>
      </w:r>
      <w:r>
        <w:rPr>
          <w:rFonts w:ascii="Microsoft JhengHei" w:eastAsia="Microsoft JhengHei"/>
          <w:b/>
          <w:sz w:val="21"/>
        </w:rPr>
        <w:t>行驶证</w:t>
      </w:r>
      <w:r>
        <w:rPr>
          <w:sz w:val="21"/>
        </w:rPr>
        <w:t>（</w:t>
      </w:r>
      <w:r>
        <w:rPr>
          <w:spacing w:val="-8"/>
          <w:sz w:val="21"/>
        </w:rPr>
        <w:t>见 </w:t>
      </w:r>
      <w:r>
        <w:rPr>
          <w:sz w:val="21"/>
        </w:rPr>
        <w:t>9.15）的</w:t>
      </w:r>
      <w:r>
        <w:rPr>
          <w:rFonts w:ascii="Microsoft JhengHei" w:eastAsia="Microsoft JhengHei"/>
          <w:b/>
          <w:sz w:val="21"/>
        </w:rPr>
        <w:t>机动车</w:t>
      </w:r>
      <w:r>
        <w:rPr>
          <w:sz w:val="21"/>
        </w:rPr>
        <w:t>（</w:t>
      </w:r>
      <w:r>
        <w:rPr>
          <w:spacing w:val="-10"/>
          <w:sz w:val="21"/>
        </w:rPr>
        <w:t>见 </w:t>
      </w:r>
      <w:r>
        <w:rPr>
          <w:sz w:val="21"/>
        </w:rPr>
        <w:t>9.16）、</w:t>
      </w:r>
      <w:r>
        <w:rPr>
          <w:rFonts w:ascii="Microsoft JhengHei" w:eastAsia="Microsoft JhengHei"/>
          <w:b/>
          <w:sz w:val="21"/>
        </w:rPr>
        <w:t>助动交通工具</w:t>
      </w:r>
      <w:r>
        <w:rPr>
          <w:sz w:val="21"/>
        </w:rPr>
        <w:t>（</w:t>
      </w:r>
      <w:r>
        <w:rPr>
          <w:spacing w:val="-10"/>
          <w:sz w:val="21"/>
        </w:rPr>
        <w:t>见 </w:t>
      </w:r>
      <w:r>
        <w:rPr>
          <w:sz w:val="21"/>
        </w:rPr>
        <w:t>9.17）；</w:t>
      </w:r>
    </w:p>
    <w:p>
      <w:pPr>
        <w:pStyle w:val="ListParagraph"/>
        <w:numPr>
          <w:ilvl w:val="0"/>
          <w:numId w:val="8"/>
        </w:numPr>
        <w:tabs>
          <w:tab w:pos="3526" w:val="left" w:leader="none"/>
        </w:tabs>
        <w:spacing w:line="354" w:lineRule="exact" w:before="0" w:after="0"/>
        <w:ind w:left="3525" w:right="0" w:hanging="567"/>
        <w:jc w:val="left"/>
        <w:rPr>
          <w:sz w:val="21"/>
        </w:rPr>
      </w:pPr>
      <w:r>
        <w:rPr>
          <w:sz w:val="21"/>
        </w:rPr>
        <w:t>战争、军事冲突、暴乱、</w:t>
      </w:r>
      <w:r>
        <w:rPr>
          <w:rFonts w:ascii="Microsoft JhengHei" w:eastAsia="Microsoft JhengHei"/>
          <w:b/>
          <w:sz w:val="21"/>
        </w:rPr>
        <w:t>恐怖活动</w:t>
      </w:r>
      <w:r>
        <w:rPr>
          <w:sz w:val="21"/>
        </w:rPr>
        <w:t>（</w:t>
      </w:r>
      <w:r>
        <w:rPr>
          <w:spacing w:val="-1"/>
          <w:sz w:val="21"/>
        </w:rPr>
        <w:t>见 </w:t>
      </w:r>
      <w:r>
        <w:rPr>
          <w:sz w:val="21"/>
        </w:rPr>
        <w:t>9.18）或武装叛乱（</w:t>
      </w:r>
      <w:r>
        <w:rPr>
          <w:spacing w:val="-2"/>
          <w:sz w:val="21"/>
        </w:rPr>
        <w:t>以上行为以</w:t>
      </w:r>
    </w:p>
    <w:p>
      <w:pPr>
        <w:pStyle w:val="BodyText"/>
        <w:spacing w:before="27"/>
        <w:ind w:left="3525"/>
      </w:pPr>
      <w:r>
        <w:rPr>
          <w:spacing w:val="-2"/>
        </w:rPr>
        <w:t>政府宣告或认定为准</w:t>
      </w:r>
      <w:r>
        <w:rPr>
          <w:spacing w:val="-5"/>
        </w:rPr>
        <w:t>）；</w:t>
      </w:r>
    </w:p>
    <w:p>
      <w:pPr>
        <w:pStyle w:val="ListParagraph"/>
        <w:numPr>
          <w:ilvl w:val="0"/>
          <w:numId w:val="8"/>
        </w:numPr>
        <w:tabs>
          <w:tab w:pos="3526" w:val="left" w:leader="none"/>
        </w:tabs>
        <w:spacing w:line="240" w:lineRule="auto" w:before="74" w:after="0"/>
        <w:ind w:left="3525" w:right="0" w:hanging="567"/>
        <w:jc w:val="left"/>
        <w:rPr>
          <w:sz w:val="21"/>
        </w:rPr>
      </w:pPr>
      <w:r>
        <w:rPr>
          <w:spacing w:val="-3"/>
          <w:sz w:val="21"/>
        </w:rPr>
        <w:t>核爆炸、核辐射、核污染，或由前述情形引起的疾病。</w:t>
      </w:r>
    </w:p>
    <w:p>
      <w:pPr>
        <w:pStyle w:val="BodyText"/>
        <w:spacing w:line="312" w:lineRule="exact" w:before="176"/>
        <w:ind w:right="224"/>
        <w:jc w:val="both"/>
      </w:pPr>
      <w:r>
        <w:rPr>
          <w:spacing w:val="-2"/>
        </w:rPr>
        <w:t>发生上述第（1）项情形导致被保险人发生保险事故的，本合同效力终止，若投</w:t>
      </w:r>
      <w:r>
        <w:rPr>
          <w:spacing w:val="-6"/>
        </w:rPr>
        <w:t>保人选择的是一次性交付的交费方式，本公司向除投保人以外的</w:t>
      </w:r>
      <w:r>
        <w:rPr>
          <w:rFonts w:ascii="Microsoft JhengHei" w:eastAsia="Microsoft JhengHei"/>
          <w:b/>
          <w:spacing w:val="-16"/>
        </w:rPr>
        <w:t>其他权利人</w:t>
      </w:r>
      <w:r>
        <w:rPr>
          <w:spacing w:val="-2"/>
        </w:rPr>
        <w:t>（见</w:t>
      </w:r>
      <w:r>
        <w:rPr>
          <w:spacing w:val="-2"/>
        </w:rPr>
        <w:t> 9.19）退还本合同的现金价值。若投保人选择的是分期交付的交费方式，且投</w:t>
      </w:r>
      <w:r>
        <w:rPr>
          <w:spacing w:val="-2"/>
        </w:rPr>
        <w:t>保人已交足两年以上保险费的，本公司向除投保人以外的其他权利人退还本合</w:t>
      </w:r>
      <w:r>
        <w:rPr>
          <w:spacing w:val="-2"/>
        </w:rPr>
        <w:t>同的现金价值。</w:t>
      </w:r>
    </w:p>
    <w:p>
      <w:pPr>
        <w:pStyle w:val="BodyText"/>
        <w:spacing w:before="4"/>
        <w:ind w:left="0"/>
        <w:rPr>
          <w:sz w:val="15"/>
        </w:rPr>
      </w:pPr>
    </w:p>
    <w:p>
      <w:pPr>
        <w:pStyle w:val="BodyText"/>
        <w:spacing w:line="278" w:lineRule="auto"/>
        <w:ind w:right="225"/>
      </w:pPr>
      <w:r>
        <w:rPr>
          <w:spacing w:val="-2"/>
        </w:rPr>
        <w:t>发生上述第（2）项至第（7）项情形之一导致被保险人发生保险事故的，本合</w:t>
      </w:r>
      <w:r>
        <w:rPr>
          <w:spacing w:val="-2"/>
        </w:rPr>
        <w:t>同效力终止，本公司向投保人退还本合同的现金价值。</w:t>
      </w:r>
    </w:p>
    <w:p>
      <w:pPr>
        <w:pStyle w:val="BodyText"/>
        <w:spacing w:line="278" w:lineRule="auto" w:before="156"/>
        <w:ind w:right="222"/>
        <w:jc w:val="both"/>
      </w:pPr>
      <w:r>
        <w:rPr>
          <w:spacing w:val="-2"/>
        </w:rPr>
        <w:t>发生上述第（2）项至第（7）项情形之一导致投保人发生保险事故的，以及投</w:t>
      </w:r>
      <w:r>
        <w:rPr>
          <w:spacing w:val="-2"/>
        </w:rPr>
        <w:t>保人因被保险人的故意行为导致投保人发生保险事故的，本公司不予豁免保险</w:t>
      </w:r>
      <w:r>
        <w:rPr>
          <w:spacing w:val="-6"/>
        </w:rPr>
        <w:t>费。</w:t>
      </w:r>
    </w:p>
    <w:p>
      <w:pPr>
        <w:pStyle w:val="ListParagraph"/>
        <w:numPr>
          <w:ilvl w:val="1"/>
          <w:numId w:val="3"/>
        </w:numPr>
        <w:tabs>
          <w:tab w:pos="1173" w:val="left" w:leader="none"/>
          <w:tab w:pos="1174" w:val="left" w:leader="none"/>
          <w:tab w:pos="2959" w:val="left" w:leader="none"/>
        </w:tabs>
        <w:spacing w:line="244" w:lineRule="auto" w:before="122" w:after="0"/>
        <w:ind w:left="2959" w:right="299" w:hanging="2740"/>
        <w:jc w:val="left"/>
        <w:rPr>
          <w:sz w:val="21"/>
        </w:rPr>
      </w:pPr>
      <w:r>
        <w:rPr>
          <w:rFonts w:ascii="Microsoft JhengHei" w:eastAsia="Microsoft JhengHei"/>
          <w:b/>
          <w:spacing w:val="-2"/>
          <w:sz w:val="21"/>
        </w:rPr>
        <w:t>基本</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额</w:t>
      </w:r>
      <w:r>
        <w:rPr>
          <w:rFonts w:ascii="Microsoft JhengHei" w:eastAsia="Microsoft JhengHei"/>
          <w:b/>
          <w:sz w:val="21"/>
        </w:rPr>
        <w:tab/>
      </w:r>
      <w:r>
        <w:rPr>
          <w:spacing w:val="-2"/>
          <w:position w:val="2"/>
          <w:sz w:val="21"/>
        </w:rPr>
        <w:t>基</w:t>
      </w:r>
      <w:r>
        <w:rPr>
          <w:spacing w:val="-2"/>
          <w:position w:val="2"/>
          <w:sz w:val="21"/>
        </w:rPr>
        <w:t>本</w:t>
      </w:r>
      <w:r>
        <w:rPr>
          <w:spacing w:val="-2"/>
          <w:position w:val="2"/>
          <w:sz w:val="21"/>
        </w:rPr>
        <w:t>保险金额指投保人与</w:t>
      </w:r>
      <w:r>
        <w:rPr>
          <w:spacing w:val="-2"/>
          <w:position w:val="2"/>
          <w:sz w:val="21"/>
        </w:rPr>
        <w:t>本</w:t>
      </w:r>
      <w:r>
        <w:rPr>
          <w:spacing w:val="-2"/>
          <w:position w:val="2"/>
          <w:sz w:val="21"/>
        </w:rPr>
        <w:t>公</w:t>
      </w:r>
      <w:r>
        <w:rPr>
          <w:spacing w:val="-2"/>
          <w:position w:val="2"/>
          <w:sz w:val="21"/>
        </w:rPr>
        <w:t>司约定的用以计算保</w:t>
      </w:r>
      <w:r>
        <w:rPr>
          <w:spacing w:val="-2"/>
          <w:position w:val="2"/>
          <w:sz w:val="21"/>
        </w:rPr>
        <w:t>险</w:t>
      </w:r>
      <w:r>
        <w:rPr>
          <w:spacing w:val="-2"/>
          <w:position w:val="2"/>
          <w:sz w:val="21"/>
        </w:rPr>
        <w:t>金</w:t>
      </w:r>
      <w:r>
        <w:rPr>
          <w:spacing w:val="-2"/>
          <w:position w:val="2"/>
          <w:sz w:val="21"/>
        </w:rPr>
        <w:t>数额的基数。本合同的</w:t>
      </w:r>
      <w:r>
        <w:rPr>
          <w:spacing w:val="-2"/>
          <w:sz w:val="21"/>
        </w:rPr>
        <w:t>基</w:t>
      </w:r>
      <w:r>
        <w:rPr>
          <w:spacing w:val="-2"/>
          <w:sz w:val="21"/>
        </w:rPr>
        <w:t>本</w:t>
      </w:r>
      <w:r>
        <w:rPr>
          <w:spacing w:val="-2"/>
          <w:sz w:val="21"/>
        </w:rPr>
        <w:t>保险金额由投保人在</w:t>
      </w:r>
      <w:r>
        <w:rPr>
          <w:spacing w:val="-2"/>
          <w:sz w:val="21"/>
        </w:rPr>
        <w:t>投</w:t>
      </w:r>
      <w:r>
        <w:rPr>
          <w:spacing w:val="-2"/>
          <w:sz w:val="21"/>
        </w:rPr>
        <w:t>保</w:t>
      </w:r>
      <w:r>
        <w:rPr>
          <w:spacing w:val="-2"/>
          <w:sz w:val="21"/>
        </w:rPr>
        <w:t>时与本公司约定，并</w:t>
      </w:r>
      <w:r>
        <w:rPr>
          <w:spacing w:val="-2"/>
          <w:sz w:val="21"/>
        </w:rPr>
        <w:t>在</w:t>
      </w:r>
      <w:r>
        <w:rPr>
          <w:spacing w:val="-2"/>
          <w:sz w:val="21"/>
        </w:rPr>
        <w:t>保</w:t>
      </w:r>
      <w:r>
        <w:rPr>
          <w:spacing w:val="-2"/>
          <w:sz w:val="21"/>
        </w:rPr>
        <w:t>险单上载明。若该金额</w:t>
      </w:r>
    </w:p>
    <w:p>
      <w:pPr>
        <w:pStyle w:val="BodyText"/>
        <w:spacing w:before="70"/>
      </w:pPr>
      <w:r>
        <w:rPr>
          <w:spacing w:val="-3"/>
        </w:rPr>
        <w:t>发生变更，则以变更后的金额为准。</w:t>
      </w:r>
    </w:p>
    <w:p>
      <w:pPr>
        <w:pStyle w:val="BodyText"/>
        <w:spacing w:before="12"/>
        <w:ind w:left="0"/>
        <w:rPr>
          <w:sz w:val="13"/>
        </w:rPr>
      </w:pPr>
    </w:p>
    <w:p>
      <w:pPr>
        <w:spacing w:after="0"/>
        <w:rPr>
          <w:sz w:val="13"/>
        </w:rPr>
        <w:sectPr>
          <w:pgSz w:w="11910" w:h="16840"/>
          <w:pgMar w:top="1260" w:bottom="280" w:left="800" w:right="700"/>
        </w:sectPr>
      </w:pPr>
    </w:p>
    <w:p>
      <w:pPr>
        <w:pStyle w:val="Heading2"/>
        <w:numPr>
          <w:ilvl w:val="1"/>
          <w:numId w:val="3"/>
        </w:numPr>
        <w:tabs>
          <w:tab w:pos="1173" w:val="left" w:leader="none"/>
          <w:tab w:pos="1174" w:val="left" w:leader="none"/>
        </w:tabs>
        <w:spacing w:line="232" w:lineRule="auto" w:before="27" w:after="0"/>
        <w:ind w:left="1173" w:right="38" w:hanging="954"/>
        <w:jc w:val="left"/>
      </w:pPr>
      <w:r>
        <w:rPr>
          <w:spacing w:val="-2"/>
        </w:rPr>
        <w:t>未成年人身故利</w:t>
      </w:r>
      <w:r>
        <w:rPr>
          <w:spacing w:val="-2"/>
        </w:rPr>
        <w:t>益给付限制</w:t>
      </w:r>
    </w:p>
    <w:p>
      <w:pPr>
        <w:pStyle w:val="BodyText"/>
        <w:spacing w:line="307" w:lineRule="auto" w:before="71"/>
        <w:ind w:left="220" w:right="299"/>
        <w:jc w:val="both"/>
      </w:pPr>
      <w:r>
        <w:rPr/>
        <w:br w:type="column"/>
      </w:r>
      <w:r>
        <w:rPr>
          <w:spacing w:val="-2"/>
        </w:rPr>
        <w:t>若被保险人为未成年人，因被保险人身故给付的保险金总和不得超过国务院保</w:t>
      </w:r>
      <w:r>
        <w:rPr>
          <w:spacing w:val="-2"/>
        </w:rPr>
        <w:t>险监督管理机构规定的限额，身故给付的保险金额总和约定也不得超过前述限</w:t>
      </w:r>
      <w:r>
        <w:rPr>
          <w:spacing w:val="-6"/>
        </w:rPr>
        <w:t>额。</w:t>
      </w:r>
    </w:p>
    <w:p>
      <w:pPr>
        <w:spacing w:after="0" w:line="307" w:lineRule="auto"/>
        <w:jc w:val="both"/>
        <w:sectPr>
          <w:type w:val="continuous"/>
          <w:pgSz w:w="11910" w:h="16840"/>
          <w:pgMar w:top="620" w:bottom="280" w:left="800" w:right="700"/>
          <w:cols w:num="2" w:equalWidth="0">
            <w:col w:w="2692" w:space="47"/>
            <w:col w:w="7671"/>
          </w:cols>
        </w:sectPr>
      </w:pPr>
    </w:p>
    <w:p>
      <w:pPr>
        <w:pStyle w:val="ListParagraph"/>
        <w:numPr>
          <w:ilvl w:val="1"/>
          <w:numId w:val="3"/>
        </w:numPr>
        <w:tabs>
          <w:tab w:pos="1173" w:val="left" w:leader="none"/>
          <w:tab w:pos="1174" w:val="left" w:leader="none"/>
          <w:tab w:pos="2959" w:val="left" w:leader="none"/>
        </w:tabs>
        <w:spacing w:line="244" w:lineRule="auto" w:before="73" w:after="0"/>
        <w:ind w:left="2959" w:right="299" w:hanging="2740"/>
        <w:jc w:val="left"/>
        <w:rPr>
          <w:sz w:val="21"/>
        </w:rPr>
      </w:pPr>
      <w:r>
        <w:rPr>
          <w:rFonts w:ascii="Microsoft JhengHei" w:eastAsia="Microsoft JhengHei"/>
          <w:b/>
          <w:spacing w:val="-4"/>
          <w:position w:val="3"/>
          <w:sz w:val="21"/>
        </w:rPr>
        <w:t>保</w:t>
      </w:r>
      <w:r>
        <w:rPr>
          <w:rFonts w:ascii="Microsoft JhengHei" w:eastAsia="Microsoft JhengHei"/>
          <w:b/>
          <w:spacing w:val="-4"/>
          <w:position w:val="3"/>
          <w:sz w:val="21"/>
        </w:rPr>
        <w:t>险</w:t>
      </w:r>
      <w:r>
        <w:rPr>
          <w:rFonts w:ascii="Microsoft JhengHei" w:eastAsia="Microsoft JhengHei"/>
          <w:b/>
          <w:spacing w:val="-4"/>
          <w:position w:val="3"/>
          <w:sz w:val="21"/>
        </w:rPr>
        <w:t>期</w:t>
      </w:r>
      <w:r>
        <w:rPr>
          <w:rFonts w:ascii="Microsoft JhengHei" w:eastAsia="Microsoft JhengHei"/>
          <w:b/>
          <w:spacing w:val="-4"/>
          <w:position w:val="3"/>
          <w:sz w:val="21"/>
        </w:rPr>
        <w:t>间</w:t>
      </w:r>
      <w:r>
        <w:rPr>
          <w:rFonts w:ascii="Microsoft JhengHei" w:eastAsia="Microsoft JhengHei"/>
          <w:b/>
          <w:position w:val="3"/>
          <w:sz w:val="21"/>
        </w:rPr>
        <w:tab/>
      </w:r>
      <w:r>
        <w:rPr>
          <w:spacing w:val="-2"/>
          <w:position w:val="2"/>
          <w:sz w:val="21"/>
        </w:rPr>
        <w:t>本</w:t>
      </w:r>
      <w:r>
        <w:rPr>
          <w:spacing w:val="-2"/>
          <w:position w:val="2"/>
          <w:sz w:val="21"/>
        </w:rPr>
        <w:t>合</w:t>
      </w:r>
      <w:r>
        <w:rPr>
          <w:spacing w:val="-2"/>
          <w:position w:val="2"/>
          <w:sz w:val="21"/>
        </w:rPr>
        <w:t>同的保险期间为终身，</w:t>
      </w:r>
      <w:r>
        <w:rPr>
          <w:spacing w:val="-2"/>
          <w:position w:val="2"/>
          <w:sz w:val="21"/>
        </w:rPr>
        <w:t>自</w:t>
      </w:r>
      <w:r>
        <w:rPr>
          <w:spacing w:val="-2"/>
          <w:position w:val="2"/>
          <w:sz w:val="21"/>
        </w:rPr>
        <w:t>本合同生效日起至被</w:t>
      </w:r>
      <w:r>
        <w:rPr>
          <w:spacing w:val="-2"/>
          <w:position w:val="2"/>
          <w:sz w:val="21"/>
        </w:rPr>
        <w:t>保</w:t>
      </w:r>
      <w:r>
        <w:rPr>
          <w:spacing w:val="-2"/>
          <w:position w:val="2"/>
          <w:sz w:val="21"/>
        </w:rPr>
        <w:t>险</w:t>
      </w:r>
      <w:r>
        <w:rPr>
          <w:spacing w:val="-2"/>
          <w:position w:val="2"/>
          <w:sz w:val="21"/>
        </w:rPr>
        <w:t>人身故时止，并在保险</w:t>
      </w:r>
      <w:r>
        <w:rPr>
          <w:spacing w:val="-2"/>
          <w:sz w:val="21"/>
        </w:rPr>
        <w:t>单</w:t>
      </w:r>
      <w:r>
        <w:rPr>
          <w:spacing w:val="-2"/>
          <w:sz w:val="21"/>
        </w:rPr>
        <w:t>上</w:t>
      </w:r>
      <w:r>
        <w:rPr>
          <w:spacing w:val="-2"/>
          <w:sz w:val="21"/>
        </w:rPr>
        <w:t>载</w:t>
      </w:r>
      <w:r>
        <w:rPr>
          <w:spacing w:val="-2"/>
          <w:sz w:val="21"/>
        </w:rPr>
        <w:t>明</w:t>
      </w:r>
      <w:r>
        <w:rPr>
          <w:spacing w:val="-2"/>
          <w:sz w:val="21"/>
        </w:rPr>
        <w:t>。</w:t>
      </w:r>
    </w:p>
    <w:p>
      <w:pPr>
        <w:pStyle w:val="BodyText"/>
        <w:spacing w:before="5"/>
        <w:ind w:left="0"/>
        <w:rPr>
          <w:sz w:val="15"/>
        </w:rPr>
      </w:pPr>
    </w:p>
    <w:p>
      <w:pPr>
        <w:pStyle w:val="Heading1"/>
        <w:numPr>
          <w:ilvl w:val="0"/>
          <w:numId w:val="3"/>
        </w:numPr>
        <w:tabs>
          <w:tab w:pos="1173" w:val="left" w:leader="none"/>
          <w:tab w:pos="1174" w:val="left" w:leader="none"/>
        </w:tabs>
        <w:spacing w:line="240" w:lineRule="auto" w:before="0" w:after="0"/>
        <w:ind w:left="1173" w:right="0" w:hanging="954"/>
        <w:jc w:val="left"/>
      </w:pPr>
      <w:r>
        <w:rPr/>
        <w:drawing>
          <wp:anchor distT="0" distB="0" distL="0" distR="0" allowOverlap="1" layoutInCell="1" locked="0" behindDoc="0" simplePos="0" relativeHeight="5">
            <wp:simplePos x="0" y="0"/>
            <wp:positionH relativeFrom="page">
              <wp:posOffset>579119</wp:posOffset>
            </wp:positionH>
            <wp:positionV relativeFrom="paragraph">
              <wp:posOffset>388762</wp:posOffset>
            </wp:positionV>
            <wp:extent cx="6359184" cy="6000"/>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6359184" cy="6000"/>
                    </a:xfrm>
                    <a:prstGeom prst="rect">
                      <a:avLst/>
                    </a:prstGeom>
                  </pic:spPr>
                </pic:pic>
              </a:graphicData>
            </a:graphic>
          </wp:anchor>
        </w:drawing>
      </w:r>
      <w:r>
        <w:rPr>
          <w:spacing w:val="-2"/>
        </w:rPr>
        <w:t>如何申请领取保险金</w:t>
      </w:r>
    </w:p>
    <w:p>
      <w:pPr>
        <w:spacing w:after="0" w:line="240" w:lineRule="auto"/>
        <w:jc w:val="left"/>
        <w:sectPr>
          <w:type w:val="continuous"/>
          <w:pgSz w:w="11910" w:h="16840"/>
          <w:pgMar w:top="620" w:bottom="280" w:left="800" w:right="700"/>
        </w:sectPr>
      </w:pPr>
    </w:p>
    <w:p>
      <w:pPr>
        <w:pStyle w:val="ListParagraph"/>
        <w:numPr>
          <w:ilvl w:val="1"/>
          <w:numId w:val="3"/>
        </w:numPr>
        <w:tabs>
          <w:tab w:pos="1173" w:val="left" w:leader="none"/>
          <w:tab w:pos="1174" w:val="left" w:leader="none"/>
          <w:tab w:pos="2959" w:val="left" w:leader="none"/>
        </w:tabs>
        <w:spacing w:line="247" w:lineRule="auto" w:before="7" w:after="0"/>
        <w:ind w:left="2959" w:right="228" w:hanging="2740"/>
        <w:jc w:val="left"/>
        <w:rPr>
          <w:sz w:val="21"/>
        </w:rPr>
      </w:pPr>
      <w:r>
        <w:rPr>
          <w:rFonts w:ascii="Microsoft JhengHei" w:eastAsia="Microsoft JhengHei"/>
          <w:b/>
          <w:spacing w:val="-4"/>
          <w:sz w:val="21"/>
        </w:rPr>
        <w:t>受</w:t>
      </w:r>
      <w:r>
        <w:rPr>
          <w:rFonts w:ascii="Microsoft JhengHei" w:eastAsia="Microsoft JhengHei"/>
          <w:b/>
          <w:spacing w:val="-4"/>
          <w:sz w:val="21"/>
        </w:rPr>
        <w:t>益</w:t>
      </w:r>
      <w:r>
        <w:rPr>
          <w:rFonts w:ascii="Microsoft JhengHei" w:eastAsia="Microsoft JhengHei"/>
          <w:b/>
          <w:spacing w:val="-4"/>
          <w:sz w:val="21"/>
        </w:rPr>
        <w:t>人</w:t>
      </w:r>
      <w:r>
        <w:rPr>
          <w:rFonts w:ascii="Microsoft JhengHei" w:eastAsia="Microsoft JhengHei"/>
          <w:b/>
          <w:sz w:val="21"/>
        </w:rPr>
        <w:tab/>
      </w:r>
      <w:r>
        <w:rPr>
          <w:spacing w:val="-2"/>
          <w:position w:val="2"/>
          <w:sz w:val="21"/>
        </w:rPr>
        <w:t>投保人或者被保险人</w:t>
      </w:r>
      <w:r>
        <w:rPr>
          <w:spacing w:val="-2"/>
          <w:position w:val="2"/>
          <w:sz w:val="21"/>
        </w:rPr>
        <w:t>可</w:t>
      </w:r>
      <w:r>
        <w:rPr>
          <w:spacing w:val="-2"/>
          <w:position w:val="2"/>
          <w:sz w:val="21"/>
        </w:rPr>
        <w:t>以</w:t>
      </w:r>
      <w:r>
        <w:rPr>
          <w:spacing w:val="-2"/>
          <w:position w:val="2"/>
          <w:sz w:val="21"/>
        </w:rPr>
        <w:t>指定一人或者多人为</w:t>
      </w:r>
      <w:r>
        <w:rPr>
          <w:spacing w:val="-2"/>
          <w:position w:val="2"/>
          <w:sz w:val="21"/>
        </w:rPr>
        <w:t>身</w:t>
      </w:r>
      <w:r>
        <w:rPr>
          <w:spacing w:val="-2"/>
          <w:position w:val="2"/>
          <w:sz w:val="21"/>
        </w:rPr>
        <w:t>故</w:t>
      </w:r>
      <w:r>
        <w:rPr>
          <w:spacing w:val="-2"/>
          <w:position w:val="2"/>
          <w:sz w:val="21"/>
        </w:rPr>
        <w:t>保险金受益人，身故</w:t>
      </w:r>
      <w:r>
        <w:rPr>
          <w:spacing w:val="-2"/>
          <w:position w:val="2"/>
          <w:sz w:val="21"/>
        </w:rPr>
        <w:t>保</w:t>
      </w:r>
      <w:r>
        <w:rPr>
          <w:spacing w:val="-2"/>
          <w:position w:val="2"/>
          <w:sz w:val="21"/>
        </w:rPr>
        <w:t>险</w:t>
      </w:r>
      <w:r>
        <w:rPr>
          <w:spacing w:val="-2"/>
          <w:position w:val="2"/>
          <w:sz w:val="21"/>
        </w:rPr>
        <w:t>金</w:t>
      </w:r>
      <w:r>
        <w:rPr>
          <w:spacing w:val="-2"/>
          <w:sz w:val="21"/>
        </w:rPr>
        <w:t>受益人为多人时，可</w:t>
      </w:r>
      <w:r>
        <w:rPr>
          <w:spacing w:val="-2"/>
          <w:sz w:val="21"/>
        </w:rPr>
        <w:t>以</w:t>
      </w:r>
      <w:r>
        <w:rPr>
          <w:spacing w:val="-2"/>
          <w:sz w:val="21"/>
        </w:rPr>
        <w:t>确</w:t>
      </w:r>
      <w:r>
        <w:rPr>
          <w:spacing w:val="-2"/>
          <w:sz w:val="21"/>
        </w:rPr>
        <w:t>定受益顺序和受益份额，若没有确定受益顺序，</w:t>
      </w:r>
      <w:r>
        <w:rPr>
          <w:spacing w:val="-2"/>
          <w:sz w:val="21"/>
        </w:rPr>
        <w:t>各</w:t>
      </w:r>
      <w:r>
        <w:rPr>
          <w:spacing w:val="-2"/>
          <w:sz w:val="21"/>
        </w:rPr>
        <w:t>受</w:t>
      </w:r>
    </w:p>
    <w:p>
      <w:pPr>
        <w:pStyle w:val="BodyText"/>
        <w:spacing w:line="307" w:lineRule="auto" w:before="64"/>
        <w:ind w:right="227"/>
      </w:pPr>
      <w:r>
        <w:rPr>
          <w:spacing w:val="-2"/>
        </w:rPr>
        <w:t>益人按同一顺序享有受益权；若没有确定受益份额，各受益人按照相等份额享</w:t>
      </w:r>
      <w:r>
        <w:rPr>
          <w:spacing w:val="-2"/>
        </w:rPr>
        <w:t>有受益权。</w:t>
      </w:r>
    </w:p>
    <w:p>
      <w:pPr>
        <w:pStyle w:val="BodyText"/>
        <w:spacing w:line="307" w:lineRule="auto" w:before="154"/>
        <w:ind w:right="227"/>
      </w:pPr>
      <w:r>
        <w:rPr>
          <w:spacing w:val="-2"/>
        </w:rPr>
        <w:t>被保险人为无民事行为能力人或者限制民事行为能力人的，应当由其监护人指</w:t>
      </w:r>
      <w:r>
        <w:rPr>
          <w:spacing w:val="-2"/>
        </w:rPr>
        <w:t>定受益人。</w:t>
      </w:r>
    </w:p>
    <w:p>
      <w:pPr>
        <w:pStyle w:val="BodyText"/>
        <w:spacing w:line="307" w:lineRule="auto" w:before="153"/>
        <w:ind w:right="229"/>
        <w:jc w:val="both"/>
      </w:pPr>
      <w:r>
        <w:rPr>
          <w:spacing w:val="-2"/>
        </w:rPr>
        <w:t>投保人或者被保险人可以变更受益人并书面通知本公司。本公司收到变更受益</w:t>
      </w:r>
      <w:r>
        <w:rPr>
          <w:spacing w:val="-2"/>
        </w:rPr>
        <w:t>人的书面通知并审核通过后，在保险单或者其他保险凭证上批注或附贴批单；</w:t>
      </w:r>
      <w:r>
        <w:rPr>
          <w:spacing w:val="-2"/>
        </w:rPr>
        <w:t>变更自本公司在保险单或其他保险凭证上批注或者附贴批单之日起产生效力。</w:t>
      </w:r>
    </w:p>
    <w:p>
      <w:pPr>
        <w:pStyle w:val="BodyText"/>
        <w:spacing w:before="153"/>
      </w:pPr>
      <w:r>
        <w:rPr>
          <w:spacing w:val="-3"/>
        </w:rPr>
        <w:t>投保人在指定和变更受益人时，必须经过被保险人书面同意。</w:t>
      </w:r>
    </w:p>
    <w:p>
      <w:pPr>
        <w:pStyle w:val="BodyText"/>
        <w:ind w:left="0"/>
        <w:rPr>
          <w:sz w:val="18"/>
        </w:rPr>
      </w:pPr>
    </w:p>
    <w:p>
      <w:pPr>
        <w:pStyle w:val="BodyText"/>
        <w:spacing w:line="307" w:lineRule="auto"/>
        <w:ind w:right="232"/>
      </w:pPr>
      <w:r>
        <w:rPr>
          <w:spacing w:val="-2"/>
        </w:rPr>
        <w:t>被保险人身故后，有下列情形之一的，身故保险金作为被保险人的遗产，由本</w:t>
      </w:r>
      <w:r>
        <w:rPr>
          <w:spacing w:val="-2"/>
        </w:rPr>
        <w:t>公司依照《中华人民共和国继承法》的规定履行给付保险金的义务：</w:t>
      </w:r>
    </w:p>
    <w:p>
      <w:pPr>
        <w:pStyle w:val="ListParagraph"/>
        <w:numPr>
          <w:ilvl w:val="0"/>
          <w:numId w:val="9"/>
        </w:numPr>
        <w:tabs>
          <w:tab w:pos="3680" w:val="left" w:leader="none"/>
        </w:tabs>
        <w:spacing w:line="267" w:lineRule="exact" w:before="0" w:after="0"/>
        <w:ind w:left="3679" w:right="0" w:hanging="721"/>
        <w:jc w:val="left"/>
        <w:rPr>
          <w:sz w:val="21"/>
        </w:rPr>
      </w:pPr>
      <w:r>
        <w:rPr>
          <w:spacing w:val="-3"/>
          <w:sz w:val="21"/>
        </w:rPr>
        <w:t>没有指定受益人，或者受益人指定不明无法确定的；</w:t>
      </w:r>
    </w:p>
    <w:p>
      <w:pPr>
        <w:pStyle w:val="ListParagraph"/>
        <w:numPr>
          <w:ilvl w:val="0"/>
          <w:numId w:val="9"/>
        </w:numPr>
        <w:tabs>
          <w:tab w:pos="3680" w:val="left" w:leader="none"/>
        </w:tabs>
        <w:spacing w:line="240" w:lineRule="auto" w:before="74" w:after="0"/>
        <w:ind w:left="3679" w:right="0" w:hanging="721"/>
        <w:jc w:val="left"/>
        <w:rPr>
          <w:sz w:val="21"/>
        </w:rPr>
      </w:pPr>
      <w:r>
        <w:rPr>
          <w:spacing w:val="-3"/>
          <w:sz w:val="21"/>
        </w:rPr>
        <w:t>受益人先于被保险人身故，没有其他受益人的；</w:t>
      </w:r>
    </w:p>
    <w:p>
      <w:pPr>
        <w:pStyle w:val="ListParagraph"/>
        <w:numPr>
          <w:ilvl w:val="0"/>
          <w:numId w:val="9"/>
        </w:numPr>
        <w:tabs>
          <w:tab w:pos="3680" w:val="left" w:leader="none"/>
        </w:tabs>
        <w:spacing w:line="240" w:lineRule="auto" w:before="74" w:after="0"/>
        <w:ind w:left="3679" w:right="0" w:hanging="721"/>
        <w:jc w:val="left"/>
        <w:rPr>
          <w:sz w:val="21"/>
        </w:rPr>
      </w:pPr>
      <w:r>
        <w:rPr>
          <w:spacing w:val="-3"/>
          <w:sz w:val="21"/>
        </w:rPr>
        <w:t>受益人依法丧失受益权或者放弃受益权，没有其他受益人的。</w:t>
      </w:r>
    </w:p>
    <w:p>
      <w:pPr>
        <w:pStyle w:val="BodyText"/>
        <w:ind w:left="0"/>
        <w:rPr>
          <w:sz w:val="18"/>
        </w:rPr>
      </w:pPr>
    </w:p>
    <w:p>
      <w:pPr>
        <w:pStyle w:val="BodyText"/>
        <w:spacing w:line="307" w:lineRule="auto"/>
        <w:ind w:right="232"/>
      </w:pPr>
      <w:r>
        <w:rPr>
          <w:spacing w:val="-2"/>
        </w:rPr>
        <w:t>受益人与被保险人在同一事件中身故，且不能确定身故先后顺序的，推定受益</w:t>
      </w:r>
      <w:r>
        <w:rPr>
          <w:spacing w:val="-2"/>
        </w:rPr>
        <w:t>人身故在先。</w:t>
      </w:r>
    </w:p>
    <w:p>
      <w:pPr>
        <w:pStyle w:val="BodyText"/>
        <w:spacing w:line="307" w:lineRule="auto" w:before="153"/>
        <w:ind w:right="116"/>
      </w:pPr>
      <w:r>
        <w:rPr>
          <w:spacing w:val="-2"/>
        </w:rPr>
        <w:t>受益人故意造成被保险人死亡、伤残、疾病的，或者故意杀害被保险人未遂的，</w:t>
      </w:r>
      <w:r>
        <w:rPr>
          <w:spacing w:val="-2"/>
        </w:rPr>
        <w:t>该受益人丧失受益权。</w:t>
      </w:r>
    </w:p>
    <w:p>
      <w:pPr>
        <w:pStyle w:val="ListParagraph"/>
        <w:numPr>
          <w:ilvl w:val="1"/>
          <w:numId w:val="3"/>
        </w:numPr>
        <w:tabs>
          <w:tab w:pos="1173" w:val="left" w:leader="none"/>
          <w:tab w:pos="1174" w:val="left" w:leader="none"/>
        </w:tabs>
        <w:spacing w:line="249" w:lineRule="auto" w:before="104" w:after="0"/>
        <w:ind w:left="2959" w:right="224" w:hanging="2740"/>
        <w:jc w:val="both"/>
        <w:rPr>
          <w:sz w:val="21"/>
        </w:rPr>
      </w:pPr>
      <w:r>
        <w:rPr>
          <w:rFonts w:ascii="Microsoft JhengHei" w:eastAsia="Microsoft JhengHei"/>
          <w:b/>
          <w:sz w:val="21"/>
        </w:rPr>
        <w:t>保险事故通知</w:t>
      </w:r>
      <w:r>
        <w:rPr>
          <w:rFonts w:ascii="Microsoft JhengHei" w:eastAsia="Microsoft JhengHei"/>
          <w:b/>
          <w:spacing w:val="80"/>
          <w:w w:val="150"/>
          <w:sz w:val="21"/>
        </w:rPr>
        <w:t>  </w:t>
      </w:r>
      <w:r>
        <w:rPr>
          <w:position w:val="2"/>
          <w:sz w:val="21"/>
        </w:rPr>
        <w:t>投保人、被保险人或者受益人应于自其知道或者应当知道保险事故发生之日起</w:t>
      </w:r>
      <w:r>
        <w:rPr>
          <w:spacing w:val="40"/>
          <w:position w:val="2"/>
          <w:sz w:val="21"/>
        </w:rPr>
        <w:t> </w:t>
      </w:r>
      <w:r>
        <w:rPr>
          <w:spacing w:val="-2"/>
          <w:sz w:val="21"/>
        </w:rPr>
        <w:t>10 日内通知本公司。否则投保人、被保险人或者受益人应承担由于通知迟延致</w:t>
      </w:r>
      <w:r>
        <w:rPr>
          <w:spacing w:val="-2"/>
          <w:sz w:val="21"/>
        </w:rPr>
        <w:t>使本公司增加的勘查、检验等各项费用，但因</w:t>
      </w:r>
      <w:r>
        <w:rPr>
          <w:rFonts w:ascii="Microsoft JhengHei" w:eastAsia="Microsoft JhengHei"/>
          <w:b/>
          <w:spacing w:val="-2"/>
          <w:sz w:val="21"/>
        </w:rPr>
        <w:t>不可抗力</w:t>
      </w:r>
      <w:r>
        <w:rPr>
          <w:spacing w:val="-2"/>
          <w:sz w:val="21"/>
        </w:rPr>
        <w:t>（见 9.20）导致的迟延除外。通知内容包括：事故情况、原因、伤亡情况以及本公司需要了解的其他</w:t>
      </w:r>
    </w:p>
    <w:p>
      <w:pPr>
        <w:pStyle w:val="BodyText"/>
        <w:spacing w:before="63"/>
      </w:pPr>
      <w:r>
        <w:rPr>
          <w:spacing w:val="-4"/>
        </w:rPr>
        <w:t>情况。</w:t>
      </w:r>
    </w:p>
    <w:p>
      <w:pPr>
        <w:pStyle w:val="BodyText"/>
        <w:spacing w:before="12"/>
        <w:ind w:left="0"/>
        <w:rPr>
          <w:sz w:val="17"/>
        </w:rPr>
      </w:pPr>
    </w:p>
    <w:p>
      <w:pPr>
        <w:pStyle w:val="BodyText"/>
        <w:spacing w:line="307" w:lineRule="auto"/>
        <w:ind w:right="229"/>
        <w:jc w:val="both"/>
      </w:pPr>
      <w:r>
        <w:rPr>
          <w:spacing w:val="-2"/>
        </w:rPr>
        <w:t>投保人、被保险人或者受益人故意或者因重大过失未及时通知，致使保险事故</w:t>
      </w:r>
      <w:r>
        <w:rPr>
          <w:spacing w:val="-2"/>
        </w:rPr>
        <w:t>的性质、原因等难以确定的，本公司对无法确定的部分，不承担给付保险金的责任，但本公司通过其他途径已经及时知道或者应当及时知道保险事故发生的</w:t>
      </w:r>
      <w:r>
        <w:rPr>
          <w:spacing w:val="-4"/>
        </w:rPr>
        <w:t>除外。</w:t>
      </w:r>
    </w:p>
    <w:p>
      <w:pPr>
        <w:pStyle w:val="ListParagraph"/>
        <w:numPr>
          <w:ilvl w:val="1"/>
          <w:numId w:val="3"/>
        </w:numPr>
        <w:tabs>
          <w:tab w:pos="1173" w:val="left" w:leader="none"/>
          <w:tab w:pos="1174" w:val="left" w:leader="none"/>
          <w:tab w:pos="2959" w:val="left" w:leader="none"/>
        </w:tabs>
        <w:spacing w:line="240" w:lineRule="auto" w:before="109" w:after="0"/>
        <w:ind w:left="1173" w:right="0" w:hanging="954"/>
        <w:jc w:val="both"/>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position w:val="2"/>
          <w:sz w:val="21"/>
        </w:rPr>
        <w:t>在</w:t>
      </w:r>
      <w:r>
        <w:rPr>
          <w:spacing w:val="-2"/>
          <w:position w:val="2"/>
          <w:sz w:val="21"/>
        </w:rPr>
        <w:t>申</w:t>
      </w:r>
      <w:r>
        <w:rPr>
          <w:spacing w:val="-2"/>
          <w:position w:val="2"/>
          <w:sz w:val="21"/>
        </w:rPr>
        <w:t>请保险金时，请按照</w:t>
      </w:r>
      <w:r>
        <w:rPr>
          <w:spacing w:val="-2"/>
          <w:position w:val="2"/>
          <w:sz w:val="21"/>
        </w:rPr>
        <w:t>下</w:t>
      </w:r>
      <w:r>
        <w:rPr>
          <w:spacing w:val="-2"/>
          <w:position w:val="2"/>
          <w:sz w:val="21"/>
        </w:rPr>
        <w:t>列</w:t>
      </w:r>
      <w:r>
        <w:rPr>
          <w:spacing w:val="-2"/>
          <w:position w:val="2"/>
          <w:sz w:val="21"/>
        </w:rPr>
        <w:t>方式办</w:t>
      </w:r>
      <w:r>
        <w:rPr>
          <w:spacing w:val="-2"/>
          <w:position w:val="2"/>
          <w:sz w:val="21"/>
        </w:rPr>
        <w:t>理</w:t>
      </w:r>
      <w:r>
        <w:rPr>
          <w:spacing w:val="-10"/>
          <w:position w:val="2"/>
          <w:sz w:val="21"/>
        </w:rPr>
        <w:t>：</w:t>
      </w:r>
    </w:p>
    <w:p>
      <w:pPr>
        <w:pStyle w:val="BodyText"/>
        <w:spacing w:line="244" w:lineRule="auto" w:before="168"/>
        <w:ind w:right="232" w:hanging="1787"/>
        <w:jc w:val="both"/>
      </w:pPr>
      <w:r>
        <w:rPr>
          <w:rFonts w:ascii="Microsoft JhengHei" w:eastAsia="Microsoft JhengHei"/>
          <w:b/>
          <w:spacing w:val="17"/>
        </w:rPr>
        <w:t>身故保险金申请  </w:t>
      </w:r>
      <w:r>
        <w:rPr>
          <w:position w:val="2"/>
        </w:rPr>
        <w:t>由身故保险金受益人作为申请人填写保险金给付申请书，并须提供下列证明和</w:t>
      </w:r>
      <w:r>
        <w:rPr>
          <w:spacing w:val="-4"/>
        </w:rPr>
        <w:t>资料：</w:t>
      </w:r>
    </w:p>
    <w:p>
      <w:pPr>
        <w:pStyle w:val="ListParagraph"/>
        <w:numPr>
          <w:ilvl w:val="0"/>
          <w:numId w:val="10"/>
        </w:numPr>
        <w:tabs>
          <w:tab w:pos="3526" w:val="left" w:leader="none"/>
        </w:tabs>
        <w:spacing w:line="240" w:lineRule="auto" w:before="71" w:after="0"/>
        <w:ind w:left="3525" w:right="0" w:hanging="567"/>
        <w:jc w:val="both"/>
        <w:rPr>
          <w:sz w:val="21"/>
        </w:rPr>
      </w:pPr>
      <w:r>
        <w:rPr>
          <w:spacing w:val="-4"/>
          <w:sz w:val="21"/>
        </w:rPr>
        <w:t>保险合同；</w:t>
      </w:r>
    </w:p>
    <w:p>
      <w:pPr>
        <w:pStyle w:val="ListParagraph"/>
        <w:numPr>
          <w:ilvl w:val="0"/>
          <w:numId w:val="10"/>
        </w:numPr>
        <w:tabs>
          <w:tab w:pos="3526" w:val="left" w:leader="none"/>
        </w:tabs>
        <w:spacing w:line="240" w:lineRule="auto" w:before="5" w:after="0"/>
        <w:ind w:left="3525" w:right="0" w:hanging="567"/>
        <w:jc w:val="both"/>
        <w:rPr>
          <w:sz w:val="21"/>
        </w:rPr>
      </w:pPr>
      <w:r>
        <w:rPr>
          <w:spacing w:val="-2"/>
          <w:sz w:val="21"/>
        </w:rPr>
        <w:t>受益人的有效</w:t>
      </w:r>
      <w:r>
        <w:rPr>
          <w:rFonts w:ascii="Microsoft JhengHei" w:eastAsia="Microsoft JhengHei"/>
          <w:b/>
          <w:spacing w:val="-2"/>
          <w:sz w:val="21"/>
        </w:rPr>
        <w:t>法定身份证明</w:t>
      </w:r>
      <w:r>
        <w:rPr>
          <w:spacing w:val="-2"/>
          <w:sz w:val="21"/>
        </w:rPr>
        <w:t>（</w:t>
      </w:r>
      <w:r>
        <w:rPr>
          <w:spacing w:val="-22"/>
          <w:sz w:val="21"/>
        </w:rPr>
        <w:t>见 </w:t>
      </w:r>
      <w:r>
        <w:rPr>
          <w:spacing w:val="-2"/>
          <w:sz w:val="21"/>
        </w:rPr>
        <w:t>9.21）；</w:t>
      </w:r>
    </w:p>
    <w:p>
      <w:pPr>
        <w:pStyle w:val="ListParagraph"/>
        <w:numPr>
          <w:ilvl w:val="0"/>
          <w:numId w:val="10"/>
        </w:numPr>
        <w:tabs>
          <w:tab w:pos="3526" w:val="left" w:leader="none"/>
        </w:tabs>
        <w:spacing w:line="307" w:lineRule="auto" w:before="26" w:after="0"/>
        <w:ind w:left="3525" w:right="226" w:hanging="567"/>
        <w:jc w:val="both"/>
        <w:rPr>
          <w:sz w:val="21"/>
        </w:rPr>
      </w:pPr>
      <w:r>
        <w:rPr>
          <w:spacing w:val="1"/>
          <w:w w:val="100"/>
          <w:sz w:val="21"/>
        </w:rPr>
        <w:t>国务院卫生行政部门规定的医疗机构或其他有权机构出具的被保险人死</w:t>
      </w:r>
      <w:r>
        <w:rPr>
          <w:spacing w:val="-1"/>
          <w:w w:val="100"/>
          <w:sz w:val="21"/>
        </w:rPr>
        <w:t>亡证明书；</w:t>
      </w:r>
    </w:p>
    <w:p>
      <w:pPr>
        <w:pStyle w:val="ListParagraph"/>
        <w:numPr>
          <w:ilvl w:val="0"/>
          <w:numId w:val="10"/>
        </w:numPr>
        <w:tabs>
          <w:tab w:pos="3526" w:val="left" w:leader="none"/>
        </w:tabs>
        <w:spacing w:line="267" w:lineRule="exact" w:before="0" w:after="0"/>
        <w:ind w:left="3525" w:right="0" w:hanging="567"/>
        <w:jc w:val="both"/>
        <w:rPr>
          <w:sz w:val="21"/>
        </w:rPr>
      </w:pPr>
      <w:r>
        <w:rPr>
          <w:spacing w:val="-3"/>
          <w:sz w:val="21"/>
        </w:rPr>
        <w:t>若被保险人为宣告死亡，受益人须提供人民法院出具的宣告死亡判决书；</w:t>
      </w:r>
    </w:p>
    <w:p>
      <w:pPr>
        <w:spacing w:after="0" w:line="267" w:lineRule="exact"/>
        <w:jc w:val="both"/>
        <w:rPr>
          <w:sz w:val="21"/>
        </w:rPr>
        <w:sectPr>
          <w:pgSz w:w="11910" w:h="16840"/>
          <w:pgMar w:top="1260" w:bottom="280" w:left="800" w:right="700"/>
        </w:sectPr>
      </w:pPr>
    </w:p>
    <w:p>
      <w:pPr>
        <w:pStyle w:val="ListParagraph"/>
        <w:numPr>
          <w:ilvl w:val="0"/>
          <w:numId w:val="10"/>
        </w:numPr>
        <w:tabs>
          <w:tab w:pos="3526" w:val="left" w:leader="none"/>
        </w:tabs>
        <w:spacing w:line="240" w:lineRule="auto" w:before="59" w:after="0"/>
        <w:ind w:left="3525" w:right="0" w:hanging="567"/>
        <w:jc w:val="left"/>
        <w:rPr>
          <w:sz w:val="21"/>
        </w:rPr>
      </w:pPr>
      <w:r>
        <w:rPr>
          <w:spacing w:val="-13"/>
          <w:sz w:val="21"/>
        </w:rPr>
        <w:t>所能提供的与确认保险事故的性质、原因、经过等有关的其他证明和资料。</w:t>
      </w:r>
    </w:p>
    <w:p>
      <w:pPr>
        <w:pStyle w:val="BodyText"/>
        <w:ind w:left="0"/>
        <w:rPr>
          <w:sz w:val="18"/>
        </w:rPr>
      </w:pPr>
    </w:p>
    <w:p>
      <w:pPr>
        <w:pStyle w:val="BodyText"/>
        <w:spacing w:line="307" w:lineRule="auto"/>
        <w:ind w:right="232"/>
      </w:pPr>
      <w:r>
        <w:rPr>
          <w:spacing w:val="-2"/>
        </w:rPr>
        <w:t>保险金作为被保险人遗产时，除上述证明和资料外，被保险人的继承人还必须</w:t>
      </w:r>
      <w:r>
        <w:rPr>
          <w:spacing w:val="-2"/>
        </w:rPr>
        <w:t>提供可证明合法继承权的相关权利文件。</w:t>
      </w:r>
    </w:p>
    <w:p>
      <w:pPr>
        <w:pStyle w:val="BodyText"/>
        <w:ind w:left="0"/>
        <w:rPr>
          <w:sz w:val="20"/>
        </w:rPr>
      </w:pPr>
    </w:p>
    <w:p>
      <w:pPr>
        <w:pStyle w:val="BodyText"/>
        <w:spacing w:before="9"/>
        <w:ind w:left="0"/>
        <w:rPr>
          <w:sz w:val="14"/>
        </w:rPr>
      </w:pPr>
    </w:p>
    <w:p>
      <w:pPr>
        <w:pStyle w:val="BodyText"/>
        <w:tabs>
          <w:tab w:pos="2959" w:val="left" w:leader="none"/>
        </w:tabs>
        <w:spacing w:line="244" w:lineRule="auto"/>
        <w:ind w:right="232" w:hanging="1787"/>
      </w:pPr>
      <w:r>
        <w:rPr>
          <w:rFonts w:ascii="Microsoft JhengHei" w:eastAsia="Microsoft JhengHei"/>
          <w:b/>
          <w:spacing w:val="-2"/>
        </w:rPr>
        <w:t>全</w:t>
      </w:r>
      <w:r>
        <w:rPr>
          <w:rFonts w:ascii="Microsoft JhengHei" w:eastAsia="Microsoft JhengHei"/>
          <w:b/>
          <w:spacing w:val="-2"/>
        </w:rPr>
        <w:t>残</w:t>
      </w:r>
      <w:r>
        <w:rPr>
          <w:rFonts w:ascii="Microsoft JhengHei" w:eastAsia="Microsoft JhengHei"/>
          <w:b/>
          <w:spacing w:val="-2"/>
        </w:rPr>
        <w:t>保</w:t>
      </w:r>
      <w:r>
        <w:rPr>
          <w:rFonts w:ascii="Microsoft JhengHei" w:eastAsia="Microsoft JhengHei"/>
          <w:b/>
          <w:spacing w:val="-2"/>
        </w:rPr>
        <w:t>险</w:t>
      </w:r>
      <w:r>
        <w:rPr>
          <w:rFonts w:ascii="Microsoft JhengHei" w:eastAsia="Microsoft JhengHei"/>
          <w:b/>
          <w:spacing w:val="-2"/>
        </w:rPr>
        <w:t>金</w:t>
      </w:r>
      <w:r>
        <w:rPr>
          <w:rFonts w:ascii="Microsoft JhengHei" w:eastAsia="Microsoft JhengHei"/>
          <w:b/>
          <w:spacing w:val="-2"/>
        </w:rPr>
        <w:t>申</w:t>
      </w:r>
      <w:r>
        <w:rPr>
          <w:rFonts w:ascii="Microsoft JhengHei" w:eastAsia="Microsoft JhengHei"/>
          <w:b/>
          <w:spacing w:val="-2"/>
        </w:rPr>
        <w:t>请</w:t>
      </w:r>
      <w:r>
        <w:rPr>
          <w:rFonts w:ascii="Microsoft JhengHei" w:eastAsia="Microsoft JhengHei"/>
          <w:b/>
        </w:rPr>
        <w:tab/>
      </w:r>
      <w:r>
        <w:rPr>
          <w:spacing w:val="-2"/>
          <w:position w:val="2"/>
        </w:rPr>
        <w:t>由全残保险金受益人</w:t>
      </w:r>
      <w:r>
        <w:rPr>
          <w:spacing w:val="-2"/>
          <w:position w:val="2"/>
        </w:rPr>
        <w:t>作</w:t>
      </w:r>
      <w:r>
        <w:rPr>
          <w:spacing w:val="-2"/>
          <w:position w:val="2"/>
        </w:rPr>
        <w:t>为</w:t>
      </w:r>
      <w:r>
        <w:rPr>
          <w:spacing w:val="-2"/>
          <w:position w:val="2"/>
        </w:rPr>
        <w:t>申请人填写保险金给</w:t>
      </w:r>
      <w:r>
        <w:rPr>
          <w:spacing w:val="-2"/>
          <w:position w:val="2"/>
        </w:rPr>
        <w:t>付</w:t>
      </w:r>
      <w:r>
        <w:rPr>
          <w:spacing w:val="-2"/>
          <w:position w:val="2"/>
        </w:rPr>
        <w:t>申</w:t>
      </w:r>
      <w:r>
        <w:rPr>
          <w:spacing w:val="-2"/>
          <w:position w:val="2"/>
        </w:rPr>
        <w:t>请书，并须提供下列</w:t>
      </w:r>
      <w:r>
        <w:rPr>
          <w:spacing w:val="-2"/>
          <w:position w:val="2"/>
        </w:rPr>
        <w:t>证</w:t>
      </w:r>
      <w:r>
        <w:rPr>
          <w:spacing w:val="-2"/>
          <w:position w:val="2"/>
        </w:rPr>
        <w:t>明</w:t>
      </w:r>
      <w:r>
        <w:rPr>
          <w:spacing w:val="-2"/>
          <w:position w:val="2"/>
        </w:rPr>
        <w:t>和</w:t>
      </w:r>
      <w:r>
        <w:rPr>
          <w:spacing w:val="-4"/>
        </w:rPr>
        <w:t>资</w:t>
      </w:r>
      <w:r>
        <w:rPr>
          <w:spacing w:val="-4"/>
        </w:rPr>
        <w:t>料</w:t>
      </w:r>
      <w:r>
        <w:rPr>
          <w:spacing w:val="-4"/>
        </w:rPr>
        <w:t>：</w:t>
      </w:r>
    </w:p>
    <w:p>
      <w:pPr>
        <w:pStyle w:val="ListParagraph"/>
        <w:numPr>
          <w:ilvl w:val="0"/>
          <w:numId w:val="11"/>
        </w:numPr>
        <w:tabs>
          <w:tab w:pos="3526" w:val="left" w:leader="none"/>
        </w:tabs>
        <w:spacing w:line="240" w:lineRule="auto" w:before="70" w:after="0"/>
        <w:ind w:left="3525" w:right="0" w:hanging="567"/>
        <w:jc w:val="left"/>
        <w:rPr>
          <w:sz w:val="21"/>
        </w:rPr>
      </w:pPr>
      <w:r>
        <w:rPr>
          <w:spacing w:val="-4"/>
          <w:sz w:val="21"/>
        </w:rPr>
        <w:t>保险合同；</w:t>
      </w:r>
    </w:p>
    <w:p>
      <w:pPr>
        <w:pStyle w:val="ListParagraph"/>
        <w:numPr>
          <w:ilvl w:val="0"/>
          <w:numId w:val="11"/>
        </w:numPr>
        <w:tabs>
          <w:tab w:pos="3526" w:val="left" w:leader="none"/>
        </w:tabs>
        <w:spacing w:line="240" w:lineRule="auto" w:before="75" w:after="0"/>
        <w:ind w:left="3525" w:right="0" w:hanging="567"/>
        <w:jc w:val="left"/>
        <w:rPr>
          <w:sz w:val="21"/>
        </w:rPr>
      </w:pPr>
      <w:r>
        <w:rPr>
          <w:spacing w:val="-3"/>
          <w:sz w:val="21"/>
        </w:rPr>
        <w:t>受益人的有效法定身份证明；</w:t>
      </w:r>
    </w:p>
    <w:p>
      <w:pPr>
        <w:pStyle w:val="ListParagraph"/>
        <w:numPr>
          <w:ilvl w:val="0"/>
          <w:numId w:val="11"/>
        </w:numPr>
        <w:tabs>
          <w:tab w:pos="3526" w:val="left" w:leader="none"/>
        </w:tabs>
        <w:spacing w:line="307" w:lineRule="auto" w:before="74" w:after="0"/>
        <w:ind w:left="3525" w:right="222" w:hanging="567"/>
        <w:jc w:val="left"/>
        <w:rPr>
          <w:sz w:val="21"/>
        </w:rPr>
      </w:pPr>
      <w:r>
        <w:rPr>
          <w:spacing w:val="2"/>
          <w:w w:val="100"/>
          <w:sz w:val="21"/>
        </w:rPr>
        <w:t>国家有关机构认可或具有合法资质的伤残鉴定机构出具的被保险人全残</w:t>
      </w:r>
      <w:r>
        <w:rPr>
          <w:spacing w:val="-1"/>
          <w:w w:val="100"/>
          <w:sz w:val="21"/>
        </w:rPr>
        <w:t>鉴定书；</w:t>
      </w:r>
    </w:p>
    <w:p>
      <w:pPr>
        <w:pStyle w:val="ListParagraph"/>
        <w:numPr>
          <w:ilvl w:val="0"/>
          <w:numId w:val="11"/>
        </w:numPr>
        <w:tabs>
          <w:tab w:pos="3526" w:val="left" w:leader="none"/>
        </w:tabs>
        <w:spacing w:line="267" w:lineRule="exact" w:before="0" w:after="0"/>
        <w:ind w:left="3525" w:right="0" w:hanging="567"/>
        <w:jc w:val="left"/>
        <w:rPr>
          <w:sz w:val="21"/>
        </w:rPr>
      </w:pPr>
      <w:r>
        <w:rPr>
          <w:spacing w:val="-13"/>
          <w:sz w:val="21"/>
        </w:rPr>
        <w:t>所能提供的与确认保险事故的性质、原因、经过等有关的其他证明和资料。</w:t>
      </w:r>
    </w:p>
    <w:p>
      <w:pPr>
        <w:pStyle w:val="BodyText"/>
        <w:spacing w:before="11"/>
        <w:ind w:left="0"/>
        <w:rPr>
          <w:sz w:val="19"/>
        </w:rPr>
      </w:pPr>
    </w:p>
    <w:p>
      <w:pPr>
        <w:spacing w:after="0"/>
        <w:rPr>
          <w:sz w:val="19"/>
        </w:rPr>
        <w:sectPr>
          <w:pgSz w:w="11910" w:h="16840"/>
          <w:pgMar w:top="1260" w:bottom="280" w:left="800" w:right="700"/>
        </w:sectPr>
      </w:pPr>
    </w:p>
    <w:p>
      <w:pPr>
        <w:pStyle w:val="Heading2"/>
        <w:spacing w:line="232" w:lineRule="auto" w:before="42"/>
        <w:ind w:firstLine="0"/>
      </w:pPr>
      <w:r>
        <w:rPr>
          <w:spacing w:val="-2"/>
        </w:rPr>
        <w:t>投保人意外身故</w:t>
      </w:r>
      <w:r>
        <w:rPr>
          <w:spacing w:val="-4"/>
        </w:rPr>
        <w:t>豁免保险费申请</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0"/>
        <w:ind w:left="0"/>
        <w:rPr>
          <w:rFonts w:ascii="Microsoft JhengHei"/>
          <w:b/>
          <w:sz w:val="22"/>
        </w:rPr>
      </w:pPr>
    </w:p>
    <w:p>
      <w:pPr>
        <w:spacing w:line="232" w:lineRule="auto" w:before="0"/>
        <w:ind w:left="1173" w:right="0" w:firstLine="0"/>
        <w:jc w:val="left"/>
        <w:rPr>
          <w:rFonts w:ascii="Microsoft JhengHei" w:eastAsia="Microsoft JhengHei"/>
          <w:b/>
          <w:sz w:val="21"/>
        </w:rPr>
      </w:pPr>
      <w:r>
        <w:rPr>
          <w:rFonts w:ascii="Microsoft JhengHei" w:eastAsia="Microsoft JhengHei"/>
          <w:b/>
          <w:spacing w:val="-2"/>
          <w:sz w:val="21"/>
        </w:rPr>
        <w:t>投保人意外全残</w:t>
      </w:r>
      <w:r>
        <w:rPr>
          <w:rFonts w:ascii="Microsoft JhengHei" w:eastAsia="Microsoft JhengHei"/>
          <w:b/>
          <w:spacing w:val="-4"/>
          <w:sz w:val="21"/>
        </w:rPr>
        <w:t>豁免保险费申请</w:t>
      </w:r>
    </w:p>
    <w:p>
      <w:pPr>
        <w:pStyle w:val="BodyText"/>
        <w:spacing w:line="278" w:lineRule="auto" w:before="71"/>
        <w:ind w:left="267" w:right="232"/>
      </w:pPr>
      <w:r>
        <w:rPr/>
        <w:br w:type="column"/>
      </w:r>
      <w:r>
        <w:rPr>
          <w:spacing w:val="-2"/>
        </w:rPr>
        <w:t>申请投保人意外身故豁免保险费时，由被保险人作为申请人书面提出豁免保险</w:t>
      </w:r>
      <w:r>
        <w:rPr>
          <w:spacing w:val="-2"/>
        </w:rPr>
        <w:t>费申请，并提供下列证明和资料：</w:t>
      </w:r>
    </w:p>
    <w:p>
      <w:pPr>
        <w:pStyle w:val="ListParagraph"/>
        <w:numPr>
          <w:ilvl w:val="0"/>
          <w:numId w:val="12"/>
        </w:numPr>
        <w:tabs>
          <w:tab w:pos="797" w:val="left" w:leader="none"/>
        </w:tabs>
        <w:spacing w:line="269" w:lineRule="exact" w:before="0" w:after="0"/>
        <w:ind w:left="796" w:right="0" w:hanging="530"/>
        <w:jc w:val="left"/>
        <w:rPr>
          <w:sz w:val="21"/>
        </w:rPr>
      </w:pPr>
      <w:r>
        <w:rPr>
          <w:spacing w:val="-4"/>
          <w:sz w:val="21"/>
        </w:rPr>
        <w:t>保险合同；</w:t>
      </w:r>
    </w:p>
    <w:p>
      <w:pPr>
        <w:pStyle w:val="ListParagraph"/>
        <w:numPr>
          <w:ilvl w:val="0"/>
          <w:numId w:val="12"/>
        </w:numPr>
        <w:tabs>
          <w:tab w:pos="797" w:val="left" w:leader="none"/>
        </w:tabs>
        <w:spacing w:line="240" w:lineRule="auto" w:before="43" w:after="0"/>
        <w:ind w:left="796" w:right="0" w:hanging="530"/>
        <w:jc w:val="left"/>
        <w:rPr>
          <w:sz w:val="21"/>
        </w:rPr>
      </w:pPr>
      <w:r>
        <w:rPr>
          <w:spacing w:val="-3"/>
          <w:sz w:val="21"/>
        </w:rPr>
        <w:t>申请人的有效法定身份证明；</w:t>
      </w:r>
    </w:p>
    <w:p>
      <w:pPr>
        <w:pStyle w:val="ListParagraph"/>
        <w:numPr>
          <w:ilvl w:val="0"/>
          <w:numId w:val="12"/>
        </w:numPr>
        <w:tabs>
          <w:tab w:pos="797" w:val="left" w:leader="none"/>
        </w:tabs>
        <w:spacing w:line="278" w:lineRule="auto" w:before="43" w:after="0"/>
        <w:ind w:left="793" w:right="224" w:hanging="526"/>
        <w:jc w:val="left"/>
        <w:rPr>
          <w:sz w:val="21"/>
        </w:rPr>
      </w:pPr>
      <w:r>
        <w:rPr>
          <w:spacing w:val="-4"/>
          <w:w w:val="100"/>
          <w:sz w:val="21"/>
        </w:rPr>
        <w:t>国务院卫生行政部门规定的医疗机构或其他有权机构出具的投保人死亡</w:t>
      </w:r>
      <w:r>
        <w:rPr>
          <w:w w:val="100"/>
          <w:sz w:val="21"/>
        </w:rPr>
        <w:t>证明书；</w:t>
      </w:r>
    </w:p>
    <w:p>
      <w:pPr>
        <w:pStyle w:val="ListParagraph"/>
        <w:numPr>
          <w:ilvl w:val="0"/>
          <w:numId w:val="12"/>
        </w:numPr>
        <w:tabs>
          <w:tab w:pos="797" w:val="left" w:leader="none"/>
        </w:tabs>
        <w:spacing w:line="269" w:lineRule="exact" w:before="0" w:after="0"/>
        <w:ind w:left="796" w:right="0" w:hanging="530"/>
        <w:jc w:val="left"/>
        <w:rPr>
          <w:sz w:val="21"/>
        </w:rPr>
      </w:pPr>
      <w:r>
        <w:rPr>
          <w:spacing w:val="-3"/>
          <w:sz w:val="21"/>
        </w:rPr>
        <w:t>与导致投保人身故的意外伤害相关的证明和资料；</w:t>
      </w:r>
    </w:p>
    <w:p>
      <w:pPr>
        <w:pStyle w:val="ListParagraph"/>
        <w:numPr>
          <w:ilvl w:val="0"/>
          <w:numId w:val="12"/>
        </w:numPr>
        <w:tabs>
          <w:tab w:pos="795" w:val="left" w:leader="none"/>
        </w:tabs>
        <w:spacing w:line="240" w:lineRule="auto" w:before="43" w:after="0"/>
        <w:ind w:left="794" w:right="0" w:hanging="528"/>
        <w:jc w:val="left"/>
        <w:rPr>
          <w:sz w:val="21"/>
        </w:rPr>
      </w:pPr>
      <w:r>
        <w:rPr>
          <w:spacing w:val="-7"/>
          <w:sz w:val="21"/>
        </w:rPr>
        <w:t>所能提供的与确认保险事故的性质、原因、经过等有关的其他证明和资料。</w:t>
      </w:r>
    </w:p>
    <w:p>
      <w:pPr>
        <w:pStyle w:val="BodyText"/>
        <w:spacing w:before="3"/>
        <w:ind w:left="0"/>
        <w:rPr>
          <w:sz w:val="14"/>
        </w:rPr>
      </w:pPr>
    </w:p>
    <w:p>
      <w:pPr>
        <w:pStyle w:val="BodyText"/>
        <w:spacing w:line="278" w:lineRule="auto"/>
        <w:ind w:left="267" w:right="232"/>
      </w:pPr>
      <w:r>
        <w:rPr>
          <w:spacing w:val="-2"/>
        </w:rPr>
        <w:t>申请投保人意外全残豁免保险费时，由被保险人作为申请人书面提出豁免保险</w:t>
      </w:r>
      <w:r>
        <w:rPr>
          <w:spacing w:val="-2"/>
        </w:rPr>
        <w:t>费申请，并提供下列证明和资料：</w:t>
      </w:r>
    </w:p>
    <w:p>
      <w:pPr>
        <w:pStyle w:val="ListParagraph"/>
        <w:numPr>
          <w:ilvl w:val="0"/>
          <w:numId w:val="13"/>
        </w:numPr>
        <w:tabs>
          <w:tab w:pos="797" w:val="left" w:leader="none"/>
        </w:tabs>
        <w:spacing w:line="240" w:lineRule="auto" w:before="0" w:after="0"/>
        <w:ind w:left="796" w:right="0" w:hanging="530"/>
        <w:jc w:val="left"/>
        <w:rPr>
          <w:sz w:val="21"/>
        </w:rPr>
      </w:pPr>
      <w:r>
        <w:rPr>
          <w:spacing w:val="-4"/>
          <w:sz w:val="21"/>
        </w:rPr>
        <w:t>保险合同；</w:t>
      </w:r>
    </w:p>
    <w:p>
      <w:pPr>
        <w:pStyle w:val="ListParagraph"/>
        <w:numPr>
          <w:ilvl w:val="0"/>
          <w:numId w:val="13"/>
        </w:numPr>
        <w:tabs>
          <w:tab w:pos="797" w:val="left" w:leader="none"/>
        </w:tabs>
        <w:spacing w:line="240" w:lineRule="auto" w:before="43" w:after="0"/>
        <w:ind w:left="796" w:right="0" w:hanging="530"/>
        <w:jc w:val="left"/>
        <w:rPr>
          <w:sz w:val="21"/>
        </w:rPr>
      </w:pPr>
      <w:r>
        <w:rPr>
          <w:spacing w:val="-3"/>
          <w:sz w:val="21"/>
        </w:rPr>
        <w:t>申请人的有效法定身份证明；</w:t>
      </w:r>
    </w:p>
    <w:p>
      <w:pPr>
        <w:pStyle w:val="ListParagraph"/>
        <w:numPr>
          <w:ilvl w:val="0"/>
          <w:numId w:val="13"/>
        </w:numPr>
        <w:tabs>
          <w:tab w:pos="797" w:val="left" w:leader="none"/>
        </w:tabs>
        <w:spacing w:line="278" w:lineRule="auto" w:before="43" w:after="0"/>
        <w:ind w:left="793" w:right="224" w:hanging="526"/>
        <w:jc w:val="left"/>
        <w:rPr>
          <w:sz w:val="21"/>
        </w:rPr>
      </w:pPr>
      <w:r>
        <w:rPr>
          <w:spacing w:val="-4"/>
          <w:w w:val="100"/>
          <w:sz w:val="21"/>
        </w:rPr>
        <w:t>国家有关机构认可或具有合法资质的伤残鉴定机构出具的投保人身体全</w:t>
      </w:r>
      <w:r>
        <w:rPr>
          <w:spacing w:val="-1"/>
          <w:w w:val="100"/>
          <w:sz w:val="21"/>
        </w:rPr>
        <w:t>残鉴定书；</w:t>
      </w:r>
    </w:p>
    <w:p>
      <w:pPr>
        <w:pStyle w:val="ListParagraph"/>
        <w:numPr>
          <w:ilvl w:val="0"/>
          <w:numId w:val="13"/>
        </w:numPr>
        <w:tabs>
          <w:tab w:pos="797" w:val="left" w:leader="none"/>
        </w:tabs>
        <w:spacing w:line="269" w:lineRule="exact" w:before="0" w:after="0"/>
        <w:ind w:left="796" w:right="0" w:hanging="530"/>
        <w:jc w:val="left"/>
        <w:rPr>
          <w:sz w:val="21"/>
        </w:rPr>
      </w:pPr>
      <w:r>
        <w:rPr>
          <w:spacing w:val="-3"/>
          <w:sz w:val="21"/>
        </w:rPr>
        <w:t>与导致投保人全残的意外伤害相关的证明和资料；</w:t>
      </w:r>
    </w:p>
    <w:p>
      <w:pPr>
        <w:pStyle w:val="ListParagraph"/>
        <w:numPr>
          <w:ilvl w:val="0"/>
          <w:numId w:val="13"/>
        </w:numPr>
        <w:tabs>
          <w:tab w:pos="795" w:val="left" w:leader="none"/>
        </w:tabs>
        <w:spacing w:line="240" w:lineRule="auto" w:before="57" w:after="0"/>
        <w:ind w:left="794" w:right="0" w:hanging="528"/>
        <w:jc w:val="left"/>
        <w:rPr>
          <w:sz w:val="21"/>
        </w:rPr>
      </w:pPr>
      <w:r>
        <w:rPr>
          <w:spacing w:val="-7"/>
          <w:sz w:val="21"/>
        </w:rPr>
        <w:t>所能提供的与确认保险事故的性质、原因、经过等有关的其他证明和资料。</w:t>
      </w:r>
    </w:p>
    <w:p>
      <w:pPr>
        <w:spacing w:after="0" w:line="240" w:lineRule="auto"/>
        <w:jc w:val="left"/>
        <w:rPr>
          <w:sz w:val="21"/>
        </w:rPr>
        <w:sectPr>
          <w:type w:val="continuous"/>
          <w:pgSz w:w="11910" w:h="16840"/>
          <w:pgMar w:top="620" w:bottom="280" w:left="800" w:right="700"/>
          <w:cols w:num="2" w:equalWidth="0">
            <w:col w:w="2652" w:space="40"/>
            <w:col w:w="7718"/>
          </w:cols>
        </w:sectPr>
      </w:pPr>
    </w:p>
    <w:p>
      <w:pPr>
        <w:pStyle w:val="BodyText"/>
        <w:spacing w:before="7"/>
        <w:ind w:left="0"/>
        <w:rPr>
          <w:sz w:val="12"/>
        </w:rPr>
      </w:pPr>
    </w:p>
    <w:p>
      <w:pPr>
        <w:spacing w:after="0"/>
        <w:rPr>
          <w:sz w:val="12"/>
        </w:rPr>
        <w:sectPr>
          <w:type w:val="continuous"/>
          <w:pgSz w:w="11910" w:h="16840"/>
          <w:pgMar w:top="620" w:bottom="280" w:left="800" w:right="700"/>
        </w:sectPr>
      </w:pPr>
    </w:p>
    <w:p>
      <w:pPr>
        <w:pStyle w:val="Heading2"/>
        <w:spacing w:line="232" w:lineRule="auto" w:before="28"/>
        <w:ind w:firstLine="0"/>
      </w:pPr>
      <w:r>
        <w:rPr>
          <w:spacing w:val="-2"/>
        </w:rPr>
        <w:t>委托他人代为申</w:t>
      </w:r>
      <w:r>
        <w:rPr>
          <w:spacing w:val="-4"/>
        </w:rPr>
        <w:t>请保险金</w:t>
      </w:r>
    </w:p>
    <w:p>
      <w:pPr>
        <w:pStyle w:val="BodyText"/>
        <w:spacing w:line="307" w:lineRule="auto" w:before="72"/>
        <w:ind w:left="267" w:right="229"/>
        <w:jc w:val="both"/>
      </w:pPr>
      <w:r>
        <w:rPr/>
        <w:br w:type="column"/>
      </w:r>
      <w:r>
        <w:rPr>
          <w:spacing w:val="-2"/>
        </w:rPr>
        <w:t>若委托他人代为申请，除上述证明和资料外，还须提供相关保险金受益人的授</w:t>
      </w:r>
      <w:r>
        <w:rPr>
          <w:spacing w:val="-2"/>
        </w:rPr>
        <w:t>权委托书、受托人有效身份证件等相关证明文件。受益人或继承人为限制民事行为能力人或无民事行为能力人时，由其合法监护人代其申请领取保险金，其合法监护人还必须提供受益人或继承人为限制民事行为能力人或无民事行为能</w:t>
      </w:r>
      <w:r>
        <w:rPr>
          <w:spacing w:val="-2"/>
        </w:rPr>
        <w:t>力人的证明和监护人具有合法监护权的证明。</w:t>
      </w:r>
    </w:p>
    <w:p>
      <w:pPr>
        <w:spacing w:after="0" w:line="307" w:lineRule="auto"/>
        <w:jc w:val="both"/>
        <w:sectPr>
          <w:type w:val="continuous"/>
          <w:pgSz w:w="11910" w:h="16840"/>
          <w:pgMar w:top="620" w:bottom="280" w:left="800" w:right="700"/>
          <w:cols w:num="2" w:equalWidth="0">
            <w:col w:w="2652" w:space="40"/>
            <w:col w:w="7718"/>
          </w:cols>
        </w:sectPr>
      </w:pPr>
    </w:p>
    <w:p>
      <w:pPr>
        <w:pStyle w:val="BodyText"/>
        <w:tabs>
          <w:tab w:pos="2959" w:val="left" w:leader="none"/>
        </w:tabs>
        <w:spacing w:line="244" w:lineRule="auto" w:before="103"/>
        <w:ind w:right="232" w:hanging="1787"/>
      </w:pPr>
      <w:r>
        <w:rPr>
          <w:rFonts w:ascii="Microsoft JhengHei" w:eastAsia="Microsoft JhengHei"/>
          <w:b/>
          <w:spacing w:val="-4"/>
        </w:rPr>
        <w:t>补</w:t>
      </w:r>
      <w:r>
        <w:rPr>
          <w:rFonts w:ascii="Microsoft JhengHei" w:eastAsia="Microsoft JhengHei"/>
          <w:b/>
          <w:spacing w:val="-4"/>
        </w:rPr>
        <w:t>充</w:t>
      </w:r>
      <w:r>
        <w:rPr>
          <w:rFonts w:ascii="Microsoft JhengHei" w:eastAsia="Microsoft JhengHei"/>
          <w:b/>
          <w:spacing w:val="-4"/>
        </w:rPr>
        <w:t>通</w:t>
      </w:r>
      <w:r>
        <w:rPr>
          <w:rFonts w:ascii="Microsoft JhengHei" w:eastAsia="Microsoft JhengHei"/>
          <w:b/>
          <w:spacing w:val="-4"/>
        </w:rPr>
        <w:t>知</w:t>
      </w:r>
      <w:r>
        <w:rPr>
          <w:rFonts w:ascii="Microsoft JhengHei" w:eastAsia="Microsoft JhengHei"/>
          <w:b/>
        </w:rPr>
        <w:tab/>
      </w:r>
      <w:r>
        <w:rPr>
          <w:spacing w:val="-2"/>
          <w:position w:val="2"/>
        </w:rPr>
        <w:t>以上证明和资料不完</w:t>
      </w:r>
      <w:r>
        <w:rPr>
          <w:spacing w:val="-2"/>
          <w:position w:val="2"/>
        </w:rPr>
        <w:t>整</w:t>
      </w:r>
      <w:r>
        <w:rPr>
          <w:spacing w:val="-2"/>
          <w:position w:val="2"/>
        </w:rPr>
        <w:t>的</w:t>
      </w:r>
      <w:r>
        <w:rPr>
          <w:spacing w:val="-2"/>
          <w:position w:val="2"/>
        </w:rPr>
        <w:t>，本公司将及时一次</w:t>
      </w:r>
      <w:r>
        <w:rPr>
          <w:spacing w:val="-2"/>
          <w:position w:val="2"/>
        </w:rPr>
        <w:t>性</w:t>
      </w:r>
      <w:r>
        <w:rPr>
          <w:spacing w:val="-2"/>
          <w:position w:val="2"/>
        </w:rPr>
        <w:t>通</w:t>
      </w:r>
      <w:r>
        <w:rPr>
          <w:spacing w:val="-2"/>
          <w:position w:val="2"/>
        </w:rPr>
        <w:t>知申请人补充提供有</w:t>
      </w:r>
      <w:r>
        <w:rPr>
          <w:spacing w:val="-2"/>
          <w:position w:val="2"/>
        </w:rPr>
        <w:t>关</w:t>
      </w:r>
      <w:r>
        <w:rPr>
          <w:spacing w:val="-2"/>
          <w:position w:val="2"/>
        </w:rPr>
        <w:t>的</w:t>
      </w:r>
      <w:r>
        <w:rPr>
          <w:spacing w:val="-2"/>
          <w:position w:val="2"/>
        </w:rPr>
        <w:t>证</w:t>
      </w:r>
      <w:r>
        <w:rPr>
          <w:spacing w:val="-4"/>
        </w:rPr>
        <w:t>明</w:t>
      </w:r>
      <w:r>
        <w:rPr>
          <w:spacing w:val="-4"/>
        </w:rPr>
        <w:t>和</w:t>
      </w:r>
      <w:r>
        <w:rPr>
          <w:spacing w:val="-4"/>
        </w:rPr>
        <w:t>资</w:t>
      </w:r>
      <w:r>
        <w:rPr>
          <w:spacing w:val="-4"/>
        </w:rPr>
        <w:t>料</w:t>
      </w:r>
      <w:r>
        <w:rPr>
          <w:spacing w:val="-4"/>
        </w:rPr>
        <w:t>。</w:t>
      </w:r>
    </w:p>
    <w:p>
      <w:pPr>
        <w:pStyle w:val="ListParagraph"/>
        <w:numPr>
          <w:ilvl w:val="1"/>
          <w:numId w:val="3"/>
        </w:numPr>
        <w:tabs>
          <w:tab w:pos="1173" w:val="left" w:leader="none"/>
          <w:tab w:pos="1174" w:val="left" w:leader="none"/>
          <w:tab w:pos="2959" w:val="left" w:leader="none"/>
        </w:tabs>
        <w:spacing w:line="244" w:lineRule="auto" w:before="179" w:after="0"/>
        <w:ind w:left="2959" w:right="224" w:hanging="2740"/>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给</w:t>
      </w:r>
      <w:r>
        <w:rPr>
          <w:rFonts w:ascii="Microsoft JhengHei" w:eastAsia="Microsoft JhengHei"/>
          <w:b/>
          <w:spacing w:val="-2"/>
          <w:sz w:val="21"/>
        </w:rPr>
        <w:t>付</w:t>
      </w:r>
      <w:r>
        <w:rPr>
          <w:rFonts w:ascii="Microsoft JhengHei" w:eastAsia="Microsoft JhengHei"/>
          <w:b/>
          <w:sz w:val="21"/>
        </w:rPr>
        <w:tab/>
      </w:r>
      <w:r>
        <w:rPr>
          <w:position w:val="2"/>
          <w:sz w:val="21"/>
        </w:rPr>
        <w:t>本公司在收到保险金</w:t>
      </w:r>
      <w:r>
        <w:rPr>
          <w:position w:val="2"/>
          <w:sz w:val="21"/>
        </w:rPr>
        <w:t>给付申请书及上述完整齐</w:t>
      </w:r>
      <w:r>
        <w:rPr>
          <w:position w:val="2"/>
          <w:sz w:val="21"/>
        </w:rPr>
        <w:t>全的有关证明和资料后，</w:t>
      </w:r>
      <w:r>
        <w:rPr>
          <w:position w:val="2"/>
          <w:sz w:val="21"/>
        </w:rPr>
        <w:t>将在 </w:t>
      </w:r>
      <w:r>
        <w:rPr>
          <w:position w:val="2"/>
          <w:sz w:val="21"/>
        </w:rPr>
        <w:t>5</w:t>
      </w:r>
      <w:r>
        <w:rPr>
          <w:spacing w:val="-2"/>
          <w:sz w:val="21"/>
        </w:rPr>
        <w:t>日</w:t>
      </w:r>
      <w:r>
        <w:rPr>
          <w:spacing w:val="-2"/>
          <w:sz w:val="21"/>
        </w:rPr>
        <w:t>内</w:t>
      </w:r>
      <w:r>
        <w:rPr>
          <w:spacing w:val="-2"/>
          <w:sz w:val="21"/>
        </w:rPr>
        <w:t>作出核定；情形复杂的，在</w:t>
      </w:r>
      <w:r>
        <w:rPr>
          <w:spacing w:val="-46"/>
          <w:sz w:val="21"/>
        </w:rPr>
        <w:t> </w:t>
      </w:r>
      <w:r>
        <w:rPr>
          <w:spacing w:val="-2"/>
          <w:sz w:val="21"/>
        </w:rPr>
        <w:t>30</w:t>
      </w:r>
      <w:r>
        <w:rPr>
          <w:spacing w:val="-48"/>
          <w:sz w:val="21"/>
        </w:rPr>
        <w:t> </w:t>
      </w:r>
      <w:r>
        <w:rPr>
          <w:spacing w:val="-2"/>
          <w:sz w:val="21"/>
        </w:rPr>
        <w:t>日内作出核定。</w:t>
      </w:r>
      <w:r>
        <w:rPr>
          <w:spacing w:val="-2"/>
          <w:sz w:val="21"/>
        </w:rPr>
        <w:t>对</w:t>
      </w:r>
      <w:r>
        <w:rPr>
          <w:spacing w:val="-2"/>
          <w:sz w:val="21"/>
        </w:rPr>
        <w:t>属</w:t>
      </w:r>
      <w:r>
        <w:rPr>
          <w:spacing w:val="-2"/>
          <w:sz w:val="21"/>
        </w:rPr>
        <w:t>于保险责任的，本公司</w:t>
      </w:r>
    </w:p>
    <w:p>
      <w:pPr>
        <w:pStyle w:val="BodyText"/>
        <w:spacing w:line="307" w:lineRule="auto" w:before="71"/>
        <w:ind w:right="117"/>
      </w:pPr>
      <w:r>
        <w:rPr>
          <w:spacing w:val="-2"/>
        </w:rPr>
        <w:t>在与受益人达成给付保险金的协议后 </w:t>
      </w:r>
      <w:r>
        <w:rPr/>
        <w:t>10</w:t>
      </w:r>
      <w:r>
        <w:rPr>
          <w:spacing w:val="-6"/>
        </w:rPr>
        <w:t> 日内，履行给付保险金义务。本公司未</w:t>
      </w:r>
      <w:r>
        <w:rPr>
          <w:spacing w:val="-2"/>
        </w:rPr>
        <w:t>及时履行前款规定义务的，除支付保险金外，应当赔偿受益人因此受到的损失。</w:t>
      </w:r>
      <w:r>
        <w:rPr/>
        <w:t>对不属于保险责任的，本公司自作出核定之日起 3 日内向受益人发出拒绝给付</w:t>
      </w:r>
    </w:p>
    <w:p>
      <w:pPr>
        <w:spacing w:after="0" w:line="307" w:lineRule="auto"/>
        <w:sectPr>
          <w:type w:val="continuous"/>
          <w:pgSz w:w="11910" w:h="16840"/>
          <w:pgMar w:top="620" w:bottom="280" w:left="800" w:right="700"/>
        </w:sectPr>
      </w:pPr>
    </w:p>
    <w:p>
      <w:pPr>
        <w:pStyle w:val="BodyText"/>
        <w:spacing w:before="59"/>
      </w:pPr>
      <w:r>
        <w:rPr>
          <w:spacing w:val="-3"/>
        </w:rPr>
        <w:t>保险金通知书并说明理由。</w:t>
      </w:r>
    </w:p>
    <w:p>
      <w:pPr>
        <w:pStyle w:val="BodyText"/>
        <w:ind w:left="0"/>
        <w:rPr>
          <w:sz w:val="18"/>
        </w:rPr>
      </w:pPr>
    </w:p>
    <w:p>
      <w:pPr>
        <w:pStyle w:val="BodyText"/>
        <w:spacing w:line="307" w:lineRule="auto"/>
        <w:ind w:right="224"/>
        <w:jc w:val="both"/>
      </w:pPr>
      <w:r>
        <w:rPr>
          <w:w w:val="95"/>
        </w:rPr>
        <w:t>本</w:t>
      </w:r>
      <w:r>
        <w:rPr>
          <w:w w:val="95"/>
        </w:rPr>
        <w:t>公</w:t>
      </w:r>
      <w:r>
        <w:rPr>
          <w:w w:val="95"/>
        </w:rPr>
        <w:t>司在收到保险金给付</w:t>
      </w:r>
      <w:r>
        <w:rPr>
          <w:w w:val="95"/>
        </w:rPr>
        <w:t>申</w:t>
      </w:r>
      <w:r>
        <w:rPr>
          <w:w w:val="95"/>
        </w:rPr>
        <w:t>请</w:t>
      </w:r>
      <w:r>
        <w:rPr>
          <w:w w:val="95"/>
        </w:rPr>
        <w:t>书及上述完整齐全的</w:t>
      </w:r>
      <w:r>
        <w:rPr>
          <w:w w:val="95"/>
        </w:rPr>
        <w:t>有</w:t>
      </w:r>
      <w:r>
        <w:rPr>
          <w:w w:val="95"/>
        </w:rPr>
        <w:t>关</w:t>
      </w:r>
      <w:r>
        <w:rPr>
          <w:w w:val="95"/>
        </w:rPr>
        <w:t>证明和资料之日起</w:t>
      </w:r>
      <w:r>
        <w:rPr>
          <w:spacing w:val="40"/>
        </w:rPr>
        <w:t> </w:t>
      </w:r>
      <w:r>
        <w:rPr>
          <w:w w:val="95"/>
        </w:rPr>
        <w:t>60</w:t>
      </w:r>
      <w:r>
        <w:rPr>
          <w:spacing w:val="22"/>
        </w:rPr>
        <w:t> </w:t>
      </w:r>
      <w:r>
        <w:rPr>
          <w:w w:val="95"/>
        </w:rPr>
        <w:t>日</w:t>
      </w:r>
      <w:r>
        <w:rPr>
          <w:spacing w:val="-2"/>
        </w:rPr>
        <w:t>内，对给付保险金的数额不能确定的，根据已有证明和资料，可以确定的数额</w:t>
      </w:r>
      <w:r>
        <w:rPr>
          <w:spacing w:val="-2"/>
        </w:rPr>
        <w:t>先予支付；本公司最终确定给付保险金的数额后，将支付相应的差额。</w:t>
      </w:r>
    </w:p>
    <w:p>
      <w:pPr>
        <w:pStyle w:val="ListParagraph"/>
        <w:numPr>
          <w:ilvl w:val="1"/>
          <w:numId w:val="3"/>
        </w:numPr>
        <w:tabs>
          <w:tab w:pos="1173" w:val="left" w:leader="none"/>
          <w:tab w:pos="1174" w:val="left" w:leader="none"/>
        </w:tabs>
        <w:spacing w:line="312" w:lineRule="exact" w:before="101" w:after="0"/>
        <w:ind w:left="2959" w:right="231" w:hanging="2740"/>
        <w:jc w:val="both"/>
        <w:rPr>
          <w:sz w:val="21"/>
        </w:rPr>
      </w:pPr>
      <w:r>
        <w:rPr>
          <w:rFonts w:ascii="Microsoft JhengHei" w:eastAsia="Microsoft JhengHei"/>
          <w:b/>
          <w:spacing w:val="17"/>
          <w:position w:val="-2"/>
          <w:sz w:val="21"/>
        </w:rPr>
        <w:t>保险金诉讼时效  </w:t>
      </w:r>
      <w:r>
        <w:rPr>
          <w:sz w:val="21"/>
        </w:rPr>
        <w:t>人寿保险以外的其他保险的被保险人或者受益人，向保险人请求赔偿或者给付</w:t>
      </w:r>
      <w:r>
        <w:rPr>
          <w:spacing w:val="-2"/>
          <w:sz w:val="21"/>
        </w:rPr>
        <w:t>保险金的诉讼时效期间为二年，自其知道或者应当知道保险事故发生之日起计</w:t>
      </w:r>
      <w:r>
        <w:rPr>
          <w:spacing w:val="-6"/>
          <w:sz w:val="21"/>
        </w:rPr>
        <w:t>算。</w:t>
      </w:r>
    </w:p>
    <w:p>
      <w:pPr>
        <w:pStyle w:val="BodyText"/>
        <w:spacing w:before="3"/>
        <w:ind w:left="0"/>
        <w:rPr>
          <w:sz w:val="15"/>
        </w:rPr>
      </w:pPr>
    </w:p>
    <w:p>
      <w:pPr>
        <w:pStyle w:val="BodyText"/>
        <w:spacing w:line="278" w:lineRule="auto"/>
        <w:ind w:right="232"/>
      </w:pPr>
      <w:r>
        <w:rPr>
          <w:spacing w:val="-2"/>
        </w:rPr>
        <w:t>人寿保险的被保险人或者受益人向保险人请求给付保险金的诉讼时效期间为五</w:t>
      </w:r>
      <w:r>
        <w:rPr>
          <w:spacing w:val="-2"/>
        </w:rPr>
        <w:t>年，自其知道或者应当知道保险事故发生之日起计算。</w:t>
      </w:r>
    </w:p>
    <w:p>
      <w:pPr>
        <w:pStyle w:val="ListParagraph"/>
        <w:numPr>
          <w:ilvl w:val="1"/>
          <w:numId w:val="3"/>
        </w:numPr>
        <w:tabs>
          <w:tab w:pos="1173" w:val="left" w:leader="none"/>
          <w:tab w:pos="1174" w:val="left" w:leader="none"/>
          <w:tab w:pos="2959" w:val="left" w:leader="none"/>
        </w:tabs>
        <w:spacing w:line="247" w:lineRule="auto" w:before="118" w:after="0"/>
        <w:ind w:left="2959" w:right="227" w:hanging="2740"/>
        <w:jc w:val="left"/>
        <w:rPr>
          <w:sz w:val="21"/>
        </w:rPr>
      </w:pPr>
      <w:r>
        <w:rPr>
          <w:rFonts w:ascii="Microsoft JhengHei" w:eastAsia="Microsoft JhengHei"/>
          <w:b/>
          <w:spacing w:val="-2"/>
          <w:sz w:val="21"/>
        </w:rPr>
        <w:t>宣</w:t>
      </w:r>
      <w:r>
        <w:rPr>
          <w:rFonts w:ascii="Microsoft JhengHei" w:eastAsia="Microsoft JhengHei"/>
          <w:b/>
          <w:spacing w:val="-2"/>
          <w:sz w:val="21"/>
        </w:rPr>
        <w:t>告</w:t>
      </w:r>
      <w:r>
        <w:rPr>
          <w:rFonts w:ascii="Microsoft JhengHei" w:eastAsia="Microsoft JhengHei"/>
          <w:b/>
          <w:spacing w:val="-2"/>
          <w:sz w:val="21"/>
        </w:rPr>
        <w:t>死</w:t>
      </w:r>
      <w:r>
        <w:rPr>
          <w:rFonts w:ascii="Microsoft JhengHei" w:eastAsia="Microsoft JhengHei"/>
          <w:b/>
          <w:spacing w:val="-2"/>
          <w:sz w:val="21"/>
        </w:rPr>
        <w:t>亡</w:t>
      </w:r>
      <w:r>
        <w:rPr>
          <w:rFonts w:ascii="Microsoft JhengHei" w:eastAsia="Microsoft JhengHei"/>
          <w:b/>
          <w:spacing w:val="-2"/>
          <w:sz w:val="21"/>
        </w:rPr>
        <w:t>处</w:t>
      </w:r>
      <w:r>
        <w:rPr>
          <w:rFonts w:ascii="Microsoft JhengHei" w:eastAsia="Microsoft JhengHei"/>
          <w:b/>
          <w:spacing w:val="-2"/>
          <w:sz w:val="21"/>
        </w:rPr>
        <w:t>理</w:t>
      </w:r>
      <w:r>
        <w:rPr>
          <w:rFonts w:ascii="Microsoft JhengHei" w:eastAsia="Microsoft JhengHei"/>
          <w:b/>
          <w:sz w:val="21"/>
        </w:rPr>
        <w:tab/>
      </w:r>
      <w:r>
        <w:rPr>
          <w:spacing w:val="-2"/>
          <w:position w:val="2"/>
          <w:sz w:val="21"/>
        </w:rPr>
        <w:t>若被保险人在本合同</w:t>
      </w:r>
      <w:r>
        <w:rPr>
          <w:spacing w:val="-2"/>
          <w:position w:val="2"/>
          <w:sz w:val="21"/>
        </w:rPr>
        <w:t>有</w:t>
      </w:r>
      <w:r>
        <w:rPr>
          <w:spacing w:val="-2"/>
          <w:position w:val="2"/>
          <w:sz w:val="21"/>
        </w:rPr>
        <w:t>效</w:t>
      </w:r>
      <w:r>
        <w:rPr>
          <w:spacing w:val="-2"/>
          <w:position w:val="2"/>
          <w:sz w:val="21"/>
        </w:rPr>
        <w:t>期内下落不明，后经</w:t>
      </w:r>
      <w:r>
        <w:rPr>
          <w:spacing w:val="-2"/>
          <w:position w:val="2"/>
          <w:sz w:val="21"/>
        </w:rPr>
        <w:t>人</w:t>
      </w:r>
      <w:r>
        <w:rPr>
          <w:spacing w:val="-2"/>
          <w:position w:val="2"/>
          <w:sz w:val="21"/>
        </w:rPr>
        <w:t>民</w:t>
      </w:r>
      <w:r>
        <w:rPr>
          <w:spacing w:val="-2"/>
          <w:position w:val="2"/>
          <w:sz w:val="21"/>
        </w:rPr>
        <w:t>法院宣告死亡的，本</w:t>
      </w:r>
      <w:r>
        <w:rPr>
          <w:spacing w:val="-2"/>
          <w:position w:val="2"/>
          <w:sz w:val="21"/>
        </w:rPr>
        <w:t>公</w:t>
      </w:r>
      <w:r>
        <w:rPr>
          <w:spacing w:val="-2"/>
          <w:position w:val="2"/>
          <w:sz w:val="21"/>
        </w:rPr>
        <w:t>司</w:t>
      </w:r>
      <w:r>
        <w:rPr>
          <w:spacing w:val="-2"/>
          <w:position w:val="2"/>
          <w:sz w:val="21"/>
        </w:rPr>
        <w:t>以</w:t>
      </w:r>
      <w:r>
        <w:rPr>
          <w:spacing w:val="-2"/>
          <w:sz w:val="21"/>
        </w:rPr>
        <w:t>法院判决书作出之日</w:t>
      </w:r>
      <w:r>
        <w:rPr>
          <w:spacing w:val="-2"/>
          <w:sz w:val="21"/>
        </w:rPr>
        <w:t>为</w:t>
      </w:r>
      <w:r>
        <w:rPr>
          <w:spacing w:val="-2"/>
          <w:sz w:val="21"/>
        </w:rPr>
        <w:t>准</w:t>
      </w:r>
      <w:r>
        <w:rPr>
          <w:spacing w:val="-2"/>
          <w:sz w:val="21"/>
        </w:rPr>
        <w:t>视为被保险人的死亡日期，按本合同的约定给</w:t>
      </w:r>
      <w:r>
        <w:rPr>
          <w:spacing w:val="-2"/>
          <w:sz w:val="21"/>
        </w:rPr>
        <w:t>付</w:t>
      </w:r>
      <w:r>
        <w:rPr>
          <w:spacing w:val="-2"/>
          <w:sz w:val="21"/>
        </w:rPr>
        <w:t>身</w:t>
      </w:r>
      <w:r>
        <w:rPr>
          <w:spacing w:val="-2"/>
          <w:sz w:val="21"/>
        </w:rPr>
        <w:t>故</w:t>
      </w:r>
    </w:p>
    <w:p>
      <w:pPr>
        <w:pStyle w:val="BodyText"/>
        <w:spacing w:before="65"/>
      </w:pPr>
      <w:r>
        <w:rPr>
          <w:spacing w:val="-4"/>
        </w:rPr>
        <w:t>保险金。</w:t>
      </w:r>
    </w:p>
    <w:p>
      <w:pPr>
        <w:pStyle w:val="BodyText"/>
        <w:spacing w:before="12"/>
        <w:ind w:left="0"/>
        <w:rPr>
          <w:sz w:val="17"/>
        </w:rPr>
      </w:pPr>
    </w:p>
    <w:p>
      <w:pPr>
        <w:pStyle w:val="BodyText"/>
        <w:spacing w:line="307" w:lineRule="auto"/>
        <w:ind w:right="224"/>
        <w:jc w:val="both"/>
      </w:pPr>
      <w:r>
        <w:rPr>
          <w:spacing w:val="-2"/>
        </w:rPr>
        <w:t>若被保险人在宣告死亡后生还，身故保险金受益人应于知道或应当知道被保险</w:t>
      </w:r>
      <w:r>
        <w:rPr>
          <w:spacing w:val="-6"/>
        </w:rPr>
        <w:t>人生还后 </w:t>
      </w:r>
      <w:r>
        <w:rPr>
          <w:spacing w:val="-4"/>
        </w:rPr>
        <w:t>30</w:t>
      </w:r>
      <w:r>
        <w:rPr>
          <w:spacing w:val="-7"/>
        </w:rPr>
        <w:t> 日内向本公司退还已给付的保险金。退还保险金后，本合同的效力</w:t>
      </w:r>
      <w:r>
        <w:rPr>
          <w:spacing w:val="-2"/>
        </w:rPr>
        <w:t>由投保人与本公司协商处理。</w:t>
      </w:r>
    </w:p>
    <w:p>
      <w:pPr>
        <w:pStyle w:val="Heading1"/>
        <w:numPr>
          <w:ilvl w:val="0"/>
          <w:numId w:val="3"/>
        </w:numPr>
        <w:tabs>
          <w:tab w:pos="1173" w:val="left" w:leader="none"/>
          <w:tab w:pos="1174" w:val="left" w:leader="none"/>
        </w:tabs>
        <w:spacing w:line="240" w:lineRule="auto" w:before="123" w:after="0"/>
        <w:ind w:left="1173" w:right="0" w:hanging="954"/>
        <w:jc w:val="left"/>
      </w:pPr>
      <w:r>
        <w:rPr/>
        <w:drawing>
          <wp:anchor distT="0" distB="0" distL="0" distR="0" allowOverlap="1" layoutInCell="1" locked="0" behindDoc="0" simplePos="0" relativeHeight="6">
            <wp:simplePos x="0" y="0"/>
            <wp:positionH relativeFrom="page">
              <wp:posOffset>579119</wp:posOffset>
            </wp:positionH>
            <wp:positionV relativeFrom="paragraph">
              <wp:posOffset>472582</wp:posOffset>
            </wp:positionV>
            <wp:extent cx="6459720" cy="6096"/>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459720" cy="6096"/>
                    </a:xfrm>
                    <a:prstGeom prst="rect">
                      <a:avLst/>
                    </a:prstGeom>
                  </pic:spPr>
                </pic:pic>
              </a:graphicData>
            </a:graphic>
          </wp:anchor>
        </w:drawing>
      </w:r>
      <w:r>
        <w:rPr>
          <w:spacing w:val="-2"/>
        </w:rPr>
        <w:t>如何交付保险费</w:t>
      </w:r>
    </w:p>
    <w:p>
      <w:pPr>
        <w:pStyle w:val="ListParagraph"/>
        <w:numPr>
          <w:ilvl w:val="1"/>
          <w:numId w:val="3"/>
        </w:numPr>
        <w:tabs>
          <w:tab w:pos="1173" w:val="left" w:leader="none"/>
          <w:tab w:pos="1174" w:val="left" w:leader="none"/>
          <w:tab w:pos="2959" w:val="left" w:leader="none"/>
        </w:tabs>
        <w:spacing w:line="312" w:lineRule="exact" w:before="134" w:after="0"/>
        <w:ind w:left="2959" w:right="224" w:hanging="2740"/>
        <w:jc w:val="left"/>
        <w:rPr>
          <w:sz w:val="21"/>
        </w:rPr>
      </w:pPr>
      <w:r>
        <w:rPr>
          <w:rFonts w:ascii="Microsoft JhengHei" w:eastAsia="Microsoft JhengHei"/>
          <w:b/>
          <w:spacing w:val="-2"/>
          <w:position w:val="-2"/>
          <w:sz w:val="21"/>
        </w:rPr>
        <w:t>保</w:t>
      </w:r>
      <w:r>
        <w:rPr>
          <w:rFonts w:ascii="Microsoft JhengHei" w:eastAsia="Microsoft JhengHei"/>
          <w:b/>
          <w:spacing w:val="-2"/>
          <w:position w:val="-2"/>
          <w:sz w:val="21"/>
        </w:rPr>
        <w:t>险</w:t>
      </w:r>
      <w:r>
        <w:rPr>
          <w:rFonts w:ascii="Microsoft JhengHei" w:eastAsia="Microsoft JhengHei"/>
          <w:b/>
          <w:spacing w:val="-2"/>
          <w:position w:val="-2"/>
          <w:sz w:val="21"/>
        </w:rPr>
        <w:t>费</w:t>
      </w:r>
      <w:r>
        <w:rPr>
          <w:rFonts w:ascii="Microsoft JhengHei" w:eastAsia="Microsoft JhengHei"/>
          <w:b/>
          <w:spacing w:val="-2"/>
          <w:position w:val="-2"/>
          <w:sz w:val="21"/>
        </w:rPr>
        <w:t>的</w:t>
      </w:r>
      <w:r>
        <w:rPr>
          <w:rFonts w:ascii="Microsoft JhengHei" w:eastAsia="Microsoft JhengHei"/>
          <w:b/>
          <w:spacing w:val="-2"/>
          <w:position w:val="-2"/>
          <w:sz w:val="21"/>
        </w:rPr>
        <w:t>交</w:t>
      </w:r>
      <w:r>
        <w:rPr>
          <w:rFonts w:ascii="Microsoft JhengHei" w:eastAsia="Microsoft JhengHei"/>
          <w:b/>
          <w:spacing w:val="-2"/>
          <w:position w:val="-2"/>
          <w:sz w:val="21"/>
        </w:rPr>
        <w:t>付</w:t>
      </w:r>
      <w:r>
        <w:rPr>
          <w:rFonts w:ascii="Microsoft JhengHei" w:eastAsia="Microsoft JhengHei"/>
          <w:b/>
          <w:position w:val="-2"/>
          <w:sz w:val="21"/>
        </w:rPr>
        <w:tab/>
      </w:r>
      <w:r>
        <w:rPr>
          <w:spacing w:val="-2"/>
          <w:sz w:val="21"/>
        </w:rPr>
        <w:t>本</w:t>
      </w:r>
      <w:r>
        <w:rPr>
          <w:spacing w:val="-2"/>
          <w:sz w:val="21"/>
        </w:rPr>
        <w:t>合</w:t>
      </w:r>
      <w:r>
        <w:rPr>
          <w:spacing w:val="-2"/>
          <w:sz w:val="21"/>
        </w:rPr>
        <w:t>同的保险费采取一次</w:t>
      </w:r>
      <w:r>
        <w:rPr>
          <w:spacing w:val="-2"/>
          <w:sz w:val="21"/>
        </w:rPr>
        <w:t>性</w:t>
      </w:r>
      <w:r>
        <w:rPr>
          <w:spacing w:val="-2"/>
          <w:sz w:val="21"/>
        </w:rPr>
        <w:t>交</w:t>
      </w:r>
      <w:r>
        <w:rPr>
          <w:spacing w:val="-2"/>
          <w:sz w:val="21"/>
        </w:rPr>
        <w:t>付、分期交付两种方</w:t>
      </w:r>
      <w:r>
        <w:rPr>
          <w:spacing w:val="-2"/>
          <w:sz w:val="21"/>
        </w:rPr>
        <w:t>式</w:t>
      </w:r>
      <w:r>
        <w:rPr>
          <w:spacing w:val="-2"/>
          <w:sz w:val="21"/>
        </w:rPr>
        <w:t>，可选择的分期交付</w:t>
      </w:r>
      <w:r>
        <w:rPr>
          <w:spacing w:val="-2"/>
          <w:sz w:val="21"/>
        </w:rPr>
        <w:t>期</w:t>
      </w:r>
      <w:r>
        <w:rPr>
          <w:spacing w:val="-2"/>
          <w:sz w:val="21"/>
        </w:rPr>
        <w:t>限</w:t>
      </w:r>
      <w:r>
        <w:rPr>
          <w:spacing w:val="-2"/>
          <w:sz w:val="21"/>
        </w:rPr>
        <w:t>为</w:t>
      </w:r>
      <w:r>
        <w:rPr>
          <w:spacing w:val="-50"/>
          <w:sz w:val="21"/>
        </w:rPr>
        <w:t> </w:t>
      </w:r>
      <w:r>
        <w:rPr>
          <w:spacing w:val="-2"/>
          <w:sz w:val="21"/>
        </w:rPr>
        <w:t>3</w:t>
      </w:r>
      <w:r>
        <w:rPr>
          <w:spacing w:val="-50"/>
          <w:sz w:val="21"/>
        </w:rPr>
        <w:t> </w:t>
      </w:r>
      <w:r>
        <w:rPr>
          <w:spacing w:val="-2"/>
          <w:sz w:val="21"/>
        </w:rPr>
        <w:t>年、5</w:t>
      </w:r>
      <w:r>
        <w:rPr>
          <w:spacing w:val="-52"/>
          <w:sz w:val="21"/>
        </w:rPr>
        <w:t> </w:t>
      </w:r>
      <w:r>
        <w:rPr>
          <w:spacing w:val="-2"/>
          <w:sz w:val="21"/>
        </w:rPr>
        <w:t>年、10</w:t>
      </w:r>
      <w:r>
        <w:rPr>
          <w:spacing w:val="-50"/>
          <w:sz w:val="21"/>
        </w:rPr>
        <w:t> </w:t>
      </w:r>
      <w:r>
        <w:rPr>
          <w:spacing w:val="-2"/>
          <w:sz w:val="21"/>
        </w:rPr>
        <w:t>年、15</w:t>
      </w:r>
      <w:r>
        <w:rPr>
          <w:spacing w:val="-52"/>
          <w:sz w:val="21"/>
        </w:rPr>
        <w:t> </w:t>
      </w:r>
      <w:r>
        <w:rPr>
          <w:spacing w:val="-2"/>
          <w:sz w:val="21"/>
        </w:rPr>
        <w:t>年、20</w:t>
      </w:r>
      <w:r>
        <w:rPr>
          <w:spacing w:val="-50"/>
          <w:sz w:val="21"/>
        </w:rPr>
        <w:t> </w:t>
      </w:r>
      <w:r>
        <w:rPr>
          <w:spacing w:val="-2"/>
          <w:sz w:val="21"/>
        </w:rPr>
        <w:t>年。按照本公司的</w:t>
      </w:r>
      <w:r>
        <w:rPr>
          <w:spacing w:val="-2"/>
          <w:sz w:val="21"/>
        </w:rPr>
        <w:t>相</w:t>
      </w:r>
      <w:r>
        <w:rPr>
          <w:spacing w:val="-2"/>
          <w:sz w:val="21"/>
        </w:rPr>
        <w:t>关</w:t>
      </w:r>
      <w:r>
        <w:rPr>
          <w:spacing w:val="-2"/>
          <w:sz w:val="21"/>
        </w:rPr>
        <w:t>规定，由投保人和本公</w:t>
      </w:r>
      <w:r>
        <w:rPr>
          <w:spacing w:val="-2"/>
          <w:sz w:val="21"/>
        </w:rPr>
        <w:t>司</w:t>
      </w:r>
      <w:r>
        <w:rPr>
          <w:spacing w:val="-2"/>
          <w:sz w:val="21"/>
        </w:rPr>
        <w:t>约</w:t>
      </w:r>
      <w:r>
        <w:rPr>
          <w:spacing w:val="-2"/>
          <w:sz w:val="21"/>
        </w:rPr>
        <w:t>定并在保险单上载明。</w:t>
      </w:r>
    </w:p>
    <w:p>
      <w:pPr>
        <w:pStyle w:val="BodyText"/>
        <w:spacing w:before="5"/>
        <w:ind w:left="0"/>
        <w:rPr>
          <w:sz w:val="16"/>
        </w:rPr>
      </w:pPr>
    </w:p>
    <w:p>
      <w:pPr>
        <w:pStyle w:val="BodyText"/>
        <w:spacing w:line="307" w:lineRule="auto" w:before="1"/>
        <w:ind w:right="227"/>
      </w:pPr>
      <w:r>
        <w:rPr>
          <w:spacing w:val="-2"/>
        </w:rPr>
        <w:t>分期交付保险费的，在交付首期保险费后，投保人应当在每个保险费应交日交</w:t>
      </w:r>
      <w:r>
        <w:rPr>
          <w:spacing w:val="-2"/>
        </w:rPr>
        <w:t>付其余各期的保险费。</w:t>
      </w:r>
    </w:p>
    <w:p>
      <w:pPr>
        <w:pStyle w:val="ListParagraph"/>
        <w:numPr>
          <w:ilvl w:val="1"/>
          <w:numId w:val="3"/>
        </w:numPr>
        <w:tabs>
          <w:tab w:pos="1173" w:val="left" w:leader="none"/>
          <w:tab w:pos="1174" w:val="left" w:leader="none"/>
          <w:tab w:pos="2959" w:val="left" w:leader="none"/>
        </w:tabs>
        <w:spacing w:line="312" w:lineRule="exact" w:before="102" w:after="0"/>
        <w:ind w:left="2959" w:right="224" w:hanging="2740"/>
        <w:jc w:val="left"/>
        <w:rPr>
          <w:sz w:val="21"/>
        </w:rPr>
      </w:pPr>
      <w:r>
        <w:rPr>
          <w:rFonts w:ascii="Microsoft JhengHei" w:eastAsia="Microsoft JhengHei"/>
          <w:b/>
          <w:spacing w:val="-4"/>
          <w:position w:val="-2"/>
          <w:sz w:val="21"/>
        </w:rPr>
        <w:t>宽</w:t>
      </w:r>
      <w:r>
        <w:rPr>
          <w:rFonts w:ascii="Microsoft JhengHei" w:eastAsia="Microsoft JhengHei"/>
          <w:b/>
          <w:spacing w:val="-4"/>
          <w:position w:val="-2"/>
          <w:sz w:val="21"/>
        </w:rPr>
        <w:t>限</w:t>
      </w:r>
      <w:r>
        <w:rPr>
          <w:rFonts w:ascii="Microsoft JhengHei" w:eastAsia="Microsoft JhengHei"/>
          <w:b/>
          <w:spacing w:val="-4"/>
          <w:position w:val="-2"/>
          <w:sz w:val="21"/>
        </w:rPr>
        <w:t>期</w:t>
      </w:r>
      <w:r>
        <w:rPr>
          <w:rFonts w:ascii="Microsoft JhengHei" w:eastAsia="Microsoft JhengHei"/>
          <w:b/>
          <w:position w:val="-2"/>
          <w:sz w:val="21"/>
        </w:rPr>
        <w:tab/>
      </w:r>
      <w:r>
        <w:rPr>
          <w:spacing w:val="-2"/>
          <w:sz w:val="21"/>
        </w:rPr>
        <w:t>分</w:t>
      </w:r>
      <w:r>
        <w:rPr>
          <w:spacing w:val="-2"/>
          <w:sz w:val="21"/>
        </w:rPr>
        <w:t>期</w:t>
      </w:r>
      <w:r>
        <w:rPr>
          <w:spacing w:val="-2"/>
          <w:sz w:val="21"/>
        </w:rPr>
        <w:t>交付保险费的，投保</w:t>
      </w:r>
      <w:r>
        <w:rPr>
          <w:spacing w:val="-2"/>
          <w:sz w:val="21"/>
        </w:rPr>
        <w:t>人</w:t>
      </w:r>
      <w:r>
        <w:rPr>
          <w:spacing w:val="-2"/>
          <w:sz w:val="21"/>
        </w:rPr>
        <w:t>支</w:t>
      </w:r>
      <w:r>
        <w:rPr>
          <w:spacing w:val="-2"/>
          <w:sz w:val="21"/>
        </w:rPr>
        <w:t>付首期保险费后，除</w:t>
      </w:r>
      <w:r>
        <w:rPr>
          <w:spacing w:val="-2"/>
          <w:sz w:val="21"/>
        </w:rPr>
        <w:t>本</w:t>
      </w:r>
      <w:r>
        <w:rPr>
          <w:spacing w:val="-2"/>
          <w:sz w:val="21"/>
        </w:rPr>
        <w:t>合</w:t>
      </w:r>
      <w:r>
        <w:rPr>
          <w:spacing w:val="-2"/>
          <w:sz w:val="21"/>
        </w:rPr>
        <w:t>同另有约定外，若</w:t>
      </w:r>
      <w:r>
        <w:rPr>
          <w:spacing w:val="-2"/>
          <w:sz w:val="21"/>
        </w:rPr>
        <w:t>投</w:t>
      </w:r>
      <w:r>
        <w:rPr>
          <w:spacing w:val="-2"/>
          <w:sz w:val="21"/>
        </w:rPr>
        <w:t>保</w:t>
      </w:r>
      <w:r>
        <w:rPr>
          <w:spacing w:val="-2"/>
          <w:sz w:val="21"/>
        </w:rPr>
        <w:t>人</w:t>
      </w:r>
      <w:r>
        <w:rPr>
          <w:spacing w:val="-2"/>
          <w:sz w:val="21"/>
        </w:rPr>
        <w:t>到</w:t>
      </w:r>
      <w:r>
        <w:rPr>
          <w:spacing w:val="-2"/>
          <w:sz w:val="21"/>
        </w:rPr>
        <w:t>期未交付保险费，自</w:t>
      </w:r>
      <w:r>
        <w:rPr>
          <w:spacing w:val="-2"/>
          <w:sz w:val="21"/>
        </w:rPr>
        <w:t>保</w:t>
      </w:r>
      <w:r>
        <w:rPr>
          <w:spacing w:val="-2"/>
          <w:sz w:val="21"/>
        </w:rPr>
        <w:t>险</w:t>
      </w:r>
      <w:r>
        <w:rPr>
          <w:spacing w:val="-2"/>
          <w:sz w:val="21"/>
        </w:rPr>
        <w:t>费应交日的次日起</w:t>
      </w:r>
      <w:r>
        <w:rPr>
          <w:spacing w:val="-46"/>
          <w:sz w:val="21"/>
        </w:rPr>
        <w:t> </w:t>
      </w:r>
      <w:r>
        <w:rPr>
          <w:spacing w:val="-2"/>
          <w:sz w:val="21"/>
        </w:rPr>
        <w:t>60</w:t>
      </w:r>
      <w:r>
        <w:rPr>
          <w:spacing w:val="-48"/>
          <w:sz w:val="21"/>
        </w:rPr>
        <w:t> </w:t>
      </w:r>
      <w:r>
        <w:rPr>
          <w:spacing w:val="-2"/>
          <w:sz w:val="21"/>
        </w:rPr>
        <w:t>日</w:t>
      </w:r>
      <w:r>
        <w:rPr>
          <w:spacing w:val="-2"/>
          <w:sz w:val="21"/>
        </w:rPr>
        <w:t>为</w:t>
      </w:r>
      <w:r>
        <w:rPr>
          <w:spacing w:val="-2"/>
          <w:sz w:val="21"/>
        </w:rPr>
        <w:t>宽限期。宽限期内发生</w:t>
      </w:r>
      <w:r>
        <w:rPr>
          <w:spacing w:val="-2"/>
          <w:sz w:val="21"/>
        </w:rPr>
        <w:t>的</w:t>
      </w:r>
      <w:r>
        <w:rPr>
          <w:spacing w:val="-2"/>
          <w:sz w:val="21"/>
        </w:rPr>
        <w:t>保</w:t>
      </w:r>
      <w:r>
        <w:rPr>
          <w:spacing w:val="-2"/>
          <w:sz w:val="21"/>
        </w:rPr>
        <w:t>险事故，本公司仍会</w:t>
      </w:r>
      <w:r>
        <w:rPr>
          <w:spacing w:val="-2"/>
          <w:sz w:val="21"/>
        </w:rPr>
        <w:t>承</w:t>
      </w:r>
      <w:r>
        <w:rPr>
          <w:spacing w:val="-2"/>
          <w:sz w:val="21"/>
        </w:rPr>
        <w:t>担</w:t>
      </w:r>
      <w:r>
        <w:rPr>
          <w:spacing w:val="-2"/>
          <w:sz w:val="21"/>
        </w:rPr>
        <w:t>保险责任，但在给付</w:t>
      </w:r>
      <w:r>
        <w:rPr>
          <w:spacing w:val="-2"/>
          <w:sz w:val="21"/>
        </w:rPr>
        <w:t>保</w:t>
      </w:r>
      <w:r>
        <w:rPr>
          <w:spacing w:val="-2"/>
          <w:sz w:val="21"/>
        </w:rPr>
        <w:t>险</w:t>
      </w:r>
      <w:r>
        <w:rPr>
          <w:spacing w:val="-2"/>
          <w:sz w:val="21"/>
        </w:rPr>
        <w:t>金时会扣除投保人欠交</w:t>
      </w:r>
      <w:r>
        <w:rPr>
          <w:spacing w:val="-2"/>
          <w:sz w:val="21"/>
        </w:rPr>
        <w:t>的</w:t>
      </w:r>
      <w:r>
        <w:rPr>
          <w:spacing w:val="-2"/>
          <w:sz w:val="21"/>
        </w:rPr>
        <w:t>保</w:t>
      </w:r>
      <w:r>
        <w:rPr>
          <w:spacing w:val="-2"/>
          <w:sz w:val="21"/>
        </w:rPr>
        <w:t>险</w:t>
      </w:r>
      <w:r>
        <w:rPr>
          <w:spacing w:val="-2"/>
          <w:sz w:val="21"/>
        </w:rPr>
        <w:t>费</w:t>
      </w:r>
      <w:r>
        <w:rPr>
          <w:spacing w:val="-2"/>
          <w:sz w:val="21"/>
        </w:rPr>
        <w:t>。</w:t>
      </w:r>
    </w:p>
    <w:p>
      <w:pPr>
        <w:pStyle w:val="BodyText"/>
        <w:spacing w:before="4"/>
        <w:ind w:left="0"/>
        <w:rPr>
          <w:sz w:val="16"/>
        </w:rPr>
      </w:pPr>
    </w:p>
    <w:p>
      <w:pPr>
        <w:pStyle w:val="BodyText"/>
        <w:spacing w:line="307" w:lineRule="auto" w:before="1"/>
        <w:ind w:right="230"/>
      </w:pPr>
      <w:r>
        <w:rPr>
          <w:spacing w:val="-2"/>
        </w:rPr>
        <w:t>若宽限期结束之后投保人仍未交付保险费，则本合同自宽限期满的次日零时起</w:t>
      </w:r>
      <w:r>
        <w:rPr>
          <w:spacing w:val="-2"/>
        </w:rPr>
        <w:t>中止，但本合同另有约定的除外。</w:t>
      </w:r>
    </w:p>
    <w:p>
      <w:pPr>
        <w:pStyle w:val="Heading1"/>
        <w:numPr>
          <w:ilvl w:val="0"/>
          <w:numId w:val="3"/>
        </w:numPr>
        <w:tabs>
          <w:tab w:pos="1173" w:val="left" w:leader="none"/>
          <w:tab w:pos="1174" w:val="left" w:leader="none"/>
        </w:tabs>
        <w:spacing w:line="240" w:lineRule="auto" w:before="124" w:after="0"/>
        <w:ind w:left="1173" w:right="0" w:hanging="954"/>
        <w:jc w:val="left"/>
      </w:pPr>
      <w:r>
        <w:rPr/>
        <w:drawing>
          <wp:anchor distT="0" distB="0" distL="0" distR="0" allowOverlap="1" layoutInCell="1" locked="0" behindDoc="0" simplePos="0" relativeHeight="7">
            <wp:simplePos x="0" y="0"/>
            <wp:positionH relativeFrom="page">
              <wp:posOffset>579119</wp:posOffset>
            </wp:positionH>
            <wp:positionV relativeFrom="paragraph">
              <wp:posOffset>473218</wp:posOffset>
            </wp:positionV>
            <wp:extent cx="6460124" cy="6095"/>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7" cstate="print"/>
                    <a:stretch>
                      <a:fillRect/>
                    </a:stretch>
                  </pic:blipFill>
                  <pic:spPr>
                    <a:xfrm>
                      <a:off x="0" y="0"/>
                      <a:ext cx="6460124" cy="6095"/>
                    </a:xfrm>
                    <a:prstGeom prst="rect">
                      <a:avLst/>
                    </a:prstGeom>
                  </pic:spPr>
                </pic:pic>
              </a:graphicData>
            </a:graphic>
          </wp:anchor>
        </w:drawing>
      </w:r>
      <w:r>
        <w:rPr>
          <w:spacing w:val="-2"/>
        </w:rPr>
        <w:t>现金价值权益</w:t>
      </w:r>
    </w:p>
    <w:p>
      <w:pPr>
        <w:pStyle w:val="ListParagraph"/>
        <w:numPr>
          <w:ilvl w:val="1"/>
          <w:numId w:val="3"/>
        </w:numPr>
        <w:tabs>
          <w:tab w:pos="1173" w:val="left" w:leader="none"/>
          <w:tab w:pos="1174" w:val="left" w:leader="none"/>
          <w:tab w:pos="2959" w:val="left" w:leader="none"/>
        </w:tabs>
        <w:spacing w:line="312" w:lineRule="exact" w:before="134" w:after="0"/>
        <w:ind w:left="2959" w:right="227" w:hanging="2740"/>
        <w:jc w:val="both"/>
        <w:rPr>
          <w:sz w:val="21"/>
        </w:rPr>
      </w:pPr>
      <w:r>
        <w:rPr>
          <w:rFonts w:ascii="Microsoft JhengHei" w:eastAsia="Microsoft JhengHei"/>
          <w:b/>
          <w:spacing w:val="-4"/>
          <w:position w:val="-2"/>
          <w:sz w:val="21"/>
        </w:rPr>
        <w:t>现</w:t>
      </w:r>
      <w:r>
        <w:rPr>
          <w:rFonts w:ascii="Microsoft JhengHei" w:eastAsia="Microsoft JhengHei"/>
          <w:b/>
          <w:spacing w:val="-4"/>
          <w:position w:val="-2"/>
          <w:sz w:val="21"/>
        </w:rPr>
        <w:t>金</w:t>
      </w:r>
      <w:r>
        <w:rPr>
          <w:rFonts w:ascii="Microsoft JhengHei" w:eastAsia="Microsoft JhengHei"/>
          <w:b/>
          <w:spacing w:val="-4"/>
          <w:position w:val="-2"/>
          <w:sz w:val="21"/>
        </w:rPr>
        <w:t>价</w:t>
      </w:r>
      <w:r>
        <w:rPr>
          <w:rFonts w:ascii="Microsoft JhengHei" w:eastAsia="Microsoft JhengHei"/>
          <w:b/>
          <w:spacing w:val="-4"/>
          <w:position w:val="-2"/>
          <w:sz w:val="21"/>
        </w:rPr>
        <w:t>值</w:t>
      </w:r>
      <w:r>
        <w:rPr>
          <w:rFonts w:ascii="Microsoft JhengHei" w:eastAsia="Microsoft JhengHei"/>
          <w:b/>
          <w:position w:val="-2"/>
          <w:sz w:val="21"/>
        </w:rPr>
        <w:tab/>
      </w:r>
      <w:r>
        <w:rPr>
          <w:spacing w:val="-2"/>
          <w:sz w:val="21"/>
        </w:rPr>
        <w:t>指保单所具有的价值，</w:t>
      </w:r>
      <w:r>
        <w:rPr>
          <w:spacing w:val="-2"/>
          <w:sz w:val="21"/>
        </w:rPr>
        <w:t>通</w:t>
      </w:r>
      <w:r>
        <w:rPr>
          <w:spacing w:val="-2"/>
          <w:sz w:val="21"/>
        </w:rPr>
        <w:t>常体现为解除保险合</w:t>
      </w:r>
      <w:r>
        <w:rPr>
          <w:spacing w:val="-2"/>
          <w:sz w:val="21"/>
        </w:rPr>
        <w:t>同</w:t>
      </w:r>
      <w:r>
        <w:rPr>
          <w:spacing w:val="-2"/>
          <w:sz w:val="21"/>
        </w:rPr>
        <w:t>时</w:t>
      </w:r>
      <w:r>
        <w:rPr>
          <w:spacing w:val="-2"/>
          <w:sz w:val="21"/>
        </w:rPr>
        <w:t>，根据精算原理计算</w:t>
      </w:r>
      <w:r>
        <w:rPr>
          <w:spacing w:val="-2"/>
          <w:sz w:val="21"/>
        </w:rPr>
        <w:t>的</w:t>
      </w:r>
      <w:r>
        <w:rPr>
          <w:spacing w:val="-2"/>
          <w:sz w:val="21"/>
        </w:rPr>
        <w:t>，</w:t>
      </w:r>
      <w:r>
        <w:rPr>
          <w:spacing w:val="-2"/>
          <w:sz w:val="21"/>
        </w:rPr>
        <w:t>由</w:t>
      </w:r>
      <w:r>
        <w:rPr>
          <w:spacing w:val="-2"/>
          <w:sz w:val="21"/>
        </w:rPr>
        <w:t>本公司向投保人退还</w:t>
      </w:r>
      <w:r>
        <w:rPr>
          <w:spacing w:val="-2"/>
          <w:sz w:val="21"/>
        </w:rPr>
        <w:t>的</w:t>
      </w:r>
      <w:r>
        <w:rPr>
          <w:spacing w:val="-2"/>
          <w:sz w:val="21"/>
        </w:rPr>
        <w:t>那</w:t>
      </w:r>
      <w:r>
        <w:rPr>
          <w:spacing w:val="-2"/>
          <w:sz w:val="21"/>
        </w:rPr>
        <w:t>部分金额。本合同保</w:t>
      </w:r>
      <w:r>
        <w:rPr>
          <w:spacing w:val="-2"/>
          <w:sz w:val="21"/>
        </w:rPr>
        <w:t>单</w:t>
      </w:r>
      <w:r>
        <w:rPr>
          <w:spacing w:val="-2"/>
          <w:sz w:val="21"/>
        </w:rPr>
        <w:t>年</w:t>
      </w:r>
      <w:r>
        <w:rPr>
          <w:spacing w:val="-2"/>
          <w:sz w:val="21"/>
        </w:rPr>
        <w:t>度末基本保险金额对</w:t>
      </w:r>
      <w:r>
        <w:rPr>
          <w:spacing w:val="-2"/>
          <w:sz w:val="21"/>
        </w:rPr>
        <w:t>应</w:t>
      </w:r>
      <w:r>
        <w:rPr>
          <w:spacing w:val="-2"/>
          <w:sz w:val="21"/>
        </w:rPr>
        <w:t>的</w:t>
      </w:r>
      <w:r>
        <w:rPr>
          <w:spacing w:val="-2"/>
          <w:sz w:val="21"/>
        </w:rPr>
        <w:t>现</w:t>
      </w:r>
      <w:r>
        <w:rPr>
          <w:spacing w:val="-2"/>
          <w:sz w:val="21"/>
        </w:rPr>
        <w:t>金价值会在保险单或</w:t>
      </w:r>
      <w:r>
        <w:rPr>
          <w:spacing w:val="-2"/>
          <w:sz w:val="21"/>
        </w:rPr>
        <w:t>批</w:t>
      </w:r>
      <w:r>
        <w:rPr>
          <w:spacing w:val="-2"/>
          <w:sz w:val="21"/>
        </w:rPr>
        <w:t>注</w:t>
      </w:r>
      <w:r>
        <w:rPr>
          <w:spacing w:val="-2"/>
          <w:sz w:val="21"/>
        </w:rPr>
        <w:t>上载明。保单年度中</w:t>
      </w:r>
      <w:r>
        <w:rPr>
          <w:spacing w:val="-2"/>
          <w:sz w:val="21"/>
        </w:rPr>
        <w:t>现</w:t>
      </w:r>
      <w:r>
        <w:rPr>
          <w:spacing w:val="-2"/>
          <w:sz w:val="21"/>
        </w:rPr>
        <w:t>金</w:t>
      </w:r>
      <w:r>
        <w:rPr>
          <w:spacing w:val="-2"/>
          <w:sz w:val="21"/>
        </w:rPr>
        <w:t>价值的金额基于保单</w:t>
      </w:r>
      <w:r>
        <w:rPr>
          <w:spacing w:val="-2"/>
          <w:sz w:val="21"/>
        </w:rPr>
        <w:t>年</w:t>
      </w:r>
      <w:r>
        <w:rPr>
          <w:spacing w:val="-2"/>
          <w:sz w:val="21"/>
        </w:rPr>
        <w:t>度</w:t>
      </w:r>
      <w:r>
        <w:rPr>
          <w:spacing w:val="-2"/>
          <w:sz w:val="21"/>
        </w:rPr>
        <w:t>末</w:t>
      </w:r>
      <w:r>
        <w:rPr>
          <w:spacing w:val="-2"/>
          <w:sz w:val="21"/>
        </w:rPr>
        <w:t>现</w:t>
      </w:r>
      <w:r>
        <w:rPr>
          <w:spacing w:val="-2"/>
          <w:sz w:val="21"/>
        </w:rPr>
        <w:t>金</w:t>
      </w:r>
      <w:r>
        <w:rPr>
          <w:spacing w:val="-2"/>
          <w:sz w:val="21"/>
        </w:rPr>
        <w:t>价值的金额根据合理</w:t>
      </w:r>
      <w:r>
        <w:rPr>
          <w:spacing w:val="-2"/>
          <w:sz w:val="21"/>
        </w:rPr>
        <w:t>的</w:t>
      </w:r>
      <w:r>
        <w:rPr>
          <w:spacing w:val="-2"/>
          <w:sz w:val="21"/>
        </w:rPr>
        <w:t>方</w:t>
      </w:r>
      <w:r>
        <w:rPr>
          <w:spacing w:val="-2"/>
          <w:sz w:val="21"/>
        </w:rPr>
        <w:t>法计算而得，投保人</w:t>
      </w:r>
      <w:r>
        <w:rPr>
          <w:spacing w:val="-2"/>
          <w:sz w:val="21"/>
        </w:rPr>
        <w:t>可</w:t>
      </w:r>
      <w:r>
        <w:rPr>
          <w:spacing w:val="-2"/>
          <w:sz w:val="21"/>
        </w:rPr>
        <w:t>以</w:t>
      </w:r>
      <w:r>
        <w:rPr>
          <w:spacing w:val="-2"/>
          <w:sz w:val="21"/>
        </w:rPr>
        <w:t>向本公司咨</w:t>
      </w:r>
      <w:r>
        <w:rPr>
          <w:spacing w:val="-2"/>
          <w:sz w:val="21"/>
        </w:rPr>
        <w:t>询</w:t>
      </w:r>
      <w:r>
        <w:rPr>
          <w:spacing w:val="-2"/>
          <w:sz w:val="21"/>
        </w:rPr>
        <w:t>。</w:t>
      </w:r>
    </w:p>
    <w:p>
      <w:pPr>
        <w:pStyle w:val="BodyText"/>
        <w:spacing w:before="2"/>
        <w:ind w:left="0"/>
        <w:rPr>
          <w:sz w:val="14"/>
        </w:rPr>
      </w:pPr>
    </w:p>
    <w:p>
      <w:pPr>
        <w:pStyle w:val="ListParagraph"/>
        <w:numPr>
          <w:ilvl w:val="1"/>
          <w:numId w:val="3"/>
        </w:numPr>
        <w:tabs>
          <w:tab w:pos="1173" w:val="left" w:leader="none"/>
          <w:tab w:pos="1174" w:val="left" w:leader="none"/>
          <w:tab w:pos="2959" w:val="left" w:leader="none"/>
        </w:tabs>
        <w:spacing w:line="218" w:lineRule="auto" w:before="0" w:after="0"/>
        <w:ind w:left="2959" w:right="119" w:hanging="2740"/>
        <w:jc w:val="both"/>
        <w:rPr>
          <w:sz w:val="21"/>
        </w:rPr>
      </w:pPr>
      <w:r>
        <w:rPr>
          <w:rFonts w:ascii="Microsoft JhengHei" w:eastAsia="Microsoft JhengHei"/>
          <w:b/>
          <w:w w:val="100"/>
          <w:position w:val="-2"/>
          <w:sz w:val="21"/>
        </w:rPr>
        <w:t>保单贷款</w:t>
      </w:r>
      <w:r>
        <w:rPr>
          <w:rFonts w:ascii="Microsoft JhengHei" w:eastAsia="Microsoft JhengHei"/>
          <w:b/>
          <w:position w:val="-2"/>
          <w:sz w:val="21"/>
        </w:rPr>
        <w:tab/>
      </w:r>
      <w:r>
        <w:rPr>
          <w:spacing w:val="2"/>
          <w:w w:val="100"/>
          <w:sz w:val="21"/>
        </w:rPr>
        <w:t>在</w:t>
      </w:r>
      <w:r>
        <w:rPr>
          <w:w w:val="100"/>
          <w:sz w:val="21"/>
        </w:rPr>
        <w:t>本</w:t>
      </w:r>
      <w:r>
        <w:rPr>
          <w:spacing w:val="2"/>
          <w:w w:val="100"/>
          <w:sz w:val="21"/>
        </w:rPr>
        <w:t>合</w:t>
      </w:r>
      <w:r>
        <w:rPr>
          <w:w w:val="100"/>
          <w:sz w:val="21"/>
        </w:rPr>
        <w:t>同</w:t>
      </w:r>
      <w:r>
        <w:rPr>
          <w:spacing w:val="2"/>
          <w:w w:val="100"/>
          <w:sz w:val="21"/>
        </w:rPr>
        <w:t>有</w:t>
      </w:r>
      <w:r>
        <w:rPr>
          <w:w w:val="100"/>
          <w:sz w:val="21"/>
        </w:rPr>
        <w:t>效</w:t>
      </w:r>
      <w:r>
        <w:rPr>
          <w:spacing w:val="2"/>
          <w:w w:val="100"/>
          <w:sz w:val="21"/>
        </w:rPr>
        <w:t>期</w:t>
      </w:r>
      <w:r>
        <w:rPr>
          <w:w w:val="100"/>
          <w:sz w:val="21"/>
        </w:rPr>
        <w:t>内</w:t>
      </w:r>
      <w:r>
        <w:rPr>
          <w:spacing w:val="2"/>
          <w:w w:val="100"/>
          <w:sz w:val="21"/>
        </w:rPr>
        <w:t>且</w:t>
      </w:r>
      <w:r>
        <w:rPr>
          <w:w w:val="100"/>
          <w:sz w:val="21"/>
        </w:rPr>
        <w:t>在犹</w:t>
      </w:r>
      <w:r>
        <w:rPr>
          <w:spacing w:val="2"/>
          <w:w w:val="100"/>
          <w:sz w:val="21"/>
        </w:rPr>
        <w:t>豫</w:t>
      </w:r>
      <w:r>
        <w:rPr>
          <w:w w:val="100"/>
          <w:sz w:val="21"/>
        </w:rPr>
        <w:t>期</w:t>
      </w:r>
      <w:r>
        <w:rPr>
          <w:spacing w:val="2"/>
          <w:w w:val="100"/>
          <w:sz w:val="21"/>
        </w:rPr>
        <w:t>之</w:t>
      </w:r>
      <w:r>
        <w:rPr>
          <w:w w:val="100"/>
          <w:sz w:val="21"/>
        </w:rPr>
        <w:t>后</w:t>
      </w:r>
      <w:r>
        <w:rPr>
          <w:spacing w:val="4"/>
          <w:w w:val="100"/>
          <w:sz w:val="21"/>
        </w:rPr>
        <w:t>，</w:t>
      </w:r>
      <w:r>
        <w:rPr>
          <w:w w:val="100"/>
          <w:sz w:val="21"/>
        </w:rPr>
        <w:t>若</w:t>
      </w:r>
      <w:r>
        <w:rPr>
          <w:spacing w:val="2"/>
          <w:w w:val="100"/>
          <w:sz w:val="21"/>
        </w:rPr>
        <w:t>本</w:t>
      </w:r>
      <w:r>
        <w:rPr>
          <w:w w:val="100"/>
          <w:sz w:val="21"/>
        </w:rPr>
        <w:t>合</w:t>
      </w:r>
      <w:r>
        <w:rPr>
          <w:spacing w:val="2"/>
          <w:w w:val="100"/>
          <w:sz w:val="21"/>
        </w:rPr>
        <w:t>同</w:t>
      </w:r>
      <w:r>
        <w:rPr>
          <w:w w:val="100"/>
          <w:sz w:val="21"/>
        </w:rPr>
        <w:t>具有</w:t>
      </w:r>
      <w:r>
        <w:rPr>
          <w:spacing w:val="2"/>
          <w:w w:val="100"/>
          <w:sz w:val="21"/>
        </w:rPr>
        <w:t>现</w:t>
      </w:r>
      <w:r>
        <w:rPr>
          <w:w w:val="100"/>
          <w:sz w:val="21"/>
        </w:rPr>
        <w:t>金</w:t>
      </w:r>
      <w:r>
        <w:rPr>
          <w:spacing w:val="2"/>
          <w:w w:val="100"/>
          <w:sz w:val="21"/>
        </w:rPr>
        <w:t>价</w:t>
      </w:r>
      <w:r>
        <w:rPr>
          <w:w w:val="100"/>
          <w:sz w:val="21"/>
        </w:rPr>
        <w:t>值</w:t>
      </w:r>
      <w:r>
        <w:rPr>
          <w:spacing w:val="2"/>
          <w:w w:val="100"/>
          <w:sz w:val="21"/>
        </w:rPr>
        <w:t>，</w:t>
      </w:r>
      <w:r>
        <w:rPr>
          <w:w w:val="100"/>
          <w:sz w:val="21"/>
        </w:rPr>
        <w:t>经</w:t>
      </w:r>
      <w:r>
        <w:rPr>
          <w:spacing w:val="2"/>
          <w:w w:val="100"/>
          <w:sz w:val="21"/>
        </w:rPr>
        <w:t>被</w:t>
      </w:r>
      <w:r>
        <w:rPr>
          <w:w w:val="100"/>
          <w:sz w:val="21"/>
        </w:rPr>
        <w:t>保</w:t>
      </w:r>
      <w:r>
        <w:rPr>
          <w:spacing w:val="2"/>
          <w:w w:val="100"/>
          <w:sz w:val="21"/>
        </w:rPr>
        <w:t>险</w:t>
      </w:r>
      <w:r>
        <w:rPr>
          <w:w w:val="100"/>
          <w:sz w:val="21"/>
        </w:rPr>
        <w:t>人书面</w:t>
      </w:r>
      <w:r>
        <w:rPr>
          <w:spacing w:val="2"/>
          <w:w w:val="100"/>
          <w:sz w:val="21"/>
        </w:rPr>
        <w:t>同</w:t>
      </w:r>
      <w:r>
        <w:rPr>
          <w:w w:val="100"/>
          <w:sz w:val="21"/>
        </w:rPr>
        <w:t>意</w:t>
      </w:r>
      <w:r>
        <w:rPr>
          <w:spacing w:val="2"/>
          <w:w w:val="100"/>
          <w:sz w:val="21"/>
        </w:rPr>
        <w:t>，</w:t>
      </w:r>
      <w:r>
        <w:rPr>
          <w:w w:val="100"/>
          <w:sz w:val="21"/>
        </w:rPr>
        <w:t>投</w:t>
      </w:r>
      <w:r>
        <w:rPr>
          <w:spacing w:val="2"/>
          <w:w w:val="100"/>
          <w:sz w:val="21"/>
        </w:rPr>
        <w:t>保</w:t>
      </w:r>
      <w:r>
        <w:rPr>
          <w:w w:val="100"/>
          <w:sz w:val="21"/>
        </w:rPr>
        <w:t>人</w:t>
      </w:r>
      <w:r>
        <w:rPr>
          <w:spacing w:val="2"/>
          <w:w w:val="100"/>
          <w:sz w:val="21"/>
        </w:rPr>
        <w:t>可</w:t>
      </w:r>
      <w:r>
        <w:rPr>
          <w:w w:val="100"/>
          <w:sz w:val="21"/>
        </w:rPr>
        <w:t>以</w:t>
      </w:r>
      <w:r>
        <w:rPr>
          <w:spacing w:val="2"/>
          <w:w w:val="100"/>
          <w:sz w:val="21"/>
        </w:rPr>
        <w:t>向</w:t>
      </w:r>
      <w:r>
        <w:rPr>
          <w:w w:val="100"/>
          <w:sz w:val="21"/>
        </w:rPr>
        <w:t>本公</w:t>
      </w:r>
      <w:r>
        <w:rPr>
          <w:spacing w:val="2"/>
          <w:w w:val="100"/>
          <w:sz w:val="21"/>
        </w:rPr>
        <w:t>司</w:t>
      </w:r>
      <w:r>
        <w:rPr>
          <w:w w:val="100"/>
          <w:sz w:val="21"/>
        </w:rPr>
        <w:t>申</w:t>
      </w:r>
      <w:r>
        <w:rPr>
          <w:spacing w:val="2"/>
          <w:w w:val="100"/>
          <w:sz w:val="21"/>
        </w:rPr>
        <w:t>请</w:t>
      </w:r>
      <w:r>
        <w:rPr>
          <w:w w:val="100"/>
          <w:sz w:val="21"/>
        </w:rPr>
        <w:t>保</w:t>
      </w:r>
      <w:r>
        <w:rPr>
          <w:spacing w:val="2"/>
          <w:w w:val="100"/>
          <w:sz w:val="21"/>
        </w:rPr>
        <w:t>单</w:t>
      </w:r>
      <w:r>
        <w:rPr>
          <w:w w:val="100"/>
          <w:sz w:val="21"/>
        </w:rPr>
        <w:t>贷</w:t>
      </w:r>
      <w:r>
        <w:rPr>
          <w:spacing w:val="2"/>
          <w:w w:val="100"/>
          <w:sz w:val="21"/>
        </w:rPr>
        <w:t>款</w:t>
      </w:r>
      <w:r>
        <w:rPr>
          <w:w w:val="100"/>
          <w:sz w:val="21"/>
        </w:rPr>
        <w:t>，</w:t>
      </w:r>
      <w:r>
        <w:rPr>
          <w:spacing w:val="2"/>
          <w:w w:val="100"/>
          <w:sz w:val="21"/>
        </w:rPr>
        <w:t>经</w:t>
      </w:r>
      <w:r>
        <w:rPr>
          <w:w w:val="100"/>
          <w:sz w:val="21"/>
        </w:rPr>
        <w:t>本公</w:t>
      </w:r>
      <w:r>
        <w:rPr>
          <w:spacing w:val="2"/>
          <w:w w:val="100"/>
          <w:sz w:val="21"/>
        </w:rPr>
        <w:t>司</w:t>
      </w:r>
      <w:r>
        <w:rPr>
          <w:w w:val="100"/>
          <w:sz w:val="21"/>
        </w:rPr>
        <w:t>同</w:t>
      </w:r>
      <w:r>
        <w:rPr>
          <w:spacing w:val="2"/>
          <w:w w:val="100"/>
          <w:sz w:val="21"/>
        </w:rPr>
        <w:t>意</w:t>
      </w:r>
      <w:r>
        <w:rPr>
          <w:w w:val="100"/>
          <w:sz w:val="21"/>
        </w:rPr>
        <w:t>后</w:t>
      </w:r>
      <w:r>
        <w:rPr>
          <w:spacing w:val="2"/>
          <w:w w:val="100"/>
          <w:sz w:val="21"/>
        </w:rPr>
        <w:t>投</w:t>
      </w:r>
      <w:r>
        <w:rPr>
          <w:w w:val="100"/>
          <w:sz w:val="21"/>
        </w:rPr>
        <w:t>保</w:t>
      </w:r>
      <w:r>
        <w:rPr>
          <w:spacing w:val="2"/>
          <w:w w:val="100"/>
          <w:sz w:val="21"/>
        </w:rPr>
        <w:t>人</w:t>
      </w:r>
      <w:r>
        <w:rPr>
          <w:w w:val="100"/>
          <w:sz w:val="21"/>
        </w:rPr>
        <w:t>可</w:t>
      </w:r>
      <w:r>
        <w:rPr>
          <w:spacing w:val="2"/>
          <w:w w:val="100"/>
          <w:sz w:val="21"/>
        </w:rPr>
        <w:t>办</w:t>
      </w:r>
      <w:r>
        <w:rPr>
          <w:w w:val="100"/>
          <w:sz w:val="21"/>
        </w:rPr>
        <w:t>理保单贷款</w:t>
      </w:r>
      <w:r>
        <w:rPr>
          <w:spacing w:val="-46"/>
          <w:w w:val="100"/>
          <w:sz w:val="21"/>
        </w:rPr>
        <w:t>。</w:t>
      </w:r>
      <w:r>
        <w:rPr>
          <w:w w:val="100"/>
          <w:sz w:val="21"/>
        </w:rPr>
        <w:t>保</w:t>
      </w:r>
      <w:r>
        <w:rPr>
          <w:spacing w:val="-3"/>
          <w:w w:val="100"/>
          <w:sz w:val="21"/>
        </w:rPr>
        <w:t>单</w:t>
      </w:r>
      <w:r>
        <w:rPr>
          <w:w w:val="100"/>
          <w:sz w:val="21"/>
        </w:rPr>
        <w:t>贷</w:t>
      </w:r>
      <w:r>
        <w:rPr>
          <w:spacing w:val="-3"/>
          <w:w w:val="100"/>
          <w:sz w:val="21"/>
        </w:rPr>
        <w:t>款</w:t>
      </w:r>
      <w:r>
        <w:rPr>
          <w:w w:val="100"/>
          <w:sz w:val="21"/>
        </w:rPr>
        <w:t>的</w:t>
      </w:r>
      <w:r>
        <w:rPr>
          <w:spacing w:val="-3"/>
          <w:w w:val="100"/>
          <w:sz w:val="21"/>
        </w:rPr>
        <w:t>最</w:t>
      </w:r>
      <w:r>
        <w:rPr>
          <w:w w:val="100"/>
          <w:sz w:val="21"/>
        </w:rPr>
        <w:t>高</w:t>
      </w:r>
      <w:r>
        <w:rPr>
          <w:spacing w:val="-3"/>
          <w:w w:val="100"/>
          <w:sz w:val="21"/>
        </w:rPr>
        <w:t>金</w:t>
      </w:r>
      <w:r>
        <w:rPr>
          <w:w w:val="100"/>
          <w:sz w:val="21"/>
        </w:rPr>
        <w:t>额不</w:t>
      </w:r>
      <w:r>
        <w:rPr>
          <w:spacing w:val="-3"/>
          <w:w w:val="100"/>
          <w:sz w:val="21"/>
        </w:rPr>
        <w:t>超</w:t>
      </w:r>
      <w:r>
        <w:rPr>
          <w:w w:val="100"/>
          <w:sz w:val="21"/>
        </w:rPr>
        <w:t>过</w:t>
      </w:r>
      <w:r>
        <w:rPr>
          <w:spacing w:val="-3"/>
          <w:w w:val="100"/>
          <w:sz w:val="21"/>
        </w:rPr>
        <w:t>本</w:t>
      </w:r>
      <w:r>
        <w:rPr>
          <w:w w:val="100"/>
          <w:sz w:val="21"/>
        </w:rPr>
        <w:t>合</w:t>
      </w:r>
      <w:r>
        <w:rPr>
          <w:spacing w:val="-3"/>
          <w:w w:val="100"/>
          <w:sz w:val="21"/>
        </w:rPr>
        <w:t>同</w:t>
      </w:r>
      <w:r>
        <w:rPr>
          <w:w w:val="100"/>
          <w:sz w:val="21"/>
        </w:rPr>
        <w:t>当</w:t>
      </w:r>
      <w:r>
        <w:rPr>
          <w:spacing w:val="-3"/>
          <w:w w:val="100"/>
          <w:sz w:val="21"/>
        </w:rPr>
        <w:t>时</w:t>
      </w:r>
      <w:r>
        <w:rPr>
          <w:w w:val="100"/>
          <w:sz w:val="21"/>
        </w:rPr>
        <w:t>所</w:t>
      </w:r>
      <w:r>
        <w:rPr>
          <w:spacing w:val="-3"/>
          <w:w w:val="100"/>
          <w:sz w:val="21"/>
        </w:rPr>
        <w:t>具</w:t>
      </w:r>
      <w:r>
        <w:rPr>
          <w:w w:val="100"/>
          <w:sz w:val="21"/>
        </w:rPr>
        <w:t>有</w:t>
      </w:r>
      <w:r>
        <w:rPr>
          <w:spacing w:val="-3"/>
          <w:w w:val="100"/>
          <w:sz w:val="21"/>
        </w:rPr>
        <w:t>的</w:t>
      </w:r>
      <w:r>
        <w:rPr>
          <w:rFonts w:ascii="Microsoft JhengHei" w:eastAsia="Microsoft JhengHei"/>
          <w:b/>
          <w:w w:val="100"/>
          <w:sz w:val="21"/>
        </w:rPr>
        <w:t>现金价值净</w:t>
      </w:r>
      <w:r>
        <w:rPr>
          <w:rFonts w:ascii="Microsoft JhengHei" w:eastAsia="Microsoft JhengHei"/>
          <w:b/>
          <w:spacing w:val="-44"/>
          <w:w w:val="100"/>
          <w:sz w:val="21"/>
        </w:rPr>
        <w:t>额</w:t>
      </w:r>
      <w:r>
        <w:rPr>
          <w:spacing w:val="-3"/>
          <w:w w:val="100"/>
          <w:sz w:val="21"/>
        </w:rPr>
        <w:t>（</w:t>
      </w:r>
      <w:r>
        <w:rPr>
          <w:w w:val="100"/>
          <w:sz w:val="21"/>
        </w:rPr>
        <w:t>见</w:t>
      </w:r>
      <w:r>
        <w:rPr>
          <w:spacing w:val="-53"/>
          <w:sz w:val="21"/>
        </w:rPr>
        <w:t> </w:t>
      </w:r>
      <w:r>
        <w:rPr>
          <w:w w:val="100"/>
          <w:sz w:val="21"/>
        </w:rPr>
        <w:t>9</w:t>
      </w:r>
      <w:r>
        <w:rPr>
          <w:spacing w:val="-3"/>
          <w:w w:val="100"/>
          <w:sz w:val="21"/>
        </w:rPr>
        <w:t>.2</w:t>
      </w:r>
      <w:r>
        <w:rPr>
          <w:w w:val="100"/>
          <w:sz w:val="21"/>
        </w:rPr>
        <w:t>2）</w:t>
      </w:r>
    </w:p>
    <w:p>
      <w:pPr>
        <w:spacing w:after="0" w:line="218" w:lineRule="auto"/>
        <w:jc w:val="both"/>
        <w:rPr>
          <w:sz w:val="21"/>
        </w:rPr>
        <w:sectPr>
          <w:pgSz w:w="11910" w:h="16840"/>
          <w:pgMar w:top="1260" w:bottom="280" w:left="800" w:right="700"/>
        </w:sectPr>
      </w:pPr>
    </w:p>
    <w:p>
      <w:pPr>
        <w:pStyle w:val="BodyText"/>
        <w:spacing w:line="228" w:lineRule="auto" w:before="55"/>
        <w:ind w:right="224"/>
        <w:jc w:val="both"/>
      </w:pPr>
      <w:r>
        <w:rPr>
          <w:spacing w:val="-2"/>
        </w:rPr>
        <w:t>的 80％，具体的贷款金额以投保人与本公司约定为准。每次贷款期限最长不超</w:t>
      </w:r>
      <w:r>
        <w:rPr>
          <w:w w:val="95"/>
        </w:rPr>
        <w:t>过</w:t>
      </w:r>
      <w:r>
        <w:rPr>
          <w:spacing w:val="40"/>
        </w:rPr>
        <w:t> </w:t>
      </w:r>
      <w:r>
        <w:rPr>
          <w:w w:val="95"/>
        </w:rPr>
        <w:t>6</w:t>
      </w:r>
      <w:r>
        <w:rPr>
          <w:spacing w:val="34"/>
        </w:rPr>
        <w:t> </w:t>
      </w:r>
      <w:r>
        <w:rPr>
          <w:w w:val="95"/>
        </w:rPr>
        <w:t>个月，贷款利率</w:t>
      </w:r>
      <w:r>
        <w:rPr>
          <w:w w:val="95"/>
        </w:rPr>
        <w:t>按</w:t>
      </w:r>
      <w:r>
        <w:rPr>
          <w:w w:val="95"/>
        </w:rPr>
        <w:t>投</w:t>
      </w:r>
      <w:r>
        <w:rPr>
          <w:w w:val="95"/>
        </w:rPr>
        <w:t>保</w:t>
      </w:r>
      <w:r>
        <w:rPr>
          <w:w w:val="95"/>
        </w:rPr>
        <w:t>人</w:t>
      </w:r>
      <w:r>
        <w:rPr>
          <w:w w:val="95"/>
        </w:rPr>
        <w:t>申请贷款当时本公司</w:t>
      </w:r>
      <w:r>
        <w:rPr>
          <w:w w:val="95"/>
        </w:rPr>
        <w:t>确</w:t>
      </w:r>
      <w:r>
        <w:rPr>
          <w:w w:val="95"/>
        </w:rPr>
        <w:t>定</w:t>
      </w:r>
      <w:r>
        <w:rPr>
          <w:w w:val="95"/>
        </w:rPr>
        <w:t>的</w:t>
      </w:r>
      <w:r>
        <w:rPr>
          <w:rFonts w:ascii="Microsoft JhengHei" w:eastAsia="Microsoft JhengHei"/>
          <w:b/>
          <w:w w:val="95"/>
        </w:rPr>
        <w:t>约</w:t>
      </w:r>
      <w:r>
        <w:rPr>
          <w:rFonts w:ascii="Microsoft JhengHei" w:eastAsia="Microsoft JhengHei"/>
          <w:b/>
          <w:w w:val="95"/>
        </w:rPr>
        <w:t>定</w:t>
      </w:r>
      <w:r>
        <w:rPr>
          <w:rFonts w:ascii="Microsoft JhengHei" w:eastAsia="Microsoft JhengHei"/>
          <w:b/>
          <w:w w:val="95"/>
        </w:rPr>
        <w:t>利</w:t>
      </w:r>
      <w:r>
        <w:rPr>
          <w:rFonts w:ascii="Microsoft JhengHei" w:eastAsia="Microsoft JhengHei"/>
          <w:b/>
          <w:w w:val="95"/>
        </w:rPr>
        <w:t>率</w:t>
      </w:r>
      <w:r>
        <w:rPr>
          <w:w w:val="95"/>
        </w:rPr>
        <w:t>（见</w:t>
      </w:r>
      <w:r>
        <w:rPr>
          <w:spacing w:val="40"/>
        </w:rPr>
        <w:t> </w:t>
      </w:r>
      <w:r>
        <w:rPr>
          <w:w w:val="95"/>
        </w:rPr>
        <w:t>9.23）</w:t>
      </w:r>
      <w:r>
        <w:rPr>
          <w:spacing w:val="-2"/>
        </w:rPr>
        <w:t>执行。贷款本金及利息全部清偿后才能申请下一笔贷款。</w:t>
      </w:r>
    </w:p>
    <w:p>
      <w:pPr>
        <w:pStyle w:val="BodyText"/>
        <w:spacing w:before="12"/>
        <w:ind w:left="0"/>
        <w:rPr>
          <w:sz w:val="15"/>
        </w:rPr>
      </w:pPr>
    </w:p>
    <w:p>
      <w:pPr>
        <w:pStyle w:val="BodyText"/>
        <w:spacing w:line="278" w:lineRule="auto"/>
        <w:ind w:right="229"/>
        <w:jc w:val="both"/>
      </w:pPr>
      <w:r>
        <w:rPr>
          <w:spacing w:val="-2"/>
        </w:rPr>
        <w:t>保单贷款期满时，若投保人未能全部偿还贷款本金及利息，且本合同的现金价</w:t>
      </w:r>
      <w:r>
        <w:rPr>
          <w:spacing w:val="-2"/>
        </w:rPr>
        <w:t>值净额大于零，未偿还的贷款本金及利息将构成新一期的保单贷款，贷款期限</w:t>
      </w:r>
      <w:r>
        <w:rPr>
          <w:spacing w:val="-11"/>
        </w:rPr>
        <w:t>为 </w:t>
      </w:r>
      <w:r>
        <w:rPr/>
        <w:t>6</w:t>
      </w:r>
      <w:r>
        <w:rPr>
          <w:spacing w:val="-5"/>
        </w:rPr>
        <w:t> 个月，并按本公司最近一次确定的约定利率计息。</w:t>
      </w:r>
    </w:p>
    <w:p>
      <w:pPr>
        <w:pStyle w:val="BodyText"/>
        <w:spacing w:before="170"/>
      </w:pPr>
      <w:r>
        <w:rPr>
          <w:spacing w:val="-3"/>
        </w:rPr>
        <w:t>当本合同的现金价值净额小于或等于零时，本合同的效力中止。</w:t>
      </w:r>
    </w:p>
    <w:p>
      <w:pPr>
        <w:pStyle w:val="BodyText"/>
        <w:spacing w:before="12"/>
        <w:ind w:left="0"/>
        <w:rPr>
          <w:sz w:val="17"/>
        </w:rPr>
      </w:pPr>
    </w:p>
    <w:p>
      <w:pPr>
        <w:pStyle w:val="BodyText"/>
        <w:spacing w:line="307" w:lineRule="auto"/>
        <w:ind w:right="227"/>
      </w:pPr>
      <w:r>
        <w:rPr>
          <w:spacing w:val="-2"/>
        </w:rPr>
        <w:t>保单贷款须填写保单贷款申请书及其他相关文件，并凭保险合同、交费凭证及</w:t>
      </w:r>
      <w:r>
        <w:rPr>
          <w:spacing w:val="-2"/>
        </w:rPr>
        <w:t>投保人的有效法定身份证明办理。</w:t>
      </w:r>
    </w:p>
    <w:p>
      <w:pPr>
        <w:pStyle w:val="ListParagraph"/>
        <w:numPr>
          <w:ilvl w:val="1"/>
          <w:numId w:val="3"/>
        </w:numPr>
        <w:tabs>
          <w:tab w:pos="1173" w:val="left" w:leader="none"/>
          <w:tab w:pos="1174" w:val="left" w:leader="none"/>
          <w:tab w:pos="2959" w:val="left" w:leader="none"/>
        </w:tabs>
        <w:spacing w:line="216" w:lineRule="auto" w:before="128" w:after="0"/>
        <w:ind w:left="2959" w:right="116" w:hanging="2740"/>
        <w:jc w:val="left"/>
        <w:rPr>
          <w:sz w:val="21"/>
        </w:rPr>
      </w:pPr>
      <w:r>
        <w:rPr>
          <w:rFonts w:ascii="Microsoft JhengHei" w:eastAsia="Microsoft JhengHei"/>
          <w:b/>
          <w:spacing w:val="-4"/>
          <w:position w:val="-2"/>
          <w:sz w:val="21"/>
        </w:rPr>
        <w:t>减</w:t>
      </w:r>
      <w:r>
        <w:rPr>
          <w:rFonts w:ascii="Microsoft JhengHei" w:eastAsia="Microsoft JhengHei"/>
          <w:b/>
          <w:spacing w:val="-4"/>
          <w:position w:val="-2"/>
          <w:sz w:val="21"/>
        </w:rPr>
        <w:t>额</w:t>
      </w:r>
      <w:r>
        <w:rPr>
          <w:rFonts w:ascii="Microsoft JhengHei" w:eastAsia="Microsoft JhengHei"/>
          <w:b/>
          <w:spacing w:val="-4"/>
          <w:position w:val="-2"/>
          <w:sz w:val="21"/>
        </w:rPr>
        <w:t>交</w:t>
      </w:r>
      <w:r>
        <w:rPr>
          <w:rFonts w:ascii="Microsoft JhengHei" w:eastAsia="Microsoft JhengHei"/>
          <w:b/>
          <w:spacing w:val="-4"/>
          <w:position w:val="-2"/>
          <w:sz w:val="21"/>
        </w:rPr>
        <w:t>清</w:t>
      </w:r>
      <w:r>
        <w:rPr>
          <w:rFonts w:ascii="Microsoft JhengHei" w:eastAsia="Microsoft JhengHei"/>
          <w:b/>
          <w:position w:val="-2"/>
          <w:sz w:val="21"/>
        </w:rPr>
        <w:tab/>
      </w:r>
      <w:r>
        <w:rPr>
          <w:spacing w:val="-2"/>
          <w:sz w:val="21"/>
        </w:rPr>
        <w:t>在</w:t>
      </w:r>
      <w:r>
        <w:rPr>
          <w:spacing w:val="-2"/>
          <w:sz w:val="21"/>
        </w:rPr>
        <w:t>本</w:t>
      </w:r>
      <w:r>
        <w:rPr>
          <w:spacing w:val="-2"/>
          <w:sz w:val="21"/>
        </w:rPr>
        <w:t>合同有效期且在交费</w:t>
      </w:r>
      <w:r>
        <w:rPr>
          <w:spacing w:val="-2"/>
          <w:sz w:val="21"/>
        </w:rPr>
        <w:t>期</w:t>
      </w:r>
      <w:r>
        <w:rPr>
          <w:spacing w:val="-2"/>
          <w:sz w:val="21"/>
        </w:rPr>
        <w:t>内</w:t>
      </w:r>
      <w:r>
        <w:rPr>
          <w:spacing w:val="-2"/>
          <w:sz w:val="21"/>
        </w:rPr>
        <w:t>，自本合同生效日或</w:t>
      </w:r>
      <w:r>
        <w:rPr>
          <w:spacing w:val="-2"/>
          <w:sz w:val="21"/>
        </w:rPr>
        <w:t>最</w:t>
      </w:r>
      <w:r>
        <w:rPr>
          <w:spacing w:val="-2"/>
          <w:sz w:val="21"/>
        </w:rPr>
        <w:t>后</w:t>
      </w:r>
      <w:r>
        <w:rPr>
          <w:spacing w:val="-2"/>
          <w:sz w:val="21"/>
        </w:rPr>
        <w:t>复效日（以较迟者为</w:t>
      </w:r>
      <w:r>
        <w:rPr>
          <w:spacing w:val="-2"/>
          <w:sz w:val="21"/>
        </w:rPr>
        <w:t>准</w:t>
      </w:r>
      <w:r>
        <w:rPr>
          <w:spacing w:val="-2"/>
          <w:sz w:val="21"/>
        </w:rPr>
        <w:t>）</w:t>
      </w:r>
      <w:r>
        <w:rPr>
          <w:sz w:val="21"/>
        </w:rPr>
        <w:t>起 2 年后，若本合同具有</w:t>
      </w:r>
      <w:r>
        <w:rPr>
          <w:sz w:val="21"/>
        </w:rPr>
        <w:t>现金价值，投保人可以申</w:t>
      </w:r>
      <w:r>
        <w:rPr>
          <w:sz w:val="21"/>
        </w:rPr>
        <w:t>请将本合同变更为减额交清</w:t>
      </w:r>
    </w:p>
    <w:p>
      <w:pPr>
        <w:pStyle w:val="BodyText"/>
        <w:spacing w:line="278" w:lineRule="auto" w:before="49"/>
        <w:ind w:right="229"/>
        <w:jc w:val="both"/>
      </w:pPr>
      <w:r>
        <w:rPr>
          <w:spacing w:val="-2"/>
        </w:rPr>
        <w:t>保险合同。本公司以书面通知申请日所具有的本合同的现金价值扣除尚未偿还</w:t>
      </w:r>
      <w:r>
        <w:rPr>
          <w:spacing w:val="-2"/>
        </w:rPr>
        <w:t>各项欠款之后的净额，一次性支付相应降低基本保险金额后的全部保险费，降</w:t>
      </w:r>
      <w:r>
        <w:rPr>
          <w:spacing w:val="-2"/>
        </w:rPr>
        <w:t>低后的基本保险金额不得低于申请时本公司规定的最低金额。</w:t>
      </w:r>
    </w:p>
    <w:p>
      <w:pPr>
        <w:pStyle w:val="BodyText"/>
        <w:spacing w:line="307" w:lineRule="auto" w:before="170"/>
        <w:ind w:right="227"/>
        <w:jc w:val="both"/>
      </w:pPr>
      <w:r>
        <w:rPr>
          <w:spacing w:val="-2"/>
        </w:rPr>
        <w:t>减额交清后，投保人不必再交付保险费，本合同的基本保险金额会相应调整。</w:t>
      </w:r>
      <w:r>
        <w:rPr>
          <w:spacing w:val="-2"/>
        </w:rPr>
        <w:t>本公司将按减额交清后的基本保险金额承担保险责任，当年度保险金额按减额</w:t>
      </w:r>
      <w:r>
        <w:rPr>
          <w:spacing w:val="-2"/>
        </w:rPr>
        <w:t>交清后的基本保险金额计算。</w:t>
      </w:r>
    </w:p>
    <w:p>
      <w:pPr>
        <w:pStyle w:val="ListParagraph"/>
        <w:numPr>
          <w:ilvl w:val="1"/>
          <w:numId w:val="3"/>
        </w:numPr>
        <w:tabs>
          <w:tab w:pos="1173" w:val="left" w:leader="none"/>
          <w:tab w:pos="1174" w:val="left" w:leader="none"/>
        </w:tabs>
        <w:spacing w:line="240" w:lineRule="auto" w:before="103" w:after="0"/>
        <w:ind w:left="1173" w:right="0" w:hanging="954"/>
        <w:jc w:val="both"/>
        <w:rPr>
          <w:sz w:val="21"/>
        </w:rPr>
      </w:pPr>
      <w:r>
        <w:rPr>
          <w:rFonts w:ascii="Microsoft JhengHei" w:eastAsia="Microsoft JhengHei"/>
          <w:b/>
          <w:spacing w:val="26"/>
          <w:position w:val="-2"/>
          <w:sz w:val="21"/>
        </w:rPr>
        <w:t>保险金额的变更 </w:t>
      </w:r>
      <w:r>
        <w:rPr>
          <w:spacing w:val="-1"/>
          <w:sz w:val="21"/>
        </w:rPr>
        <w:t>在本合同有效期内，投保人可以申请增加或减少本合同的基本保险金额。</w:t>
      </w:r>
    </w:p>
    <w:p>
      <w:pPr>
        <w:pStyle w:val="BodyText"/>
        <w:spacing w:line="307" w:lineRule="auto" w:before="136"/>
        <w:ind w:right="116"/>
      </w:pPr>
      <w:r>
        <w:rPr>
          <w:w w:val="100"/>
        </w:rPr>
        <w:t>（一</w:t>
      </w:r>
      <w:r>
        <w:rPr>
          <w:spacing w:val="-17"/>
          <w:w w:val="100"/>
        </w:rPr>
        <w:t>）</w:t>
      </w:r>
      <w:r>
        <w:rPr>
          <w:spacing w:val="-5"/>
          <w:w w:val="100"/>
        </w:rPr>
        <w:t>增加基本保险金额：本合同有效且在本合同生效满</w:t>
      </w:r>
      <w:r>
        <w:rPr>
          <w:spacing w:val="-52"/>
        </w:rPr>
        <w:t> </w:t>
      </w:r>
      <w:r>
        <w:rPr>
          <w:w w:val="100"/>
        </w:rPr>
        <w:t>2</w:t>
      </w:r>
      <w:r>
        <w:rPr>
          <w:spacing w:val="-53"/>
        </w:rPr>
        <w:t> </w:t>
      </w:r>
      <w:r>
        <w:rPr>
          <w:spacing w:val="-3"/>
          <w:w w:val="100"/>
        </w:rPr>
        <w:t>年后的交费期间内，</w:t>
      </w:r>
      <w:r>
        <w:rPr>
          <w:w w:val="100"/>
        </w:rPr>
        <w:t>投保人可于保险费应交日前的一段时间内书面申请加保。投保人和被保险人需要符合申请增加基本保险金额时本公司规定的条件，经本公司同意后增加基本</w:t>
      </w:r>
      <w:r>
        <w:rPr>
          <w:spacing w:val="-1"/>
          <w:w w:val="100"/>
        </w:rPr>
        <w:t>保险金额。</w:t>
      </w:r>
    </w:p>
    <w:p>
      <w:pPr>
        <w:pStyle w:val="BodyText"/>
        <w:spacing w:line="307" w:lineRule="auto" w:before="152"/>
        <w:ind w:right="224"/>
        <w:jc w:val="both"/>
      </w:pPr>
      <w:r>
        <w:rPr>
          <w:spacing w:val="-2"/>
        </w:rPr>
        <w:t>每次增加的基本保险金额以投保时的基本保险金额的 </w:t>
      </w:r>
      <w:r>
        <w:rPr/>
        <w:t>20%</w:t>
      </w:r>
      <w:r>
        <w:rPr>
          <w:spacing w:val="-5"/>
        </w:rPr>
        <w:t> 为限，并且累计增加</w:t>
      </w:r>
      <w:r>
        <w:rPr>
          <w:spacing w:val="-2"/>
        </w:rPr>
        <w:t>的基本保险金额不得超过投保时的基本保险金额的 100%。同一保险单年度内仅</w:t>
      </w:r>
      <w:r>
        <w:rPr>
          <w:spacing w:val="-2"/>
        </w:rPr>
        <w:t>可以增加基本保险金额一次。</w:t>
      </w:r>
    </w:p>
    <w:p>
      <w:pPr>
        <w:pStyle w:val="BodyText"/>
        <w:spacing w:line="307" w:lineRule="auto" w:before="152"/>
        <w:ind w:right="229"/>
        <w:jc w:val="both"/>
      </w:pPr>
      <w:r>
        <w:rPr>
          <w:spacing w:val="-2"/>
        </w:rPr>
        <w:t>基本保险金额增加部分的保险费仍按被保险人原始投保时的年龄计算，但须按</w:t>
      </w:r>
      <w:r>
        <w:rPr>
          <w:spacing w:val="-2"/>
        </w:rPr>
        <w:t>照申请时本公司的规定补交有关费用。本公司将按增加后的基本保险金额承担</w:t>
      </w:r>
      <w:r>
        <w:rPr>
          <w:spacing w:val="-2"/>
        </w:rPr>
        <w:t>保险责任。</w:t>
      </w:r>
    </w:p>
    <w:p>
      <w:pPr>
        <w:pStyle w:val="BodyText"/>
        <w:spacing w:line="307" w:lineRule="auto" w:before="152"/>
        <w:ind w:right="227"/>
        <w:jc w:val="both"/>
      </w:pPr>
      <w:r>
        <w:rPr>
          <w:spacing w:val="-2"/>
        </w:rPr>
        <w:t>（二）减少基本保险金额：本合同有效期内，投保人可以书面申请减少基本保</w:t>
      </w:r>
      <w:r>
        <w:rPr>
          <w:spacing w:val="-2"/>
        </w:rPr>
        <w:t>险金额，但减少后的基本保险金额不得低于申请时本公司规定的最低金额，基本保险金额减少的部分视为退保，本公司将向投保人给付基本保险金额减少部分对应的现金价值。本合同自基本保险金额减少后的各期保险费按减少后的基本保险金额计算，本公司将按减少后的基本保险金额承担保险责任。若投保人</w:t>
      </w:r>
      <w:r>
        <w:rPr>
          <w:spacing w:val="-2"/>
        </w:rPr>
        <w:t>申请减少基本保险金额，当年度保险金额须同比例减少。</w:t>
      </w:r>
    </w:p>
    <w:p>
      <w:pPr>
        <w:pStyle w:val="ListParagraph"/>
        <w:numPr>
          <w:ilvl w:val="1"/>
          <w:numId w:val="3"/>
        </w:numPr>
        <w:tabs>
          <w:tab w:pos="1173" w:val="left" w:leader="none"/>
          <w:tab w:pos="1174" w:val="left" w:leader="none"/>
          <w:tab w:pos="2959" w:val="left" w:leader="none"/>
        </w:tabs>
        <w:spacing w:line="244" w:lineRule="auto" w:before="102" w:after="0"/>
        <w:ind w:left="2959" w:right="227" w:hanging="2740"/>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自</w:t>
      </w:r>
      <w:r>
        <w:rPr>
          <w:rFonts w:ascii="Microsoft JhengHei" w:eastAsia="Microsoft JhengHei"/>
          <w:b/>
          <w:spacing w:val="-2"/>
          <w:sz w:val="21"/>
        </w:rPr>
        <w:t>动</w:t>
      </w:r>
      <w:r>
        <w:rPr>
          <w:rFonts w:ascii="Microsoft JhengHei" w:eastAsia="Microsoft JhengHei"/>
          <w:b/>
          <w:spacing w:val="-2"/>
          <w:sz w:val="21"/>
        </w:rPr>
        <w:t>垫</w:t>
      </w:r>
      <w:r>
        <w:rPr>
          <w:rFonts w:ascii="Microsoft JhengHei" w:eastAsia="Microsoft JhengHei"/>
          <w:b/>
          <w:spacing w:val="-2"/>
          <w:sz w:val="21"/>
        </w:rPr>
        <w:t>交</w:t>
      </w:r>
      <w:r>
        <w:rPr>
          <w:rFonts w:ascii="Microsoft JhengHei" w:eastAsia="Microsoft JhengHei"/>
          <w:b/>
          <w:sz w:val="21"/>
        </w:rPr>
        <w:tab/>
      </w:r>
      <w:r>
        <w:rPr>
          <w:spacing w:val="-2"/>
          <w:position w:val="2"/>
          <w:sz w:val="21"/>
        </w:rPr>
        <w:t>投保人在投保时选择</w:t>
      </w:r>
      <w:r>
        <w:rPr>
          <w:spacing w:val="-2"/>
          <w:position w:val="2"/>
          <w:sz w:val="21"/>
        </w:rPr>
        <w:t>保</w:t>
      </w:r>
      <w:r>
        <w:rPr>
          <w:spacing w:val="-2"/>
          <w:position w:val="2"/>
          <w:sz w:val="21"/>
        </w:rPr>
        <w:t>险</w:t>
      </w:r>
      <w:r>
        <w:rPr>
          <w:spacing w:val="-2"/>
          <w:position w:val="2"/>
          <w:sz w:val="21"/>
        </w:rPr>
        <w:t>费自动垫交方式的，若分期交付的保险费超过</w:t>
      </w:r>
      <w:r>
        <w:rPr>
          <w:spacing w:val="-2"/>
          <w:position w:val="2"/>
          <w:sz w:val="21"/>
        </w:rPr>
        <w:t>宽</w:t>
      </w:r>
      <w:r>
        <w:rPr>
          <w:spacing w:val="-2"/>
          <w:position w:val="2"/>
          <w:sz w:val="21"/>
        </w:rPr>
        <w:t>限</w:t>
      </w:r>
      <w:r>
        <w:rPr>
          <w:spacing w:val="-2"/>
          <w:position w:val="2"/>
          <w:sz w:val="21"/>
        </w:rPr>
        <w:t>期</w:t>
      </w:r>
      <w:r>
        <w:rPr>
          <w:spacing w:val="-2"/>
          <w:sz w:val="21"/>
        </w:rPr>
        <w:t>仍未交付，且此时本</w:t>
      </w:r>
      <w:r>
        <w:rPr>
          <w:spacing w:val="-2"/>
          <w:sz w:val="21"/>
        </w:rPr>
        <w:t>合</w:t>
      </w:r>
      <w:r>
        <w:rPr>
          <w:spacing w:val="-2"/>
          <w:sz w:val="21"/>
        </w:rPr>
        <w:t>同</w:t>
      </w:r>
      <w:r>
        <w:rPr>
          <w:spacing w:val="-2"/>
          <w:sz w:val="21"/>
        </w:rPr>
        <w:t>现金价值扣除未还款</w:t>
      </w:r>
      <w:r>
        <w:rPr>
          <w:spacing w:val="-2"/>
          <w:sz w:val="21"/>
        </w:rPr>
        <w:t>项</w:t>
      </w:r>
      <w:r>
        <w:rPr>
          <w:spacing w:val="-2"/>
          <w:sz w:val="21"/>
        </w:rPr>
        <w:t>及</w:t>
      </w:r>
      <w:r>
        <w:rPr>
          <w:spacing w:val="-2"/>
          <w:sz w:val="21"/>
        </w:rPr>
        <w:t>其利息后的余额足以</w:t>
      </w:r>
      <w:r>
        <w:rPr>
          <w:spacing w:val="-2"/>
          <w:sz w:val="21"/>
        </w:rPr>
        <w:t>垫</w:t>
      </w:r>
      <w:r>
        <w:rPr>
          <w:spacing w:val="-2"/>
          <w:sz w:val="21"/>
        </w:rPr>
        <w:t>交</w:t>
      </w:r>
      <w:r>
        <w:rPr>
          <w:spacing w:val="-2"/>
          <w:sz w:val="21"/>
        </w:rPr>
        <w:t>当</w:t>
      </w:r>
    </w:p>
    <w:p>
      <w:pPr>
        <w:pStyle w:val="BodyText"/>
        <w:spacing w:before="71"/>
      </w:pPr>
      <w:r>
        <w:rPr>
          <w:spacing w:val="-1"/>
        </w:rPr>
        <w:t>期保险费，本公司将以本合同现金价值扣除未还款项及其利息后的余额自动垫</w:t>
      </w:r>
    </w:p>
    <w:p>
      <w:pPr>
        <w:spacing w:after="0"/>
        <w:sectPr>
          <w:pgSz w:w="11910" w:h="16840"/>
          <w:pgMar w:top="1260" w:bottom="280" w:left="800" w:right="700"/>
        </w:sectPr>
      </w:pPr>
    </w:p>
    <w:p>
      <w:pPr>
        <w:pStyle w:val="BodyText"/>
        <w:spacing w:before="59"/>
      </w:pPr>
      <w:r>
        <w:rPr>
          <w:spacing w:val="-3"/>
        </w:rPr>
        <w:t>交应交付的保险费，本合同继续有效。</w:t>
      </w:r>
    </w:p>
    <w:p>
      <w:pPr>
        <w:pStyle w:val="BodyText"/>
        <w:ind w:left="0"/>
        <w:rPr>
          <w:sz w:val="18"/>
        </w:rPr>
      </w:pPr>
    </w:p>
    <w:p>
      <w:pPr>
        <w:pStyle w:val="BodyText"/>
        <w:spacing w:line="307" w:lineRule="auto"/>
        <w:ind w:right="116"/>
      </w:pPr>
      <w:r>
        <w:rPr>
          <w:w w:val="100"/>
        </w:rPr>
        <w:t>垫交的保险费视作投保人的保单贷款。若本合同现金价值扣除未还款项及其利</w:t>
      </w:r>
      <w:r>
        <w:rPr>
          <w:spacing w:val="-5"/>
          <w:w w:val="100"/>
        </w:rPr>
        <w:t>息后的余额不足以垫交当期保险费，本合同效力自宽限期满的次日零时起中止。</w:t>
      </w:r>
    </w:p>
    <w:p>
      <w:pPr>
        <w:pStyle w:val="BodyText"/>
        <w:spacing w:line="307" w:lineRule="auto" w:before="154"/>
        <w:ind w:right="232"/>
      </w:pPr>
      <w:r>
        <w:rPr>
          <w:spacing w:val="-2"/>
        </w:rPr>
        <w:t>在保险费自动垫交期间，若发生合同解除或保险金给付，本公司将在投保人偿</w:t>
      </w:r>
      <w:r>
        <w:rPr>
          <w:spacing w:val="-2"/>
        </w:rPr>
        <w:t>清垫交的保险费及利息后给付本合同的现金价值或保险金。</w:t>
      </w:r>
    </w:p>
    <w:p>
      <w:pPr>
        <w:pStyle w:val="Heading1"/>
        <w:numPr>
          <w:ilvl w:val="0"/>
          <w:numId w:val="3"/>
        </w:numPr>
        <w:tabs>
          <w:tab w:pos="1173" w:val="left" w:leader="none"/>
          <w:tab w:pos="1174" w:val="left" w:leader="none"/>
        </w:tabs>
        <w:spacing w:line="240" w:lineRule="auto" w:before="121" w:after="0"/>
        <w:ind w:left="1173" w:right="0" w:hanging="954"/>
        <w:jc w:val="left"/>
      </w:pPr>
      <w:r>
        <w:rPr/>
        <w:drawing>
          <wp:anchor distT="0" distB="0" distL="0" distR="0" allowOverlap="1" layoutInCell="1" locked="0" behindDoc="0" simplePos="0" relativeHeight="8">
            <wp:simplePos x="0" y="0"/>
            <wp:positionH relativeFrom="page">
              <wp:posOffset>579119</wp:posOffset>
            </wp:positionH>
            <wp:positionV relativeFrom="paragraph">
              <wp:posOffset>471312</wp:posOffset>
            </wp:positionV>
            <wp:extent cx="6459854" cy="6096"/>
            <wp:effectExtent l="0" t="0" r="0" b="0"/>
            <wp:wrapTopAndBottom/>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459854" cy="6096"/>
                    </a:xfrm>
                    <a:prstGeom prst="rect">
                      <a:avLst/>
                    </a:prstGeom>
                  </pic:spPr>
                </pic:pic>
              </a:graphicData>
            </a:graphic>
          </wp:anchor>
        </w:drawing>
      </w:r>
      <w:r>
        <w:rPr>
          <w:spacing w:val="-1"/>
        </w:rPr>
        <w:t>合同效力的中止及恢复</w:t>
      </w:r>
    </w:p>
    <w:p>
      <w:pPr>
        <w:pStyle w:val="ListParagraph"/>
        <w:numPr>
          <w:ilvl w:val="1"/>
          <w:numId w:val="3"/>
        </w:numPr>
        <w:tabs>
          <w:tab w:pos="1173" w:val="left" w:leader="none"/>
          <w:tab w:pos="1174" w:val="left" w:leader="none"/>
          <w:tab w:pos="2959" w:val="left" w:leader="none"/>
        </w:tabs>
        <w:spacing w:line="240" w:lineRule="auto" w:before="136" w:after="0"/>
        <w:ind w:left="1173" w:right="0" w:hanging="954"/>
        <w:jc w:val="both"/>
        <w:rPr>
          <w:sz w:val="21"/>
        </w:rPr>
      </w:pPr>
      <w:r>
        <w:rPr>
          <w:rFonts w:ascii="Microsoft JhengHei" w:eastAsia="Microsoft JhengHei"/>
          <w:b/>
          <w:sz w:val="21"/>
        </w:rPr>
        <w:t>效力中</w:t>
      </w:r>
      <w:r>
        <w:rPr>
          <w:rFonts w:ascii="Microsoft JhengHei" w:eastAsia="Microsoft JhengHei"/>
          <w:b/>
          <w:spacing w:val="-10"/>
          <w:sz w:val="21"/>
        </w:rPr>
        <w:t>止</w:t>
      </w:r>
      <w:r>
        <w:rPr>
          <w:rFonts w:ascii="Microsoft JhengHei" w:eastAsia="Microsoft JhengHei"/>
          <w:b/>
          <w:sz w:val="21"/>
        </w:rPr>
        <w:tab/>
      </w:r>
      <w:r>
        <w:rPr>
          <w:spacing w:val="-2"/>
          <w:position w:val="2"/>
          <w:sz w:val="21"/>
        </w:rPr>
        <w:t>在</w:t>
      </w:r>
      <w:r>
        <w:rPr>
          <w:spacing w:val="-2"/>
          <w:position w:val="2"/>
          <w:sz w:val="21"/>
        </w:rPr>
        <w:t>本</w:t>
      </w:r>
      <w:r>
        <w:rPr>
          <w:spacing w:val="-2"/>
          <w:position w:val="2"/>
          <w:sz w:val="21"/>
        </w:rPr>
        <w:t>合同效力中止期间，</w:t>
      </w:r>
      <w:r>
        <w:rPr>
          <w:spacing w:val="-2"/>
          <w:position w:val="2"/>
          <w:sz w:val="21"/>
        </w:rPr>
        <w:t>本</w:t>
      </w:r>
      <w:r>
        <w:rPr>
          <w:spacing w:val="-2"/>
          <w:position w:val="2"/>
          <w:sz w:val="21"/>
        </w:rPr>
        <w:t>公</w:t>
      </w:r>
      <w:r>
        <w:rPr>
          <w:spacing w:val="-2"/>
          <w:position w:val="2"/>
          <w:sz w:val="21"/>
        </w:rPr>
        <w:t>司不承担保险责</w:t>
      </w:r>
      <w:r>
        <w:rPr>
          <w:spacing w:val="-2"/>
          <w:position w:val="2"/>
          <w:sz w:val="21"/>
        </w:rPr>
        <w:t>任</w:t>
      </w:r>
      <w:r>
        <w:rPr>
          <w:spacing w:val="-10"/>
          <w:position w:val="2"/>
          <w:sz w:val="21"/>
        </w:rPr>
        <w:t>。</w:t>
      </w:r>
    </w:p>
    <w:p>
      <w:pPr>
        <w:pStyle w:val="ListParagraph"/>
        <w:numPr>
          <w:ilvl w:val="1"/>
          <w:numId w:val="3"/>
        </w:numPr>
        <w:tabs>
          <w:tab w:pos="1173" w:val="left" w:leader="none"/>
          <w:tab w:pos="1174" w:val="left" w:leader="none"/>
          <w:tab w:pos="2959" w:val="left" w:leader="none"/>
        </w:tabs>
        <w:spacing w:line="240" w:lineRule="auto" w:before="149" w:after="0"/>
        <w:ind w:left="1173" w:right="0" w:hanging="954"/>
        <w:jc w:val="both"/>
        <w:rPr>
          <w:sz w:val="21"/>
        </w:rPr>
      </w:pPr>
      <w:r>
        <w:rPr>
          <w:rFonts w:ascii="Microsoft JhengHei" w:eastAsia="Microsoft JhengHei"/>
          <w:b/>
          <w:sz w:val="21"/>
        </w:rPr>
        <w:t>效力恢</w:t>
      </w:r>
      <w:r>
        <w:rPr>
          <w:rFonts w:ascii="Microsoft JhengHei" w:eastAsia="Microsoft JhengHei"/>
          <w:b/>
          <w:spacing w:val="-10"/>
          <w:sz w:val="21"/>
        </w:rPr>
        <w:t>复</w:t>
      </w:r>
      <w:r>
        <w:rPr>
          <w:rFonts w:ascii="Microsoft JhengHei" w:eastAsia="Microsoft JhengHei"/>
          <w:b/>
          <w:sz w:val="21"/>
        </w:rPr>
        <w:tab/>
      </w:r>
      <w:r>
        <w:rPr>
          <w:spacing w:val="-2"/>
          <w:position w:val="2"/>
          <w:sz w:val="21"/>
        </w:rPr>
        <w:t>本</w:t>
      </w:r>
      <w:r>
        <w:rPr>
          <w:spacing w:val="-2"/>
          <w:position w:val="2"/>
          <w:sz w:val="21"/>
        </w:rPr>
        <w:t>合</w:t>
      </w:r>
      <w:r>
        <w:rPr>
          <w:spacing w:val="-2"/>
          <w:position w:val="2"/>
          <w:sz w:val="21"/>
        </w:rPr>
        <w:t>同效力中止后</w:t>
      </w:r>
      <w:r>
        <w:rPr>
          <w:spacing w:val="-44"/>
          <w:position w:val="2"/>
          <w:sz w:val="21"/>
        </w:rPr>
        <w:t> </w:t>
      </w:r>
      <w:r>
        <w:rPr>
          <w:spacing w:val="-2"/>
          <w:position w:val="2"/>
          <w:sz w:val="21"/>
        </w:rPr>
        <w:t>2</w:t>
      </w:r>
      <w:r>
        <w:rPr>
          <w:spacing w:val="-45"/>
          <w:position w:val="2"/>
          <w:sz w:val="21"/>
        </w:rPr>
        <w:t> </w:t>
      </w:r>
      <w:r>
        <w:rPr>
          <w:spacing w:val="-2"/>
          <w:position w:val="2"/>
          <w:sz w:val="21"/>
        </w:rPr>
        <w:t>年内，</w:t>
      </w:r>
      <w:r>
        <w:rPr>
          <w:spacing w:val="-2"/>
          <w:position w:val="2"/>
          <w:sz w:val="21"/>
        </w:rPr>
        <w:t>投</w:t>
      </w:r>
      <w:r>
        <w:rPr>
          <w:spacing w:val="-2"/>
          <w:position w:val="2"/>
          <w:sz w:val="21"/>
        </w:rPr>
        <w:t>保人可以申请恢复合同效力</w:t>
      </w:r>
      <w:r>
        <w:rPr>
          <w:spacing w:val="-10"/>
          <w:position w:val="2"/>
          <w:sz w:val="21"/>
        </w:rPr>
        <w:t>。</w:t>
      </w:r>
    </w:p>
    <w:p>
      <w:pPr>
        <w:pStyle w:val="BodyText"/>
        <w:spacing w:line="307" w:lineRule="auto" w:before="166"/>
        <w:ind w:right="232"/>
        <w:jc w:val="both"/>
      </w:pPr>
      <w:r>
        <w:rPr>
          <w:spacing w:val="-2"/>
        </w:rPr>
        <w:t>因欠交保险费导致本合同效力中止的，经本公司与投保人协商并达成协议，在</w:t>
      </w:r>
      <w:r>
        <w:rPr>
          <w:spacing w:val="-2"/>
        </w:rPr>
        <w:t>投保人补交保险费及累积利息次日零时起，本合同效力恢复。累积利息按本合</w:t>
      </w:r>
      <w:r>
        <w:rPr>
          <w:spacing w:val="-2"/>
        </w:rPr>
        <w:t>同约定利率计算，但本合同另有约定的除外。</w:t>
      </w:r>
    </w:p>
    <w:p>
      <w:pPr>
        <w:pStyle w:val="BodyText"/>
        <w:spacing w:line="307" w:lineRule="auto" w:before="152"/>
        <w:ind w:right="232"/>
        <w:jc w:val="both"/>
      </w:pPr>
      <w:r>
        <w:rPr>
          <w:spacing w:val="-2"/>
        </w:rPr>
        <w:t>因保单贷款导致本合同效力中止的，经本公司与投保人双方协商并达成协议，</w:t>
      </w:r>
      <w:r>
        <w:rPr>
          <w:spacing w:val="-2"/>
        </w:rPr>
        <w:t>自投保人偿还保单贷款、累积利息及其他未还款项的次日零时起，本合同效力</w:t>
      </w:r>
      <w:r>
        <w:rPr>
          <w:spacing w:val="-2"/>
        </w:rPr>
        <w:t>恢复。累积利息按本合同约定利率计算，但本合同另有约定的除外。</w:t>
      </w:r>
    </w:p>
    <w:p>
      <w:pPr>
        <w:pStyle w:val="BodyText"/>
        <w:spacing w:line="307" w:lineRule="auto" w:before="153"/>
        <w:ind w:right="224"/>
        <w:jc w:val="both"/>
      </w:pPr>
      <w:r>
        <w:rPr>
          <w:spacing w:val="-3"/>
        </w:rPr>
        <w:t>自本合同效力中止之日起满 </w:t>
      </w:r>
      <w:r>
        <w:rPr/>
        <w:t>2</w:t>
      </w:r>
      <w:r>
        <w:rPr>
          <w:spacing w:val="-5"/>
        </w:rPr>
        <w:t> 年双方未达成协议的，本公司有权解除本合同，</w:t>
      </w:r>
      <w:r>
        <w:rPr>
          <w:spacing w:val="-2"/>
        </w:rPr>
        <w:t>并向投保人退还本合同宽限期开始前一日的现金价值。</w:t>
      </w:r>
    </w:p>
    <w:p>
      <w:pPr>
        <w:pStyle w:val="Heading1"/>
        <w:numPr>
          <w:ilvl w:val="0"/>
          <w:numId w:val="3"/>
        </w:numPr>
        <w:tabs>
          <w:tab w:pos="1173" w:val="left" w:leader="none"/>
          <w:tab w:pos="1174" w:val="left" w:leader="none"/>
        </w:tabs>
        <w:spacing w:line="240" w:lineRule="auto" w:before="122" w:after="0"/>
        <w:ind w:left="1173" w:right="0" w:hanging="954"/>
        <w:jc w:val="left"/>
      </w:pPr>
      <w:r>
        <w:rPr/>
        <w:drawing>
          <wp:anchor distT="0" distB="0" distL="0" distR="0" allowOverlap="1" layoutInCell="1" locked="0" behindDoc="0" simplePos="0" relativeHeight="9">
            <wp:simplePos x="0" y="0"/>
            <wp:positionH relativeFrom="page">
              <wp:posOffset>579119</wp:posOffset>
            </wp:positionH>
            <wp:positionV relativeFrom="paragraph">
              <wp:posOffset>471947</wp:posOffset>
            </wp:positionV>
            <wp:extent cx="6459720" cy="6096"/>
            <wp:effectExtent l="0" t="0" r="0" b="0"/>
            <wp:wrapTopAndBottom/>
            <wp:docPr id="17" name="image3.png"/>
            <wp:cNvGraphicFramePr>
              <a:graphicFrameLocks noChangeAspect="1"/>
            </wp:cNvGraphicFramePr>
            <a:graphic>
              <a:graphicData uri="http://schemas.openxmlformats.org/drawingml/2006/picture">
                <pic:pic>
                  <pic:nvPicPr>
                    <pic:cNvPr id="18" name="image3.png"/>
                    <pic:cNvPicPr/>
                  </pic:nvPicPr>
                  <pic:blipFill>
                    <a:blip r:embed="rId7" cstate="print"/>
                    <a:stretch>
                      <a:fillRect/>
                    </a:stretch>
                  </pic:blipFill>
                  <pic:spPr>
                    <a:xfrm>
                      <a:off x="0" y="0"/>
                      <a:ext cx="6459720" cy="6096"/>
                    </a:xfrm>
                    <a:prstGeom prst="rect">
                      <a:avLst/>
                    </a:prstGeom>
                  </pic:spPr>
                </pic:pic>
              </a:graphicData>
            </a:graphic>
          </wp:anchor>
        </w:drawing>
      </w:r>
      <w:r>
        <w:rPr>
          <w:spacing w:val="-2"/>
        </w:rPr>
        <w:t>如何解除保险合同</w:t>
      </w:r>
    </w:p>
    <w:p>
      <w:pPr>
        <w:pStyle w:val="ListParagraph"/>
        <w:numPr>
          <w:ilvl w:val="1"/>
          <w:numId w:val="3"/>
        </w:numPr>
        <w:tabs>
          <w:tab w:pos="1173" w:val="left" w:leader="none"/>
          <w:tab w:pos="1174" w:val="left" w:leader="none"/>
          <w:tab w:pos="2959" w:val="left" w:leader="none"/>
        </w:tabs>
        <w:spacing w:line="244" w:lineRule="auto" w:before="136" w:after="0"/>
        <w:ind w:left="2959" w:right="232" w:hanging="2740"/>
        <w:jc w:val="left"/>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解</w:t>
      </w:r>
      <w:r>
        <w:rPr>
          <w:rFonts w:ascii="Microsoft JhengHei" w:eastAsia="Microsoft JhengHei"/>
          <w:b/>
          <w:spacing w:val="-4"/>
          <w:sz w:val="21"/>
        </w:rPr>
        <w:t>除</w:t>
      </w:r>
      <w:r>
        <w:rPr>
          <w:rFonts w:ascii="Microsoft JhengHei" w:eastAsia="Microsoft JhengHei"/>
          <w:b/>
          <w:sz w:val="21"/>
        </w:rPr>
        <w:tab/>
      </w:r>
      <w:r>
        <w:rPr>
          <w:spacing w:val="-2"/>
          <w:position w:val="2"/>
          <w:sz w:val="21"/>
        </w:rPr>
        <w:t>投保人在犹豫期后，</w:t>
      </w:r>
      <w:r>
        <w:rPr>
          <w:spacing w:val="-2"/>
          <w:position w:val="2"/>
          <w:sz w:val="21"/>
        </w:rPr>
        <w:t>可</w:t>
      </w:r>
      <w:r>
        <w:rPr>
          <w:spacing w:val="-2"/>
          <w:position w:val="2"/>
          <w:sz w:val="21"/>
        </w:rPr>
        <w:t>以</w:t>
      </w:r>
      <w:r>
        <w:rPr>
          <w:spacing w:val="-2"/>
          <w:position w:val="2"/>
          <w:sz w:val="21"/>
        </w:rPr>
        <w:t>书面通知要求解除本</w:t>
      </w:r>
      <w:r>
        <w:rPr>
          <w:spacing w:val="-2"/>
          <w:position w:val="2"/>
          <w:sz w:val="21"/>
        </w:rPr>
        <w:t>合</w:t>
      </w:r>
      <w:r>
        <w:rPr>
          <w:spacing w:val="-2"/>
          <w:position w:val="2"/>
          <w:sz w:val="21"/>
        </w:rPr>
        <w:t>同</w:t>
      </w:r>
      <w:r>
        <w:rPr>
          <w:spacing w:val="-2"/>
          <w:position w:val="2"/>
          <w:sz w:val="21"/>
        </w:rPr>
        <w:t>，并向本公司提供下</w:t>
      </w:r>
      <w:r>
        <w:rPr>
          <w:spacing w:val="-2"/>
          <w:position w:val="2"/>
          <w:sz w:val="21"/>
        </w:rPr>
        <w:t>列</w:t>
      </w:r>
      <w:r>
        <w:rPr>
          <w:spacing w:val="-2"/>
          <w:position w:val="2"/>
          <w:sz w:val="21"/>
        </w:rPr>
        <w:t>证</w:t>
      </w:r>
      <w:r>
        <w:rPr>
          <w:spacing w:val="-2"/>
          <w:position w:val="2"/>
          <w:sz w:val="21"/>
        </w:rPr>
        <w:t>明</w:t>
      </w:r>
      <w:r>
        <w:rPr>
          <w:spacing w:val="-4"/>
          <w:sz w:val="21"/>
        </w:rPr>
        <w:t>和</w:t>
      </w:r>
      <w:r>
        <w:rPr>
          <w:spacing w:val="-4"/>
          <w:sz w:val="21"/>
        </w:rPr>
        <w:t>资</w:t>
      </w:r>
      <w:r>
        <w:rPr>
          <w:spacing w:val="-4"/>
          <w:sz w:val="21"/>
        </w:rPr>
        <w:t>料：</w:t>
      </w:r>
    </w:p>
    <w:p>
      <w:pPr>
        <w:pStyle w:val="ListParagraph"/>
        <w:numPr>
          <w:ilvl w:val="0"/>
          <w:numId w:val="14"/>
        </w:numPr>
        <w:tabs>
          <w:tab w:pos="3526" w:val="left" w:leader="none"/>
        </w:tabs>
        <w:spacing w:line="240" w:lineRule="auto" w:before="70" w:after="0"/>
        <w:ind w:left="3525" w:right="0" w:hanging="567"/>
        <w:jc w:val="left"/>
        <w:rPr>
          <w:sz w:val="21"/>
        </w:rPr>
      </w:pPr>
      <w:r>
        <w:rPr>
          <w:spacing w:val="-4"/>
          <w:sz w:val="21"/>
        </w:rPr>
        <w:t>保险合同；</w:t>
      </w:r>
    </w:p>
    <w:p>
      <w:pPr>
        <w:pStyle w:val="ListParagraph"/>
        <w:numPr>
          <w:ilvl w:val="0"/>
          <w:numId w:val="14"/>
        </w:numPr>
        <w:tabs>
          <w:tab w:pos="3526" w:val="left" w:leader="none"/>
        </w:tabs>
        <w:spacing w:line="240" w:lineRule="auto" w:before="74" w:after="0"/>
        <w:ind w:left="3525" w:right="0" w:hanging="567"/>
        <w:jc w:val="left"/>
        <w:rPr>
          <w:sz w:val="21"/>
        </w:rPr>
      </w:pPr>
      <w:r>
        <w:rPr>
          <w:spacing w:val="-4"/>
          <w:sz w:val="21"/>
        </w:rPr>
        <w:t>解除合同申请书；</w:t>
      </w:r>
    </w:p>
    <w:p>
      <w:pPr>
        <w:pStyle w:val="ListParagraph"/>
        <w:numPr>
          <w:ilvl w:val="0"/>
          <w:numId w:val="14"/>
        </w:numPr>
        <w:tabs>
          <w:tab w:pos="3526" w:val="left" w:leader="none"/>
        </w:tabs>
        <w:spacing w:line="240" w:lineRule="auto" w:before="74" w:after="0"/>
        <w:ind w:left="3525" w:right="0" w:hanging="567"/>
        <w:jc w:val="left"/>
        <w:rPr>
          <w:sz w:val="21"/>
        </w:rPr>
      </w:pPr>
      <w:r>
        <w:rPr>
          <w:spacing w:val="-3"/>
          <w:sz w:val="21"/>
        </w:rPr>
        <w:t>投保人的有效法定身份证明；</w:t>
      </w:r>
    </w:p>
    <w:p>
      <w:pPr>
        <w:pStyle w:val="ListParagraph"/>
        <w:numPr>
          <w:ilvl w:val="0"/>
          <w:numId w:val="14"/>
        </w:numPr>
        <w:tabs>
          <w:tab w:pos="3526" w:val="left" w:leader="none"/>
        </w:tabs>
        <w:spacing w:line="240" w:lineRule="auto" w:before="60" w:after="0"/>
        <w:ind w:left="3525" w:right="0" w:hanging="567"/>
        <w:jc w:val="left"/>
        <w:rPr>
          <w:sz w:val="21"/>
        </w:rPr>
      </w:pPr>
      <w:r>
        <w:rPr>
          <w:spacing w:val="-3"/>
          <w:sz w:val="21"/>
        </w:rPr>
        <w:t>所能提供的本公司要求的其他证明和资料。</w:t>
      </w:r>
    </w:p>
    <w:p>
      <w:pPr>
        <w:pStyle w:val="BodyText"/>
        <w:spacing w:line="307" w:lineRule="auto" w:before="214"/>
        <w:ind w:right="231"/>
      </w:pPr>
      <w:r>
        <w:rPr>
          <w:spacing w:val="-2"/>
        </w:rPr>
        <w:t>自本公司收到解除合同申请书之日起，本合同终止。本公司在收到上述证明和</w:t>
      </w:r>
      <w:r>
        <w:rPr>
          <w:spacing w:val="-4"/>
        </w:rPr>
        <w:t>资料之日起 </w:t>
      </w:r>
      <w:r>
        <w:rPr/>
        <w:t>30</w:t>
      </w:r>
      <w:r>
        <w:rPr>
          <w:spacing w:val="-5"/>
        </w:rPr>
        <w:t> 日内退还本合同的现金价值。</w:t>
      </w:r>
    </w:p>
    <w:p>
      <w:pPr>
        <w:pStyle w:val="BodyText"/>
        <w:spacing w:before="154"/>
      </w:pPr>
      <w:r>
        <w:rPr>
          <w:spacing w:val="-3"/>
        </w:rPr>
        <w:t>投保人在犹豫期后解除合同会遭受一定的损失。</w:t>
      </w:r>
    </w:p>
    <w:p>
      <w:pPr>
        <w:pStyle w:val="BodyText"/>
        <w:spacing w:before="8"/>
        <w:ind w:left="0"/>
        <w:rPr>
          <w:sz w:val="15"/>
        </w:rPr>
      </w:pPr>
    </w:p>
    <w:p>
      <w:pPr>
        <w:pStyle w:val="Heading1"/>
        <w:numPr>
          <w:ilvl w:val="0"/>
          <w:numId w:val="3"/>
        </w:numPr>
        <w:tabs>
          <w:tab w:pos="1173" w:val="left" w:leader="none"/>
          <w:tab w:pos="1174" w:val="left" w:leader="none"/>
        </w:tabs>
        <w:spacing w:line="240" w:lineRule="auto" w:before="0" w:after="0"/>
        <w:ind w:left="1173" w:right="0" w:hanging="954"/>
        <w:jc w:val="left"/>
      </w:pPr>
      <w:r>
        <w:rPr/>
        <w:drawing>
          <wp:anchor distT="0" distB="0" distL="0" distR="0" allowOverlap="1" layoutInCell="1" locked="0" behindDoc="0" simplePos="0" relativeHeight="10">
            <wp:simplePos x="0" y="0"/>
            <wp:positionH relativeFrom="page">
              <wp:posOffset>579119</wp:posOffset>
            </wp:positionH>
            <wp:positionV relativeFrom="paragraph">
              <wp:posOffset>394478</wp:posOffset>
            </wp:positionV>
            <wp:extent cx="6460124" cy="6095"/>
            <wp:effectExtent l="0" t="0" r="0" b="0"/>
            <wp:wrapTopAndBottom/>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460124" cy="6095"/>
                    </a:xfrm>
                    <a:prstGeom prst="rect">
                      <a:avLst/>
                    </a:prstGeom>
                  </pic:spPr>
                </pic:pic>
              </a:graphicData>
            </a:graphic>
          </wp:anchor>
        </w:drawing>
      </w:r>
      <w:r>
        <w:rPr>
          <w:spacing w:val="-2"/>
        </w:rPr>
        <w:t>其他需要关注的事项</w:t>
      </w:r>
    </w:p>
    <w:p>
      <w:pPr>
        <w:pStyle w:val="BodyText"/>
        <w:spacing w:before="8"/>
        <w:ind w:left="0"/>
        <w:rPr>
          <w:rFonts w:ascii="Microsoft JhengHei"/>
          <w:b/>
          <w:sz w:val="5"/>
        </w:rPr>
      </w:pPr>
    </w:p>
    <w:p>
      <w:pPr>
        <w:spacing w:after="0"/>
        <w:rPr>
          <w:rFonts w:ascii="Microsoft JhengHei"/>
          <w:sz w:val="5"/>
        </w:rPr>
        <w:sectPr>
          <w:pgSz w:w="11910" w:h="16840"/>
          <w:pgMar w:top="1260" w:bottom="280" w:left="800" w:right="700"/>
        </w:sectPr>
      </w:pPr>
    </w:p>
    <w:p>
      <w:pPr>
        <w:pStyle w:val="Heading2"/>
        <w:numPr>
          <w:ilvl w:val="1"/>
          <w:numId w:val="3"/>
        </w:numPr>
        <w:tabs>
          <w:tab w:pos="1173" w:val="left" w:leader="none"/>
          <w:tab w:pos="1174" w:val="left" w:leader="none"/>
        </w:tabs>
        <w:spacing w:line="232" w:lineRule="auto" w:before="42" w:after="0"/>
        <w:ind w:left="1173" w:right="38" w:hanging="954"/>
        <w:jc w:val="left"/>
      </w:pPr>
      <w:r>
        <w:rPr>
          <w:spacing w:val="-2"/>
        </w:rPr>
        <w:t>明确说明与如实</w:t>
      </w:r>
      <w:r>
        <w:rPr>
          <w:spacing w:val="-6"/>
        </w:rPr>
        <w:t>告知</w:t>
      </w:r>
    </w:p>
    <w:p>
      <w:pPr>
        <w:pStyle w:val="BodyText"/>
        <w:spacing w:line="278" w:lineRule="auto" w:before="71"/>
        <w:ind w:left="220" w:right="299"/>
        <w:jc w:val="both"/>
      </w:pPr>
      <w:r>
        <w:rPr/>
        <w:br w:type="column"/>
      </w:r>
      <w:r>
        <w:rPr>
          <w:spacing w:val="-2"/>
        </w:rPr>
        <w:t>订立本合同时，本公司会向投保人明确说明本合同的内容。对本合同中免除本</w:t>
      </w:r>
      <w:r>
        <w:rPr>
          <w:spacing w:val="-2"/>
        </w:rPr>
        <w:t>公司责任的条款，本公司在订立合同时会在投保单、保险单或者其他保险凭证</w:t>
      </w:r>
      <w:r>
        <w:rPr>
          <w:spacing w:val="-2"/>
        </w:rPr>
        <w:t>上作出足以引起投保人注意的提示，并对该条款的内容以书面或者口头形式向</w:t>
      </w:r>
      <w:r>
        <w:rPr>
          <w:spacing w:val="-2"/>
        </w:rPr>
        <w:t>投保人作出明确说明，未作提示或明确说明的，该条款不产生效力。本公司就</w:t>
      </w:r>
      <w:r>
        <w:rPr>
          <w:spacing w:val="-2"/>
        </w:rPr>
        <w:t>投保人和被保险人的有关情况提出询问，投保人应当如实告知。</w:t>
      </w:r>
    </w:p>
    <w:p>
      <w:pPr>
        <w:spacing w:after="0" w:line="278" w:lineRule="auto"/>
        <w:jc w:val="both"/>
        <w:sectPr>
          <w:type w:val="continuous"/>
          <w:pgSz w:w="11910" w:h="16840"/>
          <w:pgMar w:top="620" w:bottom="280" w:left="800" w:right="700"/>
          <w:cols w:num="2" w:equalWidth="0">
            <w:col w:w="2692" w:space="47"/>
            <w:col w:w="7671"/>
          </w:cols>
        </w:sectPr>
      </w:pPr>
    </w:p>
    <w:p>
      <w:pPr>
        <w:pStyle w:val="BodyText"/>
        <w:spacing w:line="278" w:lineRule="auto" w:before="41"/>
        <w:ind w:right="299"/>
      </w:pPr>
      <w:r>
        <w:rPr>
          <w:spacing w:val="-2"/>
        </w:rPr>
        <w:t>投保人故意或者因重大过失未履行前款规定的如实告知义务，足以影响本公司</w:t>
      </w:r>
      <w:r>
        <w:rPr>
          <w:spacing w:val="-2"/>
        </w:rPr>
        <w:t>决定是否同意承保或者提高保险费率的，本公司有权解除本合同。</w:t>
      </w:r>
    </w:p>
    <w:p>
      <w:pPr>
        <w:pStyle w:val="BodyText"/>
        <w:spacing w:before="156"/>
      </w:pPr>
      <w:r>
        <w:rPr>
          <w:spacing w:val="-5"/>
        </w:rPr>
        <w:t>前条规定的合同解除权，自本公司知道有解除事由之日起，超过 </w:t>
      </w:r>
      <w:r>
        <w:rPr>
          <w:spacing w:val="-4"/>
        </w:rPr>
        <w:t>30</w:t>
      </w:r>
      <w:r>
        <w:rPr>
          <w:spacing w:val="-10"/>
        </w:rPr>
        <w:t> 日不行使而</w:t>
      </w:r>
    </w:p>
    <w:p>
      <w:pPr>
        <w:pStyle w:val="BodyText"/>
        <w:spacing w:line="278" w:lineRule="auto" w:before="43"/>
        <w:ind w:right="299"/>
      </w:pPr>
      <w:r>
        <w:rPr>
          <w:spacing w:val="-4"/>
        </w:rPr>
        <w:t>消灭。自本合同成立之日起超过 </w:t>
      </w:r>
      <w:r>
        <w:rPr/>
        <w:t>2</w:t>
      </w:r>
      <w:r>
        <w:rPr>
          <w:spacing w:val="-8"/>
        </w:rPr>
        <w:t> 年的，本公司不得解除本合同；发生保险事</w:t>
      </w:r>
      <w:r>
        <w:rPr>
          <w:spacing w:val="-2"/>
        </w:rPr>
        <w:t>故的，本公司承担给付保险金的责任。</w:t>
      </w:r>
    </w:p>
    <w:p>
      <w:pPr>
        <w:pStyle w:val="BodyText"/>
        <w:spacing w:line="278" w:lineRule="auto" w:before="156"/>
        <w:ind w:right="298"/>
      </w:pPr>
      <w:r>
        <w:rPr>
          <w:spacing w:val="-2"/>
        </w:rPr>
        <w:t>投保人故意不履行如实告知义务的，本公司对于合同解除前发生的保险事故，</w:t>
      </w:r>
      <w:r>
        <w:rPr>
          <w:spacing w:val="-2"/>
        </w:rPr>
        <w:t>不承担给付保险金的责任，并不退还保险费。</w:t>
      </w:r>
    </w:p>
    <w:p>
      <w:pPr>
        <w:pStyle w:val="BodyText"/>
        <w:spacing w:line="278" w:lineRule="auto" w:before="156"/>
        <w:ind w:right="299"/>
        <w:jc w:val="both"/>
      </w:pPr>
      <w:r>
        <w:rPr>
          <w:spacing w:val="-2"/>
        </w:rPr>
        <w:t>投保人因重大过失未履行如实告知义务，对保险事故的发生有严重影响的，本</w:t>
      </w:r>
      <w:r>
        <w:rPr>
          <w:spacing w:val="-2"/>
        </w:rPr>
        <w:t>公司对于合同解除前发生的保险事故，不承担给付保险金的责任，但退还保险</w:t>
      </w:r>
      <w:r>
        <w:rPr>
          <w:spacing w:val="-6"/>
        </w:rPr>
        <w:t>费。</w:t>
      </w:r>
    </w:p>
    <w:p>
      <w:pPr>
        <w:pStyle w:val="BodyText"/>
        <w:spacing w:line="278" w:lineRule="auto" w:before="156"/>
        <w:ind w:right="299"/>
      </w:pPr>
      <w:r>
        <w:rPr>
          <w:spacing w:val="-2"/>
        </w:rPr>
        <w:t>本公司在本合同订立时已经知道投保人未如实告知的情况的，本公司不得解除</w:t>
      </w:r>
      <w:r>
        <w:rPr>
          <w:spacing w:val="-2"/>
        </w:rPr>
        <w:t>本合同；发生保险事故的，本公司承担给付保险金的责任。</w:t>
      </w:r>
    </w:p>
    <w:p>
      <w:pPr>
        <w:spacing w:after="0" w:line="278" w:lineRule="auto"/>
        <w:sectPr>
          <w:pgSz w:w="11910" w:h="16840"/>
          <w:pgMar w:top="1420" w:bottom="280" w:left="800" w:right="700"/>
        </w:sectPr>
      </w:pPr>
    </w:p>
    <w:p>
      <w:pPr>
        <w:pStyle w:val="Heading2"/>
        <w:numPr>
          <w:ilvl w:val="1"/>
          <w:numId w:val="3"/>
        </w:numPr>
        <w:tabs>
          <w:tab w:pos="1173" w:val="left" w:leader="none"/>
          <w:tab w:pos="1174" w:val="left" w:leader="none"/>
        </w:tabs>
        <w:spacing w:line="232" w:lineRule="auto" w:before="128" w:after="0"/>
        <w:ind w:left="1173" w:right="38" w:hanging="954"/>
        <w:jc w:val="left"/>
      </w:pPr>
      <w:r>
        <w:rPr>
          <w:spacing w:val="-2"/>
        </w:rPr>
        <w:t>年龄确定与错误</w:t>
      </w:r>
      <w:r>
        <w:rPr>
          <w:spacing w:val="-6"/>
        </w:rPr>
        <w:t>处理</w:t>
      </w:r>
    </w:p>
    <w:p>
      <w:pPr>
        <w:pStyle w:val="BodyText"/>
        <w:spacing w:line="278" w:lineRule="auto" w:before="158"/>
        <w:ind w:left="220" w:right="232"/>
      </w:pPr>
      <w:r>
        <w:rPr/>
        <w:br w:type="column"/>
      </w:r>
      <w:r>
        <w:rPr>
          <w:spacing w:val="-2"/>
        </w:rPr>
        <w:t>被保险人的投保年龄按周岁计算。投保人应在投保本保险时将被保险人的真实</w:t>
      </w:r>
      <w:r>
        <w:rPr>
          <w:spacing w:val="-2"/>
        </w:rPr>
        <w:t>年龄在投保单上填明，若发生错误，本公司按照下列规定办理：</w:t>
      </w:r>
    </w:p>
    <w:p>
      <w:pPr>
        <w:pStyle w:val="ListParagraph"/>
        <w:numPr>
          <w:ilvl w:val="0"/>
          <w:numId w:val="15"/>
        </w:numPr>
        <w:tabs>
          <w:tab w:pos="749" w:val="left" w:leader="none"/>
        </w:tabs>
        <w:spacing w:line="278" w:lineRule="auto" w:before="156" w:after="0"/>
        <w:ind w:left="220" w:right="224" w:firstLine="0"/>
        <w:jc w:val="left"/>
        <w:rPr>
          <w:sz w:val="21"/>
        </w:rPr>
      </w:pPr>
      <w:r>
        <w:rPr>
          <w:spacing w:val="-4"/>
          <w:w w:val="100"/>
          <w:sz w:val="21"/>
        </w:rPr>
        <w:t>投保人申报的被保险人年龄不真实，并且其真实年龄不符合本合同约定的年龄限制的，本公司有权在知道有解除事由之日起</w:t>
      </w:r>
      <w:r>
        <w:rPr>
          <w:spacing w:val="-55"/>
          <w:sz w:val="21"/>
        </w:rPr>
        <w:t> </w:t>
      </w:r>
      <w:r>
        <w:rPr>
          <w:w w:val="100"/>
          <w:sz w:val="21"/>
        </w:rPr>
        <w:t>30</w:t>
      </w:r>
      <w:r>
        <w:rPr>
          <w:spacing w:val="-53"/>
          <w:sz w:val="21"/>
        </w:rPr>
        <w:t> </w:t>
      </w:r>
      <w:r>
        <w:rPr>
          <w:spacing w:val="-5"/>
          <w:w w:val="100"/>
          <w:sz w:val="21"/>
        </w:rPr>
        <w:t>日内解除本合同，并向</w:t>
      </w:r>
      <w:r>
        <w:rPr>
          <w:w w:val="100"/>
          <w:sz w:val="21"/>
        </w:rPr>
        <w:t>投</w:t>
      </w:r>
    </w:p>
    <w:p>
      <w:pPr>
        <w:pStyle w:val="BodyText"/>
        <w:spacing w:line="269" w:lineRule="exact"/>
        <w:ind w:left="220"/>
      </w:pPr>
      <w:r>
        <w:rPr>
          <w:spacing w:val="-4"/>
        </w:rPr>
        <w:t>保人退还本合同终止时的现金价值，但自本合同成立之日起超过 </w:t>
      </w:r>
      <w:r>
        <w:rPr>
          <w:spacing w:val="-2"/>
        </w:rPr>
        <w:t>2</w:t>
      </w:r>
      <w:r>
        <w:rPr>
          <w:spacing w:val="-11"/>
        </w:rPr>
        <w:t> 年的除外。</w:t>
      </w:r>
    </w:p>
    <w:p>
      <w:pPr>
        <w:pStyle w:val="BodyText"/>
        <w:spacing w:before="6"/>
        <w:ind w:left="0"/>
        <w:rPr>
          <w:sz w:val="15"/>
        </w:rPr>
      </w:pPr>
    </w:p>
    <w:p>
      <w:pPr>
        <w:pStyle w:val="ListParagraph"/>
        <w:numPr>
          <w:ilvl w:val="0"/>
          <w:numId w:val="15"/>
        </w:numPr>
        <w:tabs>
          <w:tab w:pos="749" w:val="left" w:leader="none"/>
        </w:tabs>
        <w:spacing w:line="278" w:lineRule="auto" w:before="1" w:after="0"/>
        <w:ind w:left="220" w:right="224" w:firstLine="0"/>
        <w:jc w:val="left"/>
        <w:rPr>
          <w:sz w:val="21"/>
        </w:rPr>
      </w:pPr>
      <w:r>
        <w:rPr>
          <w:spacing w:val="-4"/>
          <w:w w:val="100"/>
          <w:sz w:val="21"/>
        </w:rPr>
        <w:t>投保人申报的被保险人年龄不真实，致使投保人支付的保险费少于应付</w:t>
      </w:r>
      <w:r>
        <w:rPr>
          <w:spacing w:val="-3"/>
          <w:w w:val="100"/>
          <w:sz w:val="21"/>
        </w:rPr>
        <w:t>保险费的，本公司有权更正并要求投保人补交保险费，或者在给付保险金时按照实付保险费与应付保险费的比例支付。</w:t>
      </w:r>
    </w:p>
    <w:p>
      <w:pPr>
        <w:pStyle w:val="ListParagraph"/>
        <w:numPr>
          <w:ilvl w:val="0"/>
          <w:numId w:val="15"/>
        </w:numPr>
        <w:tabs>
          <w:tab w:pos="749" w:val="left" w:leader="none"/>
        </w:tabs>
        <w:spacing w:line="278" w:lineRule="auto" w:before="156" w:after="0"/>
        <w:ind w:left="220" w:right="224" w:firstLine="0"/>
        <w:jc w:val="left"/>
        <w:rPr>
          <w:sz w:val="21"/>
        </w:rPr>
      </w:pPr>
      <w:r>
        <w:rPr>
          <w:spacing w:val="-4"/>
          <w:w w:val="100"/>
          <w:sz w:val="21"/>
        </w:rPr>
        <w:t>投保人申报的被保险人年龄不真实，致使投保人支付的保险费多于应付</w:t>
      </w:r>
      <w:r>
        <w:rPr>
          <w:spacing w:val="-3"/>
          <w:w w:val="100"/>
          <w:sz w:val="21"/>
        </w:rPr>
        <w:t>保险费的，本公司应将多收的保险费无息退还投保人。</w:t>
      </w:r>
    </w:p>
    <w:p>
      <w:pPr>
        <w:spacing w:after="0" w:line="278" w:lineRule="auto"/>
        <w:jc w:val="left"/>
        <w:rPr>
          <w:sz w:val="21"/>
        </w:rPr>
        <w:sectPr>
          <w:type w:val="continuous"/>
          <w:pgSz w:w="11910" w:h="16840"/>
          <w:pgMar w:top="620" w:bottom="280" w:left="800" w:right="700"/>
          <w:cols w:num="2" w:equalWidth="0">
            <w:col w:w="2692" w:space="47"/>
            <w:col w:w="7671"/>
          </w:cols>
        </w:sectPr>
      </w:pPr>
    </w:p>
    <w:p>
      <w:pPr>
        <w:pStyle w:val="BodyText"/>
        <w:ind w:left="0"/>
        <w:rPr>
          <w:sz w:val="8"/>
        </w:rPr>
      </w:pPr>
    </w:p>
    <w:p>
      <w:pPr>
        <w:pStyle w:val="ListParagraph"/>
        <w:numPr>
          <w:ilvl w:val="1"/>
          <w:numId w:val="3"/>
        </w:numPr>
        <w:tabs>
          <w:tab w:pos="1173" w:val="left" w:leader="none"/>
          <w:tab w:pos="1174" w:val="left" w:leader="none"/>
          <w:tab w:pos="2959" w:val="left" w:leader="none"/>
        </w:tabs>
        <w:spacing w:line="244" w:lineRule="auto" w:before="20" w:after="0"/>
        <w:ind w:left="2959" w:right="227" w:hanging="2740"/>
        <w:jc w:val="left"/>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position w:val="2"/>
          <w:sz w:val="21"/>
        </w:rPr>
        <w:t>本公司在给付各项保</w:t>
      </w:r>
      <w:r>
        <w:rPr>
          <w:spacing w:val="-2"/>
          <w:position w:val="2"/>
          <w:sz w:val="21"/>
        </w:rPr>
        <w:t>险</w:t>
      </w:r>
      <w:r>
        <w:rPr>
          <w:spacing w:val="-2"/>
          <w:position w:val="2"/>
          <w:sz w:val="21"/>
        </w:rPr>
        <w:t>金</w:t>
      </w:r>
      <w:r>
        <w:rPr>
          <w:spacing w:val="-2"/>
          <w:position w:val="2"/>
          <w:sz w:val="21"/>
        </w:rPr>
        <w:t>、退还现金价值或返</w:t>
      </w:r>
      <w:r>
        <w:rPr>
          <w:spacing w:val="-2"/>
          <w:position w:val="2"/>
          <w:sz w:val="21"/>
        </w:rPr>
        <w:t>还</w:t>
      </w:r>
      <w:r>
        <w:rPr>
          <w:spacing w:val="-2"/>
          <w:position w:val="2"/>
          <w:sz w:val="21"/>
        </w:rPr>
        <w:t>保</w:t>
      </w:r>
      <w:r>
        <w:rPr>
          <w:spacing w:val="-2"/>
          <w:position w:val="2"/>
          <w:sz w:val="21"/>
        </w:rPr>
        <w:t>险费时，若投保人有</w:t>
      </w:r>
      <w:r>
        <w:rPr>
          <w:spacing w:val="-2"/>
          <w:position w:val="2"/>
          <w:sz w:val="21"/>
        </w:rPr>
        <w:t>欠</w:t>
      </w:r>
      <w:r>
        <w:rPr>
          <w:spacing w:val="-2"/>
          <w:position w:val="2"/>
          <w:sz w:val="21"/>
        </w:rPr>
        <w:t>交</w:t>
      </w:r>
      <w:r>
        <w:rPr>
          <w:spacing w:val="-2"/>
          <w:position w:val="2"/>
          <w:sz w:val="21"/>
        </w:rPr>
        <w:t>的</w:t>
      </w:r>
      <w:r>
        <w:rPr>
          <w:spacing w:val="-2"/>
          <w:sz w:val="21"/>
        </w:rPr>
        <w:t>保险费或其他未还清</w:t>
      </w:r>
      <w:r>
        <w:rPr>
          <w:spacing w:val="-2"/>
          <w:sz w:val="21"/>
        </w:rPr>
        <w:t>款</w:t>
      </w:r>
      <w:r>
        <w:rPr>
          <w:spacing w:val="-2"/>
          <w:sz w:val="21"/>
        </w:rPr>
        <w:t>项</w:t>
      </w:r>
      <w:r>
        <w:rPr>
          <w:spacing w:val="-2"/>
          <w:sz w:val="21"/>
        </w:rPr>
        <w:t>，本公司会在扣除上</w:t>
      </w:r>
      <w:r>
        <w:rPr>
          <w:spacing w:val="-2"/>
          <w:sz w:val="21"/>
        </w:rPr>
        <w:t>述</w:t>
      </w:r>
      <w:r>
        <w:rPr>
          <w:spacing w:val="-2"/>
          <w:sz w:val="21"/>
        </w:rPr>
        <w:t>欠</w:t>
      </w:r>
      <w:r>
        <w:rPr>
          <w:spacing w:val="-2"/>
          <w:sz w:val="21"/>
        </w:rPr>
        <w:t>款及应付利息后给付。应</w:t>
      </w:r>
      <w:r>
        <w:rPr>
          <w:spacing w:val="-2"/>
          <w:sz w:val="21"/>
        </w:rPr>
        <w:t>付</w:t>
      </w:r>
    </w:p>
    <w:p>
      <w:pPr>
        <w:pStyle w:val="BodyText"/>
        <w:spacing w:before="70"/>
      </w:pPr>
      <w:r>
        <w:rPr>
          <w:spacing w:val="-3"/>
        </w:rPr>
        <w:t>利息按本条款约定利率计算，但本合同另有约定的除外。</w:t>
      </w:r>
    </w:p>
    <w:p>
      <w:pPr>
        <w:pStyle w:val="BodyText"/>
        <w:spacing w:before="3"/>
        <w:ind w:left="0"/>
        <w:rPr>
          <w:sz w:val="14"/>
        </w:rPr>
      </w:pPr>
    </w:p>
    <w:p>
      <w:pPr>
        <w:pStyle w:val="ListParagraph"/>
        <w:numPr>
          <w:ilvl w:val="1"/>
          <w:numId w:val="3"/>
        </w:numPr>
        <w:tabs>
          <w:tab w:pos="1173" w:val="left" w:leader="none"/>
          <w:tab w:pos="1174" w:val="left" w:leader="none"/>
          <w:tab w:pos="2959" w:val="left" w:leader="none"/>
        </w:tabs>
        <w:spacing w:line="244" w:lineRule="auto" w:before="0" w:after="0"/>
        <w:ind w:left="2959" w:right="232" w:hanging="2740"/>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内</w:t>
      </w:r>
      <w:r>
        <w:rPr>
          <w:rFonts w:ascii="Microsoft JhengHei" w:eastAsia="Microsoft JhengHei"/>
          <w:b/>
          <w:spacing w:val="-2"/>
          <w:sz w:val="21"/>
        </w:rPr>
        <w:t>容</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position w:val="2"/>
          <w:sz w:val="21"/>
        </w:rPr>
        <w:t>投保人和本公司可以</w:t>
      </w:r>
      <w:r>
        <w:rPr>
          <w:spacing w:val="-2"/>
          <w:position w:val="2"/>
          <w:sz w:val="21"/>
        </w:rPr>
        <w:t>协</w:t>
      </w:r>
      <w:r>
        <w:rPr>
          <w:spacing w:val="-2"/>
          <w:position w:val="2"/>
          <w:sz w:val="21"/>
        </w:rPr>
        <w:t>商</w:t>
      </w:r>
      <w:r>
        <w:rPr>
          <w:spacing w:val="-2"/>
          <w:position w:val="2"/>
          <w:sz w:val="21"/>
        </w:rPr>
        <w:t>变更本合同的内容。</w:t>
      </w:r>
      <w:r>
        <w:rPr>
          <w:spacing w:val="-2"/>
          <w:position w:val="2"/>
          <w:sz w:val="21"/>
        </w:rPr>
        <w:t>变</w:t>
      </w:r>
      <w:r>
        <w:rPr>
          <w:spacing w:val="-2"/>
          <w:position w:val="2"/>
          <w:sz w:val="21"/>
        </w:rPr>
        <w:t>更</w:t>
      </w:r>
      <w:r>
        <w:rPr>
          <w:spacing w:val="-2"/>
          <w:position w:val="2"/>
          <w:sz w:val="21"/>
        </w:rPr>
        <w:t>本合同的，应当由本</w:t>
      </w:r>
      <w:r>
        <w:rPr>
          <w:spacing w:val="-2"/>
          <w:position w:val="2"/>
          <w:sz w:val="21"/>
        </w:rPr>
        <w:t>公</w:t>
      </w:r>
      <w:r>
        <w:rPr>
          <w:spacing w:val="-2"/>
          <w:position w:val="2"/>
          <w:sz w:val="21"/>
        </w:rPr>
        <w:t>司</w:t>
      </w:r>
      <w:r>
        <w:rPr>
          <w:spacing w:val="-2"/>
          <w:position w:val="2"/>
          <w:sz w:val="21"/>
        </w:rPr>
        <w:t>在</w:t>
      </w:r>
      <w:r>
        <w:rPr>
          <w:spacing w:val="-2"/>
          <w:sz w:val="21"/>
        </w:rPr>
        <w:t>保险单或其他保险凭</w:t>
      </w:r>
      <w:r>
        <w:rPr>
          <w:spacing w:val="-2"/>
          <w:sz w:val="21"/>
        </w:rPr>
        <w:t>证</w:t>
      </w:r>
      <w:r>
        <w:rPr>
          <w:spacing w:val="-2"/>
          <w:sz w:val="21"/>
        </w:rPr>
        <w:t>上</w:t>
      </w:r>
      <w:r>
        <w:rPr>
          <w:spacing w:val="-2"/>
          <w:sz w:val="21"/>
        </w:rPr>
        <w:t>批注或附贴批单，或</w:t>
      </w:r>
      <w:r>
        <w:rPr>
          <w:spacing w:val="-2"/>
          <w:sz w:val="21"/>
        </w:rPr>
        <w:t>由</w:t>
      </w:r>
      <w:r>
        <w:rPr>
          <w:spacing w:val="-2"/>
          <w:sz w:val="21"/>
        </w:rPr>
        <w:t>投</w:t>
      </w:r>
      <w:r>
        <w:rPr>
          <w:spacing w:val="-2"/>
          <w:sz w:val="21"/>
        </w:rPr>
        <w:t>保人与本公司订立书</w:t>
      </w:r>
      <w:r>
        <w:rPr>
          <w:spacing w:val="-2"/>
          <w:sz w:val="21"/>
        </w:rPr>
        <w:t>面</w:t>
      </w:r>
      <w:r>
        <w:rPr>
          <w:spacing w:val="-2"/>
          <w:sz w:val="21"/>
        </w:rPr>
        <w:t>的</w:t>
      </w:r>
      <w:r>
        <w:rPr>
          <w:spacing w:val="-2"/>
          <w:sz w:val="21"/>
        </w:rPr>
        <w:t>变</w:t>
      </w:r>
    </w:p>
    <w:p>
      <w:pPr>
        <w:pStyle w:val="BodyText"/>
        <w:spacing w:before="71"/>
      </w:pPr>
      <w:r>
        <w:rPr>
          <w:spacing w:val="-4"/>
        </w:rPr>
        <w:t>更协议。</w:t>
      </w:r>
    </w:p>
    <w:p>
      <w:pPr>
        <w:pStyle w:val="BodyText"/>
        <w:spacing w:before="10"/>
        <w:ind w:left="0"/>
        <w:rPr>
          <w:sz w:val="16"/>
        </w:rPr>
      </w:pPr>
    </w:p>
    <w:p>
      <w:pPr>
        <w:pStyle w:val="BodyText"/>
        <w:spacing w:before="1"/>
      </w:pPr>
      <w:r>
        <w:rPr>
          <w:spacing w:val="-3"/>
        </w:rPr>
        <w:t>若被保险人身故，则本公司不接受本合同内容的任何变更申请。</w:t>
      </w:r>
    </w:p>
    <w:p>
      <w:pPr>
        <w:pStyle w:val="ListParagraph"/>
        <w:numPr>
          <w:ilvl w:val="1"/>
          <w:numId w:val="3"/>
        </w:numPr>
        <w:tabs>
          <w:tab w:pos="1173" w:val="left" w:leader="none"/>
          <w:tab w:pos="1174" w:val="left" w:leader="none"/>
          <w:tab w:pos="2959" w:val="left" w:leader="none"/>
        </w:tabs>
        <w:spacing w:line="244" w:lineRule="auto" w:before="163" w:after="0"/>
        <w:ind w:left="2959" w:right="227" w:hanging="2740"/>
        <w:jc w:val="left"/>
        <w:rPr>
          <w:sz w:val="21"/>
        </w:rPr>
      </w:pPr>
      <w:r>
        <w:rPr>
          <w:rFonts w:ascii="Microsoft JhengHei" w:eastAsia="Microsoft JhengHei"/>
          <w:b/>
          <w:spacing w:val="-2"/>
          <w:sz w:val="21"/>
        </w:rPr>
        <w:t>联</w:t>
      </w:r>
      <w:r>
        <w:rPr>
          <w:rFonts w:ascii="Microsoft JhengHei" w:eastAsia="Microsoft JhengHei"/>
          <w:b/>
          <w:spacing w:val="-2"/>
          <w:sz w:val="21"/>
        </w:rPr>
        <w:t>系</w:t>
      </w:r>
      <w:r>
        <w:rPr>
          <w:rFonts w:ascii="Microsoft JhengHei" w:eastAsia="Microsoft JhengHei"/>
          <w:b/>
          <w:spacing w:val="-2"/>
          <w:sz w:val="21"/>
        </w:rPr>
        <w:t>方</w:t>
      </w:r>
      <w:r>
        <w:rPr>
          <w:rFonts w:ascii="Microsoft JhengHei" w:eastAsia="Microsoft JhengHei"/>
          <w:b/>
          <w:spacing w:val="-2"/>
          <w:sz w:val="21"/>
        </w:rPr>
        <w:t>式</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position w:val="2"/>
          <w:sz w:val="21"/>
        </w:rPr>
        <w:t>投保人住所、通讯地</w:t>
      </w:r>
      <w:r>
        <w:rPr>
          <w:spacing w:val="-2"/>
          <w:position w:val="2"/>
          <w:sz w:val="21"/>
        </w:rPr>
        <w:t>址</w:t>
      </w:r>
      <w:r>
        <w:rPr>
          <w:spacing w:val="-2"/>
          <w:position w:val="2"/>
          <w:sz w:val="21"/>
        </w:rPr>
        <w:t>或</w:t>
      </w:r>
      <w:r>
        <w:rPr>
          <w:spacing w:val="-2"/>
          <w:position w:val="2"/>
          <w:sz w:val="21"/>
        </w:rPr>
        <w:t>者电话等联系方式变</w:t>
      </w:r>
      <w:r>
        <w:rPr>
          <w:spacing w:val="-2"/>
          <w:position w:val="2"/>
          <w:sz w:val="21"/>
        </w:rPr>
        <w:t>更</w:t>
      </w:r>
      <w:r>
        <w:rPr>
          <w:spacing w:val="-2"/>
          <w:position w:val="2"/>
          <w:sz w:val="21"/>
        </w:rPr>
        <w:t>时</w:t>
      </w:r>
      <w:r>
        <w:rPr>
          <w:spacing w:val="-2"/>
          <w:position w:val="2"/>
          <w:sz w:val="21"/>
        </w:rPr>
        <w:t>，应及时以书面形式</w:t>
      </w:r>
      <w:r>
        <w:rPr>
          <w:spacing w:val="-2"/>
          <w:position w:val="2"/>
          <w:sz w:val="21"/>
        </w:rPr>
        <w:t>或</w:t>
      </w:r>
      <w:r>
        <w:rPr>
          <w:spacing w:val="-2"/>
          <w:position w:val="2"/>
          <w:sz w:val="21"/>
        </w:rPr>
        <w:t>者</w:t>
      </w:r>
      <w:r>
        <w:rPr>
          <w:spacing w:val="-2"/>
          <w:position w:val="2"/>
          <w:sz w:val="21"/>
        </w:rPr>
        <w:t>双</w:t>
      </w:r>
      <w:r>
        <w:rPr>
          <w:spacing w:val="-2"/>
          <w:sz w:val="21"/>
        </w:rPr>
        <w:t>方认可的其他形式通</w:t>
      </w:r>
      <w:r>
        <w:rPr>
          <w:spacing w:val="-2"/>
          <w:sz w:val="21"/>
        </w:rPr>
        <w:t>知</w:t>
      </w:r>
      <w:r>
        <w:rPr>
          <w:spacing w:val="-2"/>
          <w:sz w:val="21"/>
        </w:rPr>
        <w:t>本</w:t>
      </w:r>
      <w:r>
        <w:rPr>
          <w:spacing w:val="-2"/>
          <w:sz w:val="21"/>
        </w:rPr>
        <w:t>公司。投保人未以书</w:t>
      </w:r>
      <w:r>
        <w:rPr>
          <w:spacing w:val="-2"/>
          <w:sz w:val="21"/>
        </w:rPr>
        <w:t>面</w:t>
      </w:r>
      <w:r>
        <w:rPr>
          <w:spacing w:val="-2"/>
          <w:sz w:val="21"/>
        </w:rPr>
        <w:t>形</w:t>
      </w:r>
      <w:r>
        <w:rPr>
          <w:spacing w:val="-2"/>
          <w:sz w:val="21"/>
        </w:rPr>
        <w:t>式或者双方认可的其</w:t>
      </w:r>
      <w:r>
        <w:rPr>
          <w:spacing w:val="-2"/>
          <w:sz w:val="21"/>
        </w:rPr>
        <w:t>他</w:t>
      </w:r>
      <w:r>
        <w:rPr>
          <w:spacing w:val="-2"/>
          <w:sz w:val="21"/>
        </w:rPr>
        <w:t>形</w:t>
      </w:r>
      <w:r>
        <w:rPr>
          <w:spacing w:val="-2"/>
          <w:sz w:val="21"/>
        </w:rPr>
        <w:t>式</w:t>
      </w:r>
    </w:p>
    <w:p>
      <w:pPr>
        <w:pStyle w:val="BodyText"/>
        <w:spacing w:line="307" w:lineRule="auto" w:before="71"/>
        <w:ind w:right="229"/>
      </w:pPr>
      <w:r>
        <w:rPr>
          <w:spacing w:val="-2"/>
        </w:rPr>
        <w:t>通知的，本公司将按本合同载明的最后住所或者通讯地址等联系方式发送有关</w:t>
      </w:r>
      <w:r>
        <w:rPr>
          <w:spacing w:val="-2"/>
        </w:rPr>
        <w:t>通知，并视为已送达给投保人。</w:t>
      </w:r>
    </w:p>
    <w:p>
      <w:pPr>
        <w:pStyle w:val="ListParagraph"/>
        <w:numPr>
          <w:ilvl w:val="1"/>
          <w:numId w:val="3"/>
        </w:numPr>
        <w:tabs>
          <w:tab w:pos="1173" w:val="left" w:leader="none"/>
          <w:tab w:pos="1174" w:val="left" w:leader="none"/>
          <w:tab w:pos="2959" w:val="left" w:leader="none"/>
        </w:tabs>
        <w:spacing w:line="240" w:lineRule="auto" w:before="106" w:after="0"/>
        <w:ind w:left="1173" w:right="0" w:hanging="954"/>
        <w:jc w:val="left"/>
        <w:rPr>
          <w:sz w:val="21"/>
        </w:rPr>
      </w:pPr>
      <w:r>
        <w:rPr>
          <w:rFonts w:ascii="Microsoft JhengHei" w:eastAsia="Microsoft JhengHei"/>
          <w:b/>
          <w:sz w:val="21"/>
        </w:rPr>
        <w:t>争议处</w:t>
      </w:r>
      <w:r>
        <w:rPr>
          <w:rFonts w:ascii="Microsoft JhengHei" w:eastAsia="Microsoft JhengHei"/>
          <w:b/>
          <w:spacing w:val="-10"/>
          <w:sz w:val="21"/>
        </w:rPr>
        <w:t>理</w:t>
      </w:r>
      <w:r>
        <w:rPr>
          <w:rFonts w:ascii="Microsoft JhengHei" w:eastAsia="Microsoft JhengHei"/>
          <w:b/>
          <w:sz w:val="21"/>
        </w:rPr>
        <w:tab/>
      </w:r>
      <w:r>
        <w:rPr>
          <w:spacing w:val="-2"/>
          <w:position w:val="2"/>
          <w:sz w:val="21"/>
        </w:rPr>
        <w:t>本</w:t>
      </w:r>
      <w:r>
        <w:rPr>
          <w:spacing w:val="-2"/>
          <w:position w:val="2"/>
          <w:sz w:val="21"/>
        </w:rPr>
        <w:t>合</w:t>
      </w:r>
      <w:r>
        <w:rPr>
          <w:spacing w:val="-2"/>
          <w:position w:val="2"/>
          <w:sz w:val="21"/>
        </w:rPr>
        <w:t>同争议的解决方式，</w:t>
      </w:r>
      <w:r>
        <w:rPr>
          <w:spacing w:val="-2"/>
          <w:position w:val="2"/>
          <w:sz w:val="21"/>
        </w:rPr>
        <w:t>由</w:t>
      </w:r>
      <w:r>
        <w:rPr>
          <w:spacing w:val="-2"/>
          <w:position w:val="2"/>
          <w:sz w:val="21"/>
        </w:rPr>
        <w:t>当</w:t>
      </w:r>
      <w:r>
        <w:rPr>
          <w:spacing w:val="-2"/>
          <w:position w:val="2"/>
          <w:sz w:val="21"/>
        </w:rPr>
        <w:t>事人在合同中约定从</w:t>
      </w:r>
      <w:r>
        <w:rPr>
          <w:spacing w:val="-2"/>
          <w:position w:val="2"/>
          <w:sz w:val="21"/>
        </w:rPr>
        <w:t>下</w:t>
      </w:r>
      <w:r>
        <w:rPr>
          <w:spacing w:val="-2"/>
          <w:position w:val="2"/>
          <w:sz w:val="21"/>
        </w:rPr>
        <w:t>列</w:t>
      </w:r>
      <w:r>
        <w:rPr>
          <w:spacing w:val="-2"/>
          <w:position w:val="2"/>
          <w:sz w:val="21"/>
        </w:rPr>
        <w:t>两种方式中选择一种</w:t>
      </w:r>
      <w:r>
        <w:rPr>
          <w:spacing w:val="-10"/>
          <w:position w:val="2"/>
          <w:sz w:val="21"/>
        </w:rPr>
        <w:t>：</w:t>
      </w:r>
    </w:p>
    <w:p>
      <w:pPr>
        <w:pStyle w:val="ListParagraph"/>
        <w:numPr>
          <w:ilvl w:val="0"/>
          <w:numId w:val="16"/>
        </w:numPr>
        <w:tabs>
          <w:tab w:pos="3526" w:val="left" w:leader="none"/>
        </w:tabs>
        <w:spacing w:line="307" w:lineRule="auto" w:before="9" w:after="0"/>
        <w:ind w:left="3525" w:right="224" w:hanging="567"/>
        <w:jc w:val="left"/>
        <w:rPr>
          <w:sz w:val="21"/>
        </w:rPr>
      </w:pPr>
      <w:r>
        <w:rPr>
          <w:spacing w:val="-4"/>
          <w:sz w:val="21"/>
        </w:rPr>
        <w:t>因履行本合同发生的争议，由当事人协商解决，协商不成的，提交双方共</w:t>
      </w:r>
      <w:r>
        <w:rPr>
          <w:spacing w:val="-2"/>
          <w:sz w:val="21"/>
        </w:rPr>
        <w:t>同选定的仲裁委员会，按其当时有效的仲裁规则仲裁解决；</w:t>
      </w:r>
    </w:p>
    <w:p>
      <w:pPr>
        <w:pStyle w:val="ListParagraph"/>
        <w:numPr>
          <w:ilvl w:val="0"/>
          <w:numId w:val="16"/>
        </w:numPr>
        <w:tabs>
          <w:tab w:pos="3526" w:val="left" w:leader="none"/>
        </w:tabs>
        <w:spacing w:line="267" w:lineRule="exact" w:before="0" w:after="0"/>
        <w:ind w:left="3525" w:right="0" w:hanging="567"/>
        <w:jc w:val="left"/>
        <w:rPr>
          <w:sz w:val="21"/>
        </w:rPr>
      </w:pPr>
      <w:r>
        <w:rPr>
          <w:spacing w:val="-5"/>
          <w:sz w:val="21"/>
        </w:rPr>
        <w:t>因履行本合同发生的争议，由当事人协商解决，协商不成的，依法向有管</w:t>
      </w:r>
    </w:p>
    <w:p>
      <w:pPr>
        <w:spacing w:after="0" w:line="267" w:lineRule="exact"/>
        <w:jc w:val="left"/>
        <w:rPr>
          <w:sz w:val="21"/>
        </w:rPr>
        <w:sectPr>
          <w:type w:val="continuous"/>
          <w:pgSz w:w="11910" w:h="16840"/>
          <w:pgMar w:top="620" w:bottom="280" w:left="800" w:right="70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3"/>
        <w:gridCol w:w="1845"/>
        <w:gridCol w:w="7585"/>
      </w:tblGrid>
      <w:tr>
        <w:trPr>
          <w:trHeight w:val="398" w:hRule="atLeast"/>
        </w:trPr>
        <w:tc>
          <w:tcPr>
            <w:tcW w:w="2588" w:type="dxa"/>
            <w:gridSpan w:val="2"/>
          </w:tcPr>
          <w:p>
            <w:pPr>
              <w:pStyle w:val="TableParagraph"/>
              <w:rPr>
                <w:rFonts w:ascii="Times New Roman"/>
                <w:sz w:val="20"/>
              </w:rPr>
            </w:pPr>
          </w:p>
        </w:tc>
        <w:tc>
          <w:tcPr>
            <w:tcW w:w="7585" w:type="dxa"/>
          </w:tcPr>
          <w:p>
            <w:pPr>
              <w:pStyle w:val="TableParagraph"/>
              <w:spacing w:line="241" w:lineRule="exact"/>
              <w:ind w:left="825"/>
              <w:rPr>
                <w:sz w:val="21"/>
              </w:rPr>
            </w:pPr>
            <w:r>
              <w:rPr>
                <w:spacing w:val="-3"/>
                <w:sz w:val="21"/>
              </w:rPr>
              <w:t>辖权的人民法院提起诉讼。</w:t>
            </w:r>
          </w:p>
        </w:tc>
      </w:tr>
      <w:tr>
        <w:trPr>
          <w:trHeight w:val="661" w:hRule="atLeast"/>
        </w:trPr>
        <w:tc>
          <w:tcPr>
            <w:tcW w:w="743" w:type="dxa"/>
            <w:tcBorders>
              <w:bottom w:val="single" w:sz="4" w:space="0" w:color="000000"/>
            </w:tcBorders>
          </w:tcPr>
          <w:p>
            <w:pPr>
              <w:pStyle w:val="TableParagraph"/>
              <w:spacing w:before="36"/>
              <w:ind w:left="107"/>
              <w:rPr>
                <w:rFonts w:ascii="Microsoft JhengHei"/>
                <w:b/>
                <w:sz w:val="32"/>
              </w:rPr>
            </w:pPr>
            <w:r>
              <w:rPr>
                <w:rFonts w:ascii="Microsoft JhengHei"/>
                <w:b/>
                <w:w w:val="83"/>
                <w:sz w:val="32"/>
              </w:rPr>
              <w:t>9</w:t>
            </w:r>
          </w:p>
        </w:tc>
        <w:tc>
          <w:tcPr>
            <w:tcW w:w="1845" w:type="dxa"/>
            <w:tcBorders>
              <w:bottom w:val="single" w:sz="4" w:space="0" w:color="000000"/>
            </w:tcBorders>
          </w:tcPr>
          <w:p>
            <w:pPr>
              <w:pStyle w:val="TableParagraph"/>
              <w:spacing w:before="116"/>
              <w:ind w:left="318"/>
              <w:rPr>
                <w:rFonts w:ascii="Microsoft JhengHei" w:eastAsia="Microsoft JhengHei"/>
                <w:b/>
                <w:sz w:val="24"/>
              </w:rPr>
            </w:pPr>
            <w:r>
              <w:rPr>
                <w:rFonts w:ascii="Microsoft JhengHei" w:eastAsia="Microsoft JhengHei"/>
                <w:b/>
                <w:spacing w:val="-5"/>
                <w:sz w:val="24"/>
              </w:rPr>
              <w:t>释义</w:t>
            </w:r>
          </w:p>
        </w:tc>
        <w:tc>
          <w:tcPr>
            <w:tcW w:w="7585" w:type="dxa"/>
            <w:tcBorders>
              <w:bottom w:val="single" w:sz="4" w:space="0" w:color="000000"/>
            </w:tcBorders>
          </w:tcPr>
          <w:p>
            <w:pPr>
              <w:pStyle w:val="TableParagraph"/>
              <w:rPr>
                <w:rFonts w:ascii="Times New Roman"/>
                <w:sz w:val="20"/>
              </w:rPr>
            </w:pPr>
          </w:p>
        </w:tc>
      </w:tr>
      <w:tr>
        <w:trPr>
          <w:trHeight w:val="591" w:hRule="atLeast"/>
        </w:trPr>
        <w:tc>
          <w:tcPr>
            <w:tcW w:w="743" w:type="dxa"/>
            <w:tcBorders>
              <w:top w:val="single" w:sz="4" w:space="0" w:color="000000"/>
            </w:tcBorders>
          </w:tcPr>
          <w:p>
            <w:pPr>
              <w:pStyle w:val="TableParagraph"/>
              <w:spacing w:before="104"/>
              <w:ind w:left="107"/>
              <w:rPr>
                <w:rFonts w:ascii="Microsoft JhengHei"/>
                <w:b/>
                <w:sz w:val="21"/>
              </w:rPr>
            </w:pPr>
            <w:r>
              <w:rPr>
                <w:rFonts w:ascii="Microsoft JhengHei"/>
                <w:b/>
                <w:spacing w:val="-5"/>
                <w:w w:val="105"/>
                <w:sz w:val="21"/>
              </w:rPr>
              <w:t>9.1</w:t>
            </w:r>
          </w:p>
        </w:tc>
        <w:tc>
          <w:tcPr>
            <w:tcW w:w="1845" w:type="dxa"/>
            <w:tcBorders>
              <w:top w:val="single" w:sz="4" w:space="0" w:color="000000"/>
            </w:tcBorders>
          </w:tcPr>
          <w:p>
            <w:pPr>
              <w:pStyle w:val="TableParagraph"/>
              <w:spacing w:before="135"/>
              <w:ind w:left="318"/>
              <w:rPr>
                <w:rFonts w:ascii="Microsoft JhengHei" w:eastAsia="Microsoft JhengHei"/>
                <w:b/>
                <w:sz w:val="21"/>
              </w:rPr>
            </w:pPr>
            <w:r>
              <w:rPr>
                <w:rFonts w:ascii="Microsoft JhengHei" w:eastAsia="Microsoft JhengHei"/>
                <w:b/>
                <w:spacing w:val="-4"/>
                <w:sz w:val="21"/>
              </w:rPr>
              <w:t>本公司</w:t>
            </w:r>
          </w:p>
        </w:tc>
        <w:tc>
          <w:tcPr>
            <w:tcW w:w="7585" w:type="dxa"/>
            <w:tcBorders>
              <w:top w:val="single" w:sz="4" w:space="0" w:color="000000"/>
            </w:tcBorders>
          </w:tcPr>
          <w:p>
            <w:pPr>
              <w:pStyle w:val="TableParagraph"/>
              <w:spacing w:before="8"/>
              <w:rPr>
                <w:sz w:val="14"/>
              </w:rPr>
            </w:pPr>
          </w:p>
          <w:p>
            <w:pPr>
              <w:pStyle w:val="TableParagraph"/>
              <w:spacing w:before="1"/>
              <w:ind w:left="259"/>
              <w:rPr>
                <w:sz w:val="21"/>
              </w:rPr>
            </w:pPr>
            <w:r>
              <w:rPr>
                <w:spacing w:val="-3"/>
                <w:sz w:val="21"/>
              </w:rPr>
              <w:t>君康人寿保险股份有限公司。</w:t>
            </w:r>
          </w:p>
        </w:tc>
      </w:tr>
      <w:tr>
        <w:trPr>
          <w:trHeight w:val="446" w:hRule="atLeast"/>
        </w:trPr>
        <w:tc>
          <w:tcPr>
            <w:tcW w:w="743" w:type="dxa"/>
          </w:tcPr>
          <w:p>
            <w:pPr>
              <w:pStyle w:val="TableParagraph"/>
              <w:spacing w:line="378" w:lineRule="exact" w:before="48"/>
              <w:ind w:left="107"/>
              <w:rPr>
                <w:rFonts w:ascii="Microsoft JhengHei"/>
                <w:b/>
                <w:sz w:val="21"/>
              </w:rPr>
            </w:pPr>
            <w:r>
              <w:rPr>
                <w:rFonts w:ascii="Microsoft JhengHei"/>
                <w:b/>
                <w:spacing w:val="-5"/>
                <w:w w:val="105"/>
                <w:sz w:val="21"/>
              </w:rPr>
              <w:t>9.2</w:t>
            </w:r>
          </w:p>
        </w:tc>
        <w:tc>
          <w:tcPr>
            <w:tcW w:w="1845" w:type="dxa"/>
          </w:tcPr>
          <w:p>
            <w:pPr>
              <w:pStyle w:val="TableParagraph"/>
              <w:spacing w:line="347" w:lineRule="exact" w:before="79"/>
              <w:ind w:left="318"/>
              <w:rPr>
                <w:rFonts w:ascii="Microsoft JhengHei" w:eastAsia="Microsoft JhengHei"/>
                <w:b/>
                <w:sz w:val="21"/>
              </w:rPr>
            </w:pPr>
            <w:r>
              <w:rPr>
                <w:rFonts w:ascii="Microsoft JhengHei" w:eastAsia="Microsoft JhengHei"/>
                <w:b/>
                <w:spacing w:val="-3"/>
                <w:sz w:val="21"/>
              </w:rPr>
              <w:t>保单年度</w:t>
            </w:r>
          </w:p>
        </w:tc>
        <w:tc>
          <w:tcPr>
            <w:tcW w:w="7585" w:type="dxa"/>
          </w:tcPr>
          <w:p>
            <w:pPr>
              <w:pStyle w:val="TableParagraph"/>
              <w:spacing w:before="132"/>
              <w:ind w:left="259"/>
              <w:rPr>
                <w:sz w:val="21"/>
              </w:rPr>
            </w:pPr>
            <w:r>
              <w:rPr>
                <w:spacing w:val="-1"/>
                <w:sz w:val="21"/>
              </w:rPr>
              <w:t>从保险合同生效日或生效对应日的零时起至下一年度保险合同生效对应日的前</w:t>
            </w:r>
          </w:p>
        </w:tc>
      </w:tr>
      <w:tr>
        <w:trPr>
          <w:trHeight w:val="406" w:hRule="atLeast"/>
        </w:trPr>
        <w:tc>
          <w:tcPr>
            <w:tcW w:w="743" w:type="dxa"/>
          </w:tcPr>
          <w:p>
            <w:pPr>
              <w:pStyle w:val="TableParagraph"/>
              <w:rPr>
                <w:rFonts w:ascii="Times New Roman"/>
                <w:sz w:val="20"/>
              </w:rPr>
            </w:pPr>
          </w:p>
        </w:tc>
        <w:tc>
          <w:tcPr>
            <w:tcW w:w="1845" w:type="dxa"/>
          </w:tcPr>
          <w:p>
            <w:pPr>
              <w:pStyle w:val="TableParagraph"/>
              <w:rPr>
                <w:rFonts w:ascii="Times New Roman"/>
                <w:sz w:val="20"/>
              </w:rPr>
            </w:pPr>
          </w:p>
        </w:tc>
        <w:tc>
          <w:tcPr>
            <w:tcW w:w="7585" w:type="dxa"/>
          </w:tcPr>
          <w:p>
            <w:pPr>
              <w:pStyle w:val="TableParagraph"/>
              <w:spacing w:before="29"/>
              <w:ind w:left="259"/>
              <w:rPr>
                <w:sz w:val="21"/>
              </w:rPr>
            </w:pPr>
            <w:r>
              <w:rPr>
                <w:spacing w:val="-19"/>
                <w:sz w:val="21"/>
              </w:rPr>
              <w:t>一日 </w:t>
            </w:r>
            <w:r>
              <w:rPr>
                <w:spacing w:val="-2"/>
                <w:sz w:val="21"/>
              </w:rPr>
              <w:t>24</w:t>
            </w:r>
            <w:r>
              <w:rPr>
                <w:spacing w:val="-10"/>
                <w:sz w:val="21"/>
              </w:rPr>
              <w:t> 时止为一个保单年度。</w:t>
            </w:r>
          </w:p>
        </w:tc>
      </w:tr>
      <w:tr>
        <w:trPr>
          <w:trHeight w:val="437" w:hRule="atLeast"/>
        </w:trPr>
        <w:tc>
          <w:tcPr>
            <w:tcW w:w="743" w:type="dxa"/>
          </w:tcPr>
          <w:p>
            <w:pPr>
              <w:pStyle w:val="TableParagraph"/>
              <w:spacing w:line="378" w:lineRule="exact" w:before="40"/>
              <w:ind w:left="107"/>
              <w:rPr>
                <w:rFonts w:ascii="Microsoft JhengHei"/>
                <w:b/>
                <w:sz w:val="21"/>
              </w:rPr>
            </w:pPr>
            <w:r>
              <w:rPr>
                <w:rFonts w:ascii="Microsoft JhengHei"/>
                <w:b/>
                <w:spacing w:val="-5"/>
                <w:w w:val="105"/>
                <w:sz w:val="21"/>
              </w:rPr>
              <w:t>9.3</w:t>
            </w:r>
          </w:p>
        </w:tc>
        <w:tc>
          <w:tcPr>
            <w:tcW w:w="1845" w:type="dxa"/>
          </w:tcPr>
          <w:p>
            <w:pPr>
              <w:pStyle w:val="TableParagraph"/>
              <w:spacing w:line="347" w:lineRule="exact" w:before="71"/>
              <w:ind w:left="318"/>
              <w:rPr>
                <w:rFonts w:ascii="Microsoft JhengHei" w:eastAsia="Microsoft JhengHei"/>
                <w:b/>
                <w:sz w:val="21"/>
              </w:rPr>
            </w:pPr>
            <w:r>
              <w:rPr>
                <w:rFonts w:ascii="Microsoft JhengHei" w:eastAsia="Microsoft JhengHei"/>
                <w:b/>
                <w:spacing w:val="-2"/>
                <w:sz w:val="21"/>
              </w:rPr>
              <w:t>保险费应交日</w:t>
            </w:r>
          </w:p>
        </w:tc>
        <w:tc>
          <w:tcPr>
            <w:tcW w:w="7585" w:type="dxa"/>
          </w:tcPr>
          <w:p>
            <w:pPr>
              <w:pStyle w:val="TableParagraph"/>
              <w:spacing w:before="124"/>
              <w:ind w:left="259"/>
              <w:rPr>
                <w:sz w:val="21"/>
              </w:rPr>
            </w:pPr>
            <w:r>
              <w:rPr>
                <w:spacing w:val="-1"/>
                <w:sz w:val="21"/>
              </w:rPr>
              <w:t>保险合同生效日在每年的对应日的前一日。若当月无对应的同一日，以该月最</w:t>
            </w:r>
          </w:p>
        </w:tc>
      </w:tr>
      <w:tr>
        <w:trPr>
          <w:trHeight w:val="407" w:hRule="atLeast"/>
        </w:trPr>
        <w:tc>
          <w:tcPr>
            <w:tcW w:w="743" w:type="dxa"/>
          </w:tcPr>
          <w:p>
            <w:pPr>
              <w:pStyle w:val="TableParagraph"/>
              <w:rPr>
                <w:rFonts w:ascii="Times New Roman"/>
                <w:sz w:val="20"/>
              </w:rPr>
            </w:pPr>
          </w:p>
        </w:tc>
        <w:tc>
          <w:tcPr>
            <w:tcW w:w="1845" w:type="dxa"/>
          </w:tcPr>
          <w:p>
            <w:pPr>
              <w:pStyle w:val="TableParagraph"/>
              <w:rPr>
                <w:rFonts w:ascii="Times New Roman"/>
                <w:sz w:val="20"/>
              </w:rPr>
            </w:pPr>
          </w:p>
        </w:tc>
        <w:tc>
          <w:tcPr>
            <w:tcW w:w="7585" w:type="dxa"/>
          </w:tcPr>
          <w:p>
            <w:pPr>
              <w:pStyle w:val="TableParagraph"/>
              <w:spacing w:before="29"/>
              <w:ind w:left="259"/>
              <w:rPr>
                <w:sz w:val="21"/>
              </w:rPr>
            </w:pPr>
            <w:r>
              <w:rPr>
                <w:spacing w:val="-4"/>
                <w:sz w:val="21"/>
              </w:rPr>
              <w:t>后一日为对应日。</w:t>
            </w:r>
          </w:p>
        </w:tc>
      </w:tr>
      <w:tr>
        <w:trPr>
          <w:trHeight w:val="439" w:hRule="atLeast"/>
        </w:trPr>
        <w:tc>
          <w:tcPr>
            <w:tcW w:w="743" w:type="dxa"/>
          </w:tcPr>
          <w:p>
            <w:pPr>
              <w:pStyle w:val="TableParagraph"/>
              <w:spacing w:line="378" w:lineRule="exact" w:before="41"/>
              <w:ind w:left="107"/>
              <w:rPr>
                <w:rFonts w:ascii="Microsoft JhengHei"/>
                <w:b/>
                <w:sz w:val="21"/>
              </w:rPr>
            </w:pPr>
            <w:r>
              <w:rPr>
                <w:rFonts w:ascii="Microsoft JhengHei"/>
                <w:b/>
                <w:spacing w:val="-5"/>
                <w:w w:val="105"/>
                <w:sz w:val="21"/>
              </w:rPr>
              <w:t>9.4</w:t>
            </w:r>
          </w:p>
        </w:tc>
        <w:tc>
          <w:tcPr>
            <w:tcW w:w="1845" w:type="dxa"/>
          </w:tcPr>
          <w:p>
            <w:pPr>
              <w:pStyle w:val="TableParagraph"/>
              <w:spacing w:line="347" w:lineRule="exact" w:before="72"/>
              <w:ind w:left="318"/>
              <w:rPr>
                <w:rFonts w:ascii="Microsoft JhengHei" w:eastAsia="Microsoft JhengHei"/>
                <w:b/>
                <w:sz w:val="21"/>
              </w:rPr>
            </w:pPr>
            <w:r>
              <w:rPr>
                <w:rFonts w:ascii="Microsoft JhengHei" w:eastAsia="Microsoft JhengHei"/>
                <w:b/>
                <w:spacing w:val="-5"/>
                <w:sz w:val="21"/>
              </w:rPr>
              <w:t>周岁</w:t>
            </w:r>
          </w:p>
        </w:tc>
        <w:tc>
          <w:tcPr>
            <w:tcW w:w="7585" w:type="dxa"/>
          </w:tcPr>
          <w:p>
            <w:pPr>
              <w:pStyle w:val="TableParagraph"/>
              <w:spacing w:before="125"/>
              <w:ind w:left="259"/>
              <w:rPr>
                <w:sz w:val="21"/>
              </w:rPr>
            </w:pPr>
            <w:r>
              <w:rPr>
                <w:spacing w:val="-1"/>
                <w:sz w:val="21"/>
              </w:rPr>
              <w:t>以法定有效身份证件中记载的出生日期为计算基础，自出生之日起为零周岁，</w:t>
            </w:r>
          </w:p>
        </w:tc>
      </w:tr>
      <w:tr>
        <w:trPr>
          <w:trHeight w:val="413" w:hRule="atLeast"/>
        </w:trPr>
        <w:tc>
          <w:tcPr>
            <w:tcW w:w="743" w:type="dxa"/>
          </w:tcPr>
          <w:p>
            <w:pPr>
              <w:pStyle w:val="TableParagraph"/>
              <w:rPr>
                <w:rFonts w:ascii="Times New Roman"/>
                <w:sz w:val="20"/>
              </w:rPr>
            </w:pPr>
          </w:p>
        </w:tc>
        <w:tc>
          <w:tcPr>
            <w:tcW w:w="1845" w:type="dxa"/>
          </w:tcPr>
          <w:p>
            <w:pPr>
              <w:pStyle w:val="TableParagraph"/>
              <w:rPr>
                <w:rFonts w:ascii="Times New Roman"/>
                <w:sz w:val="20"/>
              </w:rPr>
            </w:pPr>
          </w:p>
        </w:tc>
        <w:tc>
          <w:tcPr>
            <w:tcW w:w="7585" w:type="dxa"/>
          </w:tcPr>
          <w:p>
            <w:pPr>
              <w:pStyle w:val="TableParagraph"/>
              <w:spacing w:before="29"/>
              <w:ind w:left="259"/>
              <w:rPr>
                <w:sz w:val="21"/>
              </w:rPr>
            </w:pPr>
            <w:r>
              <w:rPr>
                <w:spacing w:val="-3"/>
                <w:sz w:val="21"/>
              </w:rPr>
              <w:t>每经过一年增加一岁，不足一年的不计。</w:t>
            </w:r>
          </w:p>
        </w:tc>
      </w:tr>
      <w:tr>
        <w:trPr>
          <w:trHeight w:val="431" w:hRule="atLeast"/>
        </w:trPr>
        <w:tc>
          <w:tcPr>
            <w:tcW w:w="743" w:type="dxa"/>
          </w:tcPr>
          <w:p>
            <w:pPr>
              <w:pStyle w:val="TableParagraph"/>
              <w:spacing w:line="366" w:lineRule="exact" w:before="46"/>
              <w:ind w:left="107"/>
              <w:rPr>
                <w:rFonts w:ascii="Microsoft JhengHei"/>
                <w:b/>
                <w:sz w:val="21"/>
              </w:rPr>
            </w:pPr>
            <w:r>
              <w:rPr>
                <w:rFonts w:ascii="Microsoft JhengHei"/>
                <w:b/>
                <w:spacing w:val="-5"/>
                <w:w w:val="105"/>
                <w:sz w:val="21"/>
              </w:rPr>
              <w:t>9.5</w:t>
            </w:r>
          </w:p>
        </w:tc>
        <w:tc>
          <w:tcPr>
            <w:tcW w:w="1845" w:type="dxa"/>
          </w:tcPr>
          <w:p>
            <w:pPr>
              <w:pStyle w:val="TableParagraph"/>
              <w:spacing w:line="335" w:lineRule="exact" w:before="77"/>
              <w:ind w:left="318"/>
              <w:rPr>
                <w:rFonts w:ascii="Microsoft JhengHei" w:eastAsia="Microsoft JhengHei"/>
                <w:b/>
                <w:sz w:val="21"/>
              </w:rPr>
            </w:pPr>
            <w:r>
              <w:rPr>
                <w:rFonts w:ascii="Microsoft JhengHei" w:eastAsia="Microsoft JhengHei"/>
                <w:b/>
                <w:spacing w:val="-5"/>
                <w:sz w:val="21"/>
              </w:rPr>
              <w:t>全残</w:t>
            </w:r>
          </w:p>
        </w:tc>
        <w:tc>
          <w:tcPr>
            <w:tcW w:w="7585" w:type="dxa"/>
          </w:tcPr>
          <w:p>
            <w:pPr>
              <w:pStyle w:val="TableParagraph"/>
              <w:spacing w:before="130"/>
              <w:ind w:left="259"/>
              <w:rPr>
                <w:sz w:val="21"/>
              </w:rPr>
            </w:pPr>
            <w:r>
              <w:rPr>
                <w:spacing w:val="-3"/>
                <w:sz w:val="21"/>
              </w:rPr>
              <w:t>本合同所述“全残”指下列情形之一：</w:t>
            </w:r>
          </w:p>
        </w:tc>
      </w:tr>
      <w:tr>
        <w:trPr>
          <w:trHeight w:val="2465" w:hRule="atLeast"/>
        </w:trPr>
        <w:tc>
          <w:tcPr>
            <w:tcW w:w="743" w:type="dxa"/>
          </w:tcPr>
          <w:p>
            <w:pPr>
              <w:pStyle w:val="TableParagraph"/>
              <w:rPr>
                <w:rFonts w:ascii="Times New Roman"/>
                <w:sz w:val="20"/>
              </w:rPr>
            </w:pPr>
          </w:p>
        </w:tc>
        <w:tc>
          <w:tcPr>
            <w:tcW w:w="1845" w:type="dxa"/>
          </w:tcPr>
          <w:p>
            <w:pPr>
              <w:pStyle w:val="TableParagraph"/>
              <w:rPr>
                <w:rFonts w:ascii="Times New Roman"/>
                <w:sz w:val="20"/>
              </w:rPr>
            </w:pPr>
          </w:p>
        </w:tc>
        <w:tc>
          <w:tcPr>
            <w:tcW w:w="7585" w:type="dxa"/>
          </w:tcPr>
          <w:p>
            <w:pPr>
              <w:pStyle w:val="TableParagraph"/>
              <w:numPr>
                <w:ilvl w:val="0"/>
                <w:numId w:val="17"/>
              </w:numPr>
              <w:tabs>
                <w:tab w:pos="826" w:val="left" w:leader="none"/>
              </w:tabs>
              <w:spacing w:line="240" w:lineRule="auto" w:before="26" w:after="0"/>
              <w:ind w:left="825" w:right="0" w:hanging="567"/>
              <w:jc w:val="left"/>
              <w:rPr>
                <w:sz w:val="21"/>
              </w:rPr>
            </w:pPr>
            <w:r>
              <w:rPr>
                <w:spacing w:val="-3"/>
                <w:sz w:val="21"/>
              </w:rPr>
              <w:t>双目永久完全失明；</w:t>
            </w:r>
          </w:p>
          <w:p>
            <w:pPr>
              <w:pStyle w:val="TableParagraph"/>
              <w:numPr>
                <w:ilvl w:val="0"/>
                <w:numId w:val="17"/>
              </w:numPr>
              <w:tabs>
                <w:tab w:pos="826" w:val="left" w:leader="none"/>
              </w:tabs>
              <w:spacing w:line="240" w:lineRule="auto" w:before="43" w:after="0"/>
              <w:ind w:left="825" w:right="0" w:hanging="567"/>
              <w:jc w:val="left"/>
              <w:rPr>
                <w:sz w:val="21"/>
              </w:rPr>
            </w:pPr>
            <w:r>
              <w:rPr>
                <w:spacing w:val="-3"/>
                <w:sz w:val="21"/>
              </w:rPr>
              <w:t>两上肢腕关节以上或者两下肢踝关节以上缺失；</w:t>
            </w:r>
          </w:p>
          <w:p>
            <w:pPr>
              <w:pStyle w:val="TableParagraph"/>
              <w:numPr>
                <w:ilvl w:val="0"/>
                <w:numId w:val="17"/>
              </w:numPr>
              <w:tabs>
                <w:tab w:pos="826" w:val="left" w:leader="none"/>
              </w:tabs>
              <w:spacing w:line="240" w:lineRule="auto" w:before="43" w:after="0"/>
              <w:ind w:left="825" w:right="0" w:hanging="567"/>
              <w:jc w:val="left"/>
              <w:rPr>
                <w:sz w:val="21"/>
              </w:rPr>
            </w:pPr>
            <w:r>
              <w:rPr>
                <w:spacing w:val="-3"/>
                <w:sz w:val="21"/>
              </w:rPr>
              <w:t>一上肢腕关节以上及一下肢踝关节以上缺失；</w:t>
            </w:r>
          </w:p>
          <w:p>
            <w:pPr>
              <w:pStyle w:val="TableParagraph"/>
              <w:numPr>
                <w:ilvl w:val="0"/>
                <w:numId w:val="17"/>
              </w:numPr>
              <w:tabs>
                <w:tab w:pos="826" w:val="left" w:leader="none"/>
              </w:tabs>
              <w:spacing w:line="240" w:lineRule="auto" w:before="43" w:after="0"/>
              <w:ind w:left="825" w:right="0" w:hanging="567"/>
              <w:jc w:val="left"/>
              <w:rPr>
                <w:sz w:val="21"/>
              </w:rPr>
            </w:pPr>
            <w:r>
              <w:rPr>
                <w:spacing w:val="-3"/>
                <w:sz w:val="21"/>
              </w:rPr>
              <w:t>一目永久完全失明及一上肢腕关节以上缺失；</w:t>
            </w:r>
          </w:p>
          <w:p>
            <w:pPr>
              <w:pStyle w:val="TableParagraph"/>
              <w:numPr>
                <w:ilvl w:val="0"/>
                <w:numId w:val="17"/>
              </w:numPr>
              <w:tabs>
                <w:tab w:pos="826" w:val="left" w:leader="none"/>
              </w:tabs>
              <w:spacing w:line="240" w:lineRule="auto" w:before="43" w:after="0"/>
              <w:ind w:left="825" w:right="0" w:hanging="567"/>
              <w:jc w:val="left"/>
              <w:rPr>
                <w:sz w:val="21"/>
              </w:rPr>
            </w:pPr>
            <w:r>
              <w:rPr>
                <w:spacing w:val="-3"/>
                <w:sz w:val="21"/>
              </w:rPr>
              <w:t>一目永久完全失明及一下肢踝关节以上缺失；</w:t>
            </w:r>
          </w:p>
          <w:p>
            <w:pPr>
              <w:pStyle w:val="TableParagraph"/>
              <w:numPr>
                <w:ilvl w:val="0"/>
                <w:numId w:val="17"/>
              </w:numPr>
              <w:tabs>
                <w:tab w:pos="826" w:val="left" w:leader="none"/>
              </w:tabs>
              <w:spacing w:line="240" w:lineRule="auto" w:before="43" w:after="0"/>
              <w:ind w:left="825" w:right="0" w:hanging="567"/>
              <w:jc w:val="left"/>
              <w:rPr>
                <w:sz w:val="21"/>
              </w:rPr>
            </w:pPr>
            <w:r>
              <w:rPr>
                <w:spacing w:val="-3"/>
                <w:sz w:val="21"/>
              </w:rPr>
              <w:t>四肢关节机能永久完全丧失；</w:t>
            </w:r>
          </w:p>
          <w:p>
            <w:pPr>
              <w:pStyle w:val="TableParagraph"/>
              <w:numPr>
                <w:ilvl w:val="0"/>
                <w:numId w:val="17"/>
              </w:numPr>
              <w:tabs>
                <w:tab w:pos="826" w:val="left" w:leader="none"/>
              </w:tabs>
              <w:spacing w:line="240" w:lineRule="auto" w:before="43" w:after="0"/>
              <w:ind w:left="825" w:right="0" w:hanging="567"/>
              <w:jc w:val="left"/>
              <w:rPr>
                <w:sz w:val="21"/>
              </w:rPr>
            </w:pPr>
            <w:r>
              <w:rPr>
                <w:spacing w:val="-3"/>
                <w:sz w:val="21"/>
              </w:rPr>
              <w:t>咀嚼、吞咽机能永久完全丧失；</w:t>
            </w:r>
          </w:p>
          <w:p>
            <w:pPr>
              <w:pStyle w:val="TableParagraph"/>
              <w:numPr>
                <w:ilvl w:val="0"/>
                <w:numId w:val="17"/>
              </w:numPr>
              <w:tabs>
                <w:tab w:pos="826" w:val="left" w:leader="none"/>
              </w:tabs>
              <w:spacing w:line="235" w:lineRule="exact" w:before="43" w:after="0"/>
              <w:ind w:left="825" w:right="0" w:hanging="567"/>
              <w:jc w:val="left"/>
              <w:rPr>
                <w:sz w:val="21"/>
              </w:rPr>
            </w:pPr>
            <w:r>
              <w:rPr>
                <w:spacing w:val="-5"/>
                <w:sz w:val="21"/>
              </w:rPr>
              <w:t>中枢神经系统机能或者胸、腹部脏器机能极度障碍，导致终身不能从事任</w:t>
            </w:r>
          </w:p>
        </w:tc>
      </w:tr>
    </w:tbl>
    <w:p>
      <w:pPr>
        <w:pStyle w:val="BodyText"/>
        <w:spacing w:line="263" w:lineRule="exact" w:before="72"/>
        <w:ind w:left="3525"/>
      </w:pPr>
      <w:r>
        <w:rPr>
          <w:spacing w:val="-3"/>
        </w:rPr>
        <w:t>何工作，为维持生命必要的日常生活活动，全需他人扶助的。</w:t>
      </w:r>
    </w:p>
    <w:p>
      <w:pPr>
        <w:pStyle w:val="BodyText"/>
        <w:spacing w:line="256" w:lineRule="auto"/>
        <w:ind w:right="224"/>
      </w:pPr>
      <w:r>
        <w:rPr>
          <w:rFonts w:ascii="Microsoft JhengHei" w:eastAsia="Microsoft JhengHei"/>
          <w:b/>
        </w:rPr>
        <w:t>永久完全</w:t>
      </w:r>
      <w:r>
        <w:rPr>
          <w:spacing w:val="-2"/>
        </w:rPr>
        <w:t>：自疾病确诊或者意外伤害发生之日起，经过积极治疗 </w:t>
      </w:r>
      <w:r>
        <w:rPr/>
        <w:t>180</w:t>
      </w:r>
      <w:r>
        <w:rPr>
          <w:spacing w:val="-6"/>
        </w:rPr>
        <w:t> 日后，机</w:t>
      </w:r>
      <w:r>
        <w:rPr>
          <w:spacing w:val="-2"/>
        </w:rPr>
        <w:t>能仍然完全丧失，但眼球摘除等明显无法复原之情况不在此限。</w:t>
      </w:r>
    </w:p>
    <w:p>
      <w:pPr>
        <w:pStyle w:val="BodyText"/>
        <w:spacing w:line="371" w:lineRule="exact"/>
      </w:pPr>
      <w:r>
        <w:rPr>
          <w:rFonts w:ascii="Microsoft JhengHei" w:eastAsia="Microsoft JhengHei"/>
          <w:b/>
          <w:spacing w:val="-4"/>
        </w:rPr>
        <w:t>失明</w:t>
      </w:r>
      <w:r>
        <w:rPr>
          <w:spacing w:val="-5"/>
        </w:rPr>
        <w:t>：包括眼球缺失或者摘除、或者不能辨别明暗、或者仅能辨别眼前手动者，</w:t>
      </w:r>
    </w:p>
    <w:p>
      <w:pPr>
        <w:pStyle w:val="BodyText"/>
        <w:spacing w:line="307" w:lineRule="auto" w:before="20"/>
        <w:ind w:right="224"/>
        <w:jc w:val="both"/>
      </w:pPr>
      <w:r>
        <w:rPr>
          <w:spacing w:val="-4"/>
        </w:rPr>
        <w:t>最佳矫正视力低于国际标准视力表 </w:t>
      </w:r>
      <w:r>
        <w:rPr>
          <w:spacing w:val="-2"/>
        </w:rPr>
        <w:t>0.02</w:t>
      </w:r>
      <w:r>
        <w:rPr>
          <w:spacing w:val="-5"/>
        </w:rPr>
        <w:t>，或者视野半径小于 </w:t>
      </w:r>
      <w:r>
        <w:rPr>
          <w:spacing w:val="-2"/>
        </w:rPr>
        <w:t>5</w:t>
      </w:r>
      <w:r>
        <w:rPr>
          <w:spacing w:val="-7"/>
        </w:rPr>
        <w:t> 度，且病程持续</w:t>
      </w:r>
      <w:r>
        <w:rPr>
          <w:spacing w:val="-2"/>
        </w:rPr>
        <w:t>超过一百八十天（眼球缺失或者摘除不在此限</w:t>
      </w:r>
      <w:r>
        <w:rPr>
          <w:spacing w:val="-62"/>
        </w:rPr>
        <w:t>）</w:t>
      </w:r>
      <w:r>
        <w:rPr>
          <w:spacing w:val="-10"/>
        </w:rPr>
        <w:t>，并由本公司确定的有资格的眼</w:t>
      </w:r>
      <w:r>
        <w:rPr>
          <w:spacing w:val="-2"/>
        </w:rPr>
        <w:t>科医师出具医疗诊断证明。</w:t>
      </w:r>
    </w:p>
    <w:p>
      <w:pPr>
        <w:pStyle w:val="BodyText"/>
        <w:spacing w:line="292" w:lineRule="exact"/>
      </w:pPr>
      <w:r>
        <w:rPr>
          <w:rFonts w:ascii="Microsoft JhengHei" w:eastAsia="Microsoft JhengHei"/>
          <w:b/>
          <w:spacing w:val="-4"/>
        </w:rPr>
        <w:t>关节机能的丧失</w:t>
      </w:r>
      <w:r>
        <w:rPr>
          <w:spacing w:val="-5"/>
        </w:rPr>
        <w:t>：指关节永久完全僵硬、或者麻痹、或者关节不能随意识活动。</w:t>
      </w:r>
    </w:p>
    <w:p>
      <w:pPr>
        <w:spacing w:line="365" w:lineRule="exact" w:before="0"/>
        <w:ind w:left="2959" w:right="0" w:firstLine="0"/>
        <w:jc w:val="left"/>
        <w:rPr>
          <w:sz w:val="21"/>
        </w:rPr>
      </w:pPr>
      <w:r>
        <w:rPr>
          <w:rFonts w:ascii="Microsoft JhengHei" w:eastAsia="Microsoft JhengHei"/>
          <w:b/>
          <w:sz w:val="21"/>
        </w:rPr>
        <w:t>咀嚼、吞咽机能的丧失</w:t>
      </w:r>
      <w:r>
        <w:rPr>
          <w:spacing w:val="-1"/>
          <w:sz w:val="21"/>
        </w:rPr>
        <w:t>：指由于牙齿以外的原因引起器质障碍或者机能障碍，</w:t>
      </w:r>
    </w:p>
    <w:p>
      <w:pPr>
        <w:pStyle w:val="BodyText"/>
        <w:spacing w:before="26"/>
      </w:pPr>
      <w:r>
        <w:rPr>
          <w:spacing w:val="-3"/>
        </w:rPr>
        <w:t>以至不能作咀嚼、吞咽运动，除流质食物外不能摄取或者吞咽的状态。</w:t>
      </w:r>
    </w:p>
    <w:p>
      <w:pPr>
        <w:pStyle w:val="BodyText"/>
        <w:spacing w:line="307" w:lineRule="auto" w:before="75"/>
        <w:ind w:right="232"/>
      </w:pPr>
      <w:r>
        <w:rPr>
          <w:spacing w:val="-2"/>
        </w:rPr>
        <w:t>为维持生命必要之日常生活活动，全需他人扶助：指食物摄取、大小便始末、</w:t>
      </w:r>
      <w:r>
        <w:rPr>
          <w:spacing w:val="-2"/>
        </w:rPr>
        <w:t>穿脱衣服、起居、步行、入浴等，皆不能自己为之，需要他人帮助。</w:t>
      </w:r>
    </w:p>
    <w:p>
      <w:pPr>
        <w:pStyle w:val="ListParagraph"/>
        <w:numPr>
          <w:ilvl w:val="1"/>
          <w:numId w:val="18"/>
        </w:numPr>
        <w:tabs>
          <w:tab w:pos="1173" w:val="left" w:leader="none"/>
          <w:tab w:pos="1174" w:val="left" w:leader="none"/>
          <w:tab w:pos="2959" w:val="left" w:leader="none"/>
        </w:tabs>
        <w:spacing w:line="216" w:lineRule="auto" w:before="97" w:after="0"/>
        <w:ind w:left="2959" w:right="298" w:hanging="2740"/>
        <w:jc w:val="left"/>
        <w:rPr>
          <w:sz w:val="21"/>
        </w:rPr>
      </w:pPr>
      <w:r>
        <w:rPr>
          <w:rFonts w:ascii="Microsoft JhengHei" w:eastAsia="Microsoft JhengHei"/>
          <w:b/>
          <w:spacing w:val="-2"/>
          <w:position w:val="-2"/>
          <w:sz w:val="21"/>
        </w:rPr>
        <w:t>累</w:t>
      </w:r>
      <w:r>
        <w:rPr>
          <w:rFonts w:ascii="Microsoft JhengHei" w:eastAsia="Microsoft JhengHei"/>
          <w:b/>
          <w:spacing w:val="-2"/>
          <w:position w:val="-2"/>
          <w:sz w:val="21"/>
        </w:rPr>
        <w:t>计</w:t>
      </w:r>
      <w:r>
        <w:rPr>
          <w:rFonts w:ascii="Microsoft JhengHei" w:eastAsia="Microsoft JhengHei"/>
          <w:b/>
          <w:spacing w:val="-2"/>
          <w:position w:val="-2"/>
          <w:sz w:val="21"/>
        </w:rPr>
        <w:t>已</w:t>
      </w:r>
      <w:r>
        <w:rPr>
          <w:rFonts w:ascii="Microsoft JhengHei" w:eastAsia="Microsoft JhengHei"/>
          <w:b/>
          <w:spacing w:val="-2"/>
          <w:position w:val="-2"/>
          <w:sz w:val="21"/>
        </w:rPr>
        <w:t>交</w:t>
      </w:r>
      <w:r>
        <w:rPr>
          <w:rFonts w:ascii="Microsoft JhengHei" w:eastAsia="Microsoft JhengHei"/>
          <w:b/>
          <w:spacing w:val="-2"/>
          <w:position w:val="-2"/>
          <w:sz w:val="21"/>
        </w:rPr>
        <w:t>保</w:t>
      </w:r>
      <w:r>
        <w:rPr>
          <w:rFonts w:ascii="Microsoft JhengHei" w:eastAsia="Microsoft JhengHei"/>
          <w:b/>
          <w:spacing w:val="-2"/>
          <w:position w:val="-2"/>
          <w:sz w:val="21"/>
        </w:rPr>
        <w:t>险</w:t>
      </w:r>
      <w:r>
        <w:rPr>
          <w:rFonts w:ascii="Microsoft JhengHei" w:eastAsia="Microsoft JhengHei"/>
          <w:b/>
          <w:spacing w:val="-2"/>
          <w:position w:val="-2"/>
          <w:sz w:val="21"/>
        </w:rPr>
        <w:t>费</w:t>
      </w:r>
      <w:r>
        <w:rPr>
          <w:rFonts w:ascii="Microsoft JhengHei" w:eastAsia="Microsoft JhengHei"/>
          <w:b/>
          <w:position w:val="-2"/>
          <w:sz w:val="21"/>
        </w:rPr>
        <w:tab/>
      </w:r>
      <w:r>
        <w:rPr>
          <w:spacing w:val="-2"/>
          <w:sz w:val="21"/>
        </w:rPr>
        <w:t>指</w:t>
      </w:r>
      <w:r>
        <w:rPr>
          <w:spacing w:val="-2"/>
          <w:sz w:val="21"/>
        </w:rPr>
        <w:t>投</w:t>
      </w:r>
      <w:r>
        <w:rPr>
          <w:spacing w:val="-2"/>
          <w:sz w:val="21"/>
        </w:rPr>
        <w:t>保人依据本合同已经</w:t>
      </w:r>
      <w:r>
        <w:rPr>
          <w:spacing w:val="-2"/>
          <w:sz w:val="21"/>
        </w:rPr>
        <w:t>向</w:t>
      </w:r>
      <w:r>
        <w:rPr>
          <w:spacing w:val="-2"/>
          <w:sz w:val="21"/>
        </w:rPr>
        <w:t>公</w:t>
      </w:r>
      <w:r>
        <w:rPr>
          <w:spacing w:val="-2"/>
          <w:sz w:val="21"/>
        </w:rPr>
        <w:t>司交付的保险费；若</w:t>
      </w:r>
      <w:r>
        <w:rPr>
          <w:spacing w:val="-2"/>
          <w:sz w:val="21"/>
        </w:rPr>
        <w:t>本</w:t>
      </w:r>
      <w:r>
        <w:rPr>
          <w:spacing w:val="-2"/>
          <w:sz w:val="21"/>
        </w:rPr>
        <w:t>合</w:t>
      </w:r>
      <w:r>
        <w:rPr>
          <w:spacing w:val="-2"/>
          <w:sz w:val="21"/>
        </w:rPr>
        <w:t>同发生过减保情形，则</w:t>
      </w:r>
      <w:r>
        <w:rPr>
          <w:spacing w:val="-2"/>
          <w:sz w:val="21"/>
        </w:rPr>
        <w:t>实</w:t>
      </w:r>
      <w:r>
        <w:rPr>
          <w:spacing w:val="-2"/>
          <w:sz w:val="21"/>
        </w:rPr>
        <w:t>际</w:t>
      </w:r>
      <w:r>
        <w:rPr>
          <w:spacing w:val="-2"/>
          <w:sz w:val="21"/>
        </w:rPr>
        <w:t>交付的保险费为减保</w:t>
      </w:r>
      <w:r>
        <w:rPr>
          <w:spacing w:val="-2"/>
          <w:sz w:val="21"/>
        </w:rPr>
        <w:t>后</w:t>
      </w:r>
      <w:r>
        <w:rPr>
          <w:spacing w:val="-2"/>
          <w:sz w:val="21"/>
        </w:rPr>
        <w:t>基</w:t>
      </w:r>
      <w:r>
        <w:rPr>
          <w:spacing w:val="-2"/>
          <w:sz w:val="21"/>
        </w:rPr>
        <w:t>本保险金额对应的累</w:t>
      </w:r>
      <w:r>
        <w:rPr>
          <w:spacing w:val="-2"/>
          <w:sz w:val="21"/>
        </w:rPr>
        <w:t>计</w:t>
      </w:r>
      <w:r>
        <w:rPr>
          <w:spacing w:val="-2"/>
          <w:sz w:val="21"/>
        </w:rPr>
        <w:t>保</w:t>
      </w:r>
      <w:r>
        <w:rPr>
          <w:spacing w:val="-2"/>
          <w:sz w:val="21"/>
        </w:rPr>
        <w:t>险费。若本合同发生过</w:t>
      </w:r>
    </w:p>
    <w:p>
      <w:pPr>
        <w:pStyle w:val="BodyText"/>
        <w:spacing w:before="49"/>
      </w:pPr>
      <w:r>
        <w:rPr>
          <w:spacing w:val="-3"/>
        </w:rPr>
        <w:t>豁免保险费情形，被豁免的保险费视为投保人已交付。</w:t>
      </w:r>
    </w:p>
    <w:p>
      <w:pPr>
        <w:pStyle w:val="ListParagraph"/>
        <w:numPr>
          <w:ilvl w:val="1"/>
          <w:numId w:val="18"/>
        </w:numPr>
        <w:tabs>
          <w:tab w:pos="1173" w:val="left" w:leader="none"/>
          <w:tab w:pos="1174" w:val="left" w:leader="none"/>
          <w:tab w:pos="2959" w:val="left" w:leader="none"/>
        </w:tabs>
        <w:spacing w:line="312" w:lineRule="exact" w:before="162" w:after="0"/>
        <w:ind w:left="2959" w:right="124" w:hanging="2740"/>
        <w:jc w:val="left"/>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sz w:val="21"/>
        </w:rPr>
        <w:t>数</w:t>
      </w:r>
      <w:r>
        <w:rPr>
          <w:rFonts w:ascii="Microsoft JhengHei" w:eastAsia="Microsoft JhengHei"/>
          <w:b/>
          <w:sz w:val="21"/>
        </w:rPr>
        <w:tab/>
      </w:r>
      <w:r>
        <w:rPr>
          <w:sz w:val="21"/>
        </w:rPr>
        <w:t>指保险单自承保后所处的</w:t>
      </w:r>
      <w:r>
        <w:rPr>
          <w:sz w:val="21"/>
        </w:rPr>
        <w:t>年度数。承保后首年的保</w:t>
      </w:r>
      <w:r>
        <w:rPr>
          <w:sz w:val="21"/>
        </w:rPr>
        <w:t>单年度数为</w:t>
      </w:r>
      <w:r>
        <w:rPr>
          <w:spacing w:val="-53"/>
          <w:sz w:val="21"/>
        </w:rPr>
        <w:t> </w:t>
      </w:r>
      <w:r>
        <w:rPr>
          <w:sz w:val="21"/>
        </w:rPr>
        <w:t>1，此后每到达一</w:t>
      </w:r>
      <w:r>
        <w:rPr>
          <w:spacing w:val="-4"/>
          <w:sz w:val="21"/>
        </w:rPr>
        <w:t>个</w:t>
      </w:r>
      <w:r>
        <w:rPr>
          <w:spacing w:val="-4"/>
          <w:sz w:val="21"/>
        </w:rPr>
        <w:t>保</w:t>
      </w:r>
      <w:r>
        <w:rPr>
          <w:spacing w:val="-4"/>
          <w:sz w:val="21"/>
        </w:rPr>
        <w:t>单周年日，保单年度数增加</w:t>
      </w:r>
      <w:r>
        <w:rPr>
          <w:spacing w:val="-48"/>
          <w:sz w:val="21"/>
        </w:rPr>
        <w:t> </w:t>
      </w:r>
      <w:r>
        <w:rPr>
          <w:spacing w:val="-4"/>
          <w:sz w:val="21"/>
        </w:rPr>
        <w:t>1。例如，若本合同</w:t>
      </w:r>
      <w:r>
        <w:rPr>
          <w:spacing w:val="-4"/>
          <w:sz w:val="21"/>
        </w:rPr>
        <w:t>生</w:t>
      </w:r>
      <w:r>
        <w:rPr>
          <w:spacing w:val="-4"/>
          <w:sz w:val="21"/>
        </w:rPr>
        <w:t>效</w:t>
      </w:r>
      <w:r>
        <w:rPr>
          <w:spacing w:val="-4"/>
          <w:sz w:val="21"/>
        </w:rPr>
        <w:t>日为</w:t>
      </w:r>
      <w:r>
        <w:rPr>
          <w:spacing w:val="-46"/>
          <w:sz w:val="21"/>
        </w:rPr>
        <w:t> </w:t>
      </w:r>
      <w:r>
        <w:rPr>
          <w:spacing w:val="-4"/>
          <w:sz w:val="21"/>
        </w:rPr>
        <w:t>2017</w:t>
      </w:r>
      <w:r>
        <w:rPr>
          <w:spacing w:val="-50"/>
          <w:sz w:val="21"/>
        </w:rPr>
        <w:t> </w:t>
      </w:r>
      <w:r>
        <w:rPr>
          <w:spacing w:val="-4"/>
          <w:sz w:val="21"/>
        </w:rPr>
        <w:t>年</w:t>
      </w:r>
      <w:r>
        <w:rPr>
          <w:spacing w:val="-48"/>
          <w:sz w:val="21"/>
        </w:rPr>
        <w:t> </w:t>
      </w:r>
      <w:r>
        <w:rPr>
          <w:spacing w:val="-4"/>
          <w:sz w:val="21"/>
        </w:rPr>
        <w:t>9</w:t>
      </w:r>
      <w:r>
        <w:rPr>
          <w:spacing w:val="-50"/>
          <w:sz w:val="21"/>
        </w:rPr>
        <w:t> </w:t>
      </w:r>
      <w:r>
        <w:rPr>
          <w:spacing w:val="-4"/>
          <w:sz w:val="21"/>
        </w:rPr>
        <w:t>月</w:t>
      </w:r>
      <w:r>
        <w:rPr>
          <w:spacing w:val="-48"/>
          <w:sz w:val="21"/>
        </w:rPr>
        <w:t> </w:t>
      </w:r>
      <w:r>
        <w:rPr>
          <w:spacing w:val="-4"/>
          <w:sz w:val="21"/>
        </w:rPr>
        <w:t>1</w:t>
      </w:r>
      <w:r>
        <w:rPr>
          <w:spacing w:val="-50"/>
          <w:sz w:val="21"/>
        </w:rPr>
        <w:t> </w:t>
      </w:r>
      <w:r>
        <w:rPr>
          <w:spacing w:val="-4"/>
          <w:sz w:val="21"/>
        </w:rPr>
        <w:t>日</w:t>
      </w:r>
      <w:r>
        <w:rPr>
          <w:spacing w:val="-4"/>
          <w:sz w:val="21"/>
        </w:rPr>
        <w:t>，</w:t>
      </w:r>
      <w:r>
        <w:rPr>
          <w:sz w:val="21"/>
        </w:rPr>
        <w:t>自</w:t>
      </w:r>
      <w:r>
        <w:rPr>
          <w:spacing w:val="-53"/>
          <w:sz w:val="21"/>
        </w:rPr>
        <w:t> </w:t>
      </w:r>
      <w:r>
        <w:rPr>
          <w:sz w:val="21"/>
        </w:rPr>
        <w:t>2017</w:t>
      </w:r>
      <w:r>
        <w:rPr>
          <w:spacing w:val="-53"/>
          <w:sz w:val="21"/>
        </w:rPr>
        <w:t> </w:t>
      </w:r>
      <w:r>
        <w:rPr>
          <w:sz w:val="21"/>
        </w:rPr>
        <w:t>年</w:t>
      </w:r>
      <w:r>
        <w:rPr>
          <w:spacing w:val="-55"/>
          <w:sz w:val="21"/>
        </w:rPr>
        <w:t> </w:t>
      </w:r>
      <w:r>
        <w:rPr>
          <w:sz w:val="21"/>
        </w:rPr>
        <w:t>9</w:t>
      </w:r>
      <w:r>
        <w:rPr>
          <w:spacing w:val="-53"/>
          <w:sz w:val="21"/>
        </w:rPr>
        <w:t> </w:t>
      </w:r>
      <w:r>
        <w:rPr>
          <w:sz w:val="21"/>
        </w:rPr>
        <w:t>月</w:t>
      </w:r>
      <w:r>
        <w:rPr>
          <w:spacing w:val="-55"/>
          <w:sz w:val="21"/>
        </w:rPr>
        <w:t> </w:t>
      </w:r>
      <w:r>
        <w:rPr>
          <w:sz w:val="21"/>
        </w:rPr>
        <w:t>1</w:t>
      </w:r>
      <w:r>
        <w:rPr>
          <w:spacing w:val="-53"/>
          <w:sz w:val="21"/>
        </w:rPr>
        <w:t> </w:t>
      </w:r>
      <w:r>
        <w:rPr>
          <w:sz w:val="21"/>
        </w:rPr>
        <w:t>日至</w:t>
      </w:r>
      <w:r>
        <w:rPr>
          <w:spacing w:val="-53"/>
          <w:sz w:val="21"/>
        </w:rPr>
        <w:t> </w:t>
      </w:r>
      <w:r>
        <w:rPr>
          <w:sz w:val="21"/>
        </w:rPr>
        <w:t>2018</w:t>
      </w:r>
      <w:r>
        <w:rPr>
          <w:spacing w:val="-52"/>
          <w:sz w:val="21"/>
        </w:rPr>
        <w:t> </w:t>
      </w:r>
      <w:r>
        <w:rPr>
          <w:sz w:val="21"/>
        </w:rPr>
        <w:t>年</w:t>
      </w:r>
      <w:r>
        <w:rPr>
          <w:spacing w:val="-53"/>
          <w:sz w:val="21"/>
        </w:rPr>
        <w:t> </w:t>
      </w:r>
      <w:r>
        <w:rPr>
          <w:sz w:val="21"/>
        </w:rPr>
        <w:t>8</w:t>
      </w:r>
      <w:r>
        <w:rPr>
          <w:spacing w:val="-55"/>
          <w:sz w:val="21"/>
        </w:rPr>
        <w:t> </w:t>
      </w:r>
      <w:r>
        <w:rPr>
          <w:sz w:val="21"/>
        </w:rPr>
        <w:t>月</w:t>
      </w:r>
      <w:r>
        <w:rPr>
          <w:spacing w:val="-53"/>
          <w:sz w:val="21"/>
        </w:rPr>
        <w:t> </w:t>
      </w:r>
      <w:r>
        <w:rPr>
          <w:sz w:val="21"/>
        </w:rPr>
        <w:t>31</w:t>
      </w:r>
      <w:r>
        <w:rPr>
          <w:spacing w:val="-53"/>
          <w:sz w:val="21"/>
        </w:rPr>
        <w:t> </w:t>
      </w:r>
      <w:r>
        <w:rPr>
          <w:sz w:val="21"/>
        </w:rPr>
        <w:t>日保单年度数为</w:t>
      </w:r>
      <w:r>
        <w:rPr>
          <w:spacing w:val="-52"/>
          <w:sz w:val="21"/>
        </w:rPr>
        <w:t> </w:t>
      </w:r>
      <w:r>
        <w:rPr>
          <w:sz w:val="21"/>
        </w:rPr>
        <w:t>1，自</w:t>
      </w:r>
      <w:r>
        <w:rPr>
          <w:spacing w:val="-53"/>
          <w:sz w:val="21"/>
        </w:rPr>
        <w:t> </w:t>
      </w:r>
      <w:r>
        <w:rPr>
          <w:sz w:val="21"/>
        </w:rPr>
        <w:t>2018</w:t>
      </w:r>
      <w:r>
        <w:rPr>
          <w:spacing w:val="-53"/>
          <w:sz w:val="21"/>
        </w:rPr>
        <w:t> </w:t>
      </w:r>
      <w:r>
        <w:rPr>
          <w:sz w:val="21"/>
        </w:rPr>
        <w:t>年</w:t>
      </w:r>
      <w:r>
        <w:rPr>
          <w:spacing w:val="-55"/>
          <w:sz w:val="21"/>
        </w:rPr>
        <w:t> </w:t>
      </w:r>
      <w:r>
        <w:rPr>
          <w:sz w:val="21"/>
        </w:rPr>
        <w:t>9</w:t>
      </w:r>
      <w:r>
        <w:rPr>
          <w:spacing w:val="-53"/>
          <w:sz w:val="21"/>
        </w:rPr>
        <w:t> </w:t>
      </w:r>
      <w:r>
        <w:rPr>
          <w:sz w:val="21"/>
        </w:rPr>
        <w:t>月</w:t>
      </w:r>
      <w:r>
        <w:rPr>
          <w:spacing w:val="-55"/>
          <w:sz w:val="21"/>
        </w:rPr>
        <w:t> </w:t>
      </w:r>
      <w:r>
        <w:rPr>
          <w:sz w:val="21"/>
        </w:rPr>
        <w:t>1</w:t>
      </w:r>
      <w:r>
        <w:rPr>
          <w:spacing w:val="-53"/>
          <w:sz w:val="21"/>
        </w:rPr>
        <w:t> </w:t>
      </w:r>
      <w:r>
        <w:rPr>
          <w:sz w:val="21"/>
        </w:rPr>
        <w:t>日</w:t>
      </w:r>
      <w:r>
        <w:rPr>
          <w:sz w:val="21"/>
        </w:rPr>
        <w:t>至</w:t>
      </w:r>
      <w:r>
        <w:rPr>
          <w:sz w:val="21"/>
        </w:rPr>
        <w:t> 2019</w:t>
      </w:r>
      <w:r>
        <w:rPr>
          <w:spacing w:val="-28"/>
          <w:sz w:val="21"/>
        </w:rPr>
        <w:t> </w:t>
      </w:r>
      <w:r>
        <w:rPr>
          <w:sz w:val="21"/>
        </w:rPr>
        <w:t>年</w:t>
      </w:r>
      <w:r>
        <w:rPr>
          <w:spacing w:val="-25"/>
          <w:sz w:val="21"/>
        </w:rPr>
        <w:t> </w:t>
      </w:r>
      <w:r>
        <w:rPr>
          <w:sz w:val="21"/>
        </w:rPr>
        <w:t>8</w:t>
      </w:r>
      <w:r>
        <w:rPr>
          <w:spacing w:val="-28"/>
          <w:sz w:val="21"/>
        </w:rPr>
        <w:t> </w:t>
      </w:r>
      <w:r>
        <w:rPr>
          <w:sz w:val="21"/>
        </w:rPr>
        <w:t>月</w:t>
      </w:r>
      <w:r>
        <w:rPr>
          <w:spacing w:val="-25"/>
          <w:sz w:val="21"/>
        </w:rPr>
        <w:t> </w:t>
      </w:r>
      <w:r>
        <w:rPr>
          <w:sz w:val="21"/>
        </w:rPr>
        <w:t>31</w:t>
      </w:r>
      <w:r>
        <w:rPr>
          <w:spacing w:val="-28"/>
          <w:sz w:val="21"/>
        </w:rPr>
        <w:t> </w:t>
      </w:r>
      <w:r>
        <w:rPr>
          <w:sz w:val="21"/>
        </w:rPr>
        <w:t>日保单年度数为</w:t>
      </w:r>
      <w:r>
        <w:rPr>
          <w:spacing w:val="-25"/>
          <w:sz w:val="21"/>
        </w:rPr>
        <w:t> </w:t>
      </w:r>
      <w:r>
        <w:rPr>
          <w:sz w:val="21"/>
        </w:rPr>
        <w:t>2，后续年度以此</w:t>
      </w:r>
      <w:r>
        <w:rPr>
          <w:sz w:val="21"/>
        </w:rPr>
        <w:t>类推。</w:t>
      </w:r>
    </w:p>
    <w:p>
      <w:pPr>
        <w:spacing w:after="0" w:line="312" w:lineRule="exact"/>
        <w:jc w:val="left"/>
        <w:rPr>
          <w:sz w:val="21"/>
        </w:rPr>
        <w:sectPr>
          <w:pgSz w:w="11910" w:h="16840"/>
          <w:pgMar w:top="1340" w:bottom="280" w:left="800" w:right="700"/>
        </w:sect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8"/>
        <w:gridCol w:w="1898"/>
        <w:gridCol w:w="7424"/>
      </w:tblGrid>
      <w:tr>
        <w:trPr>
          <w:trHeight w:val="707" w:hRule="atLeast"/>
        </w:trPr>
        <w:tc>
          <w:tcPr>
            <w:tcW w:w="738" w:type="dxa"/>
          </w:tcPr>
          <w:p>
            <w:pPr>
              <w:pStyle w:val="TableParagraph"/>
              <w:spacing w:line="282" w:lineRule="exact"/>
              <w:ind w:left="50"/>
              <w:rPr>
                <w:rFonts w:ascii="Microsoft JhengHei"/>
                <w:b/>
                <w:sz w:val="21"/>
              </w:rPr>
            </w:pPr>
            <w:r>
              <w:rPr>
                <w:rFonts w:ascii="Microsoft JhengHei"/>
                <w:b/>
                <w:spacing w:val="-5"/>
                <w:w w:val="105"/>
                <w:sz w:val="21"/>
              </w:rPr>
              <w:t>9.8</w:t>
            </w:r>
          </w:p>
        </w:tc>
        <w:tc>
          <w:tcPr>
            <w:tcW w:w="1898" w:type="dxa"/>
          </w:tcPr>
          <w:p>
            <w:pPr>
              <w:pStyle w:val="TableParagraph"/>
              <w:spacing w:line="313" w:lineRule="exact"/>
              <w:ind w:left="265"/>
              <w:rPr>
                <w:rFonts w:ascii="Microsoft JhengHei" w:eastAsia="Microsoft JhengHei"/>
                <w:b/>
                <w:sz w:val="21"/>
              </w:rPr>
            </w:pPr>
            <w:r>
              <w:rPr>
                <w:rFonts w:ascii="Microsoft JhengHei" w:eastAsia="Microsoft JhengHei"/>
                <w:b/>
                <w:spacing w:val="-2"/>
                <w:sz w:val="21"/>
              </w:rPr>
              <w:t>交费年期数</w:t>
            </w:r>
          </w:p>
        </w:tc>
        <w:tc>
          <w:tcPr>
            <w:tcW w:w="7424" w:type="dxa"/>
          </w:tcPr>
          <w:p>
            <w:pPr>
              <w:pStyle w:val="TableParagraph"/>
              <w:spacing w:line="249" w:lineRule="exact"/>
              <w:ind w:left="153"/>
              <w:rPr>
                <w:sz w:val="21"/>
              </w:rPr>
            </w:pPr>
            <w:r>
              <w:rPr>
                <w:spacing w:val="-1"/>
                <w:sz w:val="21"/>
              </w:rPr>
              <w:t>指保险单中约定的交付保险费期限的数值。若交费方式为一次性交付，则交费</w:t>
            </w:r>
          </w:p>
          <w:p>
            <w:pPr>
              <w:pStyle w:val="TableParagraph"/>
              <w:spacing w:before="74"/>
              <w:ind w:left="153"/>
              <w:rPr>
                <w:sz w:val="21"/>
              </w:rPr>
            </w:pPr>
            <w:r>
              <w:rPr>
                <w:spacing w:val="-12"/>
                <w:sz w:val="21"/>
              </w:rPr>
              <w:t>年期数为 </w:t>
            </w:r>
            <w:r>
              <w:rPr>
                <w:spacing w:val="-2"/>
                <w:sz w:val="21"/>
              </w:rPr>
              <w:t>1</w:t>
            </w:r>
            <w:r>
              <w:rPr>
                <w:spacing w:val="-10"/>
                <w:sz w:val="21"/>
              </w:rPr>
              <w:t>。</w:t>
            </w:r>
          </w:p>
        </w:tc>
      </w:tr>
      <w:tr>
        <w:trPr>
          <w:trHeight w:val="437" w:hRule="atLeast"/>
        </w:trPr>
        <w:tc>
          <w:tcPr>
            <w:tcW w:w="738" w:type="dxa"/>
          </w:tcPr>
          <w:p>
            <w:pPr>
              <w:pStyle w:val="TableParagraph"/>
              <w:spacing w:line="384" w:lineRule="exact" w:before="34"/>
              <w:ind w:left="50"/>
              <w:rPr>
                <w:rFonts w:ascii="Microsoft JhengHei"/>
                <w:b/>
                <w:sz w:val="21"/>
              </w:rPr>
            </w:pPr>
            <w:r>
              <w:rPr>
                <w:rFonts w:ascii="Microsoft JhengHei"/>
                <w:b/>
                <w:spacing w:val="-5"/>
                <w:w w:val="105"/>
                <w:sz w:val="21"/>
              </w:rPr>
              <w:t>9.9</w:t>
            </w:r>
          </w:p>
        </w:tc>
        <w:tc>
          <w:tcPr>
            <w:tcW w:w="1898" w:type="dxa"/>
          </w:tcPr>
          <w:p>
            <w:pPr>
              <w:pStyle w:val="TableParagraph"/>
              <w:spacing w:line="353" w:lineRule="exact" w:before="65"/>
              <w:ind w:left="265"/>
              <w:rPr>
                <w:rFonts w:ascii="Microsoft JhengHei" w:eastAsia="Microsoft JhengHei"/>
                <w:b/>
                <w:sz w:val="21"/>
              </w:rPr>
            </w:pPr>
            <w:r>
              <w:rPr>
                <w:rFonts w:ascii="Microsoft JhengHei" w:eastAsia="Microsoft JhengHei"/>
                <w:b/>
                <w:spacing w:val="-3"/>
                <w:sz w:val="21"/>
              </w:rPr>
              <w:t>意外伤害</w:t>
            </w:r>
          </w:p>
        </w:tc>
        <w:tc>
          <w:tcPr>
            <w:tcW w:w="7424" w:type="dxa"/>
          </w:tcPr>
          <w:p>
            <w:pPr>
              <w:pStyle w:val="TableParagraph"/>
              <w:spacing w:before="117"/>
              <w:ind w:left="153"/>
              <w:rPr>
                <w:sz w:val="21"/>
              </w:rPr>
            </w:pPr>
            <w:r>
              <w:rPr>
                <w:spacing w:val="-3"/>
                <w:sz w:val="21"/>
              </w:rPr>
              <w:t>指以外来的、突发的、非本意的、非疾病的客观事件为直接且主要原因导致的</w:t>
            </w:r>
          </w:p>
        </w:tc>
      </w:tr>
      <w:tr>
        <w:trPr>
          <w:trHeight w:val="488"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23"/>
              <w:ind w:left="153"/>
              <w:rPr>
                <w:sz w:val="21"/>
              </w:rPr>
            </w:pPr>
            <w:r>
              <w:rPr>
                <w:spacing w:val="-3"/>
                <w:sz w:val="21"/>
              </w:rPr>
              <w:t>身体伤害。猝死、自杀以及自伤均不属于意外伤害。</w:t>
            </w:r>
          </w:p>
        </w:tc>
      </w:tr>
      <w:tr>
        <w:trPr>
          <w:trHeight w:val="607" w:hRule="atLeast"/>
        </w:trPr>
        <w:tc>
          <w:tcPr>
            <w:tcW w:w="738" w:type="dxa"/>
          </w:tcPr>
          <w:p>
            <w:pPr>
              <w:pStyle w:val="TableParagraph"/>
              <w:spacing w:before="115"/>
              <w:ind w:left="50"/>
              <w:rPr>
                <w:rFonts w:ascii="Microsoft JhengHei"/>
                <w:b/>
                <w:sz w:val="21"/>
              </w:rPr>
            </w:pPr>
            <w:r>
              <w:rPr>
                <w:rFonts w:ascii="Microsoft JhengHei"/>
                <w:b/>
                <w:spacing w:val="-4"/>
                <w:sz w:val="21"/>
              </w:rPr>
              <w:t>9.10</w:t>
            </w:r>
          </w:p>
        </w:tc>
        <w:tc>
          <w:tcPr>
            <w:tcW w:w="1898" w:type="dxa"/>
          </w:tcPr>
          <w:p>
            <w:pPr>
              <w:pStyle w:val="TableParagraph"/>
              <w:spacing w:before="146"/>
              <w:ind w:left="265"/>
              <w:rPr>
                <w:rFonts w:ascii="Microsoft JhengHei" w:eastAsia="Microsoft JhengHei"/>
                <w:b/>
                <w:sz w:val="21"/>
              </w:rPr>
            </w:pPr>
            <w:r>
              <w:rPr>
                <w:rFonts w:ascii="Microsoft JhengHei" w:eastAsia="Microsoft JhengHei"/>
                <w:b/>
                <w:spacing w:val="-3"/>
                <w:sz w:val="21"/>
              </w:rPr>
              <w:t>保险事故</w:t>
            </w:r>
          </w:p>
        </w:tc>
        <w:tc>
          <w:tcPr>
            <w:tcW w:w="7424" w:type="dxa"/>
          </w:tcPr>
          <w:p>
            <w:pPr>
              <w:pStyle w:val="TableParagraph"/>
              <w:spacing w:before="7"/>
              <w:rPr>
                <w:sz w:val="15"/>
              </w:rPr>
            </w:pPr>
          </w:p>
          <w:p>
            <w:pPr>
              <w:pStyle w:val="TableParagraph"/>
              <w:ind w:left="153"/>
              <w:rPr>
                <w:sz w:val="21"/>
              </w:rPr>
            </w:pPr>
            <w:r>
              <w:rPr>
                <w:spacing w:val="-3"/>
                <w:sz w:val="21"/>
              </w:rPr>
              <w:t>指本合同约定的保险责任范围内的事故。</w:t>
            </w:r>
          </w:p>
        </w:tc>
      </w:tr>
      <w:tr>
        <w:trPr>
          <w:trHeight w:val="445" w:hRule="atLeast"/>
        </w:trPr>
        <w:tc>
          <w:tcPr>
            <w:tcW w:w="738" w:type="dxa"/>
          </w:tcPr>
          <w:p>
            <w:pPr>
              <w:pStyle w:val="TableParagraph"/>
              <w:spacing w:line="384" w:lineRule="exact" w:before="41"/>
              <w:ind w:left="50"/>
              <w:rPr>
                <w:rFonts w:ascii="Microsoft JhengHei"/>
                <w:b/>
                <w:sz w:val="21"/>
              </w:rPr>
            </w:pPr>
            <w:r>
              <w:rPr>
                <w:rFonts w:ascii="Microsoft JhengHei"/>
                <w:b/>
                <w:spacing w:val="-4"/>
                <w:sz w:val="21"/>
              </w:rPr>
              <w:t>9.11</w:t>
            </w:r>
          </w:p>
        </w:tc>
        <w:tc>
          <w:tcPr>
            <w:tcW w:w="1898" w:type="dxa"/>
          </w:tcPr>
          <w:p>
            <w:pPr>
              <w:pStyle w:val="TableParagraph"/>
              <w:spacing w:line="353" w:lineRule="exact" w:before="72"/>
              <w:ind w:left="265"/>
              <w:rPr>
                <w:rFonts w:ascii="Microsoft JhengHei" w:eastAsia="Microsoft JhengHei"/>
                <w:b/>
                <w:sz w:val="21"/>
              </w:rPr>
            </w:pPr>
            <w:r>
              <w:rPr>
                <w:rFonts w:ascii="Microsoft JhengHei" w:eastAsia="Microsoft JhengHei"/>
                <w:b/>
                <w:spacing w:val="-5"/>
                <w:sz w:val="21"/>
              </w:rPr>
              <w:t>毒品</w:t>
            </w:r>
          </w:p>
        </w:tc>
        <w:tc>
          <w:tcPr>
            <w:tcW w:w="7424" w:type="dxa"/>
          </w:tcPr>
          <w:p>
            <w:pPr>
              <w:pStyle w:val="TableParagraph"/>
              <w:spacing w:before="125"/>
              <w:ind w:left="153"/>
              <w:rPr>
                <w:sz w:val="21"/>
              </w:rPr>
            </w:pPr>
            <w:r>
              <w:rPr>
                <w:spacing w:val="-4"/>
                <w:sz w:val="21"/>
              </w:rPr>
              <w:t>指鸦片、海洛因、甲基苯丙胺（冰毒</w:t>
            </w:r>
            <w:r>
              <w:rPr>
                <w:spacing w:val="-106"/>
                <w:sz w:val="21"/>
              </w:rPr>
              <w:t>）</w:t>
            </w:r>
            <w:r>
              <w:rPr>
                <w:spacing w:val="-5"/>
                <w:sz w:val="21"/>
              </w:rPr>
              <w:t>、吗啡、大麻、可卡因以及索赔当时政府</w:t>
            </w:r>
          </w:p>
        </w:tc>
      </w:tr>
      <w:tr>
        <w:trPr>
          <w:trHeight w:val="405"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23"/>
              <w:ind w:left="153"/>
              <w:rPr>
                <w:sz w:val="21"/>
              </w:rPr>
            </w:pPr>
            <w:r>
              <w:rPr>
                <w:spacing w:val="-7"/>
                <w:sz w:val="21"/>
              </w:rPr>
              <w:t>规定管制的其他能够使人形成瘾癖的麻醉药品和精神药品，。</w:t>
            </w:r>
          </w:p>
        </w:tc>
      </w:tr>
      <w:tr>
        <w:trPr>
          <w:trHeight w:val="436" w:hRule="atLeast"/>
        </w:trPr>
        <w:tc>
          <w:tcPr>
            <w:tcW w:w="738" w:type="dxa"/>
          </w:tcPr>
          <w:p>
            <w:pPr>
              <w:pStyle w:val="TableParagraph"/>
              <w:spacing w:line="384" w:lineRule="exact" w:before="32"/>
              <w:ind w:left="50"/>
              <w:rPr>
                <w:rFonts w:ascii="Microsoft JhengHei"/>
                <w:b/>
                <w:sz w:val="21"/>
              </w:rPr>
            </w:pPr>
            <w:r>
              <w:rPr>
                <w:rFonts w:ascii="Microsoft JhengHei"/>
                <w:b/>
                <w:spacing w:val="-4"/>
                <w:sz w:val="21"/>
              </w:rPr>
              <w:t>9.12</w:t>
            </w:r>
          </w:p>
        </w:tc>
        <w:tc>
          <w:tcPr>
            <w:tcW w:w="1898" w:type="dxa"/>
          </w:tcPr>
          <w:p>
            <w:pPr>
              <w:pStyle w:val="TableParagraph"/>
              <w:spacing w:line="353" w:lineRule="exact" w:before="64"/>
              <w:ind w:left="265"/>
              <w:rPr>
                <w:rFonts w:ascii="Microsoft JhengHei" w:eastAsia="Microsoft JhengHei"/>
                <w:b/>
                <w:sz w:val="21"/>
              </w:rPr>
            </w:pPr>
            <w:r>
              <w:rPr>
                <w:rFonts w:ascii="Microsoft JhengHei" w:eastAsia="Microsoft JhengHei"/>
                <w:b/>
                <w:spacing w:val="-3"/>
                <w:sz w:val="21"/>
              </w:rPr>
              <w:t>管制药品</w:t>
            </w:r>
          </w:p>
        </w:tc>
        <w:tc>
          <w:tcPr>
            <w:tcW w:w="7424" w:type="dxa"/>
          </w:tcPr>
          <w:p>
            <w:pPr>
              <w:pStyle w:val="TableParagraph"/>
              <w:spacing w:before="116"/>
              <w:ind w:left="153"/>
              <w:rPr>
                <w:sz w:val="21"/>
              </w:rPr>
            </w:pPr>
            <w:r>
              <w:rPr>
                <w:spacing w:val="-1"/>
                <w:sz w:val="21"/>
              </w:rPr>
              <w:t>指在索赔当时，根据《中华人民共和国药品管理法》及有关法规被列为特殊管</w:t>
            </w:r>
          </w:p>
        </w:tc>
      </w:tr>
      <w:tr>
        <w:trPr>
          <w:trHeight w:val="408"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22"/>
              <w:ind w:left="153"/>
              <w:rPr>
                <w:sz w:val="21"/>
              </w:rPr>
            </w:pPr>
            <w:r>
              <w:rPr>
                <w:spacing w:val="-3"/>
                <w:sz w:val="21"/>
              </w:rPr>
              <w:t>理的药品，包括麻醉药品、精神药品、毒性药品及放射性药品。</w:t>
            </w:r>
          </w:p>
        </w:tc>
      </w:tr>
      <w:tr>
        <w:trPr>
          <w:trHeight w:val="439" w:hRule="atLeast"/>
        </w:trPr>
        <w:tc>
          <w:tcPr>
            <w:tcW w:w="738" w:type="dxa"/>
          </w:tcPr>
          <w:p>
            <w:pPr>
              <w:pStyle w:val="TableParagraph"/>
              <w:spacing w:line="384" w:lineRule="exact" w:before="35"/>
              <w:ind w:left="50"/>
              <w:rPr>
                <w:rFonts w:ascii="Microsoft JhengHei"/>
                <w:b/>
                <w:sz w:val="21"/>
              </w:rPr>
            </w:pPr>
            <w:r>
              <w:rPr>
                <w:rFonts w:ascii="Microsoft JhengHei"/>
                <w:b/>
                <w:spacing w:val="-4"/>
                <w:sz w:val="21"/>
              </w:rPr>
              <w:t>9.13</w:t>
            </w:r>
          </w:p>
        </w:tc>
        <w:tc>
          <w:tcPr>
            <w:tcW w:w="1898" w:type="dxa"/>
          </w:tcPr>
          <w:p>
            <w:pPr>
              <w:pStyle w:val="TableParagraph"/>
              <w:spacing w:line="353" w:lineRule="exact" w:before="66"/>
              <w:ind w:left="265"/>
              <w:rPr>
                <w:rFonts w:ascii="Microsoft JhengHei" w:eastAsia="Microsoft JhengHei"/>
                <w:b/>
                <w:sz w:val="21"/>
              </w:rPr>
            </w:pPr>
            <w:r>
              <w:rPr>
                <w:rFonts w:ascii="Microsoft JhengHei" w:eastAsia="Microsoft JhengHei"/>
                <w:b/>
                <w:spacing w:val="-3"/>
                <w:sz w:val="21"/>
              </w:rPr>
              <w:t>酒后驾驶</w:t>
            </w:r>
          </w:p>
        </w:tc>
        <w:tc>
          <w:tcPr>
            <w:tcW w:w="7424" w:type="dxa"/>
          </w:tcPr>
          <w:p>
            <w:pPr>
              <w:pStyle w:val="TableParagraph"/>
              <w:spacing w:before="119"/>
              <w:ind w:left="153"/>
              <w:rPr>
                <w:sz w:val="21"/>
              </w:rPr>
            </w:pPr>
            <w:r>
              <w:rPr>
                <w:spacing w:val="-1"/>
                <w:sz w:val="21"/>
              </w:rPr>
              <w:t>指经检测或鉴定，发生事故时车辆驾驶人员每百毫升血液中的酒精含量达到或</w:t>
            </w:r>
          </w:p>
        </w:tc>
      </w:tr>
      <w:tr>
        <w:trPr>
          <w:trHeight w:val="334"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23"/>
              <w:ind w:left="153"/>
              <w:rPr>
                <w:sz w:val="21"/>
              </w:rPr>
            </w:pPr>
            <w:r>
              <w:rPr>
                <w:spacing w:val="-1"/>
                <w:sz w:val="21"/>
              </w:rPr>
              <w:t>超过一定的标准，公安机关交通管理部门依据《中华人民共和国道路交通安全</w:t>
            </w:r>
          </w:p>
        </w:tc>
      </w:tr>
      <w:tr>
        <w:trPr>
          <w:trHeight w:val="416"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31"/>
              <w:ind w:left="153"/>
              <w:rPr>
                <w:sz w:val="21"/>
              </w:rPr>
            </w:pPr>
            <w:r>
              <w:rPr>
                <w:spacing w:val="-3"/>
                <w:sz w:val="21"/>
              </w:rPr>
              <w:t>法》的规定认定为饮酒后驾驶或醉酒后驾驶。</w:t>
            </w:r>
          </w:p>
        </w:tc>
      </w:tr>
      <w:tr>
        <w:trPr>
          <w:trHeight w:val="463" w:hRule="atLeast"/>
        </w:trPr>
        <w:tc>
          <w:tcPr>
            <w:tcW w:w="738" w:type="dxa"/>
          </w:tcPr>
          <w:p>
            <w:pPr>
              <w:pStyle w:val="TableParagraph"/>
              <w:spacing w:before="35"/>
              <w:ind w:left="50"/>
              <w:rPr>
                <w:rFonts w:ascii="Microsoft JhengHei"/>
                <w:b/>
                <w:sz w:val="21"/>
              </w:rPr>
            </w:pPr>
            <w:r>
              <w:rPr>
                <w:rFonts w:ascii="Microsoft JhengHei"/>
                <w:b/>
                <w:spacing w:val="-4"/>
                <w:sz w:val="21"/>
              </w:rPr>
              <w:t>9.14</w:t>
            </w:r>
          </w:p>
        </w:tc>
        <w:tc>
          <w:tcPr>
            <w:tcW w:w="1898" w:type="dxa"/>
          </w:tcPr>
          <w:p>
            <w:pPr>
              <w:pStyle w:val="TableParagraph"/>
              <w:spacing w:line="377" w:lineRule="exact" w:before="66"/>
              <w:ind w:left="265"/>
              <w:rPr>
                <w:rFonts w:ascii="Microsoft JhengHei" w:eastAsia="Microsoft JhengHei"/>
                <w:b/>
                <w:sz w:val="21"/>
              </w:rPr>
            </w:pPr>
            <w:r>
              <w:rPr>
                <w:rFonts w:ascii="Microsoft JhengHei" w:eastAsia="Microsoft JhengHei"/>
                <w:b/>
                <w:spacing w:val="-4"/>
                <w:sz w:val="21"/>
              </w:rPr>
              <w:t>无合法有效驾驶</w:t>
            </w:r>
          </w:p>
        </w:tc>
        <w:tc>
          <w:tcPr>
            <w:tcW w:w="7424" w:type="dxa"/>
          </w:tcPr>
          <w:p>
            <w:pPr>
              <w:pStyle w:val="TableParagraph"/>
              <w:spacing w:before="104"/>
              <w:ind w:left="153"/>
              <w:rPr>
                <w:sz w:val="21"/>
              </w:rPr>
            </w:pPr>
            <w:r>
              <w:rPr>
                <w:spacing w:val="-4"/>
                <w:sz w:val="21"/>
              </w:rPr>
              <w:t>指下列情形之一：</w:t>
            </w:r>
          </w:p>
        </w:tc>
      </w:tr>
      <w:tr>
        <w:trPr>
          <w:trHeight w:val="564" w:hRule="atLeast"/>
        </w:trPr>
        <w:tc>
          <w:tcPr>
            <w:tcW w:w="738" w:type="dxa"/>
          </w:tcPr>
          <w:p>
            <w:pPr>
              <w:pStyle w:val="TableParagraph"/>
              <w:rPr>
                <w:rFonts w:ascii="Times New Roman"/>
                <w:sz w:val="20"/>
              </w:rPr>
            </w:pPr>
          </w:p>
        </w:tc>
        <w:tc>
          <w:tcPr>
            <w:tcW w:w="1898" w:type="dxa"/>
          </w:tcPr>
          <w:p>
            <w:pPr>
              <w:pStyle w:val="TableParagraph"/>
              <w:spacing w:line="364" w:lineRule="exact"/>
              <w:ind w:left="265"/>
              <w:rPr>
                <w:rFonts w:ascii="Microsoft JhengHei" w:eastAsia="Microsoft JhengHei"/>
                <w:b/>
                <w:sz w:val="21"/>
              </w:rPr>
            </w:pPr>
            <w:r>
              <w:rPr>
                <w:rFonts w:ascii="Microsoft JhengHei" w:eastAsia="Microsoft JhengHei"/>
                <w:b/>
                <w:spacing w:val="-4"/>
                <w:sz w:val="21"/>
              </w:rPr>
              <w:t>证驾驶</w:t>
            </w:r>
          </w:p>
        </w:tc>
        <w:tc>
          <w:tcPr>
            <w:tcW w:w="7424" w:type="dxa"/>
          </w:tcPr>
          <w:p>
            <w:pPr>
              <w:pStyle w:val="TableParagraph"/>
              <w:numPr>
                <w:ilvl w:val="0"/>
                <w:numId w:val="19"/>
              </w:numPr>
              <w:tabs>
                <w:tab w:pos="720" w:val="left" w:leader="none"/>
              </w:tabs>
              <w:spacing w:line="222" w:lineRule="exact" w:before="0" w:after="0"/>
              <w:ind w:left="719" w:right="0" w:hanging="567"/>
              <w:jc w:val="left"/>
              <w:rPr>
                <w:sz w:val="21"/>
              </w:rPr>
            </w:pPr>
            <w:r>
              <w:rPr>
                <w:spacing w:val="-4"/>
                <w:sz w:val="21"/>
              </w:rPr>
              <w:t>没有驾驶证驾驶；</w:t>
            </w:r>
          </w:p>
          <w:p>
            <w:pPr>
              <w:pStyle w:val="TableParagraph"/>
              <w:numPr>
                <w:ilvl w:val="0"/>
                <w:numId w:val="19"/>
              </w:numPr>
              <w:tabs>
                <w:tab w:pos="720" w:val="left" w:leader="none"/>
              </w:tabs>
              <w:spacing w:line="240" w:lineRule="auto" w:before="43" w:after="0"/>
              <w:ind w:left="719" w:right="0" w:hanging="567"/>
              <w:jc w:val="left"/>
              <w:rPr>
                <w:sz w:val="21"/>
              </w:rPr>
            </w:pPr>
            <w:r>
              <w:rPr>
                <w:spacing w:val="-3"/>
                <w:sz w:val="21"/>
              </w:rPr>
              <w:t>驾驶与驾驶证准驾车型不相符合的车辆；</w:t>
            </w:r>
          </w:p>
        </w:tc>
      </w:tr>
      <w:tr>
        <w:trPr>
          <w:trHeight w:val="312"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13"/>
              <w:ind w:left="153"/>
              <w:rPr>
                <w:sz w:val="21"/>
              </w:rPr>
            </w:pPr>
            <w:r>
              <w:rPr>
                <w:spacing w:val="-2"/>
                <w:sz w:val="21"/>
              </w:rPr>
              <w:t>（</w:t>
            </w:r>
            <w:r>
              <w:rPr>
                <w:rFonts w:ascii="Arial" w:eastAsia="Arial"/>
                <w:spacing w:val="-2"/>
                <w:sz w:val="21"/>
              </w:rPr>
              <w:t>3</w:t>
            </w:r>
            <w:r>
              <w:rPr>
                <w:spacing w:val="-2"/>
                <w:sz w:val="21"/>
              </w:rPr>
              <w:t>）</w:t>
            </w:r>
            <w:r>
              <w:rPr>
                <w:spacing w:val="-10"/>
                <w:sz w:val="21"/>
              </w:rPr>
              <w:t> 驾驶员持审验不合格的驾驶证驾驶；</w:t>
            </w:r>
          </w:p>
        </w:tc>
      </w:tr>
      <w:tr>
        <w:trPr>
          <w:trHeight w:val="312"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13"/>
              <w:ind w:left="153"/>
              <w:rPr>
                <w:sz w:val="21"/>
              </w:rPr>
            </w:pPr>
            <w:r>
              <w:rPr>
                <w:spacing w:val="-2"/>
                <w:sz w:val="21"/>
              </w:rPr>
              <w:t>（</w:t>
            </w:r>
            <w:r>
              <w:rPr>
                <w:rFonts w:ascii="Arial" w:eastAsia="Arial"/>
                <w:spacing w:val="-2"/>
                <w:sz w:val="21"/>
              </w:rPr>
              <w:t>4</w:t>
            </w:r>
            <w:r>
              <w:rPr>
                <w:spacing w:val="-2"/>
                <w:sz w:val="21"/>
              </w:rPr>
              <w:t>）</w:t>
            </w:r>
            <w:r>
              <w:rPr>
                <w:spacing w:val="-10"/>
                <w:sz w:val="21"/>
              </w:rPr>
              <w:t> 未经公安交通管理部门同意，持未审验的驾驶证驾驶；</w:t>
            </w:r>
          </w:p>
        </w:tc>
      </w:tr>
      <w:tr>
        <w:trPr>
          <w:trHeight w:val="273"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line="241" w:lineRule="exact" w:before="13"/>
              <w:ind w:left="153"/>
              <w:rPr>
                <w:sz w:val="21"/>
              </w:rPr>
            </w:pPr>
            <w:r>
              <w:rPr>
                <w:spacing w:val="-4"/>
                <w:sz w:val="21"/>
              </w:rPr>
              <w:t>（</w:t>
            </w:r>
            <w:r>
              <w:rPr>
                <w:rFonts w:ascii="Arial" w:eastAsia="Arial"/>
                <w:spacing w:val="-4"/>
                <w:sz w:val="21"/>
              </w:rPr>
              <w:t>5</w:t>
            </w:r>
            <w:r>
              <w:rPr>
                <w:spacing w:val="-4"/>
                <w:sz w:val="21"/>
              </w:rPr>
              <w:t>）</w:t>
            </w:r>
            <w:r>
              <w:rPr>
                <w:spacing w:val="-12"/>
                <w:sz w:val="21"/>
              </w:rPr>
              <w:t> 持学习驾驶证学习驾车时，无教练员随车指导，或不按指定时间、路线学</w:t>
            </w:r>
          </w:p>
        </w:tc>
      </w:tr>
      <w:tr>
        <w:trPr>
          <w:trHeight w:val="296"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line="226" w:lineRule="exact" w:before="51"/>
              <w:ind w:left="719"/>
              <w:rPr>
                <w:sz w:val="21"/>
              </w:rPr>
            </w:pPr>
            <w:r>
              <w:rPr>
                <w:spacing w:val="-4"/>
                <w:sz w:val="21"/>
              </w:rPr>
              <w:t>习驾车；</w:t>
            </w:r>
          </w:p>
        </w:tc>
      </w:tr>
      <w:tr>
        <w:trPr>
          <w:trHeight w:val="449"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66"/>
              <w:ind w:left="153"/>
              <w:rPr>
                <w:sz w:val="21"/>
              </w:rPr>
            </w:pPr>
            <w:r>
              <w:rPr>
                <w:spacing w:val="-2"/>
                <w:sz w:val="21"/>
              </w:rPr>
              <w:t>（</w:t>
            </w:r>
            <w:r>
              <w:rPr>
                <w:rFonts w:ascii="Arial" w:eastAsia="Arial"/>
                <w:spacing w:val="-2"/>
                <w:sz w:val="21"/>
              </w:rPr>
              <w:t>6</w:t>
            </w:r>
            <w:r>
              <w:rPr>
                <w:spacing w:val="-2"/>
                <w:sz w:val="21"/>
              </w:rPr>
              <w:t>）</w:t>
            </w:r>
            <w:r>
              <w:rPr>
                <w:spacing w:val="-10"/>
                <w:sz w:val="21"/>
              </w:rPr>
              <w:t> 公安交通管理部门规定的其他无有效驾驶证驾驶的情况。</w:t>
            </w:r>
          </w:p>
        </w:tc>
      </w:tr>
      <w:tr>
        <w:trPr>
          <w:trHeight w:val="414" w:hRule="atLeast"/>
        </w:trPr>
        <w:tc>
          <w:tcPr>
            <w:tcW w:w="738" w:type="dxa"/>
          </w:tcPr>
          <w:p>
            <w:pPr>
              <w:pStyle w:val="TableParagraph"/>
              <w:spacing w:line="377" w:lineRule="exact" w:before="18"/>
              <w:ind w:left="50"/>
              <w:rPr>
                <w:rFonts w:ascii="Microsoft JhengHei"/>
                <w:b/>
                <w:sz w:val="21"/>
              </w:rPr>
            </w:pPr>
            <w:r>
              <w:rPr>
                <w:rFonts w:ascii="Microsoft JhengHei"/>
                <w:b/>
                <w:spacing w:val="-4"/>
                <w:sz w:val="21"/>
              </w:rPr>
              <w:t>9.15</w:t>
            </w:r>
          </w:p>
        </w:tc>
        <w:tc>
          <w:tcPr>
            <w:tcW w:w="1898" w:type="dxa"/>
          </w:tcPr>
          <w:p>
            <w:pPr>
              <w:pStyle w:val="TableParagraph"/>
              <w:spacing w:line="346" w:lineRule="exact" w:before="49"/>
              <w:ind w:left="265"/>
              <w:rPr>
                <w:rFonts w:ascii="Microsoft JhengHei" w:eastAsia="Microsoft JhengHei"/>
                <w:b/>
                <w:sz w:val="21"/>
              </w:rPr>
            </w:pPr>
            <w:r>
              <w:rPr>
                <w:rFonts w:ascii="Microsoft JhengHei" w:eastAsia="Microsoft JhengHei"/>
                <w:b/>
                <w:spacing w:val="-2"/>
                <w:sz w:val="21"/>
              </w:rPr>
              <w:t>无有效行驶证</w:t>
            </w:r>
          </w:p>
        </w:tc>
        <w:tc>
          <w:tcPr>
            <w:tcW w:w="7424" w:type="dxa"/>
          </w:tcPr>
          <w:p>
            <w:pPr>
              <w:pStyle w:val="TableParagraph"/>
              <w:spacing w:before="101"/>
              <w:ind w:left="153"/>
              <w:rPr>
                <w:sz w:val="21"/>
              </w:rPr>
            </w:pPr>
            <w:r>
              <w:rPr>
                <w:spacing w:val="-4"/>
                <w:sz w:val="21"/>
              </w:rPr>
              <w:t>指下列情形之一：</w:t>
            </w:r>
          </w:p>
        </w:tc>
      </w:tr>
      <w:tr>
        <w:trPr>
          <w:trHeight w:val="312"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15"/>
              <w:ind w:left="153"/>
              <w:rPr>
                <w:sz w:val="21"/>
              </w:rPr>
            </w:pPr>
            <w:r>
              <w:rPr>
                <w:sz w:val="21"/>
              </w:rPr>
              <w:t>（1）</w:t>
            </w:r>
            <w:r>
              <w:rPr>
                <w:spacing w:val="4"/>
                <w:sz w:val="21"/>
              </w:rPr>
              <w:t> 没有机动车行驶证；</w:t>
            </w:r>
          </w:p>
        </w:tc>
      </w:tr>
      <w:tr>
        <w:trPr>
          <w:trHeight w:val="392"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15"/>
              <w:ind w:left="153"/>
              <w:rPr>
                <w:sz w:val="21"/>
              </w:rPr>
            </w:pPr>
            <w:r>
              <w:rPr>
                <w:sz w:val="21"/>
              </w:rPr>
              <w:t>（2）</w:t>
            </w:r>
            <w:r>
              <w:rPr>
                <w:spacing w:val="-1"/>
                <w:sz w:val="21"/>
              </w:rPr>
              <w:t> 未在法律规定期限内按时进行或通过安全技术检验。</w:t>
            </w:r>
          </w:p>
        </w:tc>
      </w:tr>
      <w:tr>
        <w:trPr>
          <w:trHeight w:val="407" w:hRule="atLeast"/>
        </w:trPr>
        <w:tc>
          <w:tcPr>
            <w:tcW w:w="738" w:type="dxa"/>
          </w:tcPr>
          <w:p>
            <w:pPr>
              <w:pStyle w:val="TableParagraph"/>
              <w:spacing w:line="361" w:lineRule="exact" w:before="26"/>
              <w:ind w:left="50"/>
              <w:rPr>
                <w:rFonts w:ascii="Microsoft JhengHei"/>
                <w:b/>
                <w:sz w:val="21"/>
              </w:rPr>
            </w:pPr>
            <w:r>
              <w:rPr>
                <w:rFonts w:ascii="Microsoft JhengHei"/>
                <w:b/>
                <w:spacing w:val="-4"/>
                <w:sz w:val="21"/>
              </w:rPr>
              <w:t>9.16</w:t>
            </w:r>
          </w:p>
        </w:tc>
        <w:tc>
          <w:tcPr>
            <w:tcW w:w="1898" w:type="dxa"/>
          </w:tcPr>
          <w:p>
            <w:pPr>
              <w:pStyle w:val="TableParagraph"/>
              <w:spacing w:line="330" w:lineRule="exact" w:before="58"/>
              <w:ind w:left="265"/>
              <w:rPr>
                <w:rFonts w:ascii="Microsoft JhengHei" w:eastAsia="Microsoft JhengHei"/>
                <w:b/>
                <w:sz w:val="21"/>
              </w:rPr>
            </w:pPr>
            <w:r>
              <w:rPr>
                <w:rFonts w:ascii="Microsoft JhengHei" w:eastAsia="Microsoft JhengHei"/>
                <w:b/>
                <w:spacing w:val="-4"/>
                <w:sz w:val="21"/>
              </w:rPr>
              <w:t>机动车</w:t>
            </w:r>
          </w:p>
        </w:tc>
        <w:tc>
          <w:tcPr>
            <w:tcW w:w="7424" w:type="dxa"/>
          </w:tcPr>
          <w:p>
            <w:pPr>
              <w:pStyle w:val="TableParagraph"/>
              <w:spacing w:before="96"/>
              <w:ind w:left="153"/>
              <w:rPr>
                <w:sz w:val="21"/>
              </w:rPr>
            </w:pPr>
            <w:r>
              <w:rPr>
                <w:spacing w:val="-3"/>
                <w:sz w:val="21"/>
              </w:rPr>
              <w:t>指以动力装置驱动或者牵引，上道路行驶的供人员乘用或用于运送物品以及进</w:t>
            </w:r>
          </w:p>
        </w:tc>
      </w:tr>
      <w:tr>
        <w:trPr>
          <w:trHeight w:val="376"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ind w:left="153"/>
              <w:rPr>
                <w:sz w:val="21"/>
              </w:rPr>
            </w:pPr>
            <w:r>
              <w:rPr>
                <w:spacing w:val="-3"/>
                <w:sz w:val="21"/>
              </w:rPr>
              <w:t>行工程专项作业的轮式车辆。</w:t>
            </w:r>
          </w:p>
        </w:tc>
      </w:tr>
      <w:tr>
        <w:trPr>
          <w:trHeight w:val="430" w:hRule="atLeast"/>
        </w:trPr>
        <w:tc>
          <w:tcPr>
            <w:tcW w:w="738" w:type="dxa"/>
          </w:tcPr>
          <w:p>
            <w:pPr>
              <w:pStyle w:val="TableParagraph"/>
              <w:spacing w:line="384" w:lineRule="exact" w:before="26"/>
              <w:ind w:left="50"/>
              <w:rPr>
                <w:rFonts w:ascii="Microsoft JhengHei"/>
                <w:b/>
                <w:sz w:val="21"/>
              </w:rPr>
            </w:pPr>
            <w:r>
              <w:rPr>
                <w:rFonts w:ascii="Microsoft JhengHei"/>
                <w:b/>
                <w:spacing w:val="-4"/>
                <w:sz w:val="21"/>
              </w:rPr>
              <w:t>9.17</w:t>
            </w:r>
          </w:p>
        </w:tc>
        <w:tc>
          <w:tcPr>
            <w:tcW w:w="1898" w:type="dxa"/>
          </w:tcPr>
          <w:p>
            <w:pPr>
              <w:pStyle w:val="TableParagraph"/>
              <w:spacing w:line="353" w:lineRule="exact" w:before="58"/>
              <w:ind w:left="265"/>
              <w:rPr>
                <w:rFonts w:ascii="Microsoft JhengHei" w:eastAsia="Microsoft JhengHei"/>
                <w:b/>
                <w:sz w:val="21"/>
              </w:rPr>
            </w:pPr>
            <w:r>
              <w:rPr>
                <w:rFonts w:ascii="Microsoft JhengHei" w:eastAsia="Microsoft JhengHei"/>
                <w:b/>
                <w:spacing w:val="-2"/>
                <w:sz w:val="21"/>
              </w:rPr>
              <w:t>助动交通工具</w:t>
            </w:r>
          </w:p>
        </w:tc>
        <w:tc>
          <w:tcPr>
            <w:tcW w:w="7424" w:type="dxa"/>
          </w:tcPr>
          <w:p>
            <w:pPr>
              <w:pStyle w:val="TableParagraph"/>
              <w:spacing w:before="110"/>
              <w:ind w:left="153"/>
              <w:rPr>
                <w:sz w:val="21"/>
              </w:rPr>
            </w:pPr>
            <w:r>
              <w:rPr>
                <w:spacing w:val="-1"/>
                <w:sz w:val="21"/>
              </w:rPr>
              <w:t>指依照行驶当地公安部门的有关规定须办理驾驶许可证、照，行驶许可证、照</w:t>
            </w:r>
          </w:p>
        </w:tc>
      </w:tr>
      <w:tr>
        <w:trPr>
          <w:trHeight w:val="406"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23"/>
              <w:ind w:left="153"/>
              <w:rPr>
                <w:sz w:val="21"/>
              </w:rPr>
            </w:pPr>
            <w:r>
              <w:rPr>
                <w:spacing w:val="-3"/>
                <w:sz w:val="21"/>
              </w:rPr>
              <w:t>或其他相应准驶证、照的助动交通工具。</w:t>
            </w:r>
          </w:p>
        </w:tc>
      </w:tr>
      <w:tr>
        <w:trPr>
          <w:trHeight w:val="438" w:hRule="atLeast"/>
        </w:trPr>
        <w:tc>
          <w:tcPr>
            <w:tcW w:w="738" w:type="dxa"/>
          </w:tcPr>
          <w:p>
            <w:pPr>
              <w:pStyle w:val="TableParagraph"/>
              <w:spacing w:line="384" w:lineRule="exact" w:before="34"/>
              <w:ind w:left="50"/>
              <w:rPr>
                <w:rFonts w:ascii="Microsoft JhengHei"/>
                <w:b/>
                <w:sz w:val="21"/>
              </w:rPr>
            </w:pPr>
            <w:r>
              <w:rPr>
                <w:rFonts w:ascii="Microsoft JhengHei"/>
                <w:b/>
                <w:spacing w:val="-4"/>
                <w:sz w:val="21"/>
              </w:rPr>
              <w:t>9.18</w:t>
            </w:r>
          </w:p>
        </w:tc>
        <w:tc>
          <w:tcPr>
            <w:tcW w:w="1898" w:type="dxa"/>
          </w:tcPr>
          <w:p>
            <w:pPr>
              <w:pStyle w:val="TableParagraph"/>
              <w:spacing w:line="353" w:lineRule="exact" w:before="65"/>
              <w:ind w:left="265"/>
              <w:rPr>
                <w:rFonts w:ascii="Microsoft JhengHei" w:eastAsia="Microsoft JhengHei"/>
                <w:b/>
                <w:sz w:val="21"/>
              </w:rPr>
            </w:pPr>
            <w:r>
              <w:rPr>
                <w:rFonts w:ascii="Microsoft JhengHei" w:eastAsia="Microsoft JhengHei"/>
                <w:b/>
                <w:spacing w:val="-3"/>
                <w:sz w:val="21"/>
              </w:rPr>
              <w:t>恐怖活动</w:t>
            </w:r>
          </w:p>
        </w:tc>
        <w:tc>
          <w:tcPr>
            <w:tcW w:w="7424" w:type="dxa"/>
          </w:tcPr>
          <w:p>
            <w:pPr>
              <w:pStyle w:val="TableParagraph"/>
              <w:spacing w:before="117"/>
              <w:ind w:left="153"/>
              <w:rPr>
                <w:sz w:val="21"/>
              </w:rPr>
            </w:pPr>
            <w:r>
              <w:rPr>
                <w:spacing w:val="-1"/>
                <w:sz w:val="21"/>
              </w:rPr>
              <w:t>指恐怖分子制造的任何危害社会稳定、危及人的生命及财产安全的一切形式的</w:t>
            </w:r>
          </w:p>
        </w:tc>
      </w:tr>
      <w:tr>
        <w:trPr>
          <w:trHeight w:val="335"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23"/>
              <w:ind w:left="153"/>
              <w:rPr>
                <w:sz w:val="21"/>
              </w:rPr>
            </w:pPr>
            <w:r>
              <w:rPr>
                <w:sz w:val="21"/>
              </w:rPr>
              <w:t>活动，通常表现为爆炸、袭击、劫持（绑架）</w:t>
            </w:r>
            <w:r>
              <w:rPr>
                <w:spacing w:val="-1"/>
                <w:sz w:val="21"/>
              </w:rPr>
              <w:t>、投放危险物质、放火等形式，</w:t>
            </w:r>
          </w:p>
        </w:tc>
      </w:tr>
      <w:tr>
        <w:trPr>
          <w:trHeight w:val="416" w:hRule="atLeast"/>
        </w:trPr>
        <w:tc>
          <w:tcPr>
            <w:tcW w:w="738" w:type="dxa"/>
          </w:tcPr>
          <w:p>
            <w:pPr>
              <w:pStyle w:val="TableParagraph"/>
              <w:rPr>
                <w:rFonts w:ascii="Times New Roman"/>
                <w:sz w:val="20"/>
              </w:rPr>
            </w:pPr>
          </w:p>
        </w:tc>
        <w:tc>
          <w:tcPr>
            <w:tcW w:w="1898" w:type="dxa"/>
          </w:tcPr>
          <w:p>
            <w:pPr>
              <w:pStyle w:val="TableParagraph"/>
              <w:rPr>
                <w:rFonts w:ascii="Times New Roman"/>
                <w:sz w:val="20"/>
              </w:rPr>
            </w:pPr>
          </w:p>
        </w:tc>
        <w:tc>
          <w:tcPr>
            <w:tcW w:w="7424" w:type="dxa"/>
          </w:tcPr>
          <w:p>
            <w:pPr>
              <w:pStyle w:val="TableParagraph"/>
              <w:spacing w:before="31"/>
              <w:ind w:left="153"/>
              <w:rPr>
                <w:sz w:val="21"/>
              </w:rPr>
            </w:pPr>
            <w:r>
              <w:rPr>
                <w:spacing w:val="-3"/>
                <w:sz w:val="21"/>
              </w:rPr>
              <w:t>与恐怖活动相关的事件通常称为“恐怖事件”、“恐怖袭击”等。</w:t>
            </w:r>
          </w:p>
        </w:tc>
      </w:tr>
      <w:tr>
        <w:trPr>
          <w:trHeight w:val="527" w:hRule="atLeast"/>
        </w:trPr>
        <w:tc>
          <w:tcPr>
            <w:tcW w:w="738" w:type="dxa"/>
          </w:tcPr>
          <w:p>
            <w:pPr>
              <w:pStyle w:val="TableParagraph"/>
              <w:spacing w:before="35"/>
              <w:ind w:left="50"/>
              <w:rPr>
                <w:rFonts w:ascii="Microsoft JhengHei"/>
                <w:b/>
                <w:sz w:val="21"/>
              </w:rPr>
            </w:pPr>
            <w:r>
              <w:rPr>
                <w:rFonts w:ascii="Microsoft JhengHei"/>
                <w:b/>
                <w:spacing w:val="-4"/>
                <w:sz w:val="21"/>
              </w:rPr>
              <w:t>9.19</w:t>
            </w:r>
          </w:p>
        </w:tc>
        <w:tc>
          <w:tcPr>
            <w:tcW w:w="1898" w:type="dxa"/>
          </w:tcPr>
          <w:p>
            <w:pPr>
              <w:pStyle w:val="TableParagraph"/>
              <w:spacing w:before="66"/>
              <w:ind w:left="265"/>
              <w:rPr>
                <w:rFonts w:ascii="Microsoft JhengHei" w:eastAsia="Microsoft JhengHei"/>
                <w:b/>
                <w:sz w:val="21"/>
              </w:rPr>
            </w:pPr>
            <w:r>
              <w:rPr>
                <w:rFonts w:ascii="Microsoft JhengHei" w:eastAsia="Microsoft JhengHei"/>
                <w:b/>
                <w:spacing w:val="-2"/>
                <w:sz w:val="21"/>
              </w:rPr>
              <w:t>其他权利人</w:t>
            </w:r>
          </w:p>
        </w:tc>
        <w:tc>
          <w:tcPr>
            <w:tcW w:w="7424" w:type="dxa"/>
          </w:tcPr>
          <w:p>
            <w:pPr>
              <w:pStyle w:val="TableParagraph"/>
              <w:spacing w:before="133"/>
              <w:ind w:left="153"/>
              <w:rPr>
                <w:sz w:val="21"/>
              </w:rPr>
            </w:pPr>
            <w:r>
              <w:rPr>
                <w:spacing w:val="-3"/>
                <w:sz w:val="21"/>
              </w:rPr>
              <w:t>其他权利人按照被保险人、被保险人的继承人的顺序确定。</w:t>
            </w:r>
          </w:p>
        </w:tc>
      </w:tr>
      <w:tr>
        <w:trPr>
          <w:trHeight w:val="534" w:hRule="atLeast"/>
        </w:trPr>
        <w:tc>
          <w:tcPr>
            <w:tcW w:w="738" w:type="dxa"/>
          </w:tcPr>
          <w:p>
            <w:pPr>
              <w:pStyle w:val="TableParagraph"/>
              <w:spacing w:before="42"/>
              <w:ind w:left="50"/>
              <w:rPr>
                <w:rFonts w:ascii="Microsoft JhengHei"/>
                <w:b/>
                <w:sz w:val="21"/>
              </w:rPr>
            </w:pPr>
            <w:r>
              <w:rPr>
                <w:rFonts w:ascii="Microsoft JhengHei"/>
                <w:b/>
                <w:spacing w:val="-4"/>
                <w:sz w:val="21"/>
              </w:rPr>
              <w:t>9.20</w:t>
            </w:r>
          </w:p>
        </w:tc>
        <w:tc>
          <w:tcPr>
            <w:tcW w:w="1898" w:type="dxa"/>
          </w:tcPr>
          <w:p>
            <w:pPr>
              <w:pStyle w:val="TableParagraph"/>
              <w:spacing w:before="73"/>
              <w:ind w:left="265"/>
              <w:rPr>
                <w:rFonts w:ascii="Microsoft JhengHei" w:eastAsia="Microsoft JhengHei"/>
                <w:b/>
                <w:sz w:val="21"/>
              </w:rPr>
            </w:pPr>
            <w:r>
              <w:rPr>
                <w:rFonts w:ascii="Microsoft JhengHei" w:eastAsia="Microsoft JhengHei"/>
                <w:b/>
                <w:spacing w:val="-3"/>
                <w:sz w:val="21"/>
              </w:rPr>
              <w:t>不可抗力</w:t>
            </w:r>
          </w:p>
        </w:tc>
        <w:tc>
          <w:tcPr>
            <w:tcW w:w="7424" w:type="dxa"/>
          </w:tcPr>
          <w:p>
            <w:pPr>
              <w:pStyle w:val="TableParagraph"/>
              <w:spacing w:before="126"/>
              <w:ind w:left="153"/>
              <w:rPr>
                <w:sz w:val="21"/>
              </w:rPr>
            </w:pPr>
            <w:r>
              <w:rPr>
                <w:spacing w:val="-3"/>
                <w:sz w:val="21"/>
              </w:rPr>
              <w:t>指不能预见、不能避免、不能克服的客观情况。</w:t>
            </w:r>
          </w:p>
        </w:tc>
      </w:tr>
      <w:tr>
        <w:trPr>
          <w:trHeight w:val="445" w:hRule="atLeast"/>
        </w:trPr>
        <w:tc>
          <w:tcPr>
            <w:tcW w:w="738" w:type="dxa"/>
          </w:tcPr>
          <w:p>
            <w:pPr>
              <w:pStyle w:val="TableParagraph"/>
              <w:spacing w:line="384" w:lineRule="exact" w:before="41"/>
              <w:ind w:left="50"/>
              <w:rPr>
                <w:rFonts w:ascii="Microsoft JhengHei"/>
                <w:b/>
                <w:sz w:val="21"/>
              </w:rPr>
            </w:pPr>
            <w:r>
              <w:rPr>
                <w:rFonts w:ascii="Microsoft JhengHei"/>
                <w:b/>
                <w:spacing w:val="-4"/>
                <w:sz w:val="21"/>
              </w:rPr>
              <w:t>9.21</w:t>
            </w:r>
          </w:p>
        </w:tc>
        <w:tc>
          <w:tcPr>
            <w:tcW w:w="1898" w:type="dxa"/>
          </w:tcPr>
          <w:p>
            <w:pPr>
              <w:pStyle w:val="TableParagraph"/>
              <w:spacing w:line="353" w:lineRule="exact" w:before="72"/>
              <w:ind w:left="265"/>
              <w:rPr>
                <w:rFonts w:ascii="Microsoft JhengHei" w:eastAsia="Microsoft JhengHei"/>
                <w:b/>
                <w:sz w:val="21"/>
              </w:rPr>
            </w:pPr>
            <w:r>
              <w:rPr>
                <w:rFonts w:ascii="Microsoft JhengHei" w:eastAsia="Microsoft JhengHei"/>
                <w:b/>
                <w:spacing w:val="-2"/>
                <w:sz w:val="21"/>
              </w:rPr>
              <w:t>法定身份证明</w:t>
            </w:r>
          </w:p>
        </w:tc>
        <w:tc>
          <w:tcPr>
            <w:tcW w:w="7424" w:type="dxa"/>
          </w:tcPr>
          <w:p>
            <w:pPr>
              <w:pStyle w:val="TableParagraph"/>
              <w:spacing w:before="124"/>
              <w:ind w:left="153"/>
              <w:rPr>
                <w:sz w:val="21"/>
              </w:rPr>
            </w:pPr>
            <w:r>
              <w:rPr>
                <w:spacing w:val="-1"/>
                <w:sz w:val="21"/>
              </w:rPr>
              <w:t>指依据法律规定，由有权机构制作颁发的且有效的证明身份的证件、文件等，</w:t>
            </w:r>
          </w:p>
        </w:tc>
      </w:tr>
      <w:tr>
        <w:trPr>
          <w:trHeight w:val="268" w:hRule="atLeast"/>
        </w:trPr>
        <w:tc>
          <w:tcPr>
            <w:tcW w:w="738" w:type="dxa"/>
          </w:tcPr>
          <w:p>
            <w:pPr>
              <w:pStyle w:val="TableParagraph"/>
              <w:rPr>
                <w:rFonts w:ascii="Times New Roman"/>
                <w:sz w:val="18"/>
              </w:rPr>
            </w:pPr>
          </w:p>
        </w:tc>
        <w:tc>
          <w:tcPr>
            <w:tcW w:w="1898" w:type="dxa"/>
          </w:tcPr>
          <w:p>
            <w:pPr>
              <w:pStyle w:val="TableParagraph"/>
              <w:rPr>
                <w:rFonts w:ascii="Times New Roman"/>
                <w:sz w:val="18"/>
              </w:rPr>
            </w:pPr>
          </w:p>
        </w:tc>
        <w:tc>
          <w:tcPr>
            <w:tcW w:w="7424" w:type="dxa"/>
          </w:tcPr>
          <w:p>
            <w:pPr>
              <w:pStyle w:val="TableParagraph"/>
              <w:spacing w:line="226" w:lineRule="exact" w:before="23"/>
              <w:ind w:left="153"/>
              <w:rPr>
                <w:sz w:val="21"/>
              </w:rPr>
            </w:pPr>
            <w:r>
              <w:rPr>
                <w:spacing w:val="-3"/>
                <w:sz w:val="21"/>
              </w:rPr>
              <w:t>如：居民身份证、户口簿、护照、军人证等。</w:t>
            </w:r>
          </w:p>
        </w:tc>
      </w:tr>
    </w:tbl>
    <w:p>
      <w:pPr>
        <w:spacing w:after="0" w:line="226" w:lineRule="exact"/>
        <w:rPr>
          <w:sz w:val="21"/>
        </w:rPr>
        <w:sectPr>
          <w:pgSz w:w="11910" w:h="16840"/>
          <w:pgMar w:top="1340" w:bottom="280" w:left="800" w:right="700"/>
        </w:sectPr>
      </w:pPr>
    </w:p>
    <w:p>
      <w:pPr>
        <w:pStyle w:val="ListParagraph"/>
        <w:numPr>
          <w:ilvl w:val="1"/>
          <w:numId w:val="20"/>
        </w:numPr>
        <w:tabs>
          <w:tab w:pos="1173" w:val="left" w:leader="none"/>
          <w:tab w:pos="1174" w:val="left" w:leader="none"/>
          <w:tab w:pos="2959" w:val="left" w:leader="none"/>
        </w:tabs>
        <w:spacing w:line="393" w:lineRule="exact" w:before="0" w:after="0"/>
        <w:ind w:left="1173" w:right="0" w:hanging="954"/>
        <w:jc w:val="left"/>
        <w:rPr>
          <w:sz w:val="21"/>
        </w:rPr>
      </w:pPr>
      <w:r>
        <w:rPr>
          <w:rFonts w:ascii="Microsoft JhengHei" w:eastAsia="Microsoft JhengHei"/>
          <w:b/>
          <w:sz w:val="21"/>
        </w:rPr>
        <w:t>现金价值净</w:t>
      </w:r>
      <w:r>
        <w:rPr>
          <w:rFonts w:ascii="Microsoft JhengHei" w:eastAsia="Microsoft JhengHei"/>
          <w:b/>
          <w:spacing w:val="-10"/>
          <w:sz w:val="21"/>
        </w:rPr>
        <w:t>额</w:t>
      </w:r>
      <w:r>
        <w:rPr>
          <w:rFonts w:ascii="Microsoft JhengHei" w:eastAsia="Microsoft JhengHei"/>
          <w:b/>
          <w:sz w:val="21"/>
        </w:rPr>
        <w:tab/>
      </w:r>
      <w:r>
        <w:rPr>
          <w:position w:val="2"/>
          <w:sz w:val="21"/>
        </w:rPr>
        <w:t>指现金价值在扣除尚</w:t>
      </w:r>
      <w:r>
        <w:rPr>
          <w:position w:val="2"/>
          <w:sz w:val="21"/>
        </w:rPr>
        <w:t>未偿还的保单贷款、欠交</w:t>
      </w:r>
      <w:r>
        <w:rPr>
          <w:position w:val="2"/>
          <w:sz w:val="21"/>
        </w:rPr>
        <w:t>的保险费、累积利息和其</w:t>
      </w:r>
      <w:r>
        <w:rPr>
          <w:position w:val="2"/>
          <w:sz w:val="21"/>
        </w:rPr>
        <w:t>他未</w:t>
      </w:r>
      <w:r>
        <w:rPr>
          <w:spacing w:val="-10"/>
          <w:position w:val="2"/>
          <w:sz w:val="21"/>
        </w:rPr>
        <w:t>还</w:t>
      </w:r>
    </w:p>
    <w:p>
      <w:pPr>
        <w:pStyle w:val="BodyText"/>
        <w:spacing w:before="10"/>
      </w:pPr>
      <w:r>
        <w:rPr>
          <w:spacing w:val="-4"/>
        </w:rPr>
        <w:t>款项后的余额。</w:t>
      </w:r>
    </w:p>
    <w:p>
      <w:pPr>
        <w:pStyle w:val="ListParagraph"/>
        <w:numPr>
          <w:ilvl w:val="1"/>
          <w:numId w:val="20"/>
        </w:numPr>
        <w:tabs>
          <w:tab w:pos="1173" w:val="left" w:leader="none"/>
          <w:tab w:pos="1174" w:val="left" w:leader="none"/>
          <w:tab w:pos="2959" w:val="left" w:leader="none"/>
        </w:tabs>
        <w:spacing w:line="244" w:lineRule="auto" w:before="150" w:after="0"/>
        <w:ind w:left="2959" w:right="232" w:hanging="2740"/>
        <w:jc w:val="left"/>
        <w:rPr>
          <w:sz w:val="21"/>
        </w:rPr>
      </w:pPr>
      <w:r>
        <w:rPr>
          <w:rFonts w:ascii="Microsoft JhengHei" w:eastAsia="Microsoft JhengHei"/>
          <w:b/>
          <w:spacing w:val="-4"/>
          <w:sz w:val="21"/>
        </w:rPr>
        <w:t>约</w:t>
      </w:r>
      <w:r>
        <w:rPr>
          <w:rFonts w:ascii="Microsoft JhengHei" w:eastAsia="Microsoft JhengHei"/>
          <w:b/>
          <w:spacing w:val="-4"/>
          <w:sz w:val="21"/>
        </w:rPr>
        <w:t>定</w:t>
      </w:r>
      <w:r>
        <w:rPr>
          <w:rFonts w:ascii="Microsoft JhengHei" w:eastAsia="Microsoft JhengHei"/>
          <w:b/>
          <w:spacing w:val="-4"/>
          <w:sz w:val="21"/>
        </w:rPr>
        <w:t>利</w:t>
      </w:r>
      <w:r>
        <w:rPr>
          <w:rFonts w:ascii="Microsoft JhengHei" w:eastAsia="Microsoft JhengHei"/>
          <w:b/>
          <w:spacing w:val="-4"/>
          <w:sz w:val="21"/>
        </w:rPr>
        <w:t>率</w:t>
      </w:r>
      <w:r>
        <w:rPr>
          <w:rFonts w:ascii="Microsoft JhengHei" w:eastAsia="Microsoft JhengHei"/>
          <w:b/>
          <w:sz w:val="21"/>
        </w:rPr>
        <w:tab/>
      </w:r>
      <w:r>
        <w:rPr>
          <w:spacing w:val="-2"/>
          <w:position w:val="2"/>
          <w:sz w:val="21"/>
        </w:rPr>
        <w:t>本合同所列明的利率</w:t>
      </w:r>
      <w:r>
        <w:rPr>
          <w:spacing w:val="-2"/>
          <w:position w:val="2"/>
          <w:sz w:val="21"/>
        </w:rPr>
        <w:t>参</w:t>
      </w:r>
      <w:r>
        <w:rPr>
          <w:spacing w:val="-2"/>
          <w:position w:val="2"/>
          <w:sz w:val="21"/>
        </w:rPr>
        <w:t>照</w:t>
      </w:r>
      <w:r>
        <w:rPr>
          <w:spacing w:val="-2"/>
          <w:position w:val="2"/>
          <w:sz w:val="21"/>
        </w:rPr>
        <w:t>同期中国人民银行六</w:t>
      </w:r>
      <w:r>
        <w:rPr>
          <w:spacing w:val="-2"/>
          <w:position w:val="2"/>
          <w:sz w:val="21"/>
        </w:rPr>
        <w:t>个</w:t>
      </w:r>
      <w:r>
        <w:rPr>
          <w:spacing w:val="-2"/>
          <w:position w:val="2"/>
          <w:sz w:val="21"/>
        </w:rPr>
        <w:t>月</w:t>
      </w:r>
      <w:r>
        <w:rPr>
          <w:spacing w:val="-2"/>
          <w:position w:val="2"/>
          <w:sz w:val="21"/>
        </w:rPr>
        <w:t>期贷款利率并结合本</w:t>
      </w:r>
      <w:r>
        <w:rPr>
          <w:spacing w:val="-2"/>
          <w:position w:val="2"/>
          <w:sz w:val="21"/>
        </w:rPr>
        <w:t>公</w:t>
      </w:r>
      <w:r>
        <w:rPr>
          <w:spacing w:val="-2"/>
          <w:position w:val="2"/>
          <w:sz w:val="21"/>
        </w:rPr>
        <w:t>司</w:t>
      </w:r>
      <w:r>
        <w:rPr>
          <w:spacing w:val="-2"/>
          <w:position w:val="2"/>
          <w:sz w:val="21"/>
        </w:rPr>
        <w:t>自</w:t>
      </w:r>
      <w:r>
        <w:rPr>
          <w:spacing w:val="-2"/>
          <w:sz w:val="21"/>
        </w:rPr>
        <w:t>身</w:t>
      </w:r>
      <w:r>
        <w:rPr>
          <w:spacing w:val="-2"/>
          <w:sz w:val="21"/>
        </w:rPr>
        <w:t>资</w:t>
      </w:r>
      <w:r>
        <w:rPr>
          <w:spacing w:val="-2"/>
          <w:sz w:val="21"/>
        </w:rPr>
        <w:t>金成本及风险管控能</w:t>
      </w:r>
      <w:r>
        <w:rPr>
          <w:spacing w:val="-2"/>
          <w:sz w:val="21"/>
        </w:rPr>
        <w:t>力</w:t>
      </w:r>
      <w:r>
        <w:rPr>
          <w:spacing w:val="-2"/>
          <w:sz w:val="21"/>
        </w:rPr>
        <w:t>确</w:t>
      </w:r>
      <w:r>
        <w:rPr>
          <w:spacing w:val="-2"/>
          <w:sz w:val="21"/>
        </w:rPr>
        <w:t>定。</w:t>
      </w:r>
    </w:p>
    <w:sectPr>
      <w:pgSz w:w="11910" w:h="16840"/>
      <w:pgMar w:top="1260" w:bottom="280" w:left="800" w:right="7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9"/>
      <w:numFmt w:val="decimal"/>
      <w:lvlText w:val="%1"/>
      <w:lvlJc w:val="left"/>
      <w:pPr>
        <w:ind w:left="1173" w:hanging="954"/>
        <w:jc w:val="left"/>
      </w:pPr>
      <w:rPr>
        <w:rFonts w:hint="default"/>
        <w:lang w:val="en-US" w:eastAsia="zh-CN" w:bidi="ar-SA"/>
      </w:rPr>
    </w:lvl>
    <w:lvl w:ilvl="1">
      <w:start w:val="22"/>
      <w:numFmt w:val="decimal"/>
      <w:lvlText w:val="%1.%2"/>
      <w:lvlJc w:val="left"/>
      <w:pPr>
        <w:ind w:left="1173" w:hanging="954"/>
        <w:jc w:val="left"/>
      </w:pPr>
      <w:rPr>
        <w:rFonts w:hint="default" w:ascii="Microsoft JhengHei" w:hAnsi="Microsoft JhengHei" w:eastAsia="Microsoft JhengHei" w:cs="Microsoft JhengHei"/>
        <w:b/>
        <w:bCs/>
        <w:i w:val="0"/>
        <w:iCs w:val="0"/>
        <w:w w:val="98"/>
        <w:position w:val="3"/>
        <w:sz w:val="21"/>
        <w:szCs w:val="21"/>
        <w:lang w:val="en-US" w:eastAsia="zh-CN" w:bidi="ar-SA"/>
      </w:rPr>
    </w:lvl>
    <w:lvl w:ilvl="2">
      <w:start w:val="0"/>
      <w:numFmt w:val="bullet"/>
      <w:lvlText w:val="•"/>
      <w:lvlJc w:val="left"/>
      <w:pPr>
        <w:ind w:left="3025" w:hanging="954"/>
      </w:pPr>
      <w:rPr>
        <w:rFonts w:hint="default"/>
        <w:lang w:val="en-US" w:eastAsia="zh-CN" w:bidi="ar-SA"/>
      </w:rPr>
    </w:lvl>
    <w:lvl w:ilvl="3">
      <w:start w:val="0"/>
      <w:numFmt w:val="bullet"/>
      <w:lvlText w:val="•"/>
      <w:lvlJc w:val="left"/>
      <w:pPr>
        <w:ind w:left="3947" w:hanging="954"/>
      </w:pPr>
      <w:rPr>
        <w:rFonts w:hint="default"/>
        <w:lang w:val="en-US" w:eastAsia="zh-CN" w:bidi="ar-SA"/>
      </w:rPr>
    </w:lvl>
    <w:lvl w:ilvl="4">
      <w:start w:val="0"/>
      <w:numFmt w:val="bullet"/>
      <w:lvlText w:val="•"/>
      <w:lvlJc w:val="left"/>
      <w:pPr>
        <w:ind w:left="4870" w:hanging="954"/>
      </w:pPr>
      <w:rPr>
        <w:rFonts w:hint="default"/>
        <w:lang w:val="en-US" w:eastAsia="zh-CN" w:bidi="ar-SA"/>
      </w:rPr>
    </w:lvl>
    <w:lvl w:ilvl="5">
      <w:start w:val="0"/>
      <w:numFmt w:val="bullet"/>
      <w:lvlText w:val="•"/>
      <w:lvlJc w:val="left"/>
      <w:pPr>
        <w:ind w:left="5793" w:hanging="954"/>
      </w:pPr>
      <w:rPr>
        <w:rFonts w:hint="default"/>
        <w:lang w:val="en-US" w:eastAsia="zh-CN" w:bidi="ar-SA"/>
      </w:rPr>
    </w:lvl>
    <w:lvl w:ilvl="6">
      <w:start w:val="0"/>
      <w:numFmt w:val="bullet"/>
      <w:lvlText w:val="•"/>
      <w:lvlJc w:val="left"/>
      <w:pPr>
        <w:ind w:left="6715" w:hanging="954"/>
      </w:pPr>
      <w:rPr>
        <w:rFonts w:hint="default"/>
        <w:lang w:val="en-US" w:eastAsia="zh-CN" w:bidi="ar-SA"/>
      </w:rPr>
    </w:lvl>
    <w:lvl w:ilvl="7">
      <w:start w:val="0"/>
      <w:numFmt w:val="bullet"/>
      <w:lvlText w:val="•"/>
      <w:lvlJc w:val="left"/>
      <w:pPr>
        <w:ind w:left="7638" w:hanging="954"/>
      </w:pPr>
      <w:rPr>
        <w:rFonts w:hint="default"/>
        <w:lang w:val="en-US" w:eastAsia="zh-CN" w:bidi="ar-SA"/>
      </w:rPr>
    </w:lvl>
    <w:lvl w:ilvl="8">
      <w:start w:val="0"/>
      <w:numFmt w:val="bullet"/>
      <w:lvlText w:val="•"/>
      <w:lvlJc w:val="left"/>
      <w:pPr>
        <w:ind w:left="8561" w:hanging="954"/>
      </w:pPr>
      <w:rPr>
        <w:rFonts w:hint="default"/>
        <w:lang w:val="en-US" w:eastAsia="zh-CN" w:bidi="ar-SA"/>
      </w:rPr>
    </w:lvl>
  </w:abstractNum>
  <w:abstractNum w:abstractNumId="18">
    <w:multiLevelType w:val="hybridMultilevel"/>
    <w:lvl w:ilvl="0">
      <w:start w:val="1"/>
      <w:numFmt w:val="decimal"/>
      <w:lvlText w:val="（%1）"/>
      <w:lvlJc w:val="left"/>
      <w:pPr>
        <w:ind w:left="719"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90" w:hanging="567"/>
      </w:pPr>
      <w:rPr>
        <w:rFonts w:hint="default"/>
        <w:lang w:val="en-US" w:eastAsia="zh-CN" w:bidi="ar-SA"/>
      </w:rPr>
    </w:lvl>
    <w:lvl w:ilvl="2">
      <w:start w:val="0"/>
      <w:numFmt w:val="bullet"/>
      <w:lvlText w:val="•"/>
      <w:lvlJc w:val="left"/>
      <w:pPr>
        <w:ind w:left="2060" w:hanging="567"/>
      </w:pPr>
      <w:rPr>
        <w:rFonts w:hint="default"/>
        <w:lang w:val="en-US" w:eastAsia="zh-CN" w:bidi="ar-SA"/>
      </w:rPr>
    </w:lvl>
    <w:lvl w:ilvl="3">
      <w:start w:val="0"/>
      <w:numFmt w:val="bullet"/>
      <w:lvlText w:val="•"/>
      <w:lvlJc w:val="left"/>
      <w:pPr>
        <w:ind w:left="2731" w:hanging="567"/>
      </w:pPr>
      <w:rPr>
        <w:rFonts w:hint="default"/>
        <w:lang w:val="en-US" w:eastAsia="zh-CN" w:bidi="ar-SA"/>
      </w:rPr>
    </w:lvl>
    <w:lvl w:ilvl="4">
      <w:start w:val="0"/>
      <w:numFmt w:val="bullet"/>
      <w:lvlText w:val="•"/>
      <w:lvlJc w:val="left"/>
      <w:pPr>
        <w:ind w:left="3401" w:hanging="567"/>
      </w:pPr>
      <w:rPr>
        <w:rFonts w:hint="default"/>
        <w:lang w:val="en-US" w:eastAsia="zh-CN" w:bidi="ar-SA"/>
      </w:rPr>
    </w:lvl>
    <w:lvl w:ilvl="5">
      <w:start w:val="0"/>
      <w:numFmt w:val="bullet"/>
      <w:lvlText w:val="•"/>
      <w:lvlJc w:val="left"/>
      <w:pPr>
        <w:ind w:left="4072" w:hanging="567"/>
      </w:pPr>
      <w:rPr>
        <w:rFonts w:hint="default"/>
        <w:lang w:val="en-US" w:eastAsia="zh-CN" w:bidi="ar-SA"/>
      </w:rPr>
    </w:lvl>
    <w:lvl w:ilvl="6">
      <w:start w:val="0"/>
      <w:numFmt w:val="bullet"/>
      <w:lvlText w:val="•"/>
      <w:lvlJc w:val="left"/>
      <w:pPr>
        <w:ind w:left="4742" w:hanging="567"/>
      </w:pPr>
      <w:rPr>
        <w:rFonts w:hint="default"/>
        <w:lang w:val="en-US" w:eastAsia="zh-CN" w:bidi="ar-SA"/>
      </w:rPr>
    </w:lvl>
    <w:lvl w:ilvl="7">
      <w:start w:val="0"/>
      <w:numFmt w:val="bullet"/>
      <w:lvlText w:val="•"/>
      <w:lvlJc w:val="left"/>
      <w:pPr>
        <w:ind w:left="5412" w:hanging="567"/>
      </w:pPr>
      <w:rPr>
        <w:rFonts w:hint="default"/>
        <w:lang w:val="en-US" w:eastAsia="zh-CN" w:bidi="ar-SA"/>
      </w:rPr>
    </w:lvl>
    <w:lvl w:ilvl="8">
      <w:start w:val="0"/>
      <w:numFmt w:val="bullet"/>
      <w:lvlText w:val="•"/>
      <w:lvlJc w:val="left"/>
      <w:pPr>
        <w:ind w:left="6083" w:hanging="567"/>
      </w:pPr>
      <w:rPr>
        <w:rFonts w:hint="default"/>
        <w:lang w:val="en-US" w:eastAsia="zh-CN" w:bidi="ar-SA"/>
      </w:rPr>
    </w:lvl>
  </w:abstractNum>
  <w:abstractNum w:abstractNumId="17">
    <w:multiLevelType w:val="hybridMultilevel"/>
    <w:lvl w:ilvl="0">
      <w:start w:val="9"/>
      <w:numFmt w:val="decimal"/>
      <w:lvlText w:val="%1"/>
      <w:lvlJc w:val="left"/>
      <w:pPr>
        <w:ind w:left="2959" w:hanging="954"/>
        <w:jc w:val="left"/>
      </w:pPr>
      <w:rPr>
        <w:rFonts w:hint="default"/>
        <w:lang w:val="en-US" w:eastAsia="zh-CN" w:bidi="ar-SA"/>
      </w:rPr>
    </w:lvl>
    <w:lvl w:ilvl="1">
      <w:start w:val="6"/>
      <w:numFmt w:val="decimal"/>
      <w:lvlText w:val="%1.%2"/>
      <w:lvlJc w:val="left"/>
      <w:pPr>
        <w:ind w:left="2959" w:hanging="95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449" w:hanging="954"/>
      </w:pPr>
      <w:rPr>
        <w:rFonts w:hint="default"/>
        <w:lang w:val="en-US" w:eastAsia="zh-CN" w:bidi="ar-SA"/>
      </w:rPr>
    </w:lvl>
    <w:lvl w:ilvl="3">
      <w:start w:val="0"/>
      <w:numFmt w:val="bullet"/>
      <w:lvlText w:val="•"/>
      <w:lvlJc w:val="left"/>
      <w:pPr>
        <w:ind w:left="5193" w:hanging="954"/>
      </w:pPr>
      <w:rPr>
        <w:rFonts w:hint="default"/>
        <w:lang w:val="en-US" w:eastAsia="zh-CN" w:bidi="ar-SA"/>
      </w:rPr>
    </w:lvl>
    <w:lvl w:ilvl="4">
      <w:start w:val="0"/>
      <w:numFmt w:val="bullet"/>
      <w:lvlText w:val="•"/>
      <w:lvlJc w:val="left"/>
      <w:pPr>
        <w:ind w:left="5938" w:hanging="954"/>
      </w:pPr>
      <w:rPr>
        <w:rFonts w:hint="default"/>
        <w:lang w:val="en-US" w:eastAsia="zh-CN" w:bidi="ar-SA"/>
      </w:rPr>
    </w:lvl>
    <w:lvl w:ilvl="5">
      <w:start w:val="0"/>
      <w:numFmt w:val="bullet"/>
      <w:lvlText w:val="•"/>
      <w:lvlJc w:val="left"/>
      <w:pPr>
        <w:ind w:left="6683" w:hanging="954"/>
      </w:pPr>
      <w:rPr>
        <w:rFonts w:hint="default"/>
        <w:lang w:val="en-US" w:eastAsia="zh-CN" w:bidi="ar-SA"/>
      </w:rPr>
    </w:lvl>
    <w:lvl w:ilvl="6">
      <w:start w:val="0"/>
      <w:numFmt w:val="bullet"/>
      <w:lvlText w:val="•"/>
      <w:lvlJc w:val="left"/>
      <w:pPr>
        <w:ind w:left="7427" w:hanging="954"/>
      </w:pPr>
      <w:rPr>
        <w:rFonts w:hint="default"/>
        <w:lang w:val="en-US" w:eastAsia="zh-CN" w:bidi="ar-SA"/>
      </w:rPr>
    </w:lvl>
    <w:lvl w:ilvl="7">
      <w:start w:val="0"/>
      <w:numFmt w:val="bullet"/>
      <w:lvlText w:val="•"/>
      <w:lvlJc w:val="left"/>
      <w:pPr>
        <w:ind w:left="8172" w:hanging="954"/>
      </w:pPr>
      <w:rPr>
        <w:rFonts w:hint="default"/>
        <w:lang w:val="en-US" w:eastAsia="zh-CN" w:bidi="ar-SA"/>
      </w:rPr>
    </w:lvl>
    <w:lvl w:ilvl="8">
      <w:start w:val="0"/>
      <w:numFmt w:val="bullet"/>
      <w:lvlText w:val="•"/>
      <w:lvlJc w:val="left"/>
      <w:pPr>
        <w:ind w:left="8917" w:hanging="954"/>
      </w:pPr>
      <w:rPr>
        <w:rFonts w:hint="default"/>
        <w:lang w:val="en-US" w:eastAsia="zh-CN" w:bidi="ar-SA"/>
      </w:rPr>
    </w:lvl>
  </w:abstractNum>
  <w:abstractNum w:abstractNumId="16">
    <w:multiLevelType w:val="hybridMultilevel"/>
    <w:lvl w:ilvl="0">
      <w:start w:val="1"/>
      <w:numFmt w:val="decimal"/>
      <w:lvlText w:val="（%1）"/>
      <w:lvlJc w:val="left"/>
      <w:pPr>
        <w:ind w:left="82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496" w:hanging="567"/>
      </w:pPr>
      <w:rPr>
        <w:rFonts w:hint="default"/>
        <w:lang w:val="en-US" w:eastAsia="zh-CN" w:bidi="ar-SA"/>
      </w:rPr>
    </w:lvl>
    <w:lvl w:ilvl="2">
      <w:start w:val="0"/>
      <w:numFmt w:val="bullet"/>
      <w:lvlText w:val="•"/>
      <w:lvlJc w:val="left"/>
      <w:pPr>
        <w:ind w:left="2173" w:hanging="567"/>
      </w:pPr>
      <w:rPr>
        <w:rFonts w:hint="default"/>
        <w:lang w:val="en-US" w:eastAsia="zh-CN" w:bidi="ar-SA"/>
      </w:rPr>
    </w:lvl>
    <w:lvl w:ilvl="3">
      <w:start w:val="0"/>
      <w:numFmt w:val="bullet"/>
      <w:lvlText w:val="•"/>
      <w:lvlJc w:val="left"/>
      <w:pPr>
        <w:ind w:left="2849" w:hanging="567"/>
      </w:pPr>
      <w:rPr>
        <w:rFonts w:hint="default"/>
        <w:lang w:val="en-US" w:eastAsia="zh-CN" w:bidi="ar-SA"/>
      </w:rPr>
    </w:lvl>
    <w:lvl w:ilvl="4">
      <w:start w:val="0"/>
      <w:numFmt w:val="bullet"/>
      <w:lvlText w:val="•"/>
      <w:lvlJc w:val="left"/>
      <w:pPr>
        <w:ind w:left="3526" w:hanging="567"/>
      </w:pPr>
      <w:rPr>
        <w:rFonts w:hint="default"/>
        <w:lang w:val="en-US" w:eastAsia="zh-CN" w:bidi="ar-SA"/>
      </w:rPr>
    </w:lvl>
    <w:lvl w:ilvl="5">
      <w:start w:val="0"/>
      <w:numFmt w:val="bullet"/>
      <w:lvlText w:val="•"/>
      <w:lvlJc w:val="left"/>
      <w:pPr>
        <w:ind w:left="4202" w:hanging="567"/>
      </w:pPr>
      <w:rPr>
        <w:rFonts w:hint="default"/>
        <w:lang w:val="en-US" w:eastAsia="zh-CN" w:bidi="ar-SA"/>
      </w:rPr>
    </w:lvl>
    <w:lvl w:ilvl="6">
      <w:start w:val="0"/>
      <w:numFmt w:val="bullet"/>
      <w:lvlText w:val="•"/>
      <w:lvlJc w:val="left"/>
      <w:pPr>
        <w:ind w:left="4879" w:hanging="567"/>
      </w:pPr>
      <w:rPr>
        <w:rFonts w:hint="default"/>
        <w:lang w:val="en-US" w:eastAsia="zh-CN" w:bidi="ar-SA"/>
      </w:rPr>
    </w:lvl>
    <w:lvl w:ilvl="7">
      <w:start w:val="0"/>
      <w:numFmt w:val="bullet"/>
      <w:lvlText w:val="•"/>
      <w:lvlJc w:val="left"/>
      <w:pPr>
        <w:ind w:left="5555" w:hanging="567"/>
      </w:pPr>
      <w:rPr>
        <w:rFonts w:hint="default"/>
        <w:lang w:val="en-US" w:eastAsia="zh-CN" w:bidi="ar-SA"/>
      </w:rPr>
    </w:lvl>
    <w:lvl w:ilvl="8">
      <w:start w:val="0"/>
      <w:numFmt w:val="bullet"/>
      <w:lvlText w:val="•"/>
      <w:lvlJc w:val="left"/>
      <w:pPr>
        <w:ind w:left="6232" w:hanging="567"/>
      </w:pPr>
      <w:rPr>
        <w:rFonts w:hint="default"/>
        <w:lang w:val="en-US" w:eastAsia="zh-CN" w:bidi="ar-SA"/>
      </w:rPr>
    </w:lvl>
  </w:abstractNum>
  <w:abstractNum w:abstractNumId="15">
    <w:multiLevelType w:val="hybridMultilevel"/>
    <w:lvl w:ilvl="0">
      <w:start w:val="1"/>
      <w:numFmt w:val="decimal"/>
      <w:lvlText w:val="（%1）"/>
      <w:lvlJc w:val="left"/>
      <w:pPr>
        <w:ind w:left="352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08" w:hanging="567"/>
      </w:pPr>
      <w:rPr>
        <w:rFonts w:hint="default"/>
        <w:lang w:val="en-US" w:eastAsia="zh-CN" w:bidi="ar-SA"/>
      </w:rPr>
    </w:lvl>
    <w:lvl w:ilvl="2">
      <w:start w:val="0"/>
      <w:numFmt w:val="bullet"/>
      <w:lvlText w:val="•"/>
      <w:lvlJc w:val="left"/>
      <w:pPr>
        <w:ind w:left="4897" w:hanging="567"/>
      </w:pPr>
      <w:rPr>
        <w:rFonts w:hint="default"/>
        <w:lang w:val="en-US" w:eastAsia="zh-CN" w:bidi="ar-SA"/>
      </w:rPr>
    </w:lvl>
    <w:lvl w:ilvl="3">
      <w:start w:val="0"/>
      <w:numFmt w:val="bullet"/>
      <w:lvlText w:val="•"/>
      <w:lvlJc w:val="left"/>
      <w:pPr>
        <w:ind w:left="5585" w:hanging="567"/>
      </w:pPr>
      <w:rPr>
        <w:rFonts w:hint="default"/>
        <w:lang w:val="en-US" w:eastAsia="zh-CN" w:bidi="ar-SA"/>
      </w:rPr>
    </w:lvl>
    <w:lvl w:ilvl="4">
      <w:start w:val="0"/>
      <w:numFmt w:val="bullet"/>
      <w:lvlText w:val="•"/>
      <w:lvlJc w:val="left"/>
      <w:pPr>
        <w:ind w:left="6274" w:hanging="567"/>
      </w:pPr>
      <w:rPr>
        <w:rFonts w:hint="default"/>
        <w:lang w:val="en-US" w:eastAsia="zh-CN" w:bidi="ar-SA"/>
      </w:rPr>
    </w:lvl>
    <w:lvl w:ilvl="5">
      <w:start w:val="0"/>
      <w:numFmt w:val="bullet"/>
      <w:lvlText w:val="•"/>
      <w:lvlJc w:val="left"/>
      <w:pPr>
        <w:ind w:left="6963" w:hanging="567"/>
      </w:pPr>
      <w:rPr>
        <w:rFonts w:hint="default"/>
        <w:lang w:val="en-US" w:eastAsia="zh-CN" w:bidi="ar-SA"/>
      </w:rPr>
    </w:lvl>
    <w:lvl w:ilvl="6">
      <w:start w:val="0"/>
      <w:numFmt w:val="bullet"/>
      <w:lvlText w:val="•"/>
      <w:lvlJc w:val="left"/>
      <w:pPr>
        <w:ind w:left="7651" w:hanging="567"/>
      </w:pPr>
      <w:rPr>
        <w:rFonts w:hint="default"/>
        <w:lang w:val="en-US" w:eastAsia="zh-CN" w:bidi="ar-SA"/>
      </w:rPr>
    </w:lvl>
    <w:lvl w:ilvl="7">
      <w:start w:val="0"/>
      <w:numFmt w:val="bullet"/>
      <w:lvlText w:val="•"/>
      <w:lvlJc w:val="left"/>
      <w:pPr>
        <w:ind w:left="8340" w:hanging="567"/>
      </w:pPr>
      <w:rPr>
        <w:rFonts w:hint="default"/>
        <w:lang w:val="en-US" w:eastAsia="zh-CN" w:bidi="ar-SA"/>
      </w:rPr>
    </w:lvl>
    <w:lvl w:ilvl="8">
      <w:start w:val="0"/>
      <w:numFmt w:val="bullet"/>
      <w:lvlText w:val="•"/>
      <w:lvlJc w:val="left"/>
      <w:pPr>
        <w:ind w:left="9029" w:hanging="567"/>
      </w:pPr>
      <w:rPr>
        <w:rFonts w:hint="default"/>
        <w:lang w:val="en-US" w:eastAsia="zh-CN" w:bidi="ar-SA"/>
      </w:rPr>
    </w:lvl>
  </w:abstractNum>
  <w:abstractNum w:abstractNumId="14">
    <w:multiLevelType w:val="hybridMultilevel"/>
    <w:lvl w:ilvl="0">
      <w:start w:val="1"/>
      <w:numFmt w:val="decimal"/>
      <w:lvlText w:val="（%1）"/>
      <w:lvlJc w:val="left"/>
      <w:pPr>
        <w:ind w:left="220" w:hanging="529"/>
        <w:jc w:val="left"/>
      </w:pPr>
      <w:rPr>
        <w:rFonts w:hint="default" w:ascii="宋体" w:hAnsi="宋体" w:eastAsia="宋体" w:cs="宋体"/>
        <w:b w:val="0"/>
        <w:bCs w:val="0"/>
        <w:i w:val="0"/>
        <w:iCs w:val="0"/>
        <w:spacing w:val="-17"/>
        <w:w w:val="100"/>
        <w:sz w:val="19"/>
        <w:szCs w:val="19"/>
        <w:lang w:val="en-US" w:eastAsia="zh-CN" w:bidi="ar-SA"/>
      </w:rPr>
    </w:lvl>
    <w:lvl w:ilvl="1">
      <w:start w:val="0"/>
      <w:numFmt w:val="bullet"/>
      <w:lvlText w:val="•"/>
      <w:lvlJc w:val="left"/>
      <w:pPr>
        <w:ind w:left="964" w:hanging="529"/>
      </w:pPr>
      <w:rPr>
        <w:rFonts w:hint="default"/>
        <w:lang w:val="en-US" w:eastAsia="zh-CN" w:bidi="ar-SA"/>
      </w:rPr>
    </w:lvl>
    <w:lvl w:ilvl="2">
      <w:start w:val="0"/>
      <w:numFmt w:val="bullet"/>
      <w:lvlText w:val="•"/>
      <w:lvlJc w:val="left"/>
      <w:pPr>
        <w:ind w:left="1709" w:hanging="529"/>
      </w:pPr>
      <w:rPr>
        <w:rFonts w:hint="default"/>
        <w:lang w:val="en-US" w:eastAsia="zh-CN" w:bidi="ar-SA"/>
      </w:rPr>
    </w:lvl>
    <w:lvl w:ilvl="3">
      <w:start w:val="0"/>
      <w:numFmt w:val="bullet"/>
      <w:lvlText w:val="•"/>
      <w:lvlJc w:val="left"/>
      <w:pPr>
        <w:ind w:left="2454" w:hanging="529"/>
      </w:pPr>
      <w:rPr>
        <w:rFonts w:hint="default"/>
        <w:lang w:val="en-US" w:eastAsia="zh-CN" w:bidi="ar-SA"/>
      </w:rPr>
    </w:lvl>
    <w:lvl w:ilvl="4">
      <w:start w:val="0"/>
      <w:numFmt w:val="bullet"/>
      <w:lvlText w:val="•"/>
      <w:lvlJc w:val="left"/>
      <w:pPr>
        <w:ind w:left="3198" w:hanging="529"/>
      </w:pPr>
      <w:rPr>
        <w:rFonts w:hint="default"/>
        <w:lang w:val="en-US" w:eastAsia="zh-CN" w:bidi="ar-SA"/>
      </w:rPr>
    </w:lvl>
    <w:lvl w:ilvl="5">
      <w:start w:val="0"/>
      <w:numFmt w:val="bullet"/>
      <w:lvlText w:val="•"/>
      <w:lvlJc w:val="left"/>
      <w:pPr>
        <w:ind w:left="3943" w:hanging="529"/>
      </w:pPr>
      <w:rPr>
        <w:rFonts w:hint="default"/>
        <w:lang w:val="en-US" w:eastAsia="zh-CN" w:bidi="ar-SA"/>
      </w:rPr>
    </w:lvl>
    <w:lvl w:ilvl="6">
      <w:start w:val="0"/>
      <w:numFmt w:val="bullet"/>
      <w:lvlText w:val="•"/>
      <w:lvlJc w:val="left"/>
      <w:pPr>
        <w:ind w:left="4688" w:hanging="529"/>
      </w:pPr>
      <w:rPr>
        <w:rFonts w:hint="default"/>
        <w:lang w:val="en-US" w:eastAsia="zh-CN" w:bidi="ar-SA"/>
      </w:rPr>
    </w:lvl>
    <w:lvl w:ilvl="7">
      <w:start w:val="0"/>
      <w:numFmt w:val="bullet"/>
      <w:lvlText w:val="•"/>
      <w:lvlJc w:val="left"/>
      <w:pPr>
        <w:ind w:left="5432" w:hanging="529"/>
      </w:pPr>
      <w:rPr>
        <w:rFonts w:hint="default"/>
        <w:lang w:val="en-US" w:eastAsia="zh-CN" w:bidi="ar-SA"/>
      </w:rPr>
    </w:lvl>
    <w:lvl w:ilvl="8">
      <w:start w:val="0"/>
      <w:numFmt w:val="bullet"/>
      <w:lvlText w:val="•"/>
      <w:lvlJc w:val="left"/>
      <w:pPr>
        <w:ind w:left="6177" w:hanging="529"/>
      </w:pPr>
      <w:rPr>
        <w:rFonts w:hint="default"/>
        <w:lang w:val="en-US" w:eastAsia="zh-CN" w:bidi="ar-SA"/>
      </w:rPr>
    </w:lvl>
  </w:abstractNum>
  <w:abstractNum w:abstractNumId="13">
    <w:multiLevelType w:val="hybridMultilevel"/>
    <w:lvl w:ilvl="0">
      <w:start w:val="1"/>
      <w:numFmt w:val="decimal"/>
      <w:lvlText w:val="（%1）"/>
      <w:lvlJc w:val="left"/>
      <w:pPr>
        <w:ind w:left="352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08" w:hanging="567"/>
      </w:pPr>
      <w:rPr>
        <w:rFonts w:hint="default"/>
        <w:lang w:val="en-US" w:eastAsia="zh-CN" w:bidi="ar-SA"/>
      </w:rPr>
    </w:lvl>
    <w:lvl w:ilvl="2">
      <w:start w:val="0"/>
      <w:numFmt w:val="bullet"/>
      <w:lvlText w:val="•"/>
      <w:lvlJc w:val="left"/>
      <w:pPr>
        <w:ind w:left="4897" w:hanging="567"/>
      </w:pPr>
      <w:rPr>
        <w:rFonts w:hint="default"/>
        <w:lang w:val="en-US" w:eastAsia="zh-CN" w:bidi="ar-SA"/>
      </w:rPr>
    </w:lvl>
    <w:lvl w:ilvl="3">
      <w:start w:val="0"/>
      <w:numFmt w:val="bullet"/>
      <w:lvlText w:val="•"/>
      <w:lvlJc w:val="left"/>
      <w:pPr>
        <w:ind w:left="5585" w:hanging="567"/>
      </w:pPr>
      <w:rPr>
        <w:rFonts w:hint="default"/>
        <w:lang w:val="en-US" w:eastAsia="zh-CN" w:bidi="ar-SA"/>
      </w:rPr>
    </w:lvl>
    <w:lvl w:ilvl="4">
      <w:start w:val="0"/>
      <w:numFmt w:val="bullet"/>
      <w:lvlText w:val="•"/>
      <w:lvlJc w:val="left"/>
      <w:pPr>
        <w:ind w:left="6274" w:hanging="567"/>
      </w:pPr>
      <w:rPr>
        <w:rFonts w:hint="default"/>
        <w:lang w:val="en-US" w:eastAsia="zh-CN" w:bidi="ar-SA"/>
      </w:rPr>
    </w:lvl>
    <w:lvl w:ilvl="5">
      <w:start w:val="0"/>
      <w:numFmt w:val="bullet"/>
      <w:lvlText w:val="•"/>
      <w:lvlJc w:val="left"/>
      <w:pPr>
        <w:ind w:left="6963" w:hanging="567"/>
      </w:pPr>
      <w:rPr>
        <w:rFonts w:hint="default"/>
        <w:lang w:val="en-US" w:eastAsia="zh-CN" w:bidi="ar-SA"/>
      </w:rPr>
    </w:lvl>
    <w:lvl w:ilvl="6">
      <w:start w:val="0"/>
      <w:numFmt w:val="bullet"/>
      <w:lvlText w:val="•"/>
      <w:lvlJc w:val="left"/>
      <w:pPr>
        <w:ind w:left="7651" w:hanging="567"/>
      </w:pPr>
      <w:rPr>
        <w:rFonts w:hint="default"/>
        <w:lang w:val="en-US" w:eastAsia="zh-CN" w:bidi="ar-SA"/>
      </w:rPr>
    </w:lvl>
    <w:lvl w:ilvl="7">
      <w:start w:val="0"/>
      <w:numFmt w:val="bullet"/>
      <w:lvlText w:val="•"/>
      <w:lvlJc w:val="left"/>
      <w:pPr>
        <w:ind w:left="8340" w:hanging="567"/>
      </w:pPr>
      <w:rPr>
        <w:rFonts w:hint="default"/>
        <w:lang w:val="en-US" w:eastAsia="zh-CN" w:bidi="ar-SA"/>
      </w:rPr>
    </w:lvl>
    <w:lvl w:ilvl="8">
      <w:start w:val="0"/>
      <w:numFmt w:val="bullet"/>
      <w:lvlText w:val="•"/>
      <w:lvlJc w:val="left"/>
      <w:pPr>
        <w:ind w:left="9029" w:hanging="567"/>
      </w:pPr>
      <w:rPr>
        <w:rFonts w:hint="default"/>
        <w:lang w:val="en-US" w:eastAsia="zh-CN" w:bidi="ar-SA"/>
      </w:rPr>
    </w:lvl>
  </w:abstractNum>
  <w:abstractNum w:abstractNumId="12">
    <w:multiLevelType w:val="hybridMultilevel"/>
    <w:lvl w:ilvl="0">
      <w:start w:val="1"/>
      <w:numFmt w:val="decimal"/>
      <w:lvlText w:val="（%1）"/>
      <w:lvlJc w:val="left"/>
      <w:pPr>
        <w:ind w:left="79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1" w:hanging="529"/>
      </w:pPr>
      <w:rPr>
        <w:rFonts w:hint="default"/>
        <w:lang w:val="en-US" w:eastAsia="zh-CN" w:bidi="ar-SA"/>
      </w:rPr>
    </w:lvl>
    <w:lvl w:ilvl="2">
      <w:start w:val="0"/>
      <w:numFmt w:val="bullet"/>
      <w:lvlText w:val="•"/>
      <w:lvlJc w:val="left"/>
      <w:pPr>
        <w:ind w:left="2182" w:hanging="529"/>
      </w:pPr>
      <w:rPr>
        <w:rFonts w:hint="default"/>
        <w:lang w:val="en-US" w:eastAsia="zh-CN" w:bidi="ar-SA"/>
      </w:rPr>
    </w:lvl>
    <w:lvl w:ilvl="3">
      <w:start w:val="0"/>
      <w:numFmt w:val="bullet"/>
      <w:lvlText w:val="•"/>
      <w:lvlJc w:val="left"/>
      <w:pPr>
        <w:ind w:left="287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257" w:hanging="529"/>
      </w:pPr>
      <w:rPr>
        <w:rFonts w:hint="default"/>
        <w:lang w:val="en-US" w:eastAsia="zh-CN" w:bidi="ar-SA"/>
      </w:rPr>
    </w:lvl>
    <w:lvl w:ilvl="6">
      <w:start w:val="0"/>
      <w:numFmt w:val="bullet"/>
      <w:lvlText w:val="•"/>
      <w:lvlJc w:val="left"/>
      <w:pPr>
        <w:ind w:left="4948" w:hanging="529"/>
      </w:pPr>
      <w:rPr>
        <w:rFonts w:hint="default"/>
        <w:lang w:val="en-US" w:eastAsia="zh-CN" w:bidi="ar-SA"/>
      </w:rPr>
    </w:lvl>
    <w:lvl w:ilvl="7">
      <w:start w:val="0"/>
      <w:numFmt w:val="bullet"/>
      <w:lvlText w:val="•"/>
      <w:lvlJc w:val="left"/>
      <w:pPr>
        <w:ind w:left="5640" w:hanging="529"/>
      </w:pPr>
      <w:rPr>
        <w:rFonts w:hint="default"/>
        <w:lang w:val="en-US" w:eastAsia="zh-CN" w:bidi="ar-SA"/>
      </w:rPr>
    </w:lvl>
    <w:lvl w:ilvl="8">
      <w:start w:val="0"/>
      <w:numFmt w:val="bullet"/>
      <w:lvlText w:val="•"/>
      <w:lvlJc w:val="left"/>
      <w:pPr>
        <w:ind w:left="6331" w:hanging="529"/>
      </w:pPr>
      <w:rPr>
        <w:rFonts w:hint="default"/>
        <w:lang w:val="en-US" w:eastAsia="zh-CN" w:bidi="ar-SA"/>
      </w:rPr>
    </w:lvl>
  </w:abstractNum>
  <w:abstractNum w:abstractNumId="11">
    <w:multiLevelType w:val="hybridMultilevel"/>
    <w:lvl w:ilvl="0">
      <w:start w:val="1"/>
      <w:numFmt w:val="decimal"/>
      <w:lvlText w:val="（%1）"/>
      <w:lvlJc w:val="left"/>
      <w:pPr>
        <w:ind w:left="796"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491" w:hanging="529"/>
      </w:pPr>
      <w:rPr>
        <w:rFonts w:hint="default"/>
        <w:lang w:val="en-US" w:eastAsia="zh-CN" w:bidi="ar-SA"/>
      </w:rPr>
    </w:lvl>
    <w:lvl w:ilvl="2">
      <w:start w:val="0"/>
      <w:numFmt w:val="bullet"/>
      <w:lvlText w:val="•"/>
      <w:lvlJc w:val="left"/>
      <w:pPr>
        <w:ind w:left="2182" w:hanging="529"/>
      </w:pPr>
      <w:rPr>
        <w:rFonts w:hint="default"/>
        <w:lang w:val="en-US" w:eastAsia="zh-CN" w:bidi="ar-SA"/>
      </w:rPr>
    </w:lvl>
    <w:lvl w:ilvl="3">
      <w:start w:val="0"/>
      <w:numFmt w:val="bullet"/>
      <w:lvlText w:val="•"/>
      <w:lvlJc w:val="left"/>
      <w:pPr>
        <w:ind w:left="2874" w:hanging="529"/>
      </w:pPr>
      <w:rPr>
        <w:rFonts w:hint="default"/>
        <w:lang w:val="en-US" w:eastAsia="zh-CN" w:bidi="ar-SA"/>
      </w:rPr>
    </w:lvl>
    <w:lvl w:ilvl="4">
      <w:start w:val="0"/>
      <w:numFmt w:val="bullet"/>
      <w:lvlText w:val="•"/>
      <w:lvlJc w:val="left"/>
      <w:pPr>
        <w:ind w:left="3565" w:hanging="529"/>
      </w:pPr>
      <w:rPr>
        <w:rFonts w:hint="default"/>
        <w:lang w:val="en-US" w:eastAsia="zh-CN" w:bidi="ar-SA"/>
      </w:rPr>
    </w:lvl>
    <w:lvl w:ilvl="5">
      <w:start w:val="0"/>
      <w:numFmt w:val="bullet"/>
      <w:lvlText w:val="•"/>
      <w:lvlJc w:val="left"/>
      <w:pPr>
        <w:ind w:left="4257" w:hanging="529"/>
      </w:pPr>
      <w:rPr>
        <w:rFonts w:hint="default"/>
        <w:lang w:val="en-US" w:eastAsia="zh-CN" w:bidi="ar-SA"/>
      </w:rPr>
    </w:lvl>
    <w:lvl w:ilvl="6">
      <w:start w:val="0"/>
      <w:numFmt w:val="bullet"/>
      <w:lvlText w:val="•"/>
      <w:lvlJc w:val="left"/>
      <w:pPr>
        <w:ind w:left="4948" w:hanging="529"/>
      </w:pPr>
      <w:rPr>
        <w:rFonts w:hint="default"/>
        <w:lang w:val="en-US" w:eastAsia="zh-CN" w:bidi="ar-SA"/>
      </w:rPr>
    </w:lvl>
    <w:lvl w:ilvl="7">
      <w:start w:val="0"/>
      <w:numFmt w:val="bullet"/>
      <w:lvlText w:val="•"/>
      <w:lvlJc w:val="left"/>
      <w:pPr>
        <w:ind w:left="5640" w:hanging="529"/>
      </w:pPr>
      <w:rPr>
        <w:rFonts w:hint="default"/>
        <w:lang w:val="en-US" w:eastAsia="zh-CN" w:bidi="ar-SA"/>
      </w:rPr>
    </w:lvl>
    <w:lvl w:ilvl="8">
      <w:start w:val="0"/>
      <w:numFmt w:val="bullet"/>
      <w:lvlText w:val="•"/>
      <w:lvlJc w:val="left"/>
      <w:pPr>
        <w:ind w:left="6331" w:hanging="529"/>
      </w:pPr>
      <w:rPr>
        <w:rFonts w:hint="default"/>
        <w:lang w:val="en-US" w:eastAsia="zh-CN" w:bidi="ar-SA"/>
      </w:rPr>
    </w:lvl>
  </w:abstractNum>
  <w:abstractNum w:abstractNumId="10">
    <w:multiLevelType w:val="hybridMultilevel"/>
    <w:lvl w:ilvl="0">
      <w:start w:val="1"/>
      <w:numFmt w:val="decimal"/>
      <w:lvlText w:val="（%1）"/>
      <w:lvlJc w:val="left"/>
      <w:pPr>
        <w:ind w:left="352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08" w:hanging="567"/>
      </w:pPr>
      <w:rPr>
        <w:rFonts w:hint="default"/>
        <w:lang w:val="en-US" w:eastAsia="zh-CN" w:bidi="ar-SA"/>
      </w:rPr>
    </w:lvl>
    <w:lvl w:ilvl="2">
      <w:start w:val="0"/>
      <w:numFmt w:val="bullet"/>
      <w:lvlText w:val="•"/>
      <w:lvlJc w:val="left"/>
      <w:pPr>
        <w:ind w:left="4897" w:hanging="567"/>
      </w:pPr>
      <w:rPr>
        <w:rFonts w:hint="default"/>
        <w:lang w:val="en-US" w:eastAsia="zh-CN" w:bidi="ar-SA"/>
      </w:rPr>
    </w:lvl>
    <w:lvl w:ilvl="3">
      <w:start w:val="0"/>
      <w:numFmt w:val="bullet"/>
      <w:lvlText w:val="•"/>
      <w:lvlJc w:val="left"/>
      <w:pPr>
        <w:ind w:left="5585" w:hanging="567"/>
      </w:pPr>
      <w:rPr>
        <w:rFonts w:hint="default"/>
        <w:lang w:val="en-US" w:eastAsia="zh-CN" w:bidi="ar-SA"/>
      </w:rPr>
    </w:lvl>
    <w:lvl w:ilvl="4">
      <w:start w:val="0"/>
      <w:numFmt w:val="bullet"/>
      <w:lvlText w:val="•"/>
      <w:lvlJc w:val="left"/>
      <w:pPr>
        <w:ind w:left="6274" w:hanging="567"/>
      </w:pPr>
      <w:rPr>
        <w:rFonts w:hint="default"/>
        <w:lang w:val="en-US" w:eastAsia="zh-CN" w:bidi="ar-SA"/>
      </w:rPr>
    </w:lvl>
    <w:lvl w:ilvl="5">
      <w:start w:val="0"/>
      <w:numFmt w:val="bullet"/>
      <w:lvlText w:val="•"/>
      <w:lvlJc w:val="left"/>
      <w:pPr>
        <w:ind w:left="6963" w:hanging="567"/>
      </w:pPr>
      <w:rPr>
        <w:rFonts w:hint="default"/>
        <w:lang w:val="en-US" w:eastAsia="zh-CN" w:bidi="ar-SA"/>
      </w:rPr>
    </w:lvl>
    <w:lvl w:ilvl="6">
      <w:start w:val="0"/>
      <w:numFmt w:val="bullet"/>
      <w:lvlText w:val="•"/>
      <w:lvlJc w:val="left"/>
      <w:pPr>
        <w:ind w:left="7651" w:hanging="567"/>
      </w:pPr>
      <w:rPr>
        <w:rFonts w:hint="default"/>
        <w:lang w:val="en-US" w:eastAsia="zh-CN" w:bidi="ar-SA"/>
      </w:rPr>
    </w:lvl>
    <w:lvl w:ilvl="7">
      <w:start w:val="0"/>
      <w:numFmt w:val="bullet"/>
      <w:lvlText w:val="•"/>
      <w:lvlJc w:val="left"/>
      <w:pPr>
        <w:ind w:left="8340" w:hanging="567"/>
      </w:pPr>
      <w:rPr>
        <w:rFonts w:hint="default"/>
        <w:lang w:val="en-US" w:eastAsia="zh-CN" w:bidi="ar-SA"/>
      </w:rPr>
    </w:lvl>
    <w:lvl w:ilvl="8">
      <w:start w:val="0"/>
      <w:numFmt w:val="bullet"/>
      <w:lvlText w:val="•"/>
      <w:lvlJc w:val="left"/>
      <w:pPr>
        <w:ind w:left="9029" w:hanging="567"/>
      </w:pPr>
      <w:rPr>
        <w:rFonts w:hint="default"/>
        <w:lang w:val="en-US" w:eastAsia="zh-CN" w:bidi="ar-SA"/>
      </w:rPr>
    </w:lvl>
  </w:abstractNum>
  <w:abstractNum w:abstractNumId="9">
    <w:multiLevelType w:val="hybridMultilevel"/>
    <w:lvl w:ilvl="0">
      <w:start w:val="1"/>
      <w:numFmt w:val="decimal"/>
      <w:lvlText w:val="（%1）"/>
      <w:lvlJc w:val="left"/>
      <w:pPr>
        <w:ind w:left="352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08" w:hanging="567"/>
      </w:pPr>
      <w:rPr>
        <w:rFonts w:hint="default"/>
        <w:lang w:val="en-US" w:eastAsia="zh-CN" w:bidi="ar-SA"/>
      </w:rPr>
    </w:lvl>
    <w:lvl w:ilvl="2">
      <w:start w:val="0"/>
      <w:numFmt w:val="bullet"/>
      <w:lvlText w:val="•"/>
      <w:lvlJc w:val="left"/>
      <w:pPr>
        <w:ind w:left="4897" w:hanging="567"/>
      </w:pPr>
      <w:rPr>
        <w:rFonts w:hint="default"/>
        <w:lang w:val="en-US" w:eastAsia="zh-CN" w:bidi="ar-SA"/>
      </w:rPr>
    </w:lvl>
    <w:lvl w:ilvl="3">
      <w:start w:val="0"/>
      <w:numFmt w:val="bullet"/>
      <w:lvlText w:val="•"/>
      <w:lvlJc w:val="left"/>
      <w:pPr>
        <w:ind w:left="5585" w:hanging="567"/>
      </w:pPr>
      <w:rPr>
        <w:rFonts w:hint="default"/>
        <w:lang w:val="en-US" w:eastAsia="zh-CN" w:bidi="ar-SA"/>
      </w:rPr>
    </w:lvl>
    <w:lvl w:ilvl="4">
      <w:start w:val="0"/>
      <w:numFmt w:val="bullet"/>
      <w:lvlText w:val="•"/>
      <w:lvlJc w:val="left"/>
      <w:pPr>
        <w:ind w:left="6274" w:hanging="567"/>
      </w:pPr>
      <w:rPr>
        <w:rFonts w:hint="default"/>
        <w:lang w:val="en-US" w:eastAsia="zh-CN" w:bidi="ar-SA"/>
      </w:rPr>
    </w:lvl>
    <w:lvl w:ilvl="5">
      <w:start w:val="0"/>
      <w:numFmt w:val="bullet"/>
      <w:lvlText w:val="•"/>
      <w:lvlJc w:val="left"/>
      <w:pPr>
        <w:ind w:left="6963" w:hanging="567"/>
      </w:pPr>
      <w:rPr>
        <w:rFonts w:hint="default"/>
        <w:lang w:val="en-US" w:eastAsia="zh-CN" w:bidi="ar-SA"/>
      </w:rPr>
    </w:lvl>
    <w:lvl w:ilvl="6">
      <w:start w:val="0"/>
      <w:numFmt w:val="bullet"/>
      <w:lvlText w:val="•"/>
      <w:lvlJc w:val="left"/>
      <w:pPr>
        <w:ind w:left="7651" w:hanging="567"/>
      </w:pPr>
      <w:rPr>
        <w:rFonts w:hint="default"/>
        <w:lang w:val="en-US" w:eastAsia="zh-CN" w:bidi="ar-SA"/>
      </w:rPr>
    </w:lvl>
    <w:lvl w:ilvl="7">
      <w:start w:val="0"/>
      <w:numFmt w:val="bullet"/>
      <w:lvlText w:val="•"/>
      <w:lvlJc w:val="left"/>
      <w:pPr>
        <w:ind w:left="8340" w:hanging="567"/>
      </w:pPr>
      <w:rPr>
        <w:rFonts w:hint="default"/>
        <w:lang w:val="en-US" w:eastAsia="zh-CN" w:bidi="ar-SA"/>
      </w:rPr>
    </w:lvl>
    <w:lvl w:ilvl="8">
      <w:start w:val="0"/>
      <w:numFmt w:val="bullet"/>
      <w:lvlText w:val="•"/>
      <w:lvlJc w:val="left"/>
      <w:pPr>
        <w:ind w:left="9029" w:hanging="567"/>
      </w:pPr>
      <w:rPr>
        <w:rFonts w:hint="default"/>
        <w:lang w:val="en-US" w:eastAsia="zh-CN" w:bidi="ar-SA"/>
      </w:rPr>
    </w:lvl>
  </w:abstractNum>
  <w:abstractNum w:abstractNumId="8">
    <w:multiLevelType w:val="hybridMultilevel"/>
    <w:lvl w:ilvl="0">
      <w:start w:val="1"/>
      <w:numFmt w:val="decimal"/>
      <w:lvlText w:val="（%1）"/>
      <w:lvlJc w:val="left"/>
      <w:pPr>
        <w:ind w:left="3679"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352" w:hanging="720"/>
      </w:pPr>
      <w:rPr>
        <w:rFonts w:hint="default"/>
        <w:lang w:val="en-US" w:eastAsia="zh-CN" w:bidi="ar-SA"/>
      </w:rPr>
    </w:lvl>
    <w:lvl w:ilvl="2">
      <w:start w:val="0"/>
      <w:numFmt w:val="bullet"/>
      <w:lvlText w:val="•"/>
      <w:lvlJc w:val="left"/>
      <w:pPr>
        <w:ind w:left="5025" w:hanging="720"/>
      </w:pPr>
      <w:rPr>
        <w:rFonts w:hint="default"/>
        <w:lang w:val="en-US" w:eastAsia="zh-CN" w:bidi="ar-SA"/>
      </w:rPr>
    </w:lvl>
    <w:lvl w:ilvl="3">
      <w:start w:val="0"/>
      <w:numFmt w:val="bullet"/>
      <w:lvlText w:val="•"/>
      <w:lvlJc w:val="left"/>
      <w:pPr>
        <w:ind w:left="5697" w:hanging="720"/>
      </w:pPr>
      <w:rPr>
        <w:rFonts w:hint="default"/>
        <w:lang w:val="en-US" w:eastAsia="zh-CN" w:bidi="ar-SA"/>
      </w:rPr>
    </w:lvl>
    <w:lvl w:ilvl="4">
      <w:start w:val="0"/>
      <w:numFmt w:val="bullet"/>
      <w:lvlText w:val="•"/>
      <w:lvlJc w:val="left"/>
      <w:pPr>
        <w:ind w:left="6370" w:hanging="720"/>
      </w:pPr>
      <w:rPr>
        <w:rFonts w:hint="default"/>
        <w:lang w:val="en-US" w:eastAsia="zh-CN" w:bidi="ar-SA"/>
      </w:rPr>
    </w:lvl>
    <w:lvl w:ilvl="5">
      <w:start w:val="0"/>
      <w:numFmt w:val="bullet"/>
      <w:lvlText w:val="•"/>
      <w:lvlJc w:val="left"/>
      <w:pPr>
        <w:ind w:left="7043" w:hanging="720"/>
      </w:pPr>
      <w:rPr>
        <w:rFonts w:hint="default"/>
        <w:lang w:val="en-US" w:eastAsia="zh-CN" w:bidi="ar-SA"/>
      </w:rPr>
    </w:lvl>
    <w:lvl w:ilvl="6">
      <w:start w:val="0"/>
      <w:numFmt w:val="bullet"/>
      <w:lvlText w:val="•"/>
      <w:lvlJc w:val="left"/>
      <w:pPr>
        <w:ind w:left="7715" w:hanging="720"/>
      </w:pPr>
      <w:rPr>
        <w:rFonts w:hint="default"/>
        <w:lang w:val="en-US" w:eastAsia="zh-CN" w:bidi="ar-SA"/>
      </w:rPr>
    </w:lvl>
    <w:lvl w:ilvl="7">
      <w:start w:val="0"/>
      <w:numFmt w:val="bullet"/>
      <w:lvlText w:val="•"/>
      <w:lvlJc w:val="left"/>
      <w:pPr>
        <w:ind w:left="8388" w:hanging="720"/>
      </w:pPr>
      <w:rPr>
        <w:rFonts w:hint="default"/>
        <w:lang w:val="en-US" w:eastAsia="zh-CN" w:bidi="ar-SA"/>
      </w:rPr>
    </w:lvl>
    <w:lvl w:ilvl="8">
      <w:start w:val="0"/>
      <w:numFmt w:val="bullet"/>
      <w:lvlText w:val="•"/>
      <w:lvlJc w:val="left"/>
      <w:pPr>
        <w:ind w:left="9061" w:hanging="720"/>
      </w:pPr>
      <w:rPr>
        <w:rFonts w:hint="default"/>
        <w:lang w:val="en-US" w:eastAsia="zh-CN" w:bidi="ar-SA"/>
      </w:rPr>
    </w:lvl>
  </w:abstractNum>
  <w:abstractNum w:abstractNumId="7">
    <w:multiLevelType w:val="hybridMultilevel"/>
    <w:lvl w:ilvl="0">
      <w:start w:val="1"/>
      <w:numFmt w:val="decimal"/>
      <w:lvlText w:val="（%1）"/>
      <w:lvlJc w:val="left"/>
      <w:pPr>
        <w:ind w:left="3525" w:hanging="56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208" w:hanging="567"/>
      </w:pPr>
      <w:rPr>
        <w:rFonts w:hint="default"/>
        <w:lang w:val="en-US" w:eastAsia="zh-CN" w:bidi="ar-SA"/>
      </w:rPr>
    </w:lvl>
    <w:lvl w:ilvl="2">
      <w:start w:val="0"/>
      <w:numFmt w:val="bullet"/>
      <w:lvlText w:val="•"/>
      <w:lvlJc w:val="left"/>
      <w:pPr>
        <w:ind w:left="4897" w:hanging="567"/>
      </w:pPr>
      <w:rPr>
        <w:rFonts w:hint="default"/>
        <w:lang w:val="en-US" w:eastAsia="zh-CN" w:bidi="ar-SA"/>
      </w:rPr>
    </w:lvl>
    <w:lvl w:ilvl="3">
      <w:start w:val="0"/>
      <w:numFmt w:val="bullet"/>
      <w:lvlText w:val="•"/>
      <w:lvlJc w:val="left"/>
      <w:pPr>
        <w:ind w:left="5585" w:hanging="567"/>
      </w:pPr>
      <w:rPr>
        <w:rFonts w:hint="default"/>
        <w:lang w:val="en-US" w:eastAsia="zh-CN" w:bidi="ar-SA"/>
      </w:rPr>
    </w:lvl>
    <w:lvl w:ilvl="4">
      <w:start w:val="0"/>
      <w:numFmt w:val="bullet"/>
      <w:lvlText w:val="•"/>
      <w:lvlJc w:val="left"/>
      <w:pPr>
        <w:ind w:left="6274" w:hanging="567"/>
      </w:pPr>
      <w:rPr>
        <w:rFonts w:hint="default"/>
        <w:lang w:val="en-US" w:eastAsia="zh-CN" w:bidi="ar-SA"/>
      </w:rPr>
    </w:lvl>
    <w:lvl w:ilvl="5">
      <w:start w:val="0"/>
      <w:numFmt w:val="bullet"/>
      <w:lvlText w:val="•"/>
      <w:lvlJc w:val="left"/>
      <w:pPr>
        <w:ind w:left="6963" w:hanging="567"/>
      </w:pPr>
      <w:rPr>
        <w:rFonts w:hint="default"/>
        <w:lang w:val="en-US" w:eastAsia="zh-CN" w:bidi="ar-SA"/>
      </w:rPr>
    </w:lvl>
    <w:lvl w:ilvl="6">
      <w:start w:val="0"/>
      <w:numFmt w:val="bullet"/>
      <w:lvlText w:val="•"/>
      <w:lvlJc w:val="left"/>
      <w:pPr>
        <w:ind w:left="7651" w:hanging="567"/>
      </w:pPr>
      <w:rPr>
        <w:rFonts w:hint="default"/>
        <w:lang w:val="en-US" w:eastAsia="zh-CN" w:bidi="ar-SA"/>
      </w:rPr>
    </w:lvl>
    <w:lvl w:ilvl="7">
      <w:start w:val="0"/>
      <w:numFmt w:val="bullet"/>
      <w:lvlText w:val="•"/>
      <w:lvlJc w:val="left"/>
      <w:pPr>
        <w:ind w:left="8340" w:hanging="567"/>
      </w:pPr>
      <w:rPr>
        <w:rFonts w:hint="default"/>
        <w:lang w:val="en-US" w:eastAsia="zh-CN" w:bidi="ar-SA"/>
      </w:rPr>
    </w:lvl>
    <w:lvl w:ilvl="8">
      <w:start w:val="0"/>
      <w:numFmt w:val="bullet"/>
      <w:lvlText w:val="•"/>
      <w:lvlJc w:val="left"/>
      <w:pPr>
        <w:ind w:left="9029" w:hanging="567"/>
      </w:pPr>
      <w:rPr>
        <w:rFonts w:hint="default"/>
        <w:lang w:val="en-US" w:eastAsia="zh-CN" w:bidi="ar-SA"/>
      </w:rPr>
    </w:lvl>
  </w:abstractNum>
  <w:abstractNum w:abstractNumId="6">
    <w:multiLevelType w:val="hybridMultilevel"/>
    <w:lvl w:ilvl="0">
      <w:start w:val="1"/>
      <w:numFmt w:val="decimal"/>
      <w:lvlText w:val="（%1）"/>
      <w:lvlJc w:val="left"/>
      <w:pPr>
        <w:ind w:left="34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5">
    <w:multiLevelType w:val="hybridMultilevel"/>
    <w:lvl w:ilvl="0">
      <w:start w:val="1"/>
      <w:numFmt w:val="decimal"/>
      <w:lvlText w:val="（%1）"/>
      <w:lvlJc w:val="left"/>
      <w:pPr>
        <w:ind w:left="34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4">
    <w:multiLevelType w:val="hybridMultilevel"/>
    <w:lvl w:ilvl="0">
      <w:start w:val="1"/>
      <w:numFmt w:val="decimal"/>
      <w:lvlText w:val="（%1）"/>
      <w:lvlJc w:val="left"/>
      <w:pPr>
        <w:ind w:left="34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3">
    <w:multiLevelType w:val="hybridMultilevel"/>
    <w:lvl w:ilvl="0">
      <w:start w:val="1"/>
      <w:numFmt w:val="decimal"/>
      <w:lvlText w:val="（%1）"/>
      <w:lvlJc w:val="left"/>
      <w:pPr>
        <w:ind w:left="348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2">
    <w:multiLevelType w:val="hybridMultilevel"/>
    <w:lvl w:ilvl="0">
      <w:start w:val="1"/>
      <w:numFmt w:val="decimal"/>
      <w:lvlText w:val="%1"/>
      <w:lvlJc w:val="left"/>
      <w:pPr>
        <w:ind w:left="1173" w:hanging="954"/>
        <w:jc w:val="left"/>
      </w:pPr>
      <w:rPr>
        <w:rFonts w:hint="default" w:ascii="Microsoft JhengHei" w:hAnsi="Microsoft JhengHei" w:eastAsia="Microsoft JhengHei" w:cs="Microsoft JhengHei"/>
        <w:b/>
        <w:bCs/>
        <w:i w:val="0"/>
        <w:iCs w:val="0"/>
        <w:w w:val="83"/>
        <w:position w:val="-2"/>
        <w:sz w:val="32"/>
        <w:szCs w:val="32"/>
        <w:lang w:val="en-US" w:eastAsia="zh-CN" w:bidi="ar-SA"/>
      </w:rPr>
    </w:lvl>
    <w:lvl w:ilvl="1">
      <w:start w:val="1"/>
      <w:numFmt w:val="decimal"/>
      <w:lvlText w:val="%1.%2"/>
      <w:lvlJc w:val="left"/>
      <w:pPr>
        <w:ind w:left="2959" w:hanging="954"/>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1"/>
      <w:numFmt w:val="decimal"/>
      <w:lvlText w:val="（%3）"/>
      <w:lvlJc w:val="left"/>
      <w:pPr>
        <w:ind w:left="3488"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3381" w:hanging="529"/>
      </w:pPr>
      <w:rPr>
        <w:rFonts w:hint="default"/>
        <w:lang w:val="en-US" w:eastAsia="zh-CN" w:bidi="ar-SA"/>
      </w:rPr>
    </w:lvl>
    <w:lvl w:ilvl="4">
      <w:start w:val="0"/>
      <w:numFmt w:val="bullet"/>
      <w:lvlText w:val="•"/>
      <w:lvlJc w:val="left"/>
      <w:pPr>
        <w:ind w:left="3282" w:hanging="529"/>
      </w:pPr>
      <w:rPr>
        <w:rFonts w:hint="default"/>
        <w:lang w:val="en-US" w:eastAsia="zh-CN" w:bidi="ar-SA"/>
      </w:rPr>
    </w:lvl>
    <w:lvl w:ilvl="5">
      <w:start w:val="0"/>
      <w:numFmt w:val="bullet"/>
      <w:lvlText w:val="•"/>
      <w:lvlJc w:val="left"/>
      <w:pPr>
        <w:ind w:left="3184" w:hanging="529"/>
      </w:pPr>
      <w:rPr>
        <w:rFonts w:hint="default"/>
        <w:lang w:val="en-US" w:eastAsia="zh-CN" w:bidi="ar-SA"/>
      </w:rPr>
    </w:lvl>
    <w:lvl w:ilvl="6">
      <w:start w:val="0"/>
      <w:numFmt w:val="bullet"/>
      <w:lvlText w:val="•"/>
      <w:lvlJc w:val="left"/>
      <w:pPr>
        <w:ind w:left="3085" w:hanging="529"/>
      </w:pPr>
      <w:rPr>
        <w:rFonts w:hint="default"/>
        <w:lang w:val="en-US" w:eastAsia="zh-CN" w:bidi="ar-SA"/>
      </w:rPr>
    </w:lvl>
    <w:lvl w:ilvl="7">
      <w:start w:val="0"/>
      <w:numFmt w:val="bullet"/>
      <w:lvlText w:val="•"/>
      <w:lvlJc w:val="left"/>
      <w:pPr>
        <w:ind w:left="2987" w:hanging="529"/>
      </w:pPr>
      <w:rPr>
        <w:rFonts w:hint="default"/>
        <w:lang w:val="en-US" w:eastAsia="zh-CN" w:bidi="ar-SA"/>
      </w:rPr>
    </w:lvl>
    <w:lvl w:ilvl="8">
      <w:start w:val="0"/>
      <w:numFmt w:val="bullet"/>
      <w:lvlText w:val="•"/>
      <w:lvlJc w:val="left"/>
      <w:pPr>
        <w:ind w:left="2888" w:hanging="529"/>
      </w:pPr>
      <w:rPr>
        <w:rFonts w:hint="default"/>
        <w:lang w:val="en-US" w:eastAsia="zh-CN" w:bidi="ar-SA"/>
      </w:rPr>
    </w:lvl>
  </w:abstractNum>
  <w:abstractNum w:abstractNumId="1">
    <w:multiLevelType w:val="hybridMultilevel"/>
    <w:lvl w:ilvl="0">
      <w:start w:val="1"/>
      <w:numFmt w:val="decimal"/>
      <w:lvlText w:val="%1."/>
      <w:lvlJc w:val="left"/>
      <w:pPr>
        <w:ind w:left="1279" w:hanging="318"/>
        <w:jc w:val="right"/>
      </w:pPr>
      <w:rPr>
        <w:rFonts w:hint="default" w:ascii="Microsoft JhengHei" w:hAnsi="Microsoft JhengHei" w:eastAsia="Microsoft JhengHei" w:cs="Microsoft JhengHei"/>
        <w:b/>
        <w:bCs/>
        <w:i w:val="0"/>
        <w:iCs w:val="0"/>
        <w:w w:val="84"/>
        <w:sz w:val="19"/>
        <w:szCs w:val="19"/>
        <w:lang w:val="en-US" w:eastAsia="zh-CN" w:bidi="ar-SA"/>
      </w:rPr>
    </w:lvl>
    <w:lvl w:ilvl="1">
      <w:start w:val="1"/>
      <w:numFmt w:val="decimal"/>
      <w:lvlText w:val="%1.%2"/>
      <w:lvlJc w:val="left"/>
      <w:pPr>
        <w:ind w:left="1698" w:hanging="52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00" w:hanging="526"/>
      </w:pPr>
      <w:rPr>
        <w:rFonts w:hint="default"/>
        <w:lang w:val="en-US" w:eastAsia="zh-CN" w:bidi="ar-SA"/>
      </w:rPr>
    </w:lvl>
    <w:lvl w:ilvl="3">
      <w:start w:val="0"/>
      <w:numFmt w:val="bullet"/>
      <w:lvlText w:val="•"/>
      <w:lvlJc w:val="left"/>
      <w:pPr>
        <w:ind w:left="1482" w:hanging="526"/>
      </w:pPr>
      <w:rPr>
        <w:rFonts w:hint="default"/>
        <w:lang w:val="en-US" w:eastAsia="zh-CN" w:bidi="ar-SA"/>
      </w:rPr>
    </w:lvl>
    <w:lvl w:ilvl="4">
      <w:start w:val="0"/>
      <w:numFmt w:val="bullet"/>
      <w:lvlText w:val="•"/>
      <w:lvlJc w:val="left"/>
      <w:pPr>
        <w:ind w:left="1265" w:hanging="526"/>
      </w:pPr>
      <w:rPr>
        <w:rFonts w:hint="default"/>
        <w:lang w:val="en-US" w:eastAsia="zh-CN" w:bidi="ar-SA"/>
      </w:rPr>
    </w:lvl>
    <w:lvl w:ilvl="5">
      <w:start w:val="0"/>
      <w:numFmt w:val="bullet"/>
      <w:lvlText w:val="•"/>
      <w:lvlJc w:val="left"/>
      <w:pPr>
        <w:ind w:left="1047" w:hanging="526"/>
      </w:pPr>
      <w:rPr>
        <w:rFonts w:hint="default"/>
        <w:lang w:val="en-US" w:eastAsia="zh-CN" w:bidi="ar-SA"/>
      </w:rPr>
    </w:lvl>
    <w:lvl w:ilvl="6">
      <w:start w:val="0"/>
      <w:numFmt w:val="bullet"/>
      <w:lvlText w:val="•"/>
      <w:lvlJc w:val="left"/>
      <w:pPr>
        <w:ind w:left="830" w:hanging="526"/>
      </w:pPr>
      <w:rPr>
        <w:rFonts w:hint="default"/>
        <w:lang w:val="en-US" w:eastAsia="zh-CN" w:bidi="ar-SA"/>
      </w:rPr>
    </w:lvl>
    <w:lvl w:ilvl="7">
      <w:start w:val="0"/>
      <w:numFmt w:val="bullet"/>
      <w:lvlText w:val="•"/>
      <w:lvlJc w:val="left"/>
      <w:pPr>
        <w:ind w:left="612" w:hanging="526"/>
      </w:pPr>
      <w:rPr>
        <w:rFonts w:hint="default"/>
        <w:lang w:val="en-US" w:eastAsia="zh-CN" w:bidi="ar-SA"/>
      </w:rPr>
    </w:lvl>
    <w:lvl w:ilvl="8">
      <w:start w:val="0"/>
      <w:numFmt w:val="bullet"/>
      <w:lvlText w:val="•"/>
      <w:lvlJc w:val="left"/>
      <w:pPr>
        <w:ind w:left="395" w:hanging="526"/>
      </w:pPr>
      <w:rPr>
        <w:rFonts w:hint="default"/>
        <w:lang w:val="en-US" w:eastAsia="zh-CN" w:bidi="ar-SA"/>
      </w:rPr>
    </w:lvl>
  </w:abstractNum>
  <w:abstractNum w:abstractNumId="0">
    <w:multiLevelType w:val="hybridMultilevel"/>
    <w:lvl w:ilvl="0">
      <w:start w:val="0"/>
      <w:numFmt w:val="bullet"/>
      <w:lvlText w:val=""/>
      <w:lvlJc w:val="left"/>
      <w:pPr>
        <w:ind w:left="1612"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498" w:hanging="420"/>
      </w:pPr>
      <w:rPr>
        <w:rFonts w:hint="default"/>
        <w:lang w:val="en-US" w:eastAsia="zh-CN" w:bidi="ar-SA"/>
      </w:rPr>
    </w:lvl>
    <w:lvl w:ilvl="2">
      <w:start w:val="0"/>
      <w:numFmt w:val="bullet"/>
      <w:lvlText w:val="•"/>
      <w:lvlJc w:val="left"/>
      <w:pPr>
        <w:ind w:left="3377" w:hanging="420"/>
      </w:pPr>
      <w:rPr>
        <w:rFonts w:hint="default"/>
        <w:lang w:val="en-US" w:eastAsia="zh-CN" w:bidi="ar-SA"/>
      </w:rPr>
    </w:lvl>
    <w:lvl w:ilvl="3">
      <w:start w:val="0"/>
      <w:numFmt w:val="bullet"/>
      <w:lvlText w:val="•"/>
      <w:lvlJc w:val="left"/>
      <w:pPr>
        <w:ind w:left="4255" w:hanging="420"/>
      </w:pPr>
      <w:rPr>
        <w:rFonts w:hint="default"/>
        <w:lang w:val="en-US" w:eastAsia="zh-CN" w:bidi="ar-SA"/>
      </w:rPr>
    </w:lvl>
    <w:lvl w:ilvl="4">
      <w:start w:val="0"/>
      <w:numFmt w:val="bullet"/>
      <w:lvlText w:val="•"/>
      <w:lvlJc w:val="left"/>
      <w:pPr>
        <w:ind w:left="5134" w:hanging="420"/>
      </w:pPr>
      <w:rPr>
        <w:rFonts w:hint="default"/>
        <w:lang w:val="en-US" w:eastAsia="zh-CN" w:bidi="ar-SA"/>
      </w:rPr>
    </w:lvl>
    <w:lvl w:ilvl="5">
      <w:start w:val="0"/>
      <w:numFmt w:val="bullet"/>
      <w:lvlText w:val="•"/>
      <w:lvlJc w:val="left"/>
      <w:pPr>
        <w:ind w:left="6013" w:hanging="420"/>
      </w:pPr>
      <w:rPr>
        <w:rFonts w:hint="default"/>
        <w:lang w:val="en-US" w:eastAsia="zh-CN" w:bidi="ar-SA"/>
      </w:rPr>
    </w:lvl>
    <w:lvl w:ilvl="6">
      <w:start w:val="0"/>
      <w:numFmt w:val="bullet"/>
      <w:lvlText w:val="•"/>
      <w:lvlJc w:val="left"/>
      <w:pPr>
        <w:ind w:left="6891" w:hanging="420"/>
      </w:pPr>
      <w:rPr>
        <w:rFonts w:hint="default"/>
        <w:lang w:val="en-US" w:eastAsia="zh-CN" w:bidi="ar-SA"/>
      </w:rPr>
    </w:lvl>
    <w:lvl w:ilvl="7">
      <w:start w:val="0"/>
      <w:numFmt w:val="bullet"/>
      <w:lvlText w:val="•"/>
      <w:lvlJc w:val="left"/>
      <w:pPr>
        <w:ind w:left="7770" w:hanging="420"/>
      </w:pPr>
      <w:rPr>
        <w:rFonts w:hint="default"/>
        <w:lang w:val="en-US" w:eastAsia="zh-CN" w:bidi="ar-SA"/>
      </w:rPr>
    </w:lvl>
    <w:lvl w:ilvl="8">
      <w:start w:val="0"/>
      <w:numFmt w:val="bullet"/>
      <w:lvlText w:val="•"/>
      <w:lvlJc w:val="left"/>
      <w:pPr>
        <w:ind w:left="8649" w:hanging="420"/>
      </w:pPr>
      <w:rPr>
        <w:rFonts w:hint="default"/>
        <w:lang w:val="en-US" w:eastAsia="zh-CN" w:bidi="ar-SA"/>
      </w:rPr>
    </w:lvl>
  </w:abstract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2959"/>
    </w:pPr>
    <w:rPr>
      <w:rFonts w:ascii="宋体" w:hAnsi="宋体" w:eastAsia="宋体" w:cs="宋体"/>
      <w:sz w:val="21"/>
      <w:szCs w:val="21"/>
      <w:lang w:val="en-US" w:eastAsia="zh-CN" w:bidi="ar-SA"/>
    </w:rPr>
  </w:style>
  <w:style w:styleId="Heading1" w:type="paragraph">
    <w:name w:val="Heading 1"/>
    <w:basedOn w:val="Normal"/>
    <w:uiPriority w:val="1"/>
    <w:qFormat/>
    <w:pPr>
      <w:ind w:left="1173" w:hanging="954"/>
      <w:outlineLvl w:val="1"/>
    </w:pPr>
    <w:rPr>
      <w:rFonts w:ascii="Microsoft JhengHei" w:hAnsi="Microsoft JhengHei" w:eastAsia="Microsoft JhengHei" w:cs="Microsoft JhengHei"/>
      <w:b/>
      <w:bCs/>
      <w:sz w:val="24"/>
      <w:szCs w:val="24"/>
      <w:lang w:val="en-US" w:eastAsia="zh-CN" w:bidi="ar-SA"/>
    </w:rPr>
  </w:style>
  <w:style w:styleId="Heading2" w:type="paragraph">
    <w:name w:val="Heading 2"/>
    <w:basedOn w:val="Normal"/>
    <w:uiPriority w:val="1"/>
    <w:qFormat/>
    <w:pPr>
      <w:spacing w:line="379" w:lineRule="exact"/>
      <w:ind w:left="1173" w:hanging="319"/>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2959" w:hanging="526"/>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2023-06-02T05:57:50Z</dcterms:created>
  <dcterms:modified xsi:type="dcterms:W3CDTF">2023-06-02T05:57:50Z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