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5"/>
        <w:ind w:left="7011"/>
        <w:rPr>
          <w:rFonts w:ascii="仿宋" w:eastAsia="仿宋"/>
        </w:rPr>
      </w:pPr>
      <w:r>
        <w:rPr/>
        <w:drawing>
          <wp:anchor distT="0" distB="0" distL="0" distR="0" allowOverlap="1" layoutInCell="1" locked="0" behindDoc="0" simplePos="0" relativeHeight="15729664">
            <wp:simplePos x="0" y="0"/>
            <wp:positionH relativeFrom="page">
              <wp:posOffset>5454650</wp:posOffset>
            </wp:positionH>
            <wp:positionV relativeFrom="paragraph">
              <wp:posOffset>250824</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rFonts w:ascii="仿宋" w:eastAsia="仿宋"/>
          <w:spacing w:val="-2"/>
        </w:rPr>
        <w:t>长城人寿[2020</w:t>
      </w:r>
      <w:r>
        <w:rPr>
          <w:rFonts w:ascii="仿宋" w:eastAsia="仿宋"/>
          <w:spacing w:val="-10"/>
        </w:rPr>
        <w:t>]疾病保险 </w:t>
      </w:r>
      <w:r>
        <w:rPr>
          <w:rFonts w:ascii="仿宋" w:eastAsia="仿宋"/>
          <w:spacing w:val="-2"/>
        </w:rPr>
        <w:t>029</w:t>
      </w:r>
      <w:r>
        <w:rPr>
          <w:rFonts w:ascii="仿宋" w:eastAsia="仿宋"/>
          <w:spacing w:val="-27"/>
        </w:rPr>
        <w:t> 号</w:t>
      </w:r>
    </w:p>
    <w:p>
      <w:pPr>
        <w:pStyle w:val="BodyText"/>
        <w:rPr>
          <w:rFonts w:ascii="仿宋"/>
          <w:sz w:val="20"/>
        </w:rPr>
      </w:pPr>
    </w:p>
    <w:p>
      <w:pPr>
        <w:spacing w:line="458" w:lineRule="exact" w:before="150"/>
        <w:ind w:left="3986" w:right="3141" w:hanging="2283"/>
        <w:jc w:val="left"/>
        <w:rPr>
          <w:rFonts w:ascii="华文中宋" w:eastAsia="华文中宋" w:hint="eastAsia"/>
          <w:b/>
          <w:sz w:val="32"/>
        </w:rPr>
      </w:pPr>
      <w:r>
        <w:rPr>
          <w:rFonts w:ascii="华文中宋" w:eastAsia="华文中宋" w:hint="eastAsia"/>
          <w:b/>
          <w:spacing w:val="-2"/>
          <w:sz w:val="32"/>
        </w:rPr>
        <w:t>长城吉康人</w:t>
      </w:r>
      <w:r>
        <w:rPr>
          <w:rFonts w:ascii="华文中宋" w:eastAsia="华文中宋" w:hint="eastAsia"/>
          <w:b/>
          <w:spacing w:val="-2"/>
          <w:sz w:val="32"/>
        </w:rPr>
        <w:t>生</w:t>
      </w:r>
      <w:r>
        <w:rPr>
          <w:rFonts w:ascii="华文中宋" w:eastAsia="华文中宋" w:hint="eastAsia"/>
          <w:b/>
          <w:spacing w:val="-2"/>
          <w:sz w:val="32"/>
        </w:rPr>
        <w:t>重</w:t>
      </w:r>
      <w:r>
        <w:rPr>
          <w:rFonts w:ascii="华文中宋" w:eastAsia="华文中宋" w:hint="eastAsia"/>
          <w:b/>
          <w:spacing w:val="-2"/>
          <w:sz w:val="32"/>
        </w:rPr>
        <w:t>大疾病保险（2021）条款</w:t>
      </w:r>
      <w:r>
        <w:rPr>
          <w:rFonts w:ascii="华文中宋" w:eastAsia="华文中宋" w:hint="eastAsia"/>
          <w:b/>
          <w:spacing w:val="-4"/>
          <w:sz w:val="32"/>
        </w:rPr>
        <w:t>阅读指引</w:t>
      </w:r>
    </w:p>
    <w:p>
      <w:pPr>
        <w:pStyle w:val="BodyText"/>
        <w:spacing w:line="217" w:lineRule="exact"/>
        <w:ind w:right="1230"/>
        <w:jc w:val="right"/>
        <w:rPr>
          <w:rFonts w:ascii="仿宋" w:eastAsia="仿宋"/>
        </w:rPr>
      </w:pPr>
      <w:r>
        <w:rPr>
          <w:rFonts w:ascii="仿宋" w:eastAsia="仿宋"/>
          <w:spacing w:val="-3"/>
        </w:rPr>
        <w:t>请扫描以查询验证条款</w:t>
      </w:r>
    </w:p>
    <w:p>
      <w:pPr>
        <w:pStyle w:val="BodyText"/>
        <w:spacing w:line="218" w:lineRule="auto"/>
        <w:ind w:left="636" w:right="629"/>
        <w:jc w:val="center"/>
      </w:pPr>
      <w:r>
        <w:rPr/>
        <w:drawing>
          <wp:anchor distT="0" distB="0" distL="0" distR="0" allowOverlap="1" layoutInCell="1" locked="0" behindDoc="0" simplePos="0" relativeHeight="15730176">
            <wp:simplePos x="0" y="0"/>
            <wp:positionH relativeFrom="page">
              <wp:posOffset>501395</wp:posOffset>
            </wp:positionH>
            <wp:positionV relativeFrom="paragraph">
              <wp:posOffset>186181</wp:posOffset>
            </wp:positionV>
            <wp:extent cx="6701028" cy="828390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701028" cy="8283905"/>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主</w:t>
      </w:r>
      <w:r>
        <w:rPr>
          <w:spacing w:val="-63"/>
          <w:position w:val="-7"/>
        </w:rPr>
        <w:t>．</w:t>
      </w:r>
      <w:r>
        <w:rPr>
          <w:spacing w:val="-152"/>
        </w:rPr>
        <w:t>险</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49"/>
        </w:rPr>
        <w:t>解</w:t>
      </w:r>
      <w:r>
        <w:rPr>
          <w:spacing w:val="-63"/>
          <w:position w:val="-7"/>
        </w:rPr>
        <w:t>．</w:t>
      </w:r>
      <w:r>
        <w:rPr>
          <w:spacing w:val="-151"/>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0"/>
        </w:rPr>
        <w:t>。</w:t>
      </w:r>
    </w:p>
    <w:p>
      <w:pPr>
        <w:pStyle w:val="ListParagraph"/>
        <w:numPr>
          <w:ilvl w:val="0"/>
          <w:numId w:val="1"/>
        </w:numPr>
        <w:tabs>
          <w:tab w:pos="552" w:val="left" w:leader="none"/>
        </w:tabs>
        <w:spacing w:line="350" w:lineRule="exact" w:before="0" w:after="0"/>
        <w:ind w:left="551" w:right="0" w:hanging="304"/>
        <w:jc w:val="left"/>
        <w:rPr>
          <w:b/>
          <w:sz w:val="21"/>
        </w:rPr>
      </w:pPr>
      <w:r>
        <w:rPr>
          <w:b/>
          <w:spacing w:val="-4"/>
          <w:sz w:val="21"/>
        </w:rPr>
        <w:t>您拥有的重要权益</w:t>
      </w:r>
    </w:p>
    <w:p>
      <w:pPr>
        <w:pStyle w:val="ListParagraph"/>
        <w:numPr>
          <w:ilvl w:val="1"/>
          <w:numId w:val="1"/>
        </w:numPr>
        <w:tabs>
          <w:tab w:pos="1091" w:val="left" w:leader="none"/>
          <w:tab w:pos="1092" w:val="left" w:leader="none"/>
          <w:tab w:pos="9707" w:val="right" w:leader="dot"/>
        </w:tabs>
        <w:spacing w:line="240" w:lineRule="auto" w:before="35" w:after="0"/>
        <w:ind w:left="1091" w:right="0" w:hanging="421"/>
        <w:jc w:val="left"/>
        <w:rPr>
          <w:sz w:val="21"/>
        </w:rPr>
      </w:pPr>
      <w:r>
        <w:rPr>
          <w:spacing w:val="-2"/>
          <w:sz w:val="21"/>
        </w:rPr>
        <w:t>犹</w:t>
      </w:r>
      <w:r>
        <w:rPr>
          <w:spacing w:val="-2"/>
          <w:sz w:val="21"/>
        </w:rPr>
        <w:t>豫</w:t>
      </w:r>
      <w:r>
        <w:rPr>
          <w:spacing w:val="-2"/>
          <w:sz w:val="21"/>
        </w:rPr>
        <w:t>期内您可以要求退还</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1.4</w:t>
      </w:r>
    </w:p>
    <w:p>
      <w:pPr>
        <w:pStyle w:val="ListParagraph"/>
        <w:numPr>
          <w:ilvl w:val="1"/>
          <w:numId w:val="1"/>
        </w:numPr>
        <w:tabs>
          <w:tab w:pos="1091" w:val="left" w:leader="none"/>
          <w:tab w:pos="1092" w:val="left" w:leader="none"/>
          <w:tab w:pos="9707" w:val="right" w:leader="dot"/>
        </w:tabs>
        <w:spacing w:line="240" w:lineRule="auto" w:before="50" w:after="0"/>
        <w:ind w:left="1091" w:right="0" w:hanging="421"/>
        <w:jc w:val="left"/>
        <w:rPr>
          <w:sz w:val="21"/>
        </w:rPr>
      </w:pPr>
      <w:r>
        <w:rPr>
          <w:spacing w:val="-2"/>
          <w:sz w:val="21"/>
        </w:rPr>
        <w:t>被</w:t>
      </w:r>
      <w:r>
        <w:rPr>
          <w:spacing w:val="-2"/>
          <w:sz w:val="21"/>
        </w:rPr>
        <w:t>保</w:t>
      </w:r>
      <w:r>
        <w:rPr>
          <w:spacing w:val="-2"/>
          <w:sz w:val="21"/>
        </w:rPr>
        <w:t>险人可以享受本主险</w:t>
      </w:r>
      <w:r>
        <w:rPr>
          <w:spacing w:val="-2"/>
          <w:sz w:val="21"/>
        </w:rPr>
        <w:t>合</w:t>
      </w:r>
      <w:r>
        <w:rPr>
          <w:spacing w:val="-2"/>
          <w:sz w:val="21"/>
        </w:rPr>
        <w:t>同</w:t>
      </w:r>
      <w:r>
        <w:rPr>
          <w:spacing w:val="-2"/>
          <w:sz w:val="21"/>
        </w:rPr>
        <w:t>提供的</w:t>
      </w:r>
      <w:r>
        <w:rPr>
          <w:spacing w:val="-2"/>
          <w:sz w:val="21"/>
        </w:rPr>
        <w:t>保</w:t>
      </w:r>
      <w:r>
        <w:rPr>
          <w:spacing w:val="-10"/>
          <w:sz w:val="21"/>
        </w:rPr>
        <w:t>障</w:t>
      </w:r>
      <w:r>
        <w:rPr>
          <w:rFonts w:ascii="Times New Roman" w:hAnsi="Times New Roman" w:eastAsia="Times New Roman"/>
          <w:sz w:val="21"/>
        </w:rPr>
        <w:tab/>
      </w:r>
      <w:r>
        <w:rPr>
          <w:spacing w:val="-5"/>
          <w:sz w:val="21"/>
        </w:rPr>
        <w:t>2.3</w:t>
      </w:r>
    </w:p>
    <w:p>
      <w:pPr>
        <w:pStyle w:val="ListParagraph"/>
        <w:numPr>
          <w:ilvl w:val="1"/>
          <w:numId w:val="1"/>
        </w:numPr>
        <w:tabs>
          <w:tab w:pos="1091" w:val="left" w:leader="none"/>
          <w:tab w:pos="1092" w:val="left" w:leader="none"/>
          <w:tab w:pos="9704" w:val="right" w:leader="dot"/>
        </w:tabs>
        <w:spacing w:line="240" w:lineRule="auto" w:before="53" w:after="0"/>
        <w:ind w:left="1091" w:right="0" w:hanging="421"/>
        <w:jc w:val="left"/>
        <w:rPr>
          <w:sz w:val="21"/>
        </w:rPr>
      </w:pPr>
      <w:r>
        <w:rPr>
          <w:spacing w:val="-2"/>
          <w:sz w:val="21"/>
        </w:rPr>
        <w:t>您</w:t>
      </w:r>
      <w:r>
        <w:rPr>
          <w:spacing w:val="-2"/>
          <w:sz w:val="21"/>
        </w:rPr>
        <w:t>有</w:t>
      </w:r>
      <w:r>
        <w:rPr>
          <w:spacing w:val="-2"/>
          <w:sz w:val="21"/>
        </w:rPr>
        <w:t>保险单借款的权</w:t>
      </w:r>
      <w:r>
        <w:rPr>
          <w:spacing w:val="-10"/>
          <w:sz w:val="21"/>
        </w:rPr>
        <w:t>利</w:t>
      </w:r>
      <w:r>
        <w:rPr>
          <w:rFonts w:ascii="Times New Roman" w:hAnsi="Times New Roman" w:eastAsia="Times New Roman"/>
          <w:sz w:val="21"/>
        </w:rPr>
        <w:tab/>
      </w:r>
      <w:r>
        <w:rPr>
          <w:spacing w:val="-5"/>
          <w:sz w:val="21"/>
        </w:rPr>
        <w:t>5.2</w:t>
      </w:r>
    </w:p>
    <w:p>
      <w:pPr>
        <w:pStyle w:val="ListParagraph"/>
        <w:numPr>
          <w:ilvl w:val="1"/>
          <w:numId w:val="1"/>
        </w:numPr>
        <w:tabs>
          <w:tab w:pos="1091" w:val="left" w:leader="none"/>
          <w:tab w:pos="1092" w:val="left" w:leader="none"/>
          <w:tab w:pos="9704" w:val="right" w:leader="dot"/>
        </w:tabs>
        <w:spacing w:line="255" w:lineRule="exact" w:before="50" w:after="0"/>
        <w:ind w:left="1091" w:right="0" w:hanging="421"/>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sz w:val="21"/>
        </w:rPr>
        <w:t>7.1</w:t>
      </w:r>
    </w:p>
    <w:p>
      <w:pPr>
        <w:pStyle w:val="Heading2"/>
        <w:numPr>
          <w:ilvl w:val="0"/>
          <w:numId w:val="1"/>
        </w:numPr>
        <w:tabs>
          <w:tab w:pos="552" w:val="left" w:leader="none"/>
        </w:tabs>
        <w:spacing w:line="341" w:lineRule="exact" w:before="0" w:after="0"/>
        <w:ind w:left="551" w:right="0" w:hanging="304"/>
        <w:jc w:val="left"/>
        <w:rPr>
          <w:rFonts w:ascii="宋体" w:hAnsi="宋体" w:eastAsia="宋体" w:hint="eastAsia"/>
        </w:rPr>
      </w:pPr>
      <w:r>
        <w:rPr>
          <w:rFonts w:ascii="宋体" w:hAnsi="宋体" w:eastAsia="宋体" w:hint="eastAsia"/>
          <w:spacing w:val="-3"/>
        </w:rPr>
        <w:t>您应当特别注意的事项</w:t>
      </w:r>
    </w:p>
    <w:p>
      <w:pPr>
        <w:pStyle w:val="ListParagraph"/>
        <w:numPr>
          <w:ilvl w:val="1"/>
          <w:numId w:val="1"/>
        </w:numPr>
        <w:tabs>
          <w:tab w:pos="1091" w:val="left" w:leader="none"/>
          <w:tab w:pos="1092" w:val="left" w:leader="none"/>
          <w:tab w:pos="9707" w:val="right" w:leader="dot"/>
        </w:tabs>
        <w:spacing w:line="240" w:lineRule="auto" w:before="44" w:after="0"/>
        <w:ind w:left="1091" w:right="0" w:hanging="421"/>
        <w:jc w:val="left"/>
        <w:rPr>
          <w:sz w:val="21"/>
        </w:rPr>
      </w:pPr>
      <w:r>
        <w:rPr>
          <w:spacing w:val="-2"/>
          <w:sz w:val="21"/>
        </w:rPr>
        <w:t>在</w:t>
      </w:r>
      <w:r>
        <w:rPr>
          <w:spacing w:val="-2"/>
          <w:sz w:val="21"/>
        </w:rPr>
        <w:t>某</w:t>
      </w:r>
      <w:r>
        <w:rPr>
          <w:spacing w:val="-2"/>
          <w:sz w:val="21"/>
        </w:rPr>
        <w:t>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sz w:val="21"/>
        </w:rPr>
        <w:t>2.4</w:t>
      </w:r>
    </w:p>
    <w:p>
      <w:pPr>
        <w:pStyle w:val="ListParagraph"/>
        <w:numPr>
          <w:ilvl w:val="1"/>
          <w:numId w:val="1"/>
        </w:numPr>
        <w:tabs>
          <w:tab w:pos="1091" w:val="left" w:leader="none"/>
          <w:tab w:pos="1092" w:val="left" w:leader="none"/>
          <w:tab w:pos="9706" w:val="right" w:leader="dot"/>
        </w:tabs>
        <w:spacing w:line="240" w:lineRule="auto" w:before="50" w:after="0"/>
        <w:ind w:left="1091" w:right="0" w:hanging="421"/>
        <w:jc w:val="left"/>
        <w:rPr>
          <w:sz w:val="21"/>
        </w:rPr>
      </w:pPr>
      <w:r>
        <w:rPr>
          <w:spacing w:val="-2"/>
          <w:sz w:val="21"/>
        </w:rPr>
        <w:t>您</w:t>
      </w:r>
      <w:r>
        <w:rPr>
          <w:spacing w:val="-2"/>
          <w:sz w:val="21"/>
        </w:rPr>
        <w:t>有</w:t>
      </w:r>
      <w:r>
        <w:rPr>
          <w:spacing w:val="-2"/>
          <w:sz w:val="21"/>
        </w:rPr>
        <w:t>及时向我们通知保险</w:t>
      </w:r>
      <w:r>
        <w:rPr>
          <w:spacing w:val="-2"/>
          <w:sz w:val="21"/>
        </w:rPr>
        <w:t>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1091" w:val="left" w:leader="none"/>
          <w:tab w:pos="1092" w:val="left" w:leader="none"/>
          <w:tab w:pos="9704" w:val="right" w:leader="dot"/>
        </w:tabs>
        <w:spacing w:line="240" w:lineRule="auto" w:before="51" w:after="0"/>
        <w:ind w:left="1091" w:right="0" w:hanging="421"/>
        <w:jc w:val="left"/>
        <w:rPr>
          <w:sz w:val="21"/>
        </w:rPr>
      </w:pPr>
      <w:r>
        <w:rPr>
          <w:spacing w:val="-2"/>
          <w:sz w:val="21"/>
        </w:rPr>
        <w:t>您</w:t>
      </w:r>
      <w:r>
        <w:rPr>
          <w:spacing w:val="-2"/>
          <w:sz w:val="21"/>
        </w:rPr>
        <w:t>应</w:t>
      </w:r>
      <w:r>
        <w:rPr>
          <w:spacing w:val="-2"/>
          <w:sz w:val="21"/>
        </w:rPr>
        <w:t>当按时交纳保险</w:t>
      </w:r>
      <w:r>
        <w:rPr>
          <w:spacing w:val="-10"/>
          <w:sz w:val="21"/>
        </w:rPr>
        <w:t>费</w:t>
      </w:r>
      <w:r>
        <w:rPr>
          <w:rFonts w:ascii="Times New Roman" w:hAnsi="Times New Roman" w:eastAsia="Times New Roman"/>
          <w:sz w:val="21"/>
        </w:rPr>
        <w:tab/>
      </w:r>
      <w:r>
        <w:rPr>
          <w:spacing w:val="-5"/>
          <w:sz w:val="21"/>
        </w:rPr>
        <w:t>4.1</w:t>
      </w:r>
    </w:p>
    <w:p>
      <w:pPr>
        <w:pStyle w:val="ListParagraph"/>
        <w:numPr>
          <w:ilvl w:val="1"/>
          <w:numId w:val="1"/>
        </w:numPr>
        <w:tabs>
          <w:tab w:pos="1091" w:val="left" w:leader="none"/>
          <w:tab w:pos="1092" w:val="left" w:leader="none"/>
          <w:tab w:pos="9707" w:val="right" w:leader="dot"/>
        </w:tabs>
        <w:spacing w:line="240" w:lineRule="auto" w:before="52" w:after="0"/>
        <w:ind w:left="1091" w:right="0" w:hanging="421"/>
        <w:jc w:val="left"/>
        <w:rPr>
          <w:sz w:val="21"/>
        </w:rPr>
      </w:pPr>
      <w:r>
        <w:rPr>
          <w:spacing w:val="-2"/>
          <w:sz w:val="21"/>
        </w:rPr>
        <w:t>退</w:t>
      </w:r>
      <w:r>
        <w:rPr>
          <w:spacing w:val="-2"/>
          <w:sz w:val="21"/>
        </w:rPr>
        <w:t>保</w:t>
      </w:r>
      <w:r>
        <w:rPr>
          <w:spacing w:val="-2"/>
          <w:sz w:val="21"/>
        </w:rPr>
        <w:t>会给您造成一定的损</w:t>
      </w:r>
      <w:r>
        <w:rPr>
          <w:spacing w:val="-2"/>
          <w:sz w:val="21"/>
        </w:rPr>
        <w:t>失</w:t>
      </w:r>
      <w:r>
        <w:rPr>
          <w:spacing w:val="-2"/>
          <w:sz w:val="21"/>
        </w:rPr>
        <w:t>，请您慎重决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1"/>
          <w:numId w:val="1"/>
        </w:numPr>
        <w:tabs>
          <w:tab w:pos="1091" w:val="left" w:leader="none"/>
          <w:tab w:pos="1092" w:val="left" w:leader="none"/>
          <w:tab w:pos="9704" w:val="right" w:leader="dot"/>
        </w:tabs>
        <w:spacing w:line="240" w:lineRule="auto" w:before="50" w:after="0"/>
        <w:ind w:left="1091"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1"/>
          <w:numId w:val="1"/>
        </w:numPr>
        <w:tabs>
          <w:tab w:pos="1091" w:val="left" w:leader="none"/>
          <w:tab w:pos="1092" w:val="left" w:leader="none"/>
          <w:tab w:pos="9498" w:val="right" w:leader="dot"/>
        </w:tabs>
        <w:spacing w:line="257" w:lineRule="exact" w:before="50" w:after="0"/>
        <w:ind w:left="1091" w:right="0" w:hanging="421"/>
        <w:jc w:val="left"/>
        <w:rPr>
          <w:sz w:val="21"/>
        </w:rPr>
      </w:pPr>
      <w:r>
        <w:rPr>
          <w:spacing w:val="-2"/>
          <w:sz w:val="21"/>
        </w:rPr>
        <w:t>我</w:t>
      </w:r>
      <w:r>
        <w:rPr>
          <w:spacing w:val="-2"/>
          <w:sz w:val="21"/>
        </w:rPr>
        <w:t>们</w:t>
      </w:r>
      <w:r>
        <w:rPr>
          <w:spacing w:val="-2"/>
          <w:sz w:val="21"/>
        </w:rPr>
        <w:t>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sz w:val="21"/>
        </w:rPr>
        <w:t>9</w:t>
      </w:r>
    </w:p>
    <w:p>
      <w:pPr>
        <w:pStyle w:val="ListParagraph"/>
        <w:numPr>
          <w:ilvl w:val="0"/>
          <w:numId w:val="1"/>
        </w:numPr>
        <w:tabs>
          <w:tab w:pos="552" w:val="left" w:leader="none"/>
        </w:tabs>
        <w:spacing w:line="325" w:lineRule="exact" w:before="0" w:after="0"/>
        <w:ind w:left="551" w:right="0" w:hanging="304"/>
        <w:jc w:val="left"/>
        <w:rPr>
          <w:b/>
          <w:sz w:val="21"/>
        </w:rPr>
      </w:pPr>
      <w:r>
        <w:rPr>
          <w:b/>
          <w:spacing w:val="-3"/>
          <w:sz w:val="21"/>
        </w:rPr>
        <w:t>条款是保险合同的重要内容，为充分保障您的权益，请您仔细阅读本条款。</w:t>
      </w:r>
    </w:p>
    <w:p>
      <w:pPr>
        <w:pStyle w:val="ListParagraph"/>
        <w:numPr>
          <w:ilvl w:val="0"/>
          <w:numId w:val="1"/>
        </w:numPr>
        <w:tabs>
          <w:tab w:pos="552" w:val="left" w:leader="none"/>
        </w:tabs>
        <w:spacing w:line="337" w:lineRule="exact" w:before="0" w:after="0"/>
        <w:ind w:left="551" w:right="0" w:hanging="304"/>
        <w:jc w:val="left"/>
        <w:rPr>
          <w:b/>
          <w:sz w:val="21"/>
        </w:rPr>
      </w:pPr>
      <w:r>
        <w:rPr>
          <w:b/>
          <w:spacing w:val="-3"/>
          <w:sz w:val="21"/>
        </w:rPr>
        <w:t>条款目录</w:t>
      </w:r>
    </w:p>
    <w:tbl>
      <w:tblPr>
        <w:tblW w:w="0" w:type="auto"/>
        <w:jc w:val="left"/>
        <w:tblInd w:w="2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48"/>
        <w:gridCol w:w="3334"/>
        <w:gridCol w:w="3690"/>
      </w:tblGrid>
      <w:tr>
        <w:trPr>
          <w:trHeight w:val="312" w:hRule="atLeast"/>
        </w:trPr>
        <w:tc>
          <w:tcPr>
            <w:tcW w:w="3248" w:type="dxa"/>
            <w:tcBorders>
              <w:top w:val="dotted" w:sz="4" w:space="0" w:color="000000"/>
              <w:left w:val="dotted" w:sz="4" w:space="0" w:color="000000"/>
            </w:tcBorders>
          </w:tcPr>
          <w:p>
            <w:pPr>
              <w:pStyle w:val="TableParagraph"/>
              <w:spacing w:before="22"/>
              <w:ind w:left="107"/>
              <w:rPr>
                <w:b/>
                <w:sz w:val="21"/>
              </w:rPr>
            </w:pPr>
            <w:r>
              <w:rPr>
                <w:b/>
                <w:w w:val="95"/>
                <w:sz w:val="21"/>
              </w:rPr>
              <w:t>1．</w:t>
            </w:r>
            <w:r>
              <w:rPr>
                <w:b/>
                <w:w w:val="95"/>
                <w:sz w:val="21"/>
              </w:rPr>
              <w:t>您</w:t>
            </w:r>
            <w:r>
              <w:rPr>
                <w:b/>
                <w:w w:val="95"/>
                <w:sz w:val="21"/>
              </w:rPr>
              <w:t>与</w:t>
            </w:r>
            <w:r>
              <w:rPr>
                <w:b/>
                <w:w w:val="95"/>
                <w:sz w:val="21"/>
              </w:rPr>
              <w:t>我</w:t>
            </w:r>
            <w:r>
              <w:rPr>
                <w:b/>
                <w:w w:val="95"/>
                <w:sz w:val="21"/>
              </w:rPr>
              <w:t>们</w:t>
            </w:r>
            <w:r>
              <w:rPr>
                <w:b/>
                <w:w w:val="95"/>
                <w:sz w:val="21"/>
              </w:rPr>
              <w:t>的</w:t>
            </w:r>
            <w:r>
              <w:rPr>
                <w:b/>
                <w:w w:val="95"/>
                <w:sz w:val="21"/>
              </w:rPr>
              <w:t>合</w:t>
            </w:r>
            <w:r>
              <w:rPr>
                <w:b/>
                <w:spacing w:val="-10"/>
                <w:w w:val="95"/>
                <w:sz w:val="21"/>
              </w:rPr>
              <w:t>同</w:t>
            </w:r>
          </w:p>
        </w:tc>
        <w:tc>
          <w:tcPr>
            <w:tcW w:w="3334" w:type="dxa"/>
            <w:tcBorders>
              <w:top w:val="dotted" w:sz="4" w:space="0" w:color="000000"/>
            </w:tcBorders>
          </w:tcPr>
          <w:p>
            <w:pPr>
              <w:pStyle w:val="TableParagraph"/>
              <w:spacing w:before="22"/>
              <w:ind w:left="463"/>
              <w:rPr>
                <w:sz w:val="21"/>
              </w:rPr>
            </w:pPr>
            <w:r>
              <w:rPr>
                <w:spacing w:val="-2"/>
                <w:sz w:val="21"/>
              </w:rPr>
              <w:t>6.1</w:t>
            </w:r>
            <w:r>
              <w:rPr>
                <w:spacing w:val="-14"/>
                <w:sz w:val="21"/>
              </w:rPr>
              <w:t> 效力中止</w:t>
            </w:r>
          </w:p>
        </w:tc>
        <w:tc>
          <w:tcPr>
            <w:tcW w:w="3690" w:type="dxa"/>
            <w:tcBorders>
              <w:top w:val="dotted" w:sz="4" w:space="0" w:color="000000"/>
              <w:right w:val="dotted" w:sz="4" w:space="0" w:color="000000"/>
            </w:tcBorders>
          </w:tcPr>
          <w:p>
            <w:pPr>
              <w:pStyle w:val="TableParagraph"/>
              <w:spacing w:before="22"/>
              <w:ind w:left="213"/>
              <w:rPr>
                <w:sz w:val="21"/>
              </w:rPr>
            </w:pPr>
            <w:r>
              <w:rPr>
                <w:spacing w:val="-2"/>
                <w:sz w:val="21"/>
              </w:rPr>
              <w:t>9.12</w:t>
            </w:r>
            <w:r>
              <w:rPr>
                <w:spacing w:val="-12"/>
                <w:sz w:val="21"/>
              </w:rPr>
              <w:t> 极重度疾病</w:t>
            </w:r>
          </w:p>
        </w:tc>
      </w:tr>
      <w:tr>
        <w:trPr>
          <w:trHeight w:val="311" w:hRule="atLeast"/>
        </w:trPr>
        <w:tc>
          <w:tcPr>
            <w:tcW w:w="3248" w:type="dxa"/>
            <w:tcBorders>
              <w:left w:val="dotted" w:sz="4" w:space="0" w:color="000000"/>
            </w:tcBorders>
          </w:tcPr>
          <w:p>
            <w:pPr>
              <w:pStyle w:val="TableParagraph"/>
              <w:spacing w:before="22"/>
              <w:ind w:left="319"/>
              <w:rPr>
                <w:sz w:val="21"/>
              </w:rPr>
            </w:pPr>
            <w:r>
              <w:rPr>
                <w:spacing w:val="-2"/>
                <w:sz w:val="21"/>
              </w:rPr>
              <w:t>1.1</w:t>
            </w:r>
            <w:r>
              <w:rPr>
                <w:spacing w:val="-14"/>
                <w:sz w:val="21"/>
              </w:rPr>
              <w:t> 合同构成</w:t>
            </w:r>
          </w:p>
        </w:tc>
        <w:tc>
          <w:tcPr>
            <w:tcW w:w="3334" w:type="dxa"/>
          </w:tcPr>
          <w:p>
            <w:pPr>
              <w:pStyle w:val="TableParagraph"/>
              <w:spacing w:before="22"/>
              <w:ind w:left="463"/>
              <w:rPr>
                <w:sz w:val="21"/>
              </w:rPr>
            </w:pPr>
            <w:r>
              <w:rPr>
                <w:spacing w:val="-2"/>
                <w:sz w:val="21"/>
              </w:rPr>
              <w:t>6.2</w:t>
            </w:r>
            <w:r>
              <w:rPr>
                <w:spacing w:val="-14"/>
                <w:sz w:val="21"/>
              </w:rPr>
              <w:t> 效力恢复</w:t>
            </w:r>
          </w:p>
        </w:tc>
        <w:tc>
          <w:tcPr>
            <w:tcW w:w="3690" w:type="dxa"/>
            <w:tcBorders>
              <w:right w:val="dotted" w:sz="4" w:space="0" w:color="000000"/>
            </w:tcBorders>
          </w:tcPr>
          <w:p>
            <w:pPr>
              <w:pStyle w:val="TableParagraph"/>
              <w:spacing w:before="22"/>
              <w:ind w:left="213"/>
              <w:rPr>
                <w:sz w:val="21"/>
              </w:rPr>
            </w:pPr>
            <w:r>
              <w:rPr>
                <w:spacing w:val="-2"/>
                <w:sz w:val="21"/>
              </w:rPr>
              <w:t>9.13</w:t>
            </w:r>
            <w:r>
              <w:rPr>
                <w:spacing w:val="-10"/>
                <w:sz w:val="21"/>
              </w:rPr>
              <w:t> 已交保险费年度数</w:t>
            </w:r>
          </w:p>
        </w:tc>
      </w:tr>
      <w:tr>
        <w:trPr>
          <w:trHeight w:val="311" w:hRule="atLeast"/>
        </w:trPr>
        <w:tc>
          <w:tcPr>
            <w:tcW w:w="3248" w:type="dxa"/>
            <w:tcBorders>
              <w:left w:val="dotted" w:sz="4" w:space="0" w:color="000000"/>
            </w:tcBorders>
          </w:tcPr>
          <w:p>
            <w:pPr>
              <w:pStyle w:val="TableParagraph"/>
              <w:spacing w:before="22"/>
              <w:ind w:left="319"/>
              <w:rPr>
                <w:sz w:val="21"/>
              </w:rPr>
            </w:pPr>
            <w:r>
              <w:rPr>
                <w:spacing w:val="-2"/>
                <w:sz w:val="21"/>
              </w:rPr>
              <w:t>1.2</w:t>
            </w:r>
            <w:r>
              <w:rPr>
                <w:spacing w:val="-10"/>
                <w:sz w:val="21"/>
              </w:rPr>
              <w:t> 合同成立与生效</w:t>
            </w:r>
          </w:p>
        </w:tc>
        <w:tc>
          <w:tcPr>
            <w:tcW w:w="3334" w:type="dxa"/>
          </w:tcPr>
          <w:p>
            <w:pPr>
              <w:pStyle w:val="TableParagraph"/>
              <w:spacing w:before="22"/>
              <w:ind w:left="252"/>
              <w:rPr>
                <w:b/>
                <w:sz w:val="21"/>
              </w:rPr>
            </w:pPr>
            <w:r>
              <w:rPr>
                <w:b/>
                <w:w w:val="95"/>
                <w:sz w:val="21"/>
              </w:rPr>
              <w:t>7．</w:t>
            </w:r>
            <w:r>
              <w:rPr>
                <w:b/>
                <w:w w:val="95"/>
                <w:sz w:val="21"/>
              </w:rPr>
              <w:t>如</w:t>
            </w:r>
            <w:r>
              <w:rPr>
                <w:b/>
                <w:w w:val="95"/>
                <w:sz w:val="21"/>
              </w:rPr>
              <w:t>何</w:t>
            </w:r>
            <w:r>
              <w:rPr>
                <w:b/>
                <w:w w:val="95"/>
                <w:sz w:val="21"/>
              </w:rPr>
              <w:t>解</w:t>
            </w:r>
            <w:r>
              <w:rPr>
                <w:b/>
                <w:w w:val="95"/>
                <w:sz w:val="21"/>
              </w:rPr>
              <w:t>除</w:t>
            </w:r>
            <w:r>
              <w:rPr>
                <w:b/>
                <w:w w:val="95"/>
                <w:sz w:val="21"/>
              </w:rPr>
              <w:t>保</w:t>
            </w:r>
            <w:r>
              <w:rPr>
                <w:b/>
                <w:w w:val="95"/>
                <w:sz w:val="21"/>
              </w:rPr>
              <w:t>险</w:t>
            </w:r>
            <w:r>
              <w:rPr>
                <w:b/>
                <w:w w:val="95"/>
                <w:sz w:val="21"/>
              </w:rPr>
              <w:t>合</w:t>
            </w:r>
            <w:r>
              <w:rPr>
                <w:b/>
                <w:spacing w:val="-10"/>
                <w:w w:val="95"/>
                <w:sz w:val="21"/>
              </w:rPr>
              <w:t>同</w:t>
            </w:r>
          </w:p>
        </w:tc>
        <w:tc>
          <w:tcPr>
            <w:tcW w:w="3690" w:type="dxa"/>
            <w:tcBorders>
              <w:right w:val="dotted" w:sz="4" w:space="0" w:color="000000"/>
            </w:tcBorders>
          </w:tcPr>
          <w:p>
            <w:pPr>
              <w:pStyle w:val="TableParagraph"/>
              <w:spacing w:before="22"/>
              <w:ind w:left="213"/>
              <w:rPr>
                <w:sz w:val="21"/>
              </w:rPr>
            </w:pPr>
            <w:r>
              <w:rPr>
                <w:spacing w:val="-2"/>
                <w:sz w:val="21"/>
              </w:rPr>
              <w:t>9.14</w:t>
            </w:r>
            <w:r>
              <w:rPr>
                <w:spacing w:val="-10"/>
                <w:sz w:val="21"/>
              </w:rPr>
              <w:t> 青少儿特定疾病</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1.3</w:t>
            </w:r>
            <w:r>
              <w:rPr>
                <w:spacing w:val="-14"/>
                <w:sz w:val="21"/>
              </w:rPr>
              <w:t> 投保年龄</w:t>
            </w:r>
          </w:p>
        </w:tc>
        <w:tc>
          <w:tcPr>
            <w:tcW w:w="3334" w:type="dxa"/>
          </w:tcPr>
          <w:p>
            <w:pPr>
              <w:pStyle w:val="TableParagraph"/>
              <w:spacing w:before="22"/>
              <w:ind w:left="463"/>
              <w:rPr>
                <w:sz w:val="21"/>
              </w:rPr>
            </w:pPr>
            <w:r>
              <w:rPr>
                <w:spacing w:val="-2"/>
                <w:sz w:val="21"/>
              </w:rPr>
              <w:t>7.1</w:t>
            </w:r>
            <w:r>
              <w:rPr>
                <w:spacing w:val="-10"/>
                <w:sz w:val="21"/>
              </w:rPr>
              <w:t> 您解除合同的手续及风险</w:t>
            </w:r>
          </w:p>
        </w:tc>
        <w:tc>
          <w:tcPr>
            <w:tcW w:w="3690" w:type="dxa"/>
            <w:tcBorders>
              <w:right w:val="dotted" w:sz="4" w:space="0" w:color="000000"/>
            </w:tcBorders>
          </w:tcPr>
          <w:p>
            <w:pPr>
              <w:pStyle w:val="TableParagraph"/>
              <w:spacing w:before="22"/>
              <w:ind w:left="213"/>
              <w:rPr>
                <w:sz w:val="21"/>
              </w:rPr>
            </w:pPr>
            <w:r>
              <w:rPr>
                <w:spacing w:val="-2"/>
                <w:sz w:val="21"/>
              </w:rPr>
              <w:t>9.15</w:t>
            </w:r>
            <w:r>
              <w:rPr>
                <w:spacing w:val="-10"/>
                <w:sz w:val="21"/>
              </w:rPr>
              <w:t> 成人特定疾病</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1.4</w:t>
            </w:r>
            <w:r>
              <w:rPr>
                <w:spacing w:val="-16"/>
                <w:sz w:val="21"/>
              </w:rPr>
              <w:t> 犹豫期</w:t>
            </w:r>
          </w:p>
        </w:tc>
        <w:tc>
          <w:tcPr>
            <w:tcW w:w="3334" w:type="dxa"/>
          </w:tcPr>
          <w:p>
            <w:pPr>
              <w:pStyle w:val="TableParagraph"/>
              <w:spacing w:before="22"/>
              <w:ind w:left="252"/>
              <w:rPr>
                <w:b/>
                <w:sz w:val="21"/>
              </w:rPr>
            </w:pPr>
            <w:r>
              <w:rPr>
                <w:b/>
                <w:w w:val="95"/>
                <w:sz w:val="21"/>
              </w:rPr>
              <w:t>8．</w:t>
            </w:r>
            <w:r>
              <w:rPr>
                <w:b/>
                <w:w w:val="95"/>
                <w:sz w:val="21"/>
              </w:rPr>
              <w:t>其</w:t>
            </w:r>
            <w:r>
              <w:rPr>
                <w:b/>
                <w:w w:val="95"/>
                <w:sz w:val="21"/>
              </w:rPr>
              <w:t>他</w:t>
            </w:r>
            <w:r>
              <w:rPr>
                <w:b/>
                <w:w w:val="95"/>
                <w:sz w:val="21"/>
              </w:rPr>
              <w:t>需</w:t>
            </w:r>
            <w:r>
              <w:rPr>
                <w:b/>
                <w:w w:val="95"/>
                <w:sz w:val="21"/>
              </w:rPr>
              <w:t>要</w:t>
            </w:r>
            <w:r>
              <w:rPr>
                <w:b/>
                <w:w w:val="95"/>
                <w:sz w:val="21"/>
              </w:rPr>
              <w:t>关</w:t>
            </w:r>
            <w:r>
              <w:rPr>
                <w:b/>
                <w:w w:val="95"/>
                <w:sz w:val="21"/>
              </w:rPr>
              <w:t>注</w:t>
            </w:r>
            <w:r>
              <w:rPr>
                <w:b/>
                <w:w w:val="95"/>
                <w:sz w:val="21"/>
              </w:rPr>
              <w:t>的</w:t>
            </w:r>
            <w:r>
              <w:rPr>
                <w:b/>
                <w:w w:val="95"/>
                <w:sz w:val="21"/>
              </w:rPr>
              <w:t>事</w:t>
            </w:r>
            <w:r>
              <w:rPr>
                <w:b/>
                <w:spacing w:val="-10"/>
                <w:w w:val="95"/>
                <w:sz w:val="21"/>
              </w:rPr>
              <w:t>项</w:t>
            </w:r>
          </w:p>
        </w:tc>
        <w:tc>
          <w:tcPr>
            <w:tcW w:w="3690" w:type="dxa"/>
            <w:tcBorders>
              <w:right w:val="dotted" w:sz="4" w:space="0" w:color="000000"/>
            </w:tcBorders>
          </w:tcPr>
          <w:p>
            <w:pPr>
              <w:pStyle w:val="TableParagraph"/>
              <w:spacing w:before="22"/>
              <w:ind w:left="213"/>
              <w:rPr>
                <w:sz w:val="21"/>
              </w:rPr>
            </w:pPr>
            <w:r>
              <w:rPr>
                <w:sz w:val="21"/>
              </w:rPr>
              <w:t>9.16</w:t>
            </w:r>
            <w:r>
              <w:rPr>
                <w:spacing w:val="-22"/>
                <w:sz w:val="21"/>
              </w:rPr>
              <w:t> 毒品</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1.5</w:t>
            </w:r>
            <w:r>
              <w:rPr>
                <w:spacing w:val="-14"/>
                <w:sz w:val="21"/>
              </w:rPr>
              <w:t> 保险期间</w:t>
            </w:r>
          </w:p>
        </w:tc>
        <w:tc>
          <w:tcPr>
            <w:tcW w:w="3334" w:type="dxa"/>
          </w:tcPr>
          <w:p>
            <w:pPr>
              <w:pStyle w:val="TableParagraph"/>
              <w:spacing w:before="22"/>
              <w:ind w:left="463"/>
              <w:rPr>
                <w:sz w:val="21"/>
              </w:rPr>
            </w:pPr>
            <w:r>
              <w:rPr>
                <w:spacing w:val="-2"/>
                <w:sz w:val="21"/>
              </w:rPr>
              <w:t>8.1</w:t>
            </w:r>
            <w:r>
              <w:rPr>
                <w:spacing w:val="-10"/>
                <w:sz w:val="21"/>
              </w:rPr>
              <w:t> 明确说明与如实告知</w:t>
            </w:r>
          </w:p>
        </w:tc>
        <w:tc>
          <w:tcPr>
            <w:tcW w:w="3690" w:type="dxa"/>
            <w:tcBorders>
              <w:right w:val="dotted" w:sz="4" w:space="0" w:color="000000"/>
            </w:tcBorders>
          </w:tcPr>
          <w:p>
            <w:pPr>
              <w:pStyle w:val="TableParagraph"/>
              <w:spacing w:before="22"/>
              <w:ind w:left="213"/>
              <w:rPr>
                <w:sz w:val="21"/>
              </w:rPr>
            </w:pPr>
            <w:r>
              <w:rPr>
                <w:spacing w:val="-2"/>
                <w:sz w:val="21"/>
              </w:rPr>
              <w:t>9.17</w:t>
            </w:r>
            <w:r>
              <w:rPr>
                <w:spacing w:val="-13"/>
                <w:sz w:val="21"/>
              </w:rPr>
              <w:t> 酒后驾驶</w:t>
            </w:r>
          </w:p>
        </w:tc>
      </w:tr>
      <w:tr>
        <w:trPr>
          <w:trHeight w:val="312" w:hRule="atLeast"/>
        </w:trPr>
        <w:tc>
          <w:tcPr>
            <w:tcW w:w="3248" w:type="dxa"/>
            <w:tcBorders>
              <w:left w:val="dotted" w:sz="4" w:space="0" w:color="000000"/>
            </w:tcBorders>
          </w:tcPr>
          <w:p>
            <w:pPr>
              <w:pStyle w:val="TableParagraph"/>
              <w:spacing w:before="22"/>
              <w:ind w:left="107"/>
              <w:rPr>
                <w:b/>
                <w:sz w:val="21"/>
              </w:rPr>
            </w:pPr>
            <w:r>
              <w:rPr>
                <w:b/>
                <w:w w:val="95"/>
                <w:sz w:val="21"/>
              </w:rPr>
              <w:t>2．</w:t>
            </w:r>
            <w:r>
              <w:rPr>
                <w:b/>
                <w:w w:val="95"/>
                <w:sz w:val="21"/>
              </w:rPr>
              <w:t>我</w:t>
            </w:r>
            <w:r>
              <w:rPr>
                <w:b/>
                <w:w w:val="95"/>
                <w:sz w:val="21"/>
              </w:rPr>
              <w:t>们</w:t>
            </w:r>
            <w:r>
              <w:rPr>
                <w:b/>
                <w:w w:val="95"/>
                <w:sz w:val="21"/>
              </w:rPr>
              <w:t>提</w:t>
            </w:r>
            <w:r>
              <w:rPr>
                <w:b/>
                <w:w w:val="95"/>
                <w:sz w:val="21"/>
              </w:rPr>
              <w:t>供</w:t>
            </w:r>
            <w:r>
              <w:rPr>
                <w:b/>
                <w:w w:val="95"/>
                <w:sz w:val="21"/>
              </w:rPr>
              <w:t>的</w:t>
            </w:r>
            <w:r>
              <w:rPr>
                <w:b/>
                <w:w w:val="95"/>
                <w:sz w:val="21"/>
              </w:rPr>
              <w:t>保</w:t>
            </w:r>
            <w:r>
              <w:rPr>
                <w:b/>
                <w:spacing w:val="-10"/>
                <w:w w:val="95"/>
                <w:sz w:val="21"/>
              </w:rPr>
              <w:t>障</w:t>
            </w:r>
          </w:p>
        </w:tc>
        <w:tc>
          <w:tcPr>
            <w:tcW w:w="3334" w:type="dxa"/>
          </w:tcPr>
          <w:p>
            <w:pPr>
              <w:pStyle w:val="TableParagraph"/>
              <w:spacing w:before="22"/>
              <w:ind w:left="463"/>
              <w:rPr>
                <w:sz w:val="21"/>
              </w:rPr>
            </w:pPr>
            <w:r>
              <w:rPr>
                <w:spacing w:val="-2"/>
                <w:sz w:val="21"/>
              </w:rPr>
              <w:t>8.2</w:t>
            </w:r>
            <w:r>
              <w:rPr>
                <w:spacing w:val="-10"/>
                <w:sz w:val="21"/>
              </w:rPr>
              <w:t> 我们合同解除权的限制</w:t>
            </w:r>
          </w:p>
        </w:tc>
        <w:tc>
          <w:tcPr>
            <w:tcW w:w="3690" w:type="dxa"/>
            <w:tcBorders>
              <w:right w:val="dotted" w:sz="4" w:space="0" w:color="000000"/>
            </w:tcBorders>
          </w:tcPr>
          <w:p>
            <w:pPr>
              <w:pStyle w:val="TableParagraph"/>
              <w:spacing w:before="22"/>
              <w:ind w:left="213"/>
              <w:rPr>
                <w:sz w:val="21"/>
              </w:rPr>
            </w:pPr>
            <w:r>
              <w:rPr>
                <w:spacing w:val="-2"/>
                <w:sz w:val="21"/>
              </w:rPr>
              <w:t>9.18</w:t>
            </w:r>
            <w:r>
              <w:rPr>
                <w:spacing w:val="-10"/>
                <w:sz w:val="21"/>
              </w:rPr>
              <w:t> 无合法有效驾驶证驾驶</w:t>
            </w:r>
          </w:p>
        </w:tc>
      </w:tr>
      <w:tr>
        <w:trPr>
          <w:trHeight w:val="311" w:hRule="atLeast"/>
        </w:trPr>
        <w:tc>
          <w:tcPr>
            <w:tcW w:w="3248" w:type="dxa"/>
            <w:tcBorders>
              <w:left w:val="dotted" w:sz="4" w:space="0" w:color="000000"/>
            </w:tcBorders>
          </w:tcPr>
          <w:p>
            <w:pPr>
              <w:pStyle w:val="TableParagraph"/>
              <w:spacing w:before="22"/>
              <w:ind w:left="319"/>
              <w:rPr>
                <w:sz w:val="21"/>
              </w:rPr>
            </w:pPr>
            <w:r>
              <w:rPr>
                <w:spacing w:val="-2"/>
                <w:sz w:val="21"/>
              </w:rPr>
              <w:t>2.1</w:t>
            </w:r>
            <w:r>
              <w:rPr>
                <w:spacing w:val="-11"/>
                <w:sz w:val="21"/>
              </w:rPr>
              <w:t> 基本保险金额</w:t>
            </w:r>
          </w:p>
        </w:tc>
        <w:tc>
          <w:tcPr>
            <w:tcW w:w="3334" w:type="dxa"/>
          </w:tcPr>
          <w:p>
            <w:pPr>
              <w:pStyle w:val="TableParagraph"/>
              <w:spacing w:before="22"/>
              <w:ind w:left="463"/>
              <w:rPr>
                <w:sz w:val="21"/>
              </w:rPr>
            </w:pPr>
            <w:r>
              <w:rPr>
                <w:spacing w:val="-2"/>
                <w:sz w:val="21"/>
              </w:rPr>
              <w:t>8.3</w:t>
            </w:r>
            <w:r>
              <w:rPr>
                <w:spacing w:val="-14"/>
                <w:sz w:val="21"/>
              </w:rPr>
              <w:t> 年龄错误</w:t>
            </w:r>
          </w:p>
        </w:tc>
        <w:tc>
          <w:tcPr>
            <w:tcW w:w="3690" w:type="dxa"/>
            <w:tcBorders>
              <w:right w:val="dotted" w:sz="4" w:space="0" w:color="000000"/>
            </w:tcBorders>
          </w:tcPr>
          <w:p>
            <w:pPr>
              <w:pStyle w:val="TableParagraph"/>
              <w:spacing w:before="22"/>
              <w:ind w:left="213"/>
              <w:rPr>
                <w:sz w:val="21"/>
              </w:rPr>
            </w:pPr>
            <w:r>
              <w:rPr>
                <w:spacing w:val="-2"/>
                <w:sz w:val="21"/>
              </w:rPr>
              <w:t>9.19</w:t>
            </w:r>
            <w:r>
              <w:rPr>
                <w:spacing w:val="-10"/>
                <w:sz w:val="21"/>
              </w:rPr>
              <w:t> 无合法有效行驶证</w:t>
            </w:r>
          </w:p>
        </w:tc>
      </w:tr>
      <w:tr>
        <w:trPr>
          <w:trHeight w:val="311" w:hRule="atLeast"/>
        </w:trPr>
        <w:tc>
          <w:tcPr>
            <w:tcW w:w="3248" w:type="dxa"/>
            <w:tcBorders>
              <w:left w:val="dotted" w:sz="4" w:space="0" w:color="000000"/>
            </w:tcBorders>
          </w:tcPr>
          <w:p>
            <w:pPr>
              <w:pStyle w:val="TableParagraph"/>
              <w:spacing w:before="22"/>
              <w:ind w:left="319"/>
              <w:rPr>
                <w:sz w:val="21"/>
              </w:rPr>
            </w:pPr>
            <w:r>
              <w:rPr>
                <w:spacing w:val="-2"/>
                <w:sz w:val="21"/>
              </w:rPr>
              <w:t>2.2</w:t>
            </w:r>
            <w:r>
              <w:rPr>
                <w:spacing w:val="-10"/>
                <w:sz w:val="21"/>
              </w:rPr>
              <w:t> 未成年人身故保险金限制</w:t>
            </w:r>
          </w:p>
        </w:tc>
        <w:tc>
          <w:tcPr>
            <w:tcW w:w="3334" w:type="dxa"/>
          </w:tcPr>
          <w:p>
            <w:pPr>
              <w:pStyle w:val="TableParagraph"/>
              <w:spacing w:before="22"/>
              <w:ind w:left="463"/>
              <w:rPr>
                <w:sz w:val="21"/>
              </w:rPr>
            </w:pPr>
            <w:r>
              <w:rPr>
                <w:spacing w:val="-2"/>
                <w:sz w:val="21"/>
              </w:rPr>
              <w:t>8.4</w:t>
            </w:r>
            <w:r>
              <w:rPr>
                <w:spacing w:val="-14"/>
                <w:sz w:val="21"/>
              </w:rPr>
              <w:t> 未还款项</w:t>
            </w:r>
          </w:p>
        </w:tc>
        <w:tc>
          <w:tcPr>
            <w:tcW w:w="3690" w:type="dxa"/>
            <w:tcBorders>
              <w:right w:val="dotted" w:sz="4" w:space="0" w:color="000000"/>
            </w:tcBorders>
          </w:tcPr>
          <w:p>
            <w:pPr>
              <w:pStyle w:val="TableParagraph"/>
              <w:spacing w:before="22"/>
              <w:ind w:left="213"/>
              <w:rPr>
                <w:sz w:val="21"/>
              </w:rPr>
            </w:pPr>
            <w:r>
              <w:rPr>
                <w:spacing w:val="-2"/>
                <w:sz w:val="21"/>
              </w:rPr>
              <w:t>9.20</w:t>
            </w:r>
            <w:r>
              <w:rPr>
                <w:spacing w:val="-16"/>
                <w:sz w:val="21"/>
              </w:rPr>
              <w:t> 机动车</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2.3</w:t>
            </w:r>
            <w:r>
              <w:rPr>
                <w:spacing w:val="-14"/>
                <w:sz w:val="21"/>
              </w:rPr>
              <w:t> 保险责任</w:t>
            </w:r>
          </w:p>
        </w:tc>
        <w:tc>
          <w:tcPr>
            <w:tcW w:w="3334" w:type="dxa"/>
          </w:tcPr>
          <w:p>
            <w:pPr>
              <w:pStyle w:val="TableParagraph"/>
              <w:spacing w:before="22"/>
              <w:ind w:left="463"/>
              <w:rPr>
                <w:sz w:val="21"/>
              </w:rPr>
            </w:pPr>
            <w:r>
              <w:rPr>
                <w:spacing w:val="-2"/>
                <w:sz w:val="21"/>
              </w:rPr>
              <w:t>8.5</w:t>
            </w:r>
            <w:r>
              <w:rPr>
                <w:spacing w:val="-11"/>
                <w:sz w:val="21"/>
              </w:rPr>
              <w:t> 合同内容变更</w:t>
            </w:r>
          </w:p>
        </w:tc>
        <w:tc>
          <w:tcPr>
            <w:tcW w:w="3690" w:type="dxa"/>
            <w:tcBorders>
              <w:right w:val="dotted" w:sz="4" w:space="0" w:color="000000"/>
            </w:tcBorders>
          </w:tcPr>
          <w:p>
            <w:pPr>
              <w:pStyle w:val="TableParagraph"/>
              <w:spacing w:before="22"/>
              <w:ind w:left="213"/>
              <w:rPr>
                <w:sz w:val="21"/>
              </w:rPr>
            </w:pPr>
            <w:r>
              <w:rPr>
                <w:spacing w:val="-2"/>
                <w:sz w:val="21"/>
              </w:rPr>
              <w:t>9.21</w:t>
            </w:r>
            <w:r>
              <w:rPr>
                <w:spacing w:val="-10"/>
                <w:sz w:val="21"/>
              </w:rPr>
              <w:t> 感染艾滋病病毒或患艾滋病</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2.4</w:t>
            </w:r>
            <w:r>
              <w:rPr>
                <w:spacing w:val="-14"/>
                <w:sz w:val="21"/>
              </w:rPr>
              <w:t> 责任免除</w:t>
            </w:r>
          </w:p>
        </w:tc>
        <w:tc>
          <w:tcPr>
            <w:tcW w:w="3334" w:type="dxa"/>
          </w:tcPr>
          <w:p>
            <w:pPr>
              <w:pStyle w:val="TableParagraph"/>
              <w:spacing w:before="22"/>
              <w:ind w:left="463"/>
              <w:rPr>
                <w:sz w:val="21"/>
              </w:rPr>
            </w:pPr>
            <w:r>
              <w:rPr>
                <w:spacing w:val="-2"/>
                <w:sz w:val="21"/>
              </w:rPr>
              <w:t>8.6</w:t>
            </w:r>
            <w:r>
              <w:rPr>
                <w:spacing w:val="-11"/>
                <w:sz w:val="21"/>
              </w:rPr>
              <w:t> 联系方式变更</w:t>
            </w:r>
          </w:p>
        </w:tc>
        <w:tc>
          <w:tcPr>
            <w:tcW w:w="3690" w:type="dxa"/>
            <w:tcBorders>
              <w:right w:val="dotted" w:sz="4" w:space="0" w:color="000000"/>
            </w:tcBorders>
          </w:tcPr>
          <w:p>
            <w:pPr>
              <w:pStyle w:val="TableParagraph"/>
              <w:spacing w:before="22"/>
              <w:ind w:left="213"/>
              <w:rPr>
                <w:sz w:val="21"/>
              </w:rPr>
            </w:pPr>
            <w:r>
              <w:rPr>
                <w:spacing w:val="-2"/>
                <w:sz w:val="21"/>
              </w:rPr>
              <w:t>9.22</w:t>
            </w:r>
            <w:r>
              <w:rPr>
                <w:spacing w:val="-12"/>
                <w:sz w:val="21"/>
              </w:rPr>
              <w:t> 遗传性疾病</w:t>
            </w:r>
          </w:p>
        </w:tc>
      </w:tr>
      <w:tr>
        <w:trPr>
          <w:trHeight w:val="312" w:hRule="atLeast"/>
        </w:trPr>
        <w:tc>
          <w:tcPr>
            <w:tcW w:w="3248" w:type="dxa"/>
            <w:tcBorders>
              <w:left w:val="dotted" w:sz="4" w:space="0" w:color="000000"/>
            </w:tcBorders>
          </w:tcPr>
          <w:p>
            <w:pPr>
              <w:pStyle w:val="TableParagraph"/>
              <w:spacing w:before="22"/>
              <w:ind w:left="107"/>
              <w:rPr>
                <w:b/>
                <w:sz w:val="21"/>
              </w:rPr>
            </w:pPr>
            <w:r>
              <w:rPr>
                <w:b/>
                <w:w w:val="95"/>
                <w:sz w:val="21"/>
              </w:rPr>
              <w:t>3．</w:t>
            </w:r>
            <w:r>
              <w:rPr>
                <w:b/>
                <w:w w:val="95"/>
                <w:sz w:val="21"/>
              </w:rPr>
              <w:t>如</w:t>
            </w:r>
            <w:r>
              <w:rPr>
                <w:b/>
                <w:w w:val="95"/>
                <w:sz w:val="21"/>
              </w:rPr>
              <w:t>何</w:t>
            </w:r>
            <w:r>
              <w:rPr>
                <w:b/>
                <w:w w:val="95"/>
                <w:sz w:val="21"/>
              </w:rPr>
              <w:t>申</w:t>
            </w:r>
            <w:r>
              <w:rPr>
                <w:b/>
                <w:w w:val="95"/>
                <w:sz w:val="21"/>
              </w:rPr>
              <w:t>请</w:t>
            </w:r>
            <w:r>
              <w:rPr>
                <w:b/>
                <w:w w:val="95"/>
                <w:sz w:val="21"/>
              </w:rPr>
              <w:t>领</w:t>
            </w:r>
            <w:r>
              <w:rPr>
                <w:b/>
                <w:w w:val="95"/>
                <w:sz w:val="21"/>
              </w:rPr>
              <w:t>取</w:t>
            </w:r>
            <w:r>
              <w:rPr>
                <w:b/>
                <w:w w:val="95"/>
                <w:sz w:val="21"/>
              </w:rPr>
              <w:t>保</w:t>
            </w:r>
            <w:r>
              <w:rPr>
                <w:b/>
                <w:w w:val="95"/>
                <w:sz w:val="21"/>
              </w:rPr>
              <w:t>险</w:t>
            </w:r>
            <w:r>
              <w:rPr>
                <w:b/>
                <w:spacing w:val="-10"/>
                <w:w w:val="95"/>
                <w:sz w:val="21"/>
              </w:rPr>
              <w:t>金</w:t>
            </w:r>
          </w:p>
        </w:tc>
        <w:tc>
          <w:tcPr>
            <w:tcW w:w="3334" w:type="dxa"/>
          </w:tcPr>
          <w:p>
            <w:pPr>
              <w:pStyle w:val="TableParagraph"/>
              <w:spacing w:before="22"/>
              <w:ind w:left="463"/>
              <w:rPr>
                <w:sz w:val="21"/>
              </w:rPr>
            </w:pPr>
            <w:r>
              <w:rPr>
                <w:spacing w:val="-2"/>
                <w:sz w:val="21"/>
              </w:rPr>
              <w:t>8.7</w:t>
            </w:r>
            <w:r>
              <w:rPr>
                <w:spacing w:val="-12"/>
                <w:sz w:val="21"/>
              </w:rPr>
              <w:t> 全残的鉴定</w:t>
            </w:r>
          </w:p>
        </w:tc>
        <w:tc>
          <w:tcPr>
            <w:tcW w:w="3690" w:type="dxa"/>
            <w:tcBorders>
              <w:right w:val="dotted" w:sz="4" w:space="0" w:color="000000"/>
            </w:tcBorders>
          </w:tcPr>
          <w:p>
            <w:pPr>
              <w:pStyle w:val="TableParagraph"/>
              <w:spacing w:before="22"/>
              <w:ind w:right="93"/>
              <w:jc w:val="right"/>
              <w:rPr>
                <w:sz w:val="21"/>
              </w:rPr>
            </w:pPr>
            <w:r>
              <w:rPr>
                <w:spacing w:val="-4"/>
                <w:sz w:val="21"/>
              </w:rPr>
              <w:t>9.23</w:t>
            </w:r>
            <w:r>
              <w:rPr>
                <w:spacing w:val="-12"/>
                <w:sz w:val="21"/>
              </w:rPr>
              <w:t> 先天性畸形、变形或染色体异常</w:t>
            </w:r>
          </w:p>
        </w:tc>
      </w:tr>
      <w:tr>
        <w:trPr>
          <w:trHeight w:val="311" w:hRule="atLeast"/>
        </w:trPr>
        <w:tc>
          <w:tcPr>
            <w:tcW w:w="3248" w:type="dxa"/>
            <w:tcBorders>
              <w:left w:val="dotted" w:sz="4" w:space="0" w:color="000000"/>
            </w:tcBorders>
          </w:tcPr>
          <w:p>
            <w:pPr>
              <w:pStyle w:val="TableParagraph"/>
              <w:spacing w:before="22"/>
              <w:ind w:left="319"/>
              <w:rPr>
                <w:sz w:val="21"/>
              </w:rPr>
            </w:pPr>
            <w:r>
              <w:rPr>
                <w:spacing w:val="-2"/>
                <w:sz w:val="21"/>
              </w:rPr>
              <w:t>3.1</w:t>
            </w:r>
            <w:r>
              <w:rPr>
                <w:spacing w:val="-16"/>
                <w:sz w:val="21"/>
              </w:rPr>
              <w:t> 受益人</w:t>
            </w:r>
          </w:p>
        </w:tc>
        <w:tc>
          <w:tcPr>
            <w:tcW w:w="3334" w:type="dxa"/>
          </w:tcPr>
          <w:p>
            <w:pPr>
              <w:pStyle w:val="TableParagraph"/>
              <w:spacing w:before="22"/>
              <w:ind w:left="463"/>
              <w:rPr>
                <w:sz w:val="21"/>
              </w:rPr>
            </w:pPr>
            <w:r>
              <w:rPr>
                <w:spacing w:val="-2"/>
                <w:sz w:val="21"/>
              </w:rPr>
              <w:t>8.8</w:t>
            </w:r>
            <w:r>
              <w:rPr>
                <w:spacing w:val="-14"/>
                <w:sz w:val="21"/>
              </w:rPr>
              <w:t> 效力终止</w:t>
            </w:r>
          </w:p>
        </w:tc>
        <w:tc>
          <w:tcPr>
            <w:tcW w:w="3690" w:type="dxa"/>
            <w:tcBorders>
              <w:right w:val="dotted" w:sz="4" w:space="0" w:color="000000"/>
            </w:tcBorders>
          </w:tcPr>
          <w:p>
            <w:pPr>
              <w:pStyle w:val="TableParagraph"/>
              <w:spacing w:before="22"/>
              <w:ind w:left="213"/>
              <w:rPr>
                <w:sz w:val="21"/>
              </w:rPr>
            </w:pPr>
            <w:r>
              <w:rPr>
                <w:sz w:val="21"/>
              </w:rPr>
              <w:t>9.24</w:t>
            </w:r>
            <w:r>
              <w:rPr>
                <w:spacing w:val="-22"/>
                <w:sz w:val="21"/>
              </w:rPr>
              <w:t> 医院</w:t>
            </w:r>
          </w:p>
        </w:tc>
      </w:tr>
      <w:tr>
        <w:trPr>
          <w:trHeight w:val="311" w:hRule="atLeast"/>
        </w:trPr>
        <w:tc>
          <w:tcPr>
            <w:tcW w:w="3248" w:type="dxa"/>
            <w:tcBorders>
              <w:left w:val="dotted" w:sz="4" w:space="0" w:color="000000"/>
            </w:tcBorders>
          </w:tcPr>
          <w:p>
            <w:pPr>
              <w:pStyle w:val="TableParagraph"/>
              <w:spacing w:before="22"/>
              <w:ind w:left="319"/>
              <w:rPr>
                <w:sz w:val="21"/>
              </w:rPr>
            </w:pPr>
            <w:r>
              <w:rPr>
                <w:spacing w:val="-2"/>
                <w:sz w:val="21"/>
              </w:rPr>
              <w:t>3.2</w:t>
            </w:r>
            <w:r>
              <w:rPr>
                <w:spacing w:val="-11"/>
                <w:sz w:val="21"/>
              </w:rPr>
              <w:t> 保险事故通知</w:t>
            </w:r>
          </w:p>
        </w:tc>
        <w:tc>
          <w:tcPr>
            <w:tcW w:w="3334" w:type="dxa"/>
          </w:tcPr>
          <w:p>
            <w:pPr>
              <w:pStyle w:val="TableParagraph"/>
              <w:spacing w:before="22"/>
              <w:ind w:left="463"/>
              <w:rPr>
                <w:sz w:val="21"/>
              </w:rPr>
            </w:pPr>
            <w:r>
              <w:rPr>
                <w:spacing w:val="-2"/>
                <w:sz w:val="21"/>
              </w:rPr>
              <w:t>8.9</w:t>
            </w:r>
            <w:r>
              <w:rPr>
                <w:spacing w:val="-14"/>
                <w:sz w:val="21"/>
              </w:rPr>
              <w:t> 争议处理</w:t>
            </w:r>
          </w:p>
        </w:tc>
        <w:tc>
          <w:tcPr>
            <w:tcW w:w="3690" w:type="dxa"/>
            <w:tcBorders>
              <w:right w:val="dotted" w:sz="4" w:space="0" w:color="000000"/>
            </w:tcBorders>
          </w:tcPr>
          <w:p>
            <w:pPr>
              <w:pStyle w:val="TableParagraph"/>
              <w:spacing w:before="22"/>
              <w:ind w:left="213"/>
              <w:rPr>
                <w:sz w:val="21"/>
              </w:rPr>
            </w:pPr>
            <w:r>
              <w:rPr>
                <w:spacing w:val="-2"/>
                <w:sz w:val="21"/>
              </w:rPr>
              <w:t>9.25</w:t>
            </w:r>
            <w:r>
              <w:rPr>
                <w:spacing w:val="-10"/>
                <w:sz w:val="21"/>
              </w:rPr>
              <w:t> 保险费约定交纳日</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3.3</w:t>
            </w:r>
            <w:r>
              <w:rPr>
                <w:spacing w:val="-12"/>
                <w:sz w:val="21"/>
              </w:rPr>
              <w:t> 保险金申请</w:t>
            </w:r>
          </w:p>
        </w:tc>
        <w:tc>
          <w:tcPr>
            <w:tcW w:w="3334" w:type="dxa"/>
          </w:tcPr>
          <w:p>
            <w:pPr>
              <w:pStyle w:val="TableParagraph"/>
              <w:spacing w:before="22"/>
              <w:ind w:left="252"/>
              <w:rPr>
                <w:b/>
                <w:sz w:val="21"/>
              </w:rPr>
            </w:pPr>
            <w:r>
              <w:rPr>
                <w:b/>
                <w:w w:val="95"/>
                <w:sz w:val="21"/>
              </w:rPr>
              <w:t>9．</w:t>
            </w:r>
            <w:r>
              <w:rPr>
                <w:b/>
                <w:w w:val="95"/>
                <w:sz w:val="21"/>
              </w:rPr>
              <w:t>释</w:t>
            </w:r>
            <w:r>
              <w:rPr>
                <w:b/>
                <w:spacing w:val="-10"/>
                <w:w w:val="95"/>
                <w:sz w:val="21"/>
              </w:rPr>
              <w:t>义</w:t>
            </w:r>
          </w:p>
        </w:tc>
        <w:tc>
          <w:tcPr>
            <w:tcW w:w="3690" w:type="dxa"/>
            <w:tcBorders>
              <w:right w:val="dotted" w:sz="4" w:space="0" w:color="000000"/>
            </w:tcBorders>
          </w:tcPr>
          <w:p>
            <w:pPr>
              <w:pStyle w:val="TableParagraph"/>
              <w:spacing w:before="22"/>
              <w:ind w:left="213"/>
              <w:rPr>
                <w:sz w:val="21"/>
              </w:rPr>
            </w:pPr>
            <w:r>
              <w:rPr>
                <w:spacing w:val="-2"/>
                <w:sz w:val="21"/>
              </w:rPr>
              <w:t>9.26</w:t>
            </w:r>
            <w:r>
              <w:rPr>
                <w:spacing w:val="-10"/>
                <w:sz w:val="21"/>
              </w:rPr>
              <w:t> 组织病理学检查</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3.4</w:t>
            </w:r>
            <w:r>
              <w:rPr>
                <w:spacing w:val="-14"/>
                <w:sz w:val="21"/>
              </w:rPr>
              <w:t> 失踪处理</w:t>
            </w:r>
          </w:p>
        </w:tc>
        <w:tc>
          <w:tcPr>
            <w:tcW w:w="3334" w:type="dxa"/>
          </w:tcPr>
          <w:p>
            <w:pPr>
              <w:pStyle w:val="TableParagraph"/>
              <w:spacing w:before="22"/>
              <w:ind w:left="463"/>
              <w:rPr>
                <w:sz w:val="21"/>
              </w:rPr>
            </w:pPr>
            <w:r>
              <w:rPr>
                <w:spacing w:val="-2"/>
                <w:sz w:val="21"/>
              </w:rPr>
              <w:t>9.1</w:t>
            </w:r>
            <w:r>
              <w:rPr>
                <w:spacing w:val="-20"/>
                <w:sz w:val="21"/>
              </w:rPr>
              <w:t> 周岁</w:t>
            </w:r>
          </w:p>
        </w:tc>
        <w:tc>
          <w:tcPr>
            <w:tcW w:w="3690" w:type="dxa"/>
            <w:tcBorders>
              <w:right w:val="dotted" w:sz="4" w:space="0" w:color="000000"/>
            </w:tcBorders>
          </w:tcPr>
          <w:p>
            <w:pPr>
              <w:pStyle w:val="TableParagraph"/>
              <w:spacing w:before="22"/>
              <w:ind w:left="213"/>
              <w:rPr>
                <w:sz w:val="21"/>
              </w:rPr>
            </w:pPr>
            <w:r>
              <w:rPr>
                <w:sz w:val="21"/>
              </w:rPr>
              <w:t>9.27</w:t>
            </w:r>
            <w:r>
              <w:rPr>
                <w:spacing w:val="-9"/>
                <w:sz w:val="21"/>
              </w:rPr>
              <w:t> </w:t>
            </w:r>
            <w:r>
              <w:rPr>
                <w:sz w:val="21"/>
              </w:rPr>
              <w:t>ICD-10</w:t>
            </w:r>
            <w:r>
              <w:rPr>
                <w:spacing w:val="-37"/>
                <w:sz w:val="21"/>
              </w:rPr>
              <w:t> 与 </w:t>
            </w:r>
            <w:r>
              <w:rPr>
                <w:sz w:val="21"/>
              </w:rPr>
              <w:t>ICD-O-</w:t>
            </w:r>
            <w:r>
              <w:rPr>
                <w:spacing w:val="-10"/>
                <w:sz w:val="21"/>
              </w:rPr>
              <w:t>3</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3.5</w:t>
            </w:r>
            <w:r>
              <w:rPr>
                <w:spacing w:val="-11"/>
                <w:sz w:val="21"/>
              </w:rPr>
              <w:t> 保险金的给付</w:t>
            </w:r>
          </w:p>
        </w:tc>
        <w:tc>
          <w:tcPr>
            <w:tcW w:w="3334" w:type="dxa"/>
          </w:tcPr>
          <w:p>
            <w:pPr>
              <w:pStyle w:val="TableParagraph"/>
              <w:spacing w:before="22"/>
              <w:ind w:left="463"/>
              <w:rPr>
                <w:sz w:val="21"/>
              </w:rPr>
            </w:pPr>
            <w:r>
              <w:rPr>
                <w:spacing w:val="-2"/>
                <w:sz w:val="21"/>
              </w:rPr>
              <w:t>9.2</w:t>
            </w:r>
            <w:r>
              <w:rPr>
                <w:spacing w:val="-11"/>
                <w:sz w:val="21"/>
              </w:rPr>
              <w:t> 有效身份证件</w:t>
            </w:r>
          </w:p>
        </w:tc>
        <w:tc>
          <w:tcPr>
            <w:tcW w:w="3690" w:type="dxa"/>
            <w:tcBorders>
              <w:right w:val="dotted" w:sz="4" w:space="0" w:color="000000"/>
            </w:tcBorders>
          </w:tcPr>
          <w:p>
            <w:pPr>
              <w:pStyle w:val="TableParagraph"/>
              <w:spacing w:before="22"/>
              <w:ind w:left="213"/>
              <w:rPr>
                <w:sz w:val="21"/>
              </w:rPr>
            </w:pPr>
            <w:r>
              <w:rPr>
                <w:sz w:val="21"/>
              </w:rPr>
              <w:t>9.28</w:t>
            </w:r>
            <w:r>
              <w:rPr>
                <w:spacing w:val="-2"/>
                <w:sz w:val="21"/>
              </w:rPr>
              <w:t> </w:t>
            </w:r>
            <w:r>
              <w:rPr>
                <w:sz w:val="21"/>
              </w:rPr>
              <w:t>TNM</w:t>
            </w:r>
            <w:r>
              <w:rPr>
                <w:spacing w:val="-23"/>
                <w:sz w:val="21"/>
              </w:rPr>
              <w:t> 分期</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3.6</w:t>
            </w:r>
            <w:r>
              <w:rPr>
                <w:spacing w:val="-14"/>
                <w:sz w:val="21"/>
              </w:rPr>
              <w:t> 诉讼时效</w:t>
            </w:r>
          </w:p>
        </w:tc>
        <w:tc>
          <w:tcPr>
            <w:tcW w:w="3334" w:type="dxa"/>
          </w:tcPr>
          <w:p>
            <w:pPr>
              <w:pStyle w:val="TableParagraph"/>
              <w:spacing w:before="22"/>
              <w:ind w:left="463"/>
              <w:rPr>
                <w:sz w:val="21"/>
              </w:rPr>
            </w:pPr>
            <w:r>
              <w:rPr>
                <w:spacing w:val="-2"/>
                <w:sz w:val="21"/>
              </w:rPr>
              <w:t>9.3</w:t>
            </w:r>
            <w:r>
              <w:rPr>
                <w:spacing w:val="-14"/>
                <w:sz w:val="21"/>
              </w:rPr>
              <w:t> 意外伤害</w:t>
            </w:r>
          </w:p>
        </w:tc>
        <w:tc>
          <w:tcPr>
            <w:tcW w:w="3690" w:type="dxa"/>
            <w:tcBorders>
              <w:right w:val="dotted" w:sz="4" w:space="0" w:color="000000"/>
            </w:tcBorders>
          </w:tcPr>
          <w:p>
            <w:pPr>
              <w:pStyle w:val="TableParagraph"/>
              <w:spacing w:before="22"/>
              <w:ind w:left="213"/>
              <w:rPr>
                <w:sz w:val="21"/>
              </w:rPr>
            </w:pPr>
            <w:r>
              <w:rPr>
                <w:sz w:val="21"/>
              </w:rPr>
              <w:t>9.29</w:t>
            </w:r>
            <w:r>
              <w:rPr>
                <w:spacing w:val="-22"/>
                <w:sz w:val="21"/>
              </w:rPr>
              <w:t> 肢体</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3.7</w:t>
            </w:r>
            <w:r>
              <w:rPr>
                <w:spacing w:val="-14"/>
                <w:sz w:val="21"/>
              </w:rPr>
              <w:t> 司法鉴定</w:t>
            </w:r>
          </w:p>
        </w:tc>
        <w:tc>
          <w:tcPr>
            <w:tcW w:w="3334" w:type="dxa"/>
          </w:tcPr>
          <w:p>
            <w:pPr>
              <w:pStyle w:val="TableParagraph"/>
              <w:spacing w:before="22"/>
              <w:ind w:left="463"/>
              <w:rPr>
                <w:sz w:val="21"/>
              </w:rPr>
            </w:pPr>
            <w:r>
              <w:rPr>
                <w:spacing w:val="-2"/>
                <w:sz w:val="21"/>
              </w:rPr>
              <w:t>9.4</w:t>
            </w:r>
            <w:r>
              <w:rPr>
                <w:spacing w:val="-14"/>
                <w:sz w:val="21"/>
              </w:rPr>
              <w:t> 专科医生</w:t>
            </w:r>
          </w:p>
        </w:tc>
        <w:tc>
          <w:tcPr>
            <w:tcW w:w="3690" w:type="dxa"/>
            <w:tcBorders>
              <w:right w:val="dotted" w:sz="4" w:space="0" w:color="000000"/>
            </w:tcBorders>
          </w:tcPr>
          <w:p>
            <w:pPr>
              <w:pStyle w:val="TableParagraph"/>
              <w:spacing w:before="22"/>
              <w:ind w:left="213"/>
              <w:rPr>
                <w:sz w:val="21"/>
              </w:rPr>
            </w:pPr>
            <w:r>
              <w:rPr>
                <w:sz w:val="21"/>
              </w:rPr>
              <w:t>9.30</w:t>
            </w:r>
            <w:r>
              <w:rPr>
                <w:spacing w:val="-22"/>
                <w:sz w:val="21"/>
              </w:rPr>
              <w:t> 肌力</w:t>
            </w:r>
          </w:p>
        </w:tc>
      </w:tr>
      <w:tr>
        <w:trPr>
          <w:trHeight w:val="312" w:hRule="atLeast"/>
        </w:trPr>
        <w:tc>
          <w:tcPr>
            <w:tcW w:w="3248" w:type="dxa"/>
            <w:tcBorders>
              <w:left w:val="dotted" w:sz="4" w:space="0" w:color="000000"/>
            </w:tcBorders>
          </w:tcPr>
          <w:p>
            <w:pPr>
              <w:pStyle w:val="TableParagraph"/>
              <w:spacing w:before="22"/>
              <w:ind w:left="107"/>
              <w:rPr>
                <w:b/>
                <w:sz w:val="21"/>
              </w:rPr>
            </w:pPr>
            <w:r>
              <w:rPr>
                <w:b/>
                <w:w w:val="95"/>
                <w:sz w:val="21"/>
              </w:rPr>
              <w:t>4．</w:t>
            </w:r>
            <w:r>
              <w:rPr>
                <w:b/>
                <w:w w:val="95"/>
                <w:sz w:val="21"/>
              </w:rPr>
              <w:t>如</w:t>
            </w:r>
            <w:r>
              <w:rPr>
                <w:b/>
                <w:w w:val="95"/>
                <w:sz w:val="21"/>
              </w:rPr>
              <w:t>何</w:t>
            </w:r>
            <w:r>
              <w:rPr>
                <w:b/>
                <w:w w:val="95"/>
                <w:sz w:val="21"/>
              </w:rPr>
              <w:t>交</w:t>
            </w:r>
            <w:r>
              <w:rPr>
                <w:b/>
                <w:w w:val="95"/>
                <w:sz w:val="21"/>
              </w:rPr>
              <w:t>纳</w:t>
            </w:r>
            <w:r>
              <w:rPr>
                <w:b/>
                <w:w w:val="95"/>
                <w:sz w:val="21"/>
              </w:rPr>
              <w:t>保</w:t>
            </w:r>
            <w:r>
              <w:rPr>
                <w:b/>
                <w:w w:val="95"/>
                <w:sz w:val="21"/>
              </w:rPr>
              <w:t>险</w:t>
            </w:r>
            <w:r>
              <w:rPr>
                <w:b/>
                <w:spacing w:val="-10"/>
                <w:w w:val="95"/>
                <w:sz w:val="21"/>
              </w:rPr>
              <w:t>费</w:t>
            </w:r>
          </w:p>
        </w:tc>
        <w:tc>
          <w:tcPr>
            <w:tcW w:w="3334" w:type="dxa"/>
          </w:tcPr>
          <w:p>
            <w:pPr>
              <w:pStyle w:val="TableParagraph"/>
              <w:spacing w:before="22"/>
              <w:ind w:left="463"/>
              <w:rPr>
                <w:sz w:val="21"/>
              </w:rPr>
            </w:pPr>
            <w:r>
              <w:rPr>
                <w:spacing w:val="-2"/>
                <w:sz w:val="21"/>
              </w:rPr>
              <w:t>9.5</w:t>
            </w:r>
            <w:r>
              <w:rPr>
                <w:spacing w:val="-16"/>
                <w:sz w:val="21"/>
              </w:rPr>
              <w:t> 初次患</w:t>
            </w:r>
          </w:p>
        </w:tc>
        <w:tc>
          <w:tcPr>
            <w:tcW w:w="3690" w:type="dxa"/>
            <w:tcBorders>
              <w:right w:val="dotted" w:sz="4" w:space="0" w:color="000000"/>
            </w:tcBorders>
          </w:tcPr>
          <w:p>
            <w:pPr>
              <w:pStyle w:val="TableParagraph"/>
              <w:spacing w:before="22"/>
              <w:ind w:left="213"/>
              <w:rPr>
                <w:sz w:val="21"/>
              </w:rPr>
            </w:pPr>
            <w:r>
              <w:rPr>
                <w:spacing w:val="-2"/>
                <w:sz w:val="21"/>
              </w:rPr>
              <w:t>9.31</w:t>
            </w:r>
            <w:r>
              <w:rPr>
                <w:spacing w:val="-10"/>
                <w:sz w:val="21"/>
              </w:rPr>
              <w:t> 六项基本日常生活活动</w:t>
            </w:r>
          </w:p>
        </w:tc>
      </w:tr>
      <w:tr>
        <w:trPr>
          <w:trHeight w:val="311" w:hRule="atLeast"/>
        </w:trPr>
        <w:tc>
          <w:tcPr>
            <w:tcW w:w="3248" w:type="dxa"/>
            <w:tcBorders>
              <w:left w:val="dotted" w:sz="4" w:space="0" w:color="000000"/>
            </w:tcBorders>
          </w:tcPr>
          <w:p>
            <w:pPr>
              <w:pStyle w:val="TableParagraph"/>
              <w:spacing w:before="22"/>
              <w:ind w:left="319"/>
              <w:rPr>
                <w:sz w:val="21"/>
              </w:rPr>
            </w:pPr>
            <w:r>
              <w:rPr>
                <w:spacing w:val="-2"/>
                <w:sz w:val="21"/>
              </w:rPr>
              <w:t>4.1</w:t>
            </w:r>
            <w:r>
              <w:rPr>
                <w:spacing w:val="-11"/>
                <w:sz w:val="21"/>
              </w:rPr>
              <w:t> 保险费的交纳</w:t>
            </w:r>
          </w:p>
        </w:tc>
        <w:tc>
          <w:tcPr>
            <w:tcW w:w="3334" w:type="dxa"/>
          </w:tcPr>
          <w:p>
            <w:pPr>
              <w:pStyle w:val="TableParagraph"/>
              <w:spacing w:before="22"/>
              <w:ind w:left="463"/>
              <w:rPr>
                <w:sz w:val="21"/>
              </w:rPr>
            </w:pPr>
            <w:r>
              <w:rPr>
                <w:spacing w:val="-2"/>
                <w:sz w:val="21"/>
              </w:rPr>
              <w:t>9.6</w:t>
            </w:r>
            <w:r>
              <w:rPr>
                <w:spacing w:val="-14"/>
                <w:sz w:val="21"/>
              </w:rPr>
              <w:t> 轻度疾病</w:t>
            </w:r>
          </w:p>
        </w:tc>
        <w:tc>
          <w:tcPr>
            <w:tcW w:w="3690" w:type="dxa"/>
            <w:tcBorders>
              <w:right w:val="dotted" w:sz="4" w:space="0" w:color="000000"/>
            </w:tcBorders>
          </w:tcPr>
          <w:p>
            <w:pPr>
              <w:pStyle w:val="TableParagraph"/>
              <w:spacing w:before="22"/>
              <w:ind w:left="213"/>
              <w:rPr>
                <w:sz w:val="21"/>
              </w:rPr>
            </w:pPr>
            <w:r>
              <w:rPr>
                <w:spacing w:val="-2"/>
                <w:sz w:val="21"/>
              </w:rPr>
              <w:t>9.32</w:t>
            </w:r>
            <w:r>
              <w:rPr>
                <w:spacing w:val="-12"/>
                <w:sz w:val="21"/>
              </w:rPr>
              <w:t> 永久不可逆</w:t>
            </w:r>
          </w:p>
        </w:tc>
      </w:tr>
      <w:tr>
        <w:trPr>
          <w:trHeight w:val="312" w:hRule="atLeast"/>
        </w:trPr>
        <w:tc>
          <w:tcPr>
            <w:tcW w:w="3248" w:type="dxa"/>
            <w:tcBorders>
              <w:left w:val="dotted" w:sz="4" w:space="0" w:color="000000"/>
            </w:tcBorders>
          </w:tcPr>
          <w:p>
            <w:pPr>
              <w:pStyle w:val="TableParagraph"/>
              <w:spacing w:before="22"/>
              <w:ind w:left="319"/>
              <w:rPr>
                <w:sz w:val="21"/>
              </w:rPr>
            </w:pPr>
            <w:r>
              <w:rPr>
                <w:spacing w:val="-2"/>
                <w:sz w:val="21"/>
              </w:rPr>
              <w:t>4.2</w:t>
            </w:r>
            <w:r>
              <w:rPr>
                <w:spacing w:val="-16"/>
                <w:sz w:val="21"/>
              </w:rPr>
              <w:t> 宽限期</w:t>
            </w:r>
          </w:p>
        </w:tc>
        <w:tc>
          <w:tcPr>
            <w:tcW w:w="3334" w:type="dxa"/>
          </w:tcPr>
          <w:p>
            <w:pPr>
              <w:pStyle w:val="TableParagraph"/>
              <w:spacing w:before="22"/>
              <w:ind w:left="463"/>
              <w:rPr>
                <w:sz w:val="21"/>
              </w:rPr>
            </w:pPr>
            <w:r>
              <w:rPr>
                <w:spacing w:val="-2"/>
                <w:sz w:val="21"/>
              </w:rPr>
              <w:t>9.7</w:t>
            </w:r>
            <w:r>
              <w:rPr>
                <w:spacing w:val="-14"/>
                <w:sz w:val="21"/>
              </w:rPr>
              <w:t> 中度疾病</w:t>
            </w:r>
          </w:p>
        </w:tc>
        <w:tc>
          <w:tcPr>
            <w:tcW w:w="3690" w:type="dxa"/>
            <w:tcBorders>
              <w:right w:val="dotted" w:sz="4" w:space="0" w:color="000000"/>
            </w:tcBorders>
          </w:tcPr>
          <w:p>
            <w:pPr>
              <w:pStyle w:val="TableParagraph"/>
              <w:spacing w:before="22"/>
              <w:ind w:right="93"/>
              <w:jc w:val="right"/>
              <w:rPr>
                <w:sz w:val="21"/>
              </w:rPr>
            </w:pPr>
            <w:r>
              <w:rPr>
                <w:spacing w:val="-2"/>
                <w:sz w:val="21"/>
              </w:rPr>
              <w:t>9.33</w:t>
            </w:r>
            <w:r>
              <w:rPr>
                <w:spacing w:val="-9"/>
                <w:sz w:val="21"/>
              </w:rPr>
              <w:t> 美国纽约心脏病学会</w:t>
            </w:r>
            <w:r>
              <w:rPr>
                <w:spacing w:val="-2"/>
                <w:sz w:val="21"/>
              </w:rPr>
              <w:t>（New</w:t>
            </w:r>
            <w:r>
              <w:rPr>
                <w:spacing w:val="-35"/>
                <w:sz w:val="21"/>
              </w:rPr>
              <w:t> </w:t>
            </w:r>
            <w:r>
              <w:rPr>
                <w:spacing w:val="-4"/>
                <w:sz w:val="21"/>
              </w:rPr>
              <w:t>York</w:t>
            </w:r>
          </w:p>
        </w:tc>
      </w:tr>
      <w:tr>
        <w:trPr>
          <w:trHeight w:val="311" w:hRule="atLeast"/>
        </w:trPr>
        <w:tc>
          <w:tcPr>
            <w:tcW w:w="3248" w:type="dxa"/>
            <w:tcBorders>
              <w:left w:val="dotted" w:sz="4" w:space="0" w:color="000000"/>
            </w:tcBorders>
          </w:tcPr>
          <w:p>
            <w:pPr>
              <w:pStyle w:val="TableParagraph"/>
              <w:spacing w:before="22"/>
              <w:ind w:left="107"/>
              <w:rPr>
                <w:b/>
                <w:sz w:val="21"/>
              </w:rPr>
            </w:pPr>
            <w:r>
              <w:rPr>
                <w:b/>
                <w:w w:val="95"/>
                <w:sz w:val="21"/>
              </w:rPr>
              <w:t>5．</w:t>
            </w:r>
            <w:r>
              <w:rPr>
                <w:b/>
                <w:w w:val="95"/>
                <w:sz w:val="21"/>
              </w:rPr>
              <w:t>现</w:t>
            </w:r>
            <w:r>
              <w:rPr>
                <w:b/>
                <w:w w:val="95"/>
                <w:sz w:val="21"/>
              </w:rPr>
              <w:t>金</w:t>
            </w:r>
            <w:r>
              <w:rPr>
                <w:b/>
                <w:w w:val="95"/>
                <w:sz w:val="21"/>
              </w:rPr>
              <w:t>价</w:t>
            </w:r>
            <w:r>
              <w:rPr>
                <w:b/>
                <w:w w:val="95"/>
                <w:sz w:val="21"/>
              </w:rPr>
              <w:t>值</w:t>
            </w:r>
            <w:r>
              <w:rPr>
                <w:b/>
                <w:w w:val="95"/>
                <w:sz w:val="21"/>
              </w:rPr>
              <w:t>权</w:t>
            </w:r>
            <w:r>
              <w:rPr>
                <w:b/>
                <w:spacing w:val="-10"/>
                <w:w w:val="95"/>
                <w:sz w:val="21"/>
              </w:rPr>
              <w:t>益</w:t>
            </w:r>
          </w:p>
        </w:tc>
        <w:tc>
          <w:tcPr>
            <w:tcW w:w="3334" w:type="dxa"/>
          </w:tcPr>
          <w:p>
            <w:pPr>
              <w:pStyle w:val="TableParagraph"/>
              <w:spacing w:before="22"/>
              <w:ind w:left="463"/>
              <w:rPr>
                <w:sz w:val="21"/>
              </w:rPr>
            </w:pPr>
            <w:r>
              <w:rPr>
                <w:spacing w:val="-2"/>
                <w:sz w:val="21"/>
              </w:rPr>
              <w:t>9.8</w:t>
            </w:r>
            <w:r>
              <w:rPr>
                <w:spacing w:val="-14"/>
                <w:sz w:val="21"/>
              </w:rPr>
              <w:t> 重度疾病</w:t>
            </w:r>
          </w:p>
        </w:tc>
        <w:tc>
          <w:tcPr>
            <w:tcW w:w="3690" w:type="dxa"/>
            <w:tcBorders>
              <w:right w:val="dotted" w:sz="4" w:space="0" w:color="000000"/>
            </w:tcBorders>
          </w:tcPr>
          <w:p>
            <w:pPr>
              <w:pStyle w:val="TableParagraph"/>
              <w:spacing w:before="22"/>
              <w:ind w:right="93"/>
              <w:jc w:val="right"/>
              <w:rPr>
                <w:sz w:val="21"/>
              </w:rPr>
            </w:pPr>
            <w:r>
              <w:rPr>
                <w:spacing w:val="-4"/>
                <w:sz w:val="21"/>
              </w:rPr>
              <w:t>Heart</w:t>
            </w:r>
            <w:r>
              <w:rPr>
                <w:spacing w:val="-25"/>
                <w:sz w:val="21"/>
              </w:rPr>
              <w:t> </w:t>
            </w:r>
            <w:r>
              <w:rPr>
                <w:spacing w:val="-4"/>
                <w:sz w:val="21"/>
              </w:rPr>
              <w:t>Association，NYHA）</w:t>
            </w:r>
            <w:r>
              <w:rPr>
                <w:spacing w:val="-7"/>
                <w:sz w:val="21"/>
              </w:rPr>
              <w:t>心功</w:t>
            </w:r>
          </w:p>
        </w:tc>
      </w:tr>
      <w:tr>
        <w:trPr>
          <w:trHeight w:val="311" w:hRule="atLeast"/>
        </w:trPr>
        <w:tc>
          <w:tcPr>
            <w:tcW w:w="3248" w:type="dxa"/>
            <w:tcBorders>
              <w:left w:val="dotted" w:sz="4" w:space="0" w:color="000000"/>
            </w:tcBorders>
          </w:tcPr>
          <w:p>
            <w:pPr>
              <w:pStyle w:val="TableParagraph"/>
              <w:spacing w:before="22"/>
              <w:ind w:left="319"/>
              <w:rPr>
                <w:sz w:val="21"/>
              </w:rPr>
            </w:pPr>
            <w:r>
              <w:rPr>
                <w:spacing w:val="-2"/>
                <w:sz w:val="21"/>
              </w:rPr>
              <w:t>5.1</w:t>
            </w:r>
            <w:r>
              <w:rPr>
                <w:spacing w:val="-14"/>
                <w:sz w:val="21"/>
              </w:rPr>
              <w:t> 现金价值</w:t>
            </w:r>
          </w:p>
        </w:tc>
        <w:tc>
          <w:tcPr>
            <w:tcW w:w="3334" w:type="dxa"/>
          </w:tcPr>
          <w:p>
            <w:pPr>
              <w:pStyle w:val="TableParagraph"/>
              <w:spacing w:before="22"/>
              <w:ind w:left="463"/>
              <w:rPr>
                <w:sz w:val="21"/>
              </w:rPr>
            </w:pPr>
            <w:r>
              <w:rPr>
                <w:spacing w:val="-2"/>
                <w:sz w:val="21"/>
              </w:rPr>
              <w:t>9.9</w:t>
            </w:r>
            <w:r>
              <w:rPr>
                <w:spacing w:val="-12"/>
                <w:sz w:val="21"/>
              </w:rPr>
              <w:t> 疾病终末期</w:t>
            </w:r>
          </w:p>
        </w:tc>
        <w:tc>
          <w:tcPr>
            <w:tcW w:w="3690" w:type="dxa"/>
            <w:tcBorders>
              <w:right w:val="dotted" w:sz="4" w:space="0" w:color="000000"/>
            </w:tcBorders>
          </w:tcPr>
          <w:p>
            <w:pPr>
              <w:pStyle w:val="TableParagraph"/>
              <w:spacing w:before="22"/>
              <w:ind w:left="634"/>
              <w:rPr>
                <w:sz w:val="21"/>
              </w:rPr>
            </w:pPr>
            <w:r>
              <w:rPr>
                <w:spacing w:val="-4"/>
                <w:sz w:val="21"/>
              </w:rPr>
              <w:t>能状态分级</w:t>
            </w:r>
          </w:p>
        </w:tc>
      </w:tr>
      <w:tr>
        <w:trPr>
          <w:trHeight w:val="311" w:hRule="atLeast"/>
        </w:trPr>
        <w:tc>
          <w:tcPr>
            <w:tcW w:w="3248" w:type="dxa"/>
            <w:tcBorders>
              <w:left w:val="dotted" w:sz="4" w:space="0" w:color="000000"/>
            </w:tcBorders>
          </w:tcPr>
          <w:p>
            <w:pPr>
              <w:pStyle w:val="TableParagraph"/>
              <w:spacing w:before="22"/>
              <w:ind w:left="319"/>
              <w:rPr>
                <w:sz w:val="21"/>
              </w:rPr>
            </w:pPr>
            <w:r>
              <w:rPr>
                <w:spacing w:val="-2"/>
                <w:sz w:val="21"/>
              </w:rPr>
              <w:t>5.2</w:t>
            </w:r>
            <w:r>
              <w:rPr>
                <w:spacing w:val="-12"/>
                <w:sz w:val="21"/>
              </w:rPr>
              <w:t> 保险单借款</w:t>
            </w:r>
          </w:p>
        </w:tc>
        <w:tc>
          <w:tcPr>
            <w:tcW w:w="3334" w:type="dxa"/>
          </w:tcPr>
          <w:p>
            <w:pPr>
              <w:pStyle w:val="TableParagraph"/>
              <w:spacing w:before="22"/>
              <w:ind w:left="463"/>
              <w:rPr>
                <w:sz w:val="21"/>
              </w:rPr>
            </w:pPr>
            <w:r>
              <w:rPr>
                <w:sz w:val="21"/>
              </w:rPr>
              <w:t>9.10</w:t>
            </w:r>
            <w:r>
              <w:rPr>
                <w:spacing w:val="-22"/>
                <w:sz w:val="21"/>
              </w:rPr>
              <w:t> 全残</w:t>
            </w:r>
          </w:p>
        </w:tc>
        <w:tc>
          <w:tcPr>
            <w:tcW w:w="3690" w:type="dxa"/>
            <w:tcBorders>
              <w:right w:val="dotted" w:sz="4" w:space="0" w:color="000000"/>
            </w:tcBorders>
          </w:tcPr>
          <w:p>
            <w:pPr>
              <w:pStyle w:val="TableParagraph"/>
              <w:spacing w:before="22"/>
              <w:ind w:left="213"/>
              <w:rPr>
                <w:sz w:val="21"/>
              </w:rPr>
            </w:pPr>
            <w:r>
              <w:rPr>
                <w:spacing w:val="-2"/>
                <w:sz w:val="21"/>
              </w:rPr>
              <w:t>9.34</w:t>
            </w:r>
            <w:r>
              <w:rPr>
                <w:spacing w:val="-10"/>
                <w:sz w:val="21"/>
              </w:rPr>
              <w:t> 语言能力完全丧失</w:t>
            </w:r>
          </w:p>
        </w:tc>
      </w:tr>
      <w:tr>
        <w:trPr>
          <w:trHeight w:val="313" w:hRule="atLeast"/>
        </w:trPr>
        <w:tc>
          <w:tcPr>
            <w:tcW w:w="3248" w:type="dxa"/>
            <w:tcBorders>
              <w:left w:val="dotted" w:sz="4" w:space="0" w:color="000000"/>
              <w:bottom w:val="dotted" w:sz="4" w:space="0" w:color="000000"/>
            </w:tcBorders>
          </w:tcPr>
          <w:p>
            <w:pPr>
              <w:pStyle w:val="TableParagraph"/>
              <w:spacing w:before="22"/>
              <w:ind w:left="107"/>
              <w:rPr>
                <w:b/>
                <w:sz w:val="21"/>
              </w:rPr>
            </w:pPr>
            <w:r>
              <w:rPr>
                <w:b/>
                <w:w w:val="95"/>
                <w:sz w:val="21"/>
              </w:rPr>
              <w:t>6．</w:t>
            </w:r>
            <w:r>
              <w:rPr>
                <w:b/>
                <w:w w:val="95"/>
                <w:sz w:val="21"/>
              </w:rPr>
              <w:t>合</w:t>
            </w:r>
            <w:r>
              <w:rPr>
                <w:b/>
                <w:w w:val="95"/>
                <w:sz w:val="21"/>
              </w:rPr>
              <w:t>同</w:t>
            </w:r>
            <w:r>
              <w:rPr>
                <w:b/>
                <w:w w:val="95"/>
                <w:sz w:val="21"/>
              </w:rPr>
              <w:t>效</w:t>
            </w:r>
            <w:r>
              <w:rPr>
                <w:b/>
                <w:w w:val="95"/>
                <w:sz w:val="21"/>
              </w:rPr>
              <w:t>力</w:t>
            </w:r>
            <w:r>
              <w:rPr>
                <w:b/>
                <w:w w:val="95"/>
                <w:sz w:val="21"/>
              </w:rPr>
              <w:t>的</w:t>
            </w:r>
            <w:r>
              <w:rPr>
                <w:b/>
                <w:w w:val="95"/>
                <w:sz w:val="21"/>
              </w:rPr>
              <w:t>中</w:t>
            </w:r>
            <w:r>
              <w:rPr>
                <w:b/>
                <w:w w:val="95"/>
                <w:sz w:val="21"/>
              </w:rPr>
              <w:t>止</w:t>
            </w:r>
            <w:r>
              <w:rPr>
                <w:b/>
                <w:w w:val="95"/>
                <w:sz w:val="21"/>
              </w:rPr>
              <w:t>及</w:t>
            </w:r>
            <w:r>
              <w:rPr>
                <w:b/>
                <w:spacing w:val="-5"/>
                <w:w w:val="95"/>
                <w:sz w:val="21"/>
              </w:rPr>
              <w:t>恢复</w:t>
            </w:r>
          </w:p>
        </w:tc>
        <w:tc>
          <w:tcPr>
            <w:tcW w:w="3334" w:type="dxa"/>
            <w:tcBorders>
              <w:bottom w:val="dotted" w:sz="4" w:space="0" w:color="000000"/>
            </w:tcBorders>
          </w:tcPr>
          <w:p>
            <w:pPr>
              <w:pStyle w:val="TableParagraph"/>
              <w:spacing w:before="22"/>
              <w:ind w:left="463"/>
              <w:rPr>
                <w:sz w:val="21"/>
              </w:rPr>
            </w:pPr>
            <w:r>
              <w:rPr>
                <w:spacing w:val="-2"/>
                <w:sz w:val="21"/>
              </w:rPr>
              <w:t>9.11</w:t>
            </w:r>
            <w:r>
              <w:rPr>
                <w:spacing w:val="-14"/>
                <w:sz w:val="21"/>
              </w:rPr>
              <w:t> 现金价值</w:t>
            </w:r>
          </w:p>
        </w:tc>
        <w:tc>
          <w:tcPr>
            <w:tcW w:w="3690" w:type="dxa"/>
            <w:tcBorders>
              <w:bottom w:val="dotted" w:sz="4" w:space="0" w:color="000000"/>
              <w:right w:val="dotted" w:sz="4" w:space="0" w:color="000000"/>
            </w:tcBorders>
          </w:tcPr>
          <w:p>
            <w:pPr>
              <w:pStyle w:val="TableParagraph"/>
              <w:spacing w:before="22"/>
              <w:ind w:left="213"/>
              <w:rPr>
                <w:sz w:val="21"/>
              </w:rPr>
            </w:pPr>
            <w:r>
              <w:rPr>
                <w:spacing w:val="-2"/>
                <w:sz w:val="21"/>
              </w:rPr>
              <w:t>9.35</w:t>
            </w:r>
            <w:r>
              <w:rPr>
                <w:spacing w:val="-10"/>
                <w:sz w:val="21"/>
              </w:rPr>
              <w:t> 严重咀嚼吞咽功能障碍</w:t>
            </w:r>
          </w:p>
        </w:tc>
      </w:tr>
    </w:tbl>
    <w:p>
      <w:pPr>
        <w:pStyle w:val="BodyText"/>
        <w:spacing w:before="4"/>
        <w:rPr>
          <w:b/>
        </w:rPr>
      </w:pPr>
      <w:r>
        <w:rPr/>
        <w:drawing>
          <wp:anchor distT="0" distB="0" distL="0" distR="0" allowOverlap="1" layoutInCell="1" locked="0" behindDoc="0" simplePos="0" relativeHeight="0">
            <wp:simplePos x="0" y="0"/>
            <wp:positionH relativeFrom="page">
              <wp:posOffset>501395</wp:posOffset>
            </wp:positionH>
            <wp:positionV relativeFrom="paragraph">
              <wp:posOffset>188671</wp:posOffset>
            </wp:positionV>
            <wp:extent cx="38100" cy="13715"/>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38100" cy="13715"/>
                    </a:xfrm>
                    <a:prstGeom prst="rect">
                      <a:avLst/>
                    </a:prstGeom>
                  </pic:spPr>
                </pic:pic>
              </a:graphicData>
            </a:graphic>
          </wp:anchor>
        </w:drawing>
      </w:r>
      <w:r>
        <w:rPr/>
        <w:drawing>
          <wp:anchor distT="0" distB="0" distL="0" distR="0" allowOverlap="1" layoutInCell="1" locked="0" behindDoc="0" simplePos="0" relativeHeight="1">
            <wp:simplePos x="0" y="0"/>
            <wp:positionH relativeFrom="page">
              <wp:posOffset>7164323</wp:posOffset>
            </wp:positionH>
            <wp:positionV relativeFrom="paragraph">
              <wp:posOffset>188671</wp:posOffset>
            </wp:positionV>
            <wp:extent cx="37749" cy="51339"/>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37749" cy="51339"/>
                    </a:xfrm>
                    <a:prstGeom prst="rect">
                      <a:avLst/>
                    </a:prstGeom>
                  </pic:spPr>
                </pic:pic>
              </a:graphicData>
            </a:graphic>
          </wp:anchor>
        </w:drawing>
      </w:r>
    </w:p>
    <w:p>
      <w:pPr>
        <w:spacing w:after="0"/>
        <w:sectPr>
          <w:type w:val="continuous"/>
          <w:pgSz w:w="11910" w:h="16840"/>
          <w:pgMar w:top="460" w:bottom="280" w:left="680" w:right="460"/>
        </w:sectPr>
      </w:pPr>
    </w:p>
    <w:p>
      <w:pPr>
        <w:pStyle w:val="BodyText"/>
        <w:spacing w:before="11"/>
        <w:rPr>
          <w:b/>
          <w:sz w:val="19"/>
        </w:rPr>
      </w:pPr>
    </w:p>
    <w:p>
      <w:pPr>
        <w:pStyle w:val="Title"/>
      </w:pPr>
      <w:r>
        <w:rPr>
          <w:w w:val="95"/>
        </w:rPr>
        <w:t>长</w:t>
      </w:r>
      <w:r>
        <w:rPr>
          <w:w w:val="95"/>
        </w:rPr>
        <w:t>城</w:t>
      </w:r>
      <w:r>
        <w:rPr>
          <w:w w:val="95"/>
        </w:rPr>
        <w:t>人寿保</w:t>
      </w:r>
      <w:r>
        <w:rPr>
          <w:w w:val="95"/>
        </w:rPr>
        <w:t>险</w:t>
      </w:r>
      <w:r>
        <w:rPr>
          <w:w w:val="95"/>
        </w:rPr>
        <w:t>股</w:t>
      </w:r>
      <w:r>
        <w:rPr>
          <w:spacing w:val="-2"/>
          <w:w w:val="95"/>
        </w:rPr>
        <w:t>份有限公司</w:t>
      </w:r>
    </w:p>
    <w:p>
      <w:pPr>
        <w:pStyle w:val="BodyText"/>
        <w:spacing w:before="12"/>
        <w:rPr>
          <w:rFonts w:ascii="华文新魏"/>
          <w:b/>
          <w:sz w:val="45"/>
        </w:rPr>
      </w:pPr>
    </w:p>
    <w:p>
      <w:pPr>
        <w:spacing w:before="0"/>
        <w:ind w:left="634" w:right="629" w:firstLine="0"/>
        <w:jc w:val="center"/>
        <w:rPr>
          <w:rFonts w:ascii="华文中宋" w:eastAsia="华文中宋" w:hint="eastAsia"/>
          <w:b/>
          <w:sz w:val="30"/>
        </w:rPr>
      </w:pPr>
      <w:r>
        <w:rPr>
          <w:rFonts w:ascii="华文中宋" w:eastAsia="华文中宋" w:hint="eastAsia"/>
          <w:b/>
          <w:w w:val="95"/>
          <w:sz w:val="30"/>
        </w:rPr>
        <w:t>长</w:t>
      </w:r>
      <w:r>
        <w:rPr>
          <w:rFonts w:ascii="华文中宋" w:eastAsia="华文中宋" w:hint="eastAsia"/>
          <w:b/>
          <w:w w:val="95"/>
          <w:sz w:val="30"/>
        </w:rPr>
        <w:t>城</w:t>
      </w:r>
      <w:r>
        <w:rPr>
          <w:rFonts w:ascii="华文中宋" w:eastAsia="华文中宋" w:hint="eastAsia"/>
          <w:b/>
          <w:w w:val="95"/>
          <w:sz w:val="30"/>
        </w:rPr>
        <w:t>吉</w:t>
      </w:r>
      <w:r>
        <w:rPr>
          <w:rFonts w:ascii="华文中宋" w:eastAsia="华文中宋" w:hint="eastAsia"/>
          <w:b/>
          <w:w w:val="95"/>
          <w:sz w:val="30"/>
        </w:rPr>
        <w:t>康</w:t>
      </w:r>
      <w:r>
        <w:rPr>
          <w:rFonts w:ascii="华文中宋" w:eastAsia="华文中宋" w:hint="eastAsia"/>
          <w:b/>
          <w:w w:val="95"/>
          <w:sz w:val="30"/>
        </w:rPr>
        <w:t>人</w:t>
      </w:r>
      <w:r>
        <w:rPr>
          <w:rFonts w:ascii="华文中宋" w:eastAsia="华文中宋" w:hint="eastAsia"/>
          <w:b/>
          <w:w w:val="95"/>
          <w:sz w:val="30"/>
        </w:rPr>
        <w:t>生</w:t>
      </w:r>
      <w:r>
        <w:rPr>
          <w:rFonts w:ascii="华文中宋" w:eastAsia="华文中宋" w:hint="eastAsia"/>
          <w:b/>
          <w:w w:val="95"/>
          <w:sz w:val="30"/>
        </w:rPr>
        <w:t>重</w:t>
      </w:r>
      <w:r>
        <w:rPr>
          <w:rFonts w:ascii="华文中宋" w:eastAsia="华文中宋" w:hint="eastAsia"/>
          <w:b/>
          <w:w w:val="95"/>
          <w:sz w:val="30"/>
        </w:rPr>
        <w:t>大</w:t>
      </w:r>
      <w:r>
        <w:rPr>
          <w:rFonts w:ascii="华文中宋" w:eastAsia="华文中宋" w:hint="eastAsia"/>
          <w:b/>
          <w:w w:val="95"/>
          <w:sz w:val="30"/>
        </w:rPr>
        <w:t>疾</w:t>
      </w:r>
      <w:r>
        <w:rPr>
          <w:rFonts w:ascii="华文中宋" w:eastAsia="华文中宋" w:hint="eastAsia"/>
          <w:b/>
          <w:w w:val="95"/>
          <w:sz w:val="30"/>
        </w:rPr>
        <w:t>病</w:t>
      </w:r>
      <w:r>
        <w:rPr>
          <w:rFonts w:ascii="华文中宋" w:eastAsia="华文中宋" w:hint="eastAsia"/>
          <w:b/>
          <w:w w:val="95"/>
          <w:sz w:val="30"/>
        </w:rPr>
        <w:t>保</w:t>
      </w:r>
      <w:r>
        <w:rPr>
          <w:rFonts w:ascii="华文中宋" w:eastAsia="华文中宋" w:hint="eastAsia"/>
          <w:b/>
          <w:w w:val="95"/>
          <w:sz w:val="30"/>
        </w:rPr>
        <w:t>险</w:t>
      </w:r>
      <w:r>
        <w:rPr>
          <w:rFonts w:ascii="华文中宋" w:eastAsia="华文中宋" w:hint="eastAsia"/>
          <w:b/>
          <w:w w:val="95"/>
          <w:sz w:val="30"/>
        </w:rPr>
        <w:t>（2021）</w:t>
      </w:r>
      <w:r>
        <w:rPr>
          <w:rFonts w:ascii="华文中宋" w:eastAsia="华文中宋" w:hint="eastAsia"/>
          <w:b/>
          <w:w w:val="95"/>
          <w:sz w:val="30"/>
        </w:rPr>
        <w:t>条</w:t>
      </w:r>
      <w:r>
        <w:rPr>
          <w:rFonts w:ascii="华文中宋" w:eastAsia="华文中宋" w:hint="eastAsia"/>
          <w:b/>
          <w:spacing w:val="-10"/>
          <w:w w:val="95"/>
          <w:sz w:val="30"/>
        </w:rPr>
        <w:t>款</w:t>
      </w:r>
    </w:p>
    <w:p>
      <w:pPr>
        <w:pStyle w:val="BodyText"/>
        <w:spacing w:before="6"/>
        <w:rPr>
          <w:rFonts w:ascii="华文中宋"/>
          <w:b/>
          <w:sz w:val="45"/>
        </w:rPr>
      </w:pPr>
    </w:p>
    <w:p>
      <w:pPr>
        <w:pStyle w:val="BodyText"/>
        <w:spacing w:before="1"/>
        <w:ind w:left="623"/>
      </w:pPr>
      <w:r>
        <w:rPr>
          <w:spacing w:val="-24"/>
        </w:rPr>
        <w:t>在本条款中，“您”指投保人，“我们”、“本公司”均指长城人寿保险股份有限公司。</w:t>
      </w:r>
    </w:p>
    <w:p>
      <w:pPr>
        <w:pStyle w:val="BodyText"/>
        <w:spacing w:before="10"/>
      </w:pPr>
    </w:p>
    <w:p>
      <w:pPr>
        <w:tabs>
          <w:tab w:pos="1713" w:val="left" w:leader="none"/>
        </w:tabs>
        <w:spacing w:before="1"/>
        <w:ind w:left="575" w:right="0" w:firstLine="0"/>
        <w:jc w:val="left"/>
        <w:rPr>
          <w:b/>
          <w:sz w:val="28"/>
        </w:rPr>
      </w:pPr>
      <w:r>
        <w:rPr/>
        <w:drawing>
          <wp:anchor distT="0" distB="0" distL="0" distR="0" allowOverlap="1" layoutInCell="1" locked="0" behindDoc="0" simplePos="0" relativeHeight="4">
            <wp:simplePos x="0" y="0"/>
            <wp:positionH relativeFrom="page">
              <wp:posOffset>728776</wp:posOffset>
            </wp:positionH>
            <wp:positionV relativeFrom="paragraph">
              <wp:posOffset>375473</wp:posOffset>
            </wp:positionV>
            <wp:extent cx="6236163"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6236163" cy="6096"/>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b/>
          <w:w w:val="95"/>
          <w:sz w:val="28"/>
        </w:rPr>
        <w:t>您</w:t>
      </w:r>
      <w:r>
        <w:rPr>
          <w:b/>
          <w:w w:val="95"/>
          <w:sz w:val="28"/>
        </w:rPr>
        <w:t>与</w:t>
      </w:r>
      <w:r>
        <w:rPr>
          <w:b/>
          <w:w w:val="95"/>
          <w:sz w:val="28"/>
        </w:rPr>
        <w:t>我</w:t>
      </w:r>
      <w:r>
        <w:rPr>
          <w:b/>
          <w:w w:val="95"/>
          <w:sz w:val="28"/>
        </w:rPr>
        <w:t>们</w:t>
      </w:r>
      <w:r>
        <w:rPr>
          <w:b/>
          <w:w w:val="95"/>
          <w:sz w:val="28"/>
        </w:rPr>
        <w:t>的</w:t>
      </w:r>
      <w:r>
        <w:rPr>
          <w:b/>
          <w:w w:val="95"/>
          <w:sz w:val="28"/>
        </w:rPr>
        <w:t>合</w:t>
      </w:r>
      <w:r>
        <w:rPr>
          <w:b/>
          <w:spacing w:val="-10"/>
          <w:w w:val="95"/>
          <w:sz w:val="28"/>
        </w:rPr>
        <w:t>同</w:t>
      </w:r>
    </w:p>
    <w:p>
      <w:pPr>
        <w:pStyle w:val="ListParagraph"/>
        <w:numPr>
          <w:ilvl w:val="1"/>
          <w:numId w:val="2"/>
        </w:numPr>
        <w:tabs>
          <w:tab w:pos="1713" w:val="left" w:leader="none"/>
          <w:tab w:pos="1714" w:val="left" w:leader="none"/>
          <w:tab w:pos="3285" w:val="left" w:leader="none"/>
        </w:tabs>
        <w:spacing w:line="235" w:lineRule="auto" w:before="317" w:after="0"/>
        <w:ind w:left="3285" w:right="474" w:hanging="2711"/>
        <w:jc w:val="left"/>
        <w:rPr>
          <w:sz w:val="21"/>
        </w:rPr>
      </w:pPr>
      <w:r>
        <w:rPr>
          <w:b/>
          <w:spacing w:val="-4"/>
          <w:position w:val="-1"/>
          <w:sz w:val="21"/>
        </w:rPr>
        <w:t>合</w:t>
      </w:r>
      <w:r>
        <w:rPr>
          <w:b/>
          <w:spacing w:val="-4"/>
          <w:position w:val="-1"/>
          <w:sz w:val="21"/>
        </w:rPr>
        <w:t>同</w:t>
      </w:r>
      <w:r>
        <w:rPr>
          <w:b/>
          <w:spacing w:val="-4"/>
          <w:position w:val="-1"/>
          <w:sz w:val="21"/>
        </w:rPr>
        <w:t>构</w:t>
      </w:r>
      <w:r>
        <w:rPr>
          <w:b/>
          <w:spacing w:val="-4"/>
          <w:position w:val="-1"/>
          <w:sz w:val="21"/>
        </w:rPr>
        <w:t>成</w:t>
      </w:r>
      <w:r>
        <w:rPr>
          <w:b/>
          <w:position w:val="-1"/>
          <w:sz w:val="21"/>
        </w:rPr>
        <w:tab/>
      </w:r>
      <w:r>
        <w:rPr>
          <w:spacing w:val="-6"/>
          <w:sz w:val="21"/>
        </w:rPr>
        <w:t>本</w:t>
      </w:r>
      <w:r>
        <w:rPr>
          <w:spacing w:val="-6"/>
          <w:sz w:val="21"/>
        </w:rPr>
        <w:t>保</w:t>
      </w:r>
      <w:r>
        <w:rPr>
          <w:spacing w:val="-6"/>
          <w:sz w:val="21"/>
        </w:rPr>
        <w:t>险条款、保险单或其</w:t>
      </w:r>
      <w:r>
        <w:rPr>
          <w:spacing w:val="-6"/>
          <w:sz w:val="21"/>
        </w:rPr>
        <w:t>他</w:t>
      </w:r>
      <w:r>
        <w:rPr>
          <w:spacing w:val="-6"/>
          <w:sz w:val="21"/>
        </w:rPr>
        <w:t>保</w:t>
      </w:r>
      <w:r>
        <w:rPr>
          <w:spacing w:val="-6"/>
          <w:sz w:val="21"/>
        </w:rPr>
        <w:t>险凭证、投保书、与保</w:t>
      </w:r>
      <w:r>
        <w:rPr>
          <w:spacing w:val="-6"/>
          <w:sz w:val="21"/>
        </w:rPr>
        <w:t>险</w:t>
      </w:r>
      <w:r>
        <w:rPr>
          <w:spacing w:val="-6"/>
          <w:sz w:val="21"/>
        </w:rPr>
        <w:t>合</w:t>
      </w:r>
      <w:r>
        <w:rPr>
          <w:spacing w:val="-6"/>
          <w:sz w:val="21"/>
        </w:rPr>
        <w:t>同有关的投保文</w:t>
      </w:r>
      <w:r>
        <w:rPr>
          <w:spacing w:val="-6"/>
          <w:sz w:val="21"/>
        </w:rPr>
        <w:t>件</w:t>
      </w:r>
      <w:r>
        <w:rPr>
          <w:spacing w:val="-6"/>
          <w:sz w:val="21"/>
        </w:rPr>
        <w:t>、</w:t>
      </w:r>
      <w:r>
        <w:rPr>
          <w:spacing w:val="-2"/>
          <w:sz w:val="21"/>
        </w:rPr>
        <w:t>合</w:t>
      </w:r>
      <w:r>
        <w:rPr>
          <w:spacing w:val="-2"/>
          <w:sz w:val="21"/>
        </w:rPr>
        <w:t>法</w:t>
      </w:r>
      <w:r>
        <w:rPr>
          <w:spacing w:val="-2"/>
          <w:sz w:val="21"/>
        </w:rPr>
        <w:t>有效的声明、批注、</w:t>
      </w:r>
      <w:r>
        <w:rPr>
          <w:spacing w:val="-2"/>
          <w:sz w:val="21"/>
        </w:rPr>
        <w:t>附</w:t>
      </w:r>
      <w:r>
        <w:rPr>
          <w:spacing w:val="-2"/>
          <w:sz w:val="21"/>
        </w:rPr>
        <w:t>贴</w:t>
      </w:r>
      <w:r>
        <w:rPr>
          <w:spacing w:val="-2"/>
          <w:sz w:val="21"/>
        </w:rPr>
        <w:t>批单、附加险合同、</w:t>
      </w:r>
      <w:r>
        <w:rPr>
          <w:spacing w:val="-2"/>
          <w:sz w:val="21"/>
        </w:rPr>
        <w:t>其</w:t>
      </w:r>
      <w:r>
        <w:rPr>
          <w:spacing w:val="-2"/>
          <w:sz w:val="21"/>
        </w:rPr>
        <w:t>他</w:t>
      </w:r>
      <w:r>
        <w:rPr>
          <w:spacing w:val="-2"/>
          <w:sz w:val="21"/>
        </w:rPr>
        <w:t>您与我们共同认</w:t>
      </w:r>
      <w:r>
        <w:rPr>
          <w:spacing w:val="-2"/>
          <w:sz w:val="21"/>
        </w:rPr>
        <w:t>可</w:t>
      </w:r>
      <w:r>
        <w:rPr>
          <w:spacing w:val="-2"/>
          <w:sz w:val="21"/>
        </w:rPr>
        <w:t>的</w:t>
      </w:r>
      <w:r>
        <w:rPr>
          <w:spacing w:val="-2"/>
          <w:sz w:val="21"/>
        </w:rPr>
        <w:t>书</w:t>
      </w:r>
      <w:r>
        <w:rPr>
          <w:spacing w:val="-2"/>
          <w:sz w:val="21"/>
        </w:rPr>
        <w:t>面</w:t>
      </w:r>
      <w:r>
        <w:rPr>
          <w:spacing w:val="-2"/>
          <w:sz w:val="21"/>
        </w:rPr>
        <w:t>协议都是您与我们之</w:t>
      </w:r>
      <w:r>
        <w:rPr>
          <w:spacing w:val="-2"/>
          <w:sz w:val="21"/>
        </w:rPr>
        <w:t>间</w:t>
      </w:r>
      <w:r>
        <w:rPr>
          <w:spacing w:val="-2"/>
          <w:sz w:val="21"/>
        </w:rPr>
        <w:t>订</w:t>
      </w:r>
      <w:r>
        <w:rPr>
          <w:spacing w:val="-2"/>
          <w:sz w:val="21"/>
        </w:rPr>
        <w:t>立的保险合同的构成</w:t>
      </w:r>
      <w:r>
        <w:rPr>
          <w:spacing w:val="-2"/>
          <w:sz w:val="21"/>
        </w:rPr>
        <w:t>部</w:t>
      </w:r>
      <w:r>
        <w:rPr>
          <w:spacing w:val="-2"/>
          <w:sz w:val="21"/>
        </w:rPr>
        <w:t>分</w:t>
      </w:r>
      <w:r>
        <w:rPr>
          <w:spacing w:val="-2"/>
          <w:sz w:val="21"/>
        </w:rPr>
        <w:t>。</w:t>
      </w:r>
    </w:p>
    <w:p>
      <w:pPr>
        <w:pStyle w:val="BodyText"/>
        <w:spacing w:before="25"/>
        <w:ind w:left="3285"/>
      </w:pPr>
      <w:r>
        <w:rPr>
          <w:spacing w:val="-9"/>
        </w:rPr>
        <w:t>“长城吉康人生重大疾病保险</w:t>
      </w:r>
      <w:r>
        <w:rPr>
          <w:spacing w:val="-4"/>
        </w:rPr>
        <w:t>（2021）</w:t>
      </w:r>
      <w:r>
        <w:rPr>
          <w:spacing w:val="-22"/>
        </w:rPr>
        <w:t>保险合同”以下简称为“本主险合同”。</w:t>
      </w:r>
    </w:p>
    <w:p>
      <w:pPr>
        <w:pStyle w:val="BodyText"/>
        <w:spacing w:before="1"/>
        <w:rPr>
          <w:sz w:val="22"/>
        </w:rPr>
      </w:pPr>
    </w:p>
    <w:p>
      <w:pPr>
        <w:spacing w:after="0"/>
        <w:rPr>
          <w:sz w:val="22"/>
        </w:rPr>
        <w:sectPr>
          <w:pgSz w:w="11910" w:h="16840"/>
          <w:pgMar w:top="1580" w:bottom="280" w:left="680" w:right="460"/>
        </w:sectPr>
      </w:pPr>
    </w:p>
    <w:p>
      <w:pPr>
        <w:pStyle w:val="Heading2"/>
        <w:numPr>
          <w:ilvl w:val="1"/>
          <w:numId w:val="2"/>
        </w:numPr>
        <w:tabs>
          <w:tab w:pos="1713" w:val="left" w:leader="none"/>
          <w:tab w:pos="1714" w:val="left" w:leader="none"/>
        </w:tabs>
        <w:spacing w:line="278" w:lineRule="auto" w:before="72" w:after="0"/>
        <w:ind w:left="1713" w:right="0" w:hanging="1138"/>
        <w:jc w:val="left"/>
        <w:rPr>
          <w:rFonts w:ascii="宋体" w:eastAsia="宋体" w:hint="eastAsia"/>
        </w:rPr>
      </w:pPr>
      <w:r>
        <w:rPr>
          <w:rFonts w:ascii="宋体" w:eastAsia="宋体" w:hint="eastAsia"/>
          <w:spacing w:val="-2"/>
        </w:rPr>
        <w:t>合同成立与生</w:t>
      </w:r>
      <w:r>
        <w:rPr>
          <w:rFonts w:ascii="宋体" w:eastAsia="宋体" w:hint="eastAsia"/>
          <w:spacing w:val="-10"/>
        </w:rPr>
        <w:t>效</w:t>
      </w:r>
    </w:p>
    <w:p>
      <w:pPr>
        <w:pStyle w:val="BodyText"/>
        <w:spacing w:line="278" w:lineRule="auto" w:before="72"/>
        <w:ind w:left="265" w:right="579"/>
      </w:pPr>
      <w:r>
        <w:rPr/>
        <w:br w:type="column"/>
      </w:r>
      <w:r>
        <w:rPr>
          <w:spacing w:val="-2"/>
        </w:rPr>
        <w:t>您提出保险申请且本公司同意承保，本主险合同成立，合同成立日期在保险</w:t>
      </w:r>
      <w:r>
        <w:rPr>
          <w:spacing w:val="-2"/>
        </w:rPr>
        <w:t>单上载明。</w:t>
      </w:r>
    </w:p>
    <w:p>
      <w:pPr>
        <w:spacing w:line="266" w:lineRule="auto" w:before="0"/>
        <w:ind w:left="265" w:right="582" w:firstLine="0"/>
        <w:jc w:val="both"/>
        <w:rPr>
          <w:b/>
          <w:i/>
          <w:sz w:val="22"/>
        </w:rPr>
      </w:pPr>
      <w:r>
        <w:rPr>
          <w:b/>
          <w:i/>
          <w:spacing w:val="-9"/>
          <w:w w:val="95"/>
          <w:sz w:val="22"/>
        </w:rPr>
        <w:t>自本主险合同成立、本公司收取首期保险费并签发保险单的次日零时起本主</w:t>
      </w:r>
      <w:r>
        <w:rPr>
          <w:b/>
          <w:i/>
          <w:spacing w:val="-2"/>
          <w:w w:val="95"/>
          <w:sz w:val="22"/>
        </w:rPr>
        <w:t>险合同生效，具体生效日以保险单所载的日期为准。我们自生效日零时起开</w:t>
      </w:r>
      <w:r>
        <w:rPr>
          <w:b/>
          <w:i/>
          <w:spacing w:val="-2"/>
          <w:sz w:val="22"/>
        </w:rPr>
        <w:t>始</w:t>
      </w:r>
      <w:r>
        <w:rPr>
          <w:b/>
          <w:i/>
          <w:spacing w:val="-2"/>
          <w:sz w:val="22"/>
        </w:rPr>
        <w:t>承</w:t>
      </w:r>
      <w:r>
        <w:rPr>
          <w:b/>
          <w:i/>
          <w:spacing w:val="-2"/>
          <w:sz w:val="22"/>
        </w:rPr>
        <w:t>担</w:t>
      </w:r>
      <w:r>
        <w:rPr>
          <w:b/>
          <w:i/>
          <w:spacing w:val="-2"/>
          <w:sz w:val="22"/>
        </w:rPr>
        <w:t>本</w:t>
      </w:r>
      <w:r>
        <w:rPr>
          <w:b/>
          <w:i/>
          <w:spacing w:val="-2"/>
          <w:sz w:val="22"/>
        </w:rPr>
        <w:t>主</w:t>
      </w:r>
      <w:r>
        <w:rPr>
          <w:b/>
          <w:i/>
          <w:spacing w:val="-2"/>
          <w:sz w:val="22"/>
        </w:rPr>
        <w:t>险</w:t>
      </w:r>
      <w:r>
        <w:rPr>
          <w:b/>
          <w:i/>
          <w:spacing w:val="-2"/>
          <w:sz w:val="22"/>
        </w:rPr>
        <w:t>合</w:t>
      </w:r>
      <w:r>
        <w:rPr>
          <w:b/>
          <w:i/>
          <w:spacing w:val="-2"/>
          <w:sz w:val="22"/>
        </w:rPr>
        <w:t>同</w:t>
      </w:r>
      <w:r>
        <w:rPr>
          <w:b/>
          <w:i/>
          <w:spacing w:val="-2"/>
          <w:sz w:val="22"/>
        </w:rPr>
        <w:t>约定的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w:t>
      </w:r>
    </w:p>
    <w:p>
      <w:pPr>
        <w:pStyle w:val="BodyText"/>
        <w:spacing w:line="278" w:lineRule="auto"/>
        <w:ind w:left="265" w:right="577"/>
        <w:jc w:val="both"/>
      </w:pPr>
      <w:r>
        <w:rPr>
          <w:spacing w:val="-2"/>
        </w:rPr>
        <w:t>本主险合同生效日以后每年的对应日为保险单周年日，每月的对应日为保险</w:t>
      </w:r>
      <w:r>
        <w:rPr>
          <w:spacing w:val="-2"/>
        </w:rPr>
        <w:t>单月度日。保险单年度、保险单月度、保险费到期日和保险单满期日均以该</w:t>
      </w:r>
      <w:r>
        <w:rPr>
          <w:spacing w:val="-2"/>
        </w:rPr>
        <w:t>日期为基础计算。</w:t>
      </w:r>
    </w:p>
    <w:p>
      <w:pPr>
        <w:pStyle w:val="BodyText"/>
        <w:spacing w:line="269" w:lineRule="exact"/>
        <w:ind w:left="265"/>
      </w:pPr>
      <w:r>
        <w:rPr>
          <w:spacing w:val="-3"/>
        </w:rPr>
        <w:t>如果当月无对应的同一日，则以该月最后一日作为对应日。</w:t>
      </w:r>
    </w:p>
    <w:p>
      <w:pPr>
        <w:spacing w:after="0" w:line="269" w:lineRule="exact"/>
        <w:sectPr>
          <w:type w:val="continuous"/>
          <w:pgSz w:w="11910" w:h="16840"/>
          <w:pgMar w:top="460" w:bottom="280" w:left="680" w:right="460"/>
          <w:cols w:num="2" w:equalWidth="0">
            <w:col w:w="2981" w:space="40"/>
            <w:col w:w="7749"/>
          </w:cols>
        </w:sectPr>
      </w:pPr>
    </w:p>
    <w:p>
      <w:pPr>
        <w:pStyle w:val="BodyText"/>
        <w:spacing w:before="12"/>
      </w:pPr>
    </w:p>
    <w:p>
      <w:pPr>
        <w:pStyle w:val="ListParagraph"/>
        <w:numPr>
          <w:ilvl w:val="1"/>
          <w:numId w:val="2"/>
        </w:numPr>
        <w:tabs>
          <w:tab w:pos="1713" w:val="left" w:leader="none"/>
          <w:tab w:pos="1714" w:val="left" w:leader="none"/>
          <w:tab w:pos="3285" w:val="left" w:leader="none"/>
        </w:tabs>
        <w:spacing w:line="278" w:lineRule="auto" w:before="71" w:after="0"/>
        <w:ind w:left="3285" w:right="474" w:hanging="2711"/>
        <w:jc w:val="left"/>
        <w:rPr>
          <w:sz w:val="21"/>
        </w:rPr>
      </w:pPr>
      <w:r>
        <w:rPr>
          <w:b/>
          <w:spacing w:val="-4"/>
          <w:sz w:val="21"/>
        </w:rPr>
        <w:t>投</w:t>
      </w:r>
      <w:r>
        <w:rPr>
          <w:b/>
          <w:spacing w:val="-4"/>
          <w:sz w:val="21"/>
        </w:rPr>
        <w:t>保</w:t>
      </w:r>
      <w:r>
        <w:rPr>
          <w:b/>
          <w:spacing w:val="-4"/>
          <w:sz w:val="21"/>
        </w:rPr>
        <w:t>年</w:t>
      </w:r>
      <w:r>
        <w:rPr>
          <w:b/>
          <w:spacing w:val="-4"/>
          <w:sz w:val="21"/>
        </w:rPr>
        <w:t>龄</w:t>
      </w:r>
      <w:r>
        <w:rPr>
          <w:b/>
          <w:sz w:val="21"/>
        </w:rPr>
        <w:tab/>
      </w:r>
      <w:r>
        <w:rPr>
          <w:sz w:val="21"/>
        </w:rPr>
        <w:t>指投保时被保险人的年龄，投保年龄以周岁（见</w:t>
      </w:r>
      <w:r>
        <w:rPr>
          <w:spacing w:val="-40"/>
          <w:sz w:val="21"/>
        </w:rPr>
        <w:t> </w:t>
      </w:r>
      <w:r>
        <w:rPr>
          <w:sz w:val="21"/>
        </w:rPr>
        <w:t>9.1）计算，本主险合</w:t>
      </w:r>
      <w:r>
        <w:rPr>
          <w:sz w:val="21"/>
        </w:rPr>
        <w:t>同接受的投保年龄</w:t>
      </w:r>
      <w:r>
        <w:rPr>
          <w:spacing w:val="28"/>
          <w:sz w:val="21"/>
        </w:rPr>
        <w:t>为</w:t>
      </w:r>
      <w:r>
        <w:rPr>
          <w:sz w:val="21"/>
        </w:rPr>
        <w:t>0</w:t>
      </w:r>
      <w:r>
        <w:rPr>
          <w:spacing w:val="-81"/>
          <w:sz w:val="21"/>
        </w:rPr>
        <w:t> </w:t>
      </w:r>
      <w:r>
        <w:rPr>
          <w:sz w:val="21"/>
        </w:rPr>
        <w:t>周</w:t>
      </w:r>
      <w:r>
        <w:rPr>
          <w:spacing w:val="-108"/>
          <w:sz w:val="21"/>
        </w:rPr>
        <w:t>岁</w:t>
      </w:r>
      <w:r>
        <w:rPr>
          <w:sz w:val="21"/>
        </w:rPr>
        <w:t>（指</w:t>
      </w:r>
      <w:r>
        <w:rPr>
          <w:sz w:val="21"/>
        </w:rPr>
        <w:t>出生</w:t>
      </w:r>
      <w:r>
        <w:rPr>
          <w:spacing w:val="26"/>
          <w:sz w:val="21"/>
        </w:rPr>
        <w:t>满</w:t>
      </w:r>
      <w:r>
        <w:rPr>
          <w:sz w:val="21"/>
        </w:rPr>
        <w:t>30</w:t>
      </w:r>
      <w:r>
        <w:rPr>
          <w:spacing w:val="-77"/>
          <w:sz w:val="21"/>
        </w:rPr>
        <w:t> </w:t>
      </w:r>
      <w:r>
        <w:rPr>
          <w:sz w:val="21"/>
        </w:rPr>
        <w:t>日且已健康出院</w:t>
      </w:r>
      <w:r>
        <w:rPr>
          <w:sz w:val="21"/>
        </w:rPr>
        <w:t>的婴儿</w:t>
      </w:r>
      <w:r>
        <w:rPr>
          <w:spacing w:val="-106"/>
          <w:sz w:val="21"/>
        </w:rPr>
        <w:t>）</w:t>
      </w:r>
      <w:r>
        <w:rPr>
          <w:spacing w:val="29"/>
          <w:sz w:val="21"/>
        </w:rPr>
        <w:t>至</w:t>
      </w:r>
      <w:r>
        <w:rPr>
          <w:sz w:val="21"/>
        </w:rPr>
        <w:t>60</w:t>
      </w:r>
      <w:r>
        <w:rPr>
          <w:spacing w:val="-79"/>
          <w:sz w:val="21"/>
        </w:rPr>
        <w:t> </w:t>
      </w:r>
      <w:r>
        <w:rPr>
          <w:sz w:val="21"/>
        </w:rPr>
        <w:t>周</w:t>
      </w:r>
      <w:r>
        <w:rPr>
          <w:spacing w:val="-108"/>
          <w:sz w:val="21"/>
        </w:rPr>
        <w:t>岁</w:t>
      </w:r>
      <w:r>
        <w:rPr>
          <w:sz w:val="21"/>
        </w:rPr>
        <w:t>（含</w:t>
      </w:r>
      <w:r>
        <w:rPr>
          <w:spacing w:val="-108"/>
          <w:sz w:val="21"/>
        </w:rPr>
        <w:t>）</w:t>
      </w:r>
      <w:r>
        <w:rPr>
          <w:sz w:val="21"/>
        </w:rPr>
        <w:t>。</w:t>
      </w:r>
      <w:r>
        <w:rPr>
          <w:spacing w:val="-2"/>
          <w:sz w:val="21"/>
        </w:rPr>
        <w:t>不</w:t>
      </w:r>
      <w:r>
        <w:rPr>
          <w:spacing w:val="-2"/>
          <w:sz w:val="21"/>
        </w:rPr>
        <w:t>同</w:t>
      </w:r>
      <w:r>
        <w:rPr>
          <w:spacing w:val="-2"/>
          <w:sz w:val="21"/>
        </w:rPr>
        <w:t>交费方式及交费期间</w:t>
      </w:r>
      <w:r>
        <w:rPr>
          <w:spacing w:val="-2"/>
          <w:sz w:val="21"/>
        </w:rPr>
        <w:t>所</w:t>
      </w:r>
      <w:r>
        <w:rPr>
          <w:spacing w:val="-2"/>
          <w:sz w:val="21"/>
        </w:rPr>
        <w:t>接</w:t>
      </w:r>
      <w:r>
        <w:rPr>
          <w:spacing w:val="-2"/>
          <w:sz w:val="21"/>
        </w:rPr>
        <w:t>受的投保年龄区间会</w:t>
      </w:r>
      <w:r>
        <w:rPr>
          <w:spacing w:val="-2"/>
          <w:sz w:val="21"/>
        </w:rPr>
        <w:t>有</w:t>
      </w:r>
      <w:r>
        <w:rPr>
          <w:spacing w:val="-2"/>
          <w:sz w:val="21"/>
        </w:rPr>
        <w:t>所</w:t>
      </w:r>
      <w:r>
        <w:rPr>
          <w:spacing w:val="-2"/>
          <w:sz w:val="21"/>
        </w:rPr>
        <w:t>不</w:t>
      </w:r>
      <w:r>
        <w:rPr>
          <w:spacing w:val="-2"/>
          <w:sz w:val="21"/>
        </w:rPr>
        <w:t>同</w:t>
      </w:r>
      <w:r>
        <w:rPr>
          <w:spacing w:val="-2"/>
          <w:sz w:val="21"/>
        </w:rPr>
        <w:t>。</w:t>
      </w:r>
    </w:p>
    <w:p>
      <w:pPr>
        <w:pStyle w:val="BodyText"/>
        <w:spacing w:before="4"/>
        <w:rPr>
          <w:sz w:val="24"/>
        </w:rPr>
      </w:pPr>
    </w:p>
    <w:p>
      <w:pPr>
        <w:pStyle w:val="ListParagraph"/>
        <w:numPr>
          <w:ilvl w:val="1"/>
          <w:numId w:val="2"/>
        </w:numPr>
        <w:tabs>
          <w:tab w:pos="1714" w:val="left" w:leader="none"/>
        </w:tabs>
        <w:spacing w:line="240" w:lineRule="auto" w:before="0" w:after="0"/>
        <w:ind w:left="1713" w:right="0" w:hanging="1139"/>
        <w:jc w:val="both"/>
        <w:rPr>
          <w:sz w:val="21"/>
        </w:rPr>
      </w:pPr>
      <w:r>
        <w:rPr>
          <w:b/>
          <w:sz w:val="21"/>
        </w:rPr>
        <w:t>犹豫期</w:t>
      </w:r>
      <w:r>
        <w:rPr>
          <w:b/>
          <w:spacing w:val="808"/>
          <w:sz w:val="21"/>
        </w:rPr>
        <w:t> </w:t>
      </w:r>
      <w:r>
        <w:rPr>
          <w:spacing w:val="-4"/>
          <w:sz w:val="21"/>
        </w:rPr>
        <w:t>自您签收本主险合同之日起，有 </w:t>
      </w:r>
      <w:r>
        <w:rPr>
          <w:sz w:val="21"/>
        </w:rPr>
        <w:t>15</w:t>
      </w:r>
      <w:r>
        <w:rPr>
          <w:spacing w:val="-10"/>
          <w:sz w:val="21"/>
        </w:rPr>
        <w:t> 日的犹豫期。</w:t>
      </w:r>
    </w:p>
    <w:p>
      <w:pPr>
        <w:spacing w:line="268" w:lineRule="auto" w:before="43"/>
        <w:ind w:left="3285" w:right="577" w:firstLine="0"/>
        <w:jc w:val="both"/>
        <w:rPr>
          <w:sz w:val="21"/>
        </w:rPr>
      </w:pPr>
      <w:r>
        <w:rPr>
          <w:spacing w:val="-2"/>
          <w:sz w:val="21"/>
        </w:rPr>
        <w:t>在此期间请您认真审视本主险合同，如果您认为本主险合同与您的需求不相</w:t>
      </w:r>
      <w:r>
        <w:rPr>
          <w:w w:val="95"/>
          <w:sz w:val="21"/>
        </w:rPr>
        <w:t>符</w:t>
      </w:r>
      <w:r>
        <w:rPr>
          <w:w w:val="95"/>
          <w:sz w:val="21"/>
        </w:rPr>
        <w:t>，您可以在此期间提出</w:t>
      </w:r>
      <w:r>
        <w:rPr>
          <w:w w:val="95"/>
          <w:sz w:val="21"/>
        </w:rPr>
        <w:t>解</w:t>
      </w:r>
      <w:r>
        <w:rPr>
          <w:w w:val="95"/>
          <w:sz w:val="21"/>
        </w:rPr>
        <w:t>除</w:t>
      </w:r>
      <w:r>
        <w:rPr>
          <w:w w:val="95"/>
          <w:sz w:val="21"/>
        </w:rPr>
        <w:t>本主险合同，</w:t>
      </w:r>
      <w:r>
        <w:rPr>
          <w:b/>
          <w:i/>
          <w:w w:val="95"/>
          <w:sz w:val="22"/>
        </w:rPr>
        <w:t>我们扣除不超过人民币 10 </w:t>
      </w:r>
      <w:r>
        <w:rPr>
          <w:b/>
          <w:i/>
          <w:w w:val="95"/>
          <w:sz w:val="22"/>
        </w:rPr>
        <w:t>元的</w:t>
      </w:r>
      <w:r>
        <w:rPr>
          <w:b/>
          <w:i/>
          <w:spacing w:val="-2"/>
          <w:sz w:val="22"/>
        </w:rPr>
        <w:t>合</w:t>
      </w:r>
      <w:r>
        <w:rPr>
          <w:b/>
          <w:i/>
          <w:spacing w:val="-2"/>
          <w:sz w:val="22"/>
        </w:rPr>
        <w:t>同</w:t>
      </w:r>
      <w:r>
        <w:rPr>
          <w:b/>
          <w:i/>
          <w:spacing w:val="-2"/>
          <w:sz w:val="22"/>
        </w:rPr>
        <w:t>工</w:t>
      </w:r>
      <w:r>
        <w:rPr>
          <w:b/>
          <w:i/>
          <w:spacing w:val="-2"/>
          <w:sz w:val="22"/>
        </w:rPr>
        <w:t>本</w:t>
      </w:r>
      <w:r>
        <w:rPr>
          <w:b/>
          <w:i/>
          <w:spacing w:val="-2"/>
          <w:sz w:val="22"/>
        </w:rPr>
        <w:t>费</w:t>
      </w:r>
      <w:r>
        <w:rPr>
          <w:b/>
          <w:i/>
          <w:spacing w:val="-2"/>
          <w:sz w:val="22"/>
        </w:rPr>
        <w:t>后</w:t>
      </w:r>
      <w:r>
        <w:rPr>
          <w:b/>
          <w:i/>
          <w:spacing w:val="-2"/>
          <w:sz w:val="22"/>
        </w:rPr>
        <w:t>无</w:t>
      </w:r>
      <w:r>
        <w:rPr>
          <w:b/>
          <w:i/>
          <w:spacing w:val="-2"/>
          <w:sz w:val="22"/>
        </w:rPr>
        <w:t>息</w:t>
      </w:r>
      <w:r>
        <w:rPr>
          <w:spacing w:val="-2"/>
          <w:sz w:val="21"/>
        </w:rPr>
        <w:t>退还您所交纳的本主险合同对应的保险费。</w:t>
      </w:r>
    </w:p>
    <w:p>
      <w:pPr>
        <w:spacing w:line="266" w:lineRule="auto" w:before="4"/>
        <w:ind w:left="3285" w:right="577" w:firstLine="0"/>
        <w:jc w:val="left"/>
        <w:rPr>
          <w:b/>
          <w:i/>
          <w:sz w:val="22"/>
        </w:rPr>
      </w:pPr>
      <w:r>
        <w:rPr>
          <w:spacing w:val="-2"/>
          <w:sz w:val="21"/>
        </w:rPr>
        <w:t>犹豫期内解除本主险合同时，您需要填写申请书，并提供您的保险合同及有</w:t>
      </w:r>
      <w:r>
        <w:rPr>
          <w:w w:val="95"/>
          <w:sz w:val="21"/>
        </w:rPr>
        <w:t>效</w:t>
      </w:r>
      <w:r>
        <w:rPr>
          <w:w w:val="95"/>
          <w:sz w:val="21"/>
        </w:rPr>
        <w:t>身</w:t>
      </w:r>
      <w:r>
        <w:rPr>
          <w:w w:val="95"/>
          <w:sz w:val="21"/>
        </w:rPr>
        <w:t>份证</w:t>
      </w:r>
      <w:r>
        <w:rPr>
          <w:w w:val="95"/>
          <w:sz w:val="21"/>
        </w:rPr>
        <w:t>件</w:t>
      </w:r>
      <w:r>
        <w:rPr>
          <w:w w:val="95"/>
          <w:sz w:val="21"/>
        </w:rPr>
        <w:t>（</w:t>
      </w:r>
      <w:r>
        <w:rPr>
          <w:spacing w:val="-18"/>
          <w:w w:val="95"/>
          <w:sz w:val="21"/>
        </w:rPr>
        <w:t>见 </w:t>
      </w:r>
      <w:r>
        <w:rPr>
          <w:spacing w:val="27"/>
          <w:w w:val="95"/>
          <w:sz w:val="21"/>
        </w:rPr>
        <w:t>9.</w:t>
      </w:r>
      <w:r>
        <w:rPr>
          <w:spacing w:val="24"/>
          <w:w w:val="95"/>
          <w:sz w:val="21"/>
        </w:rPr>
        <w:t>2</w:t>
      </w:r>
      <w:r>
        <w:rPr>
          <w:spacing w:val="-79"/>
          <w:w w:val="95"/>
          <w:sz w:val="21"/>
        </w:rPr>
        <w:t>）</w:t>
      </w:r>
      <w:r>
        <w:rPr>
          <w:w w:val="95"/>
          <w:sz w:val="21"/>
        </w:rPr>
        <w:t>。</w:t>
      </w:r>
      <w:r>
        <w:rPr>
          <w:b/>
          <w:i/>
          <w:w w:val="95"/>
          <w:sz w:val="22"/>
        </w:rPr>
        <w:t>自我们收到您解除合同的书面申请时起，本主险合</w:t>
      </w:r>
      <w:r>
        <w:rPr>
          <w:b/>
          <w:i/>
          <w:spacing w:val="-2"/>
          <w:w w:val="95"/>
          <w:sz w:val="22"/>
        </w:rPr>
        <w:t>同即被解除，对于合同解除前发生的保险事故，我们不承担保险责任。</w:t>
      </w:r>
    </w:p>
    <w:p>
      <w:pPr>
        <w:pStyle w:val="BodyText"/>
        <w:spacing w:before="3"/>
        <w:rPr>
          <w:b/>
          <w:i/>
          <w:sz w:val="25"/>
        </w:rPr>
      </w:pPr>
    </w:p>
    <w:p>
      <w:pPr>
        <w:pStyle w:val="ListParagraph"/>
        <w:numPr>
          <w:ilvl w:val="1"/>
          <w:numId w:val="2"/>
        </w:numPr>
        <w:tabs>
          <w:tab w:pos="1713" w:val="left" w:leader="none"/>
          <w:tab w:pos="1714" w:val="left" w:leader="none"/>
          <w:tab w:pos="3285" w:val="left" w:leader="none"/>
        </w:tabs>
        <w:spacing w:line="278" w:lineRule="auto" w:before="1" w:after="0"/>
        <w:ind w:left="3285" w:right="649" w:hanging="2711"/>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主</w:t>
      </w:r>
      <w:r>
        <w:rPr>
          <w:spacing w:val="-2"/>
          <w:sz w:val="21"/>
        </w:rPr>
        <w:t>险合同的保险期间为</w:t>
      </w:r>
      <w:r>
        <w:rPr>
          <w:spacing w:val="-2"/>
          <w:sz w:val="21"/>
        </w:rPr>
        <w:t>终</w:t>
      </w:r>
      <w:r>
        <w:rPr>
          <w:spacing w:val="-2"/>
          <w:sz w:val="21"/>
        </w:rPr>
        <w:t>身</w:t>
      </w:r>
      <w:r>
        <w:rPr>
          <w:spacing w:val="-2"/>
          <w:sz w:val="21"/>
        </w:rPr>
        <w:t>,自本主险合同生效日</w:t>
      </w:r>
      <w:r>
        <w:rPr>
          <w:spacing w:val="-2"/>
          <w:sz w:val="21"/>
        </w:rPr>
        <w:t>的</w:t>
      </w:r>
      <w:r>
        <w:rPr>
          <w:spacing w:val="-2"/>
          <w:sz w:val="21"/>
        </w:rPr>
        <w:t>零</w:t>
      </w:r>
      <w:r>
        <w:rPr>
          <w:spacing w:val="-2"/>
          <w:sz w:val="21"/>
        </w:rPr>
        <w:t>时起至被保险人身</w:t>
      </w:r>
      <w:r>
        <w:rPr>
          <w:spacing w:val="-4"/>
          <w:sz w:val="21"/>
        </w:rPr>
        <w:t>故</w:t>
      </w:r>
      <w:r>
        <w:rPr>
          <w:spacing w:val="-4"/>
          <w:sz w:val="21"/>
        </w:rPr>
        <w:t>之</w:t>
      </w:r>
      <w:r>
        <w:rPr>
          <w:spacing w:val="-4"/>
          <w:sz w:val="21"/>
        </w:rPr>
        <w:t>日</w:t>
      </w:r>
      <w:r>
        <w:rPr>
          <w:spacing w:val="-4"/>
          <w:sz w:val="21"/>
        </w:rPr>
        <w:t>止</w:t>
      </w:r>
      <w:r>
        <w:rPr>
          <w:spacing w:val="-4"/>
          <w:sz w:val="21"/>
        </w:rPr>
        <w:t>。</w:t>
      </w:r>
    </w:p>
    <w:p>
      <w:pPr>
        <w:spacing w:after="0" w:line="278" w:lineRule="auto"/>
        <w:jc w:val="left"/>
        <w:rPr>
          <w:sz w:val="21"/>
        </w:rPr>
        <w:sectPr>
          <w:type w:val="continuous"/>
          <w:pgSz w:w="11910" w:h="16840"/>
          <w:pgMar w:top="460" w:bottom="280" w:left="680" w:right="460"/>
        </w:sectPr>
      </w:pPr>
    </w:p>
    <w:p>
      <w:pPr>
        <w:tabs>
          <w:tab w:pos="1713" w:val="left" w:leader="none"/>
        </w:tabs>
        <w:spacing w:before="84"/>
        <w:ind w:left="575" w:right="0" w:firstLine="0"/>
        <w:jc w:val="left"/>
        <w:rPr>
          <w:b/>
          <w:sz w:val="28"/>
        </w:rPr>
      </w:pPr>
      <w:r>
        <w:rPr/>
        <w:drawing>
          <wp:anchor distT="0" distB="0" distL="0" distR="0" allowOverlap="1" layoutInCell="1" locked="0" behindDoc="0" simplePos="0" relativeHeight="5">
            <wp:simplePos x="0" y="0"/>
            <wp:positionH relativeFrom="page">
              <wp:posOffset>728776</wp:posOffset>
            </wp:positionH>
            <wp:positionV relativeFrom="paragraph">
              <wp:posOffset>428051</wp:posOffset>
            </wp:positionV>
            <wp:extent cx="6235903" cy="6096"/>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6235903" cy="6096"/>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b/>
          <w:w w:val="95"/>
          <w:sz w:val="28"/>
        </w:rPr>
        <w:t>我</w:t>
      </w:r>
      <w:r>
        <w:rPr>
          <w:b/>
          <w:w w:val="95"/>
          <w:sz w:val="28"/>
        </w:rPr>
        <w:t>们</w:t>
      </w:r>
      <w:r>
        <w:rPr>
          <w:b/>
          <w:w w:val="95"/>
          <w:sz w:val="28"/>
        </w:rPr>
        <w:t>提</w:t>
      </w:r>
      <w:r>
        <w:rPr>
          <w:b/>
          <w:w w:val="95"/>
          <w:sz w:val="28"/>
        </w:rPr>
        <w:t>供</w:t>
      </w:r>
      <w:r>
        <w:rPr>
          <w:b/>
          <w:w w:val="95"/>
          <w:sz w:val="28"/>
        </w:rPr>
        <w:t>的</w:t>
      </w:r>
      <w:r>
        <w:rPr>
          <w:b/>
          <w:w w:val="95"/>
          <w:sz w:val="28"/>
        </w:rPr>
        <w:t>保</w:t>
      </w:r>
      <w:r>
        <w:rPr>
          <w:b/>
          <w:spacing w:val="-10"/>
          <w:w w:val="95"/>
          <w:sz w:val="28"/>
        </w:rPr>
        <w:t>障</w:t>
      </w:r>
    </w:p>
    <w:p>
      <w:pPr>
        <w:pStyle w:val="ListParagraph"/>
        <w:numPr>
          <w:ilvl w:val="1"/>
          <w:numId w:val="3"/>
        </w:numPr>
        <w:tabs>
          <w:tab w:pos="1713" w:val="left" w:leader="none"/>
          <w:tab w:pos="1714" w:val="left" w:leader="none"/>
          <w:tab w:pos="3285" w:val="left" w:leader="none"/>
        </w:tabs>
        <w:spacing w:line="278" w:lineRule="auto" w:before="334" w:after="0"/>
        <w:ind w:left="3285" w:right="577" w:hanging="2711"/>
        <w:jc w:val="left"/>
        <w:rPr>
          <w:sz w:val="21"/>
        </w:rPr>
      </w:pPr>
      <w:r>
        <w:rPr>
          <w:b/>
          <w:spacing w:val="-2"/>
          <w:sz w:val="21"/>
        </w:rPr>
        <w:t>基</w:t>
      </w:r>
      <w:r>
        <w:rPr>
          <w:b/>
          <w:spacing w:val="-2"/>
          <w:sz w:val="21"/>
        </w:rPr>
        <w:t>本</w:t>
      </w:r>
      <w:r>
        <w:rPr>
          <w:b/>
          <w:spacing w:val="-2"/>
          <w:sz w:val="21"/>
        </w:rPr>
        <w:t>保</w:t>
      </w:r>
      <w:r>
        <w:rPr>
          <w:b/>
          <w:spacing w:val="-2"/>
          <w:sz w:val="21"/>
        </w:rPr>
        <w:t>险</w:t>
      </w:r>
      <w:r>
        <w:rPr>
          <w:b/>
          <w:spacing w:val="-2"/>
          <w:sz w:val="21"/>
        </w:rPr>
        <w:t>金</w:t>
      </w:r>
      <w:r>
        <w:rPr>
          <w:b/>
          <w:spacing w:val="-2"/>
          <w:sz w:val="21"/>
        </w:rPr>
        <w:t>额</w:t>
      </w:r>
      <w:r>
        <w:rPr>
          <w:b/>
          <w:sz w:val="21"/>
        </w:rPr>
        <w:tab/>
      </w:r>
      <w:r>
        <w:rPr>
          <w:spacing w:val="-2"/>
          <w:sz w:val="21"/>
        </w:rPr>
        <w:t>本</w:t>
      </w:r>
      <w:r>
        <w:rPr>
          <w:spacing w:val="-2"/>
          <w:sz w:val="21"/>
        </w:rPr>
        <w:t>主</w:t>
      </w:r>
      <w:r>
        <w:rPr>
          <w:spacing w:val="-2"/>
          <w:sz w:val="21"/>
        </w:rPr>
        <w:t>险合同的基本保险金</w:t>
      </w:r>
      <w:r>
        <w:rPr>
          <w:spacing w:val="-2"/>
          <w:sz w:val="21"/>
        </w:rPr>
        <w:t>额</w:t>
      </w:r>
      <w:r>
        <w:rPr>
          <w:spacing w:val="-2"/>
          <w:sz w:val="21"/>
        </w:rPr>
        <w:t>由</w:t>
      </w:r>
      <w:r>
        <w:rPr>
          <w:spacing w:val="-2"/>
          <w:sz w:val="21"/>
        </w:rPr>
        <w:t>您在投保时与我们约</w:t>
      </w:r>
      <w:r>
        <w:rPr>
          <w:spacing w:val="-2"/>
          <w:sz w:val="21"/>
        </w:rPr>
        <w:t>定</w:t>
      </w:r>
      <w:r>
        <w:rPr>
          <w:spacing w:val="-2"/>
          <w:sz w:val="21"/>
        </w:rPr>
        <w:t>并</w:t>
      </w:r>
      <w:r>
        <w:rPr>
          <w:spacing w:val="-2"/>
          <w:sz w:val="21"/>
        </w:rPr>
        <w:t>在保险单上载明；如</w:t>
      </w:r>
      <w:r>
        <w:rPr>
          <w:spacing w:val="-2"/>
          <w:sz w:val="21"/>
        </w:rPr>
        <w:t>果</w:t>
      </w:r>
      <w:r>
        <w:rPr>
          <w:spacing w:val="-2"/>
          <w:sz w:val="21"/>
        </w:rPr>
        <w:t>该</w:t>
      </w:r>
      <w:r>
        <w:rPr>
          <w:spacing w:val="-2"/>
          <w:sz w:val="21"/>
        </w:rPr>
        <w:t>金额发生变更，则以</w:t>
      </w:r>
      <w:r>
        <w:rPr>
          <w:spacing w:val="-2"/>
          <w:sz w:val="21"/>
        </w:rPr>
        <w:t>变</w:t>
      </w:r>
      <w:r>
        <w:rPr>
          <w:spacing w:val="-2"/>
          <w:sz w:val="21"/>
        </w:rPr>
        <w:t>更</w:t>
      </w:r>
      <w:r>
        <w:rPr>
          <w:spacing w:val="-2"/>
          <w:sz w:val="21"/>
        </w:rPr>
        <w:t>后的金额为基本保险</w:t>
      </w:r>
      <w:r>
        <w:rPr>
          <w:spacing w:val="-2"/>
          <w:sz w:val="21"/>
        </w:rPr>
        <w:t>金</w:t>
      </w:r>
      <w:r>
        <w:rPr>
          <w:spacing w:val="-2"/>
          <w:sz w:val="21"/>
        </w:rPr>
        <w:t>额</w:t>
      </w:r>
      <w:r>
        <w:rPr>
          <w:spacing w:val="-2"/>
          <w:sz w:val="21"/>
        </w:rPr>
        <w:t>。</w:t>
      </w:r>
    </w:p>
    <w:p>
      <w:pPr>
        <w:pStyle w:val="BodyText"/>
        <w:rPr>
          <w:sz w:val="18"/>
        </w:rPr>
      </w:pPr>
    </w:p>
    <w:p>
      <w:pPr>
        <w:spacing w:after="0"/>
        <w:rPr>
          <w:sz w:val="18"/>
        </w:rPr>
        <w:sectPr>
          <w:pgSz w:w="11910" w:h="16840"/>
          <w:pgMar w:top="1180" w:bottom="280" w:left="680" w:right="460"/>
        </w:sectPr>
      </w:pPr>
    </w:p>
    <w:p>
      <w:pPr>
        <w:pStyle w:val="ListParagraph"/>
        <w:numPr>
          <w:ilvl w:val="1"/>
          <w:numId w:val="3"/>
        </w:numPr>
        <w:tabs>
          <w:tab w:pos="1713" w:val="left" w:leader="none"/>
          <w:tab w:pos="1714" w:val="left" w:leader="none"/>
        </w:tabs>
        <w:spacing w:line="278" w:lineRule="auto" w:before="82" w:after="0"/>
        <w:ind w:left="1713" w:right="0" w:hanging="1138"/>
        <w:jc w:val="left"/>
        <w:rPr>
          <w:b/>
          <w:sz w:val="21"/>
        </w:rPr>
      </w:pPr>
      <w:r>
        <w:rPr>
          <w:b/>
          <w:spacing w:val="-2"/>
          <w:sz w:val="21"/>
        </w:rPr>
        <w:t>未成年人身故</w:t>
      </w:r>
      <w:r>
        <w:rPr>
          <w:b/>
          <w:spacing w:val="-2"/>
          <w:sz w:val="21"/>
        </w:rPr>
        <w:t>保险金限制</w:t>
      </w:r>
    </w:p>
    <w:p>
      <w:pPr>
        <w:spacing w:line="266" w:lineRule="auto" w:before="72"/>
        <w:ind w:left="265" w:right="582" w:firstLine="0"/>
        <w:jc w:val="both"/>
        <w:rPr>
          <w:b/>
          <w:i/>
          <w:sz w:val="22"/>
        </w:rPr>
      </w:pPr>
      <w:r>
        <w:rPr/>
        <w:br w:type="column"/>
      </w:r>
      <w:r>
        <w:rPr>
          <w:b/>
          <w:i/>
          <w:spacing w:val="-7"/>
          <w:w w:val="95"/>
          <w:sz w:val="22"/>
        </w:rPr>
        <w:t>为未成年人投保的人身保险，因被保险人身故给付的保险金总和不得超过国</w:t>
      </w:r>
      <w:r>
        <w:rPr>
          <w:b/>
          <w:i/>
          <w:spacing w:val="-6"/>
          <w:w w:val="95"/>
          <w:sz w:val="22"/>
        </w:rPr>
        <w:t>务院保险监督管理机构规定的限额，身故给付的保险金总和约定也不得超过</w:t>
      </w:r>
      <w:r>
        <w:rPr>
          <w:b/>
          <w:i/>
          <w:spacing w:val="-2"/>
          <w:sz w:val="22"/>
        </w:rPr>
        <w:t>前</w:t>
      </w:r>
      <w:r>
        <w:rPr>
          <w:b/>
          <w:i/>
          <w:spacing w:val="-2"/>
          <w:sz w:val="22"/>
        </w:rPr>
        <w:t>述</w:t>
      </w:r>
      <w:r>
        <w:rPr>
          <w:b/>
          <w:i/>
          <w:spacing w:val="-2"/>
          <w:sz w:val="22"/>
        </w:rPr>
        <w:t>限</w:t>
      </w:r>
      <w:r>
        <w:rPr>
          <w:b/>
          <w:i/>
          <w:spacing w:val="-2"/>
          <w:sz w:val="22"/>
        </w:rPr>
        <w:t>额</w:t>
      </w:r>
      <w:r>
        <w:rPr>
          <w:b/>
          <w:i/>
          <w:spacing w:val="-2"/>
          <w:sz w:val="22"/>
        </w:rPr>
        <w:t>。</w:t>
      </w:r>
    </w:p>
    <w:p>
      <w:pPr>
        <w:spacing w:after="0" w:line="266" w:lineRule="auto"/>
        <w:jc w:val="both"/>
        <w:rPr>
          <w:sz w:val="22"/>
        </w:rPr>
        <w:sectPr>
          <w:type w:val="continuous"/>
          <w:pgSz w:w="11910" w:h="16840"/>
          <w:pgMar w:top="460" w:bottom="280" w:left="680" w:right="460"/>
          <w:cols w:num="2" w:equalWidth="0">
            <w:col w:w="2981" w:space="40"/>
            <w:col w:w="7749"/>
          </w:cols>
        </w:sectPr>
      </w:pPr>
    </w:p>
    <w:p>
      <w:pPr>
        <w:pStyle w:val="BodyText"/>
        <w:spacing w:before="4"/>
        <w:rPr>
          <w:b/>
          <w:i/>
          <w:sz w:val="19"/>
        </w:rPr>
      </w:pPr>
    </w:p>
    <w:p>
      <w:pPr>
        <w:pStyle w:val="ListParagraph"/>
        <w:numPr>
          <w:ilvl w:val="1"/>
          <w:numId w:val="3"/>
        </w:numPr>
        <w:tabs>
          <w:tab w:pos="1714" w:val="left" w:leader="none"/>
        </w:tabs>
        <w:spacing w:line="240" w:lineRule="auto" w:before="72" w:after="0"/>
        <w:ind w:left="1713" w:right="0" w:hanging="1139"/>
        <w:jc w:val="both"/>
        <w:rPr>
          <w:sz w:val="21"/>
        </w:rPr>
      </w:pPr>
      <w:r>
        <w:rPr>
          <w:b/>
          <w:sz w:val="21"/>
        </w:rPr>
        <w:t>保险责任</w:t>
      </w:r>
      <w:r>
        <w:rPr>
          <w:b/>
          <w:spacing w:val="594"/>
          <w:sz w:val="21"/>
        </w:rPr>
        <w:t> </w:t>
      </w:r>
      <w:r>
        <w:rPr>
          <w:spacing w:val="-1"/>
          <w:sz w:val="21"/>
        </w:rPr>
        <w:t>本主险合同的保险责任分为基本部分和可选部分。</w:t>
      </w:r>
    </w:p>
    <w:p>
      <w:pPr>
        <w:pStyle w:val="BodyText"/>
        <w:spacing w:line="278" w:lineRule="auto" w:before="43"/>
        <w:ind w:left="3285" w:right="577"/>
        <w:jc w:val="both"/>
      </w:pPr>
      <w:r>
        <w:rPr>
          <w:spacing w:val="-2"/>
        </w:rPr>
        <w:t>您可以单独投保基本部分，也可以在投保基本部分的基础上按规定投保可选</w:t>
      </w:r>
      <w:r>
        <w:rPr>
          <w:spacing w:val="-2"/>
        </w:rPr>
        <w:t>部分，但不能单独投保可选部分。您具体投保的保险责任以保险单载明的为</w:t>
      </w:r>
      <w:r>
        <w:rPr>
          <w:spacing w:val="-6"/>
        </w:rPr>
        <w:t>准。</w:t>
      </w:r>
    </w:p>
    <w:p>
      <w:pPr>
        <w:pStyle w:val="BodyText"/>
        <w:spacing w:line="278" w:lineRule="auto"/>
        <w:ind w:left="3285" w:right="752"/>
      </w:pPr>
      <w:r>
        <w:rPr>
          <w:spacing w:val="-2"/>
        </w:rPr>
        <w:t>在本主险合同保险期间内且在本主险合同有效期内，我们承担如下保险责</w:t>
      </w:r>
      <w:r>
        <w:rPr>
          <w:spacing w:val="-6"/>
        </w:rPr>
        <w:t>任：</w:t>
      </w:r>
    </w:p>
    <w:p>
      <w:pPr>
        <w:pStyle w:val="BodyText"/>
        <w:spacing w:before="7"/>
        <w:rPr>
          <w:sz w:val="23"/>
        </w:rPr>
      </w:pPr>
    </w:p>
    <w:p>
      <w:pPr>
        <w:tabs>
          <w:tab w:pos="3285" w:val="left" w:leader="none"/>
        </w:tabs>
        <w:spacing w:line="266" w:lineRule="auto" w:before="0"/>
        <w:ind w:left="3285" w:right="517" w:hanging="1573"/>
        <w:jc w:val="left"/>
        <w:rPr>
          <w:sz w:val="21"/>
        </w:rPr>
      </w:pPr>
      <w:r>
        <w:rPr>
          <w:rFonts w:ascii="楷体" w:eastAsia="楷体" w:hint="eastAsia"/>
          <w:b/>
          <w:spacing w:val="-4"/>
          <w:sz w:val="21"/>
        </w:rPr>
        <w:t>等</w:t>
      </w:r>
      <w:r>
        <w:rPr>
          <w:rFonts w:ascii="楷体" w:eastAsia="楷体" w:hint="eastAsia"/>
          <w:b/>
          <w:spacing w:val="-4"/>
          <w:sz w:val="21"/>
        </w:rPr>
        <w:t>待</w:t>
      </w:r>
      <w:r>
        <w:rPr>
          <w:rFonts w:ascii="楷体" w:eastAsia="楷体" w:hint="eastAsia"/>
          <w:b/>
          <w:spacing w:val="-4"/>
          <w:sz w:val="21"/>
        </w:rPr>
        <w:t>期</w:t>
      </w:r>
      <w:r>
        <w:rPr>
          <w:rFonts w:ascii="楷体" w:eastAsia="楷体" w:hint="eastAsia"/>
          <w:b/>
          <w:sz w:val="21"/>
        </w:rPr>
        <w:tab/>
      </w:r>
      <w:r>
        <w:rPr>
          <w:b/>
          <w:i/>
          <w:w w:val="95"/>
          <w:sz w:val="22"/>
        </w:rPr>
        <w:t>若被保险人于本主险合同</w:t>
      </w:r>
      <w:r>
        <w:rPr>
          <w:b/>
          <w:i/>
          <w:w w:val="95"/>
          <w:sz w:val="22"/>
        </w:rPr>
        <w:t>生效或最后一次复效之日起</w:t>
      </w:r>
      <w:r>
        <w:rPr>
          <w:b/>
          <w:i/>
          <w:spacing w:val="-52"/>
          <w:w w:val="95"/>
          <w:sz w:val="22"/>
        </w:rPr>
        <w:t> </w:t>
      </w:r>
      <w:r>
        <w:rPr>
          <w:b/>
          <w:i/>
          <w:w w:val="95"/>
          <w:sz w:val="22"/>
        </w:rPr>
        <w:t>90</w:t>
      </w:r>
      <w:r>
        <w:rPr>
          <w:b/>
          <w:i/>
          <w:spacing w:val="-53"/>
          <w:w w:val="95"/>
          <w:sz w:val="22"/>
        </w:rPr>
        <w:t> </w:t>
      </w:r>
      <w:r>
        <w:rPr>
          <w:b/>
          <w:i/>
          <w:w w:val="95"/>
          <w:sz w:val="22"/>
        </w:rPr>
        <w:t>日内（含第</w:t>
      </w:r>
      <w:r>
        <w:rPr>
          <w:b/>
          <w:i/>
          <w:spacing w:val="-52"/>
          <w:w w:val="95"/>
          <w:sz w:val="22"/>
        </w:rPr>
        <w:t> </w:t>
      </w:r>
      <w:r>
        <w:rPr>
          <w:b/>
          <w:i/>
          <w:w w:val="95"/>
          <w:sz w:val="22"/>
        </w:rPr>
        <w:t>90</w:t>
      </w:r>
      <w:r>
        <w:rPr>
          <w:b/>
          <w:i/>
          <w:spacing w:val="-53"/>
          <w:w w:val="95"/>
          <w:sz w:val="22"/>
        </w:rPr>
        <w:t> </w:t>
      </w:r>
      <w:r>
        <w:rPr>
          <w:b/>
          <w:i/>
          <w:w w:val="95"/>
          <w:sz w:val="22"/>
        </w:rPr>
        <w:t>日</w:t>
      </w:r>
      <w:r>
        <w:rPr>
          <w:b/>
          <w:i/>
          <w:w w:val="95"/>
          <w:sz w:val="22"/>
        </w:rPr>
        <w:t>）</w:t>
      </w:r>
      <w:r>
        <w:rPr>
          <w:b/>
          <w:i/>
          <w:w w:val="95"/>
          <w:sz w:val="22"/>
        </w:rPr>
        <w:t>因意外伤害（见</w:t>
      </w:r>
      <w:r>
        <w:rPr>
          <w:b/>
          <w:i/>
          <w:spacing w:val="-42"/>
          <w:w w:val="95"/>
          <w:sz w:val="22"/>
        </w:rPr>
        <w:t> </w:t>
      </w:r>
      <w:r>
        <w:rPr>
          <w:b/>
          <w:i/>
          <w:w w:val="95"/>
          <w:sz w:val="22"/>
        </w:rPr>
        <w:t>9.3）以</w:t>
      </w:r>
      <w:r>
        <w:rPr>
          <w:b/>
          <w:i/>
          <w:w w:val="95"/>
          <w:sz w:val="22"/>
        </w:rPr>
        <w:t>外的原因</w:t>
      </w:r>
      <w:r>
        <w:rPr>
          <w:b/>
          <w:i/>
          <w:w w:val="95"/>
          <w:sz w:val="22"/>
        </w:rPr>
        <w:t>导致发生下列情</w:t>
      </w:r>
      <w:r>
        <w:rPr>
          <w:b/>
          <w:i/>
          <w:w w:val="95"/>
          <w:sz w:val="22"/>
        </w:rPr>
        <w:t>形之一的：（一）经</w:t>
      </w:r>
      <w:r>
        <w:rPr>
          <w:b/>
          <w:i/>
          <w:w w:val="95"/>
          <w:sz w:val="22"/>
        </w:rPr>
        <w:t>专科医生（见</w:t>
      </w:r>
      <w:r>
        <w:rPr>
          <w:b/>
          <w:i/>
          <w:spacing w:val="-22"/>
          <w:w w:val="95"/>
          <w:sz w:val="22"/>
        </w:rPr>
        <w:t> </w:t>
      </w:r>
      <w:r>
        <w:rPr>
          <w:b/>
          <w:i/>
          <w:w w:val="95"/>
          <w:sz w:val="22"/>
        </w:rPr>
        <w:t>9.4）明确诊断</w:t>
      </w:r>
      <w:r>
        <w:rPr>
          <w:b/>
          <w:i/>
          <w:w w:val="95"/>
          <w:sz w:val="22"/>
        </w:rPr>
        <w:t>初次患（见</w:t>
      </w:r>
      <w:r>
        <w:rPr>
          <w:b/>
          <w:i/>
          <w:spacing w:val="-22"/>
          <w:w w:val="95"/>
          <w:sz w:val="22"/>
        </w:rPr>
        <w:t> </w:t>
      </w:r>
      <w:r>
        <w:rPr>
          <w:b/>
          <w:i/>
          <w:w w:val="95"/>
          <w:sz w:val="22"/>
        </w:rPr>
        <w:t>9.5）本主险</w:t>
      </w:r>
      <w:r>
        <w:rPr>
          <w:b/>
          <w:i/>
          <w:w w:val="95"/>
          <w:sz w:val="22"/>
        </w:rPr>
        <w:t>合同约定的轻度疾病（见 9.6）</w:t>
      </w:r>
      <w:r>
        <w:rPr>
          <w:b/>
          <w:i/>
          <w:w w:val="95"/>
          <w:sz w:val="22"/>
        </w:rPr>
        <w:t>、</w:t>
      </w:r>
      <w:r>
        <w:rPr>
          <w:b/>
          <w:i/>
          <w:w w:val="95"/>
          <w:sz w:val="22"/>
        </w:rPr>
        <w:t>中度疾病（见</w:t>
      </w:r>
      <w:r>
        <w:rPr>
          <w:b/>
          <w:i/>
          <w:spacing w:val="-53"/>
          <w:w w:val="95"/>
          <w:sz w:val="22"/>
        </w:rPr>
        <w:t> </w:t>
      </w:r>
      <w:r>
        <w:rPr>
          <w:b/>
          <w:i/>
          <w:w w:val="95"/>
          <w:sz w:val="22"/>
        </w:rPr>
        <w:t>9.7）</w:t>
      </w:r>
      <w:r>
        <w:rPr>
          <w:b/>
          <w:i/>
          <w:w w:val="95"/>
          <w:sz w:val="22"/>
        </w:rPr>
        <w:t>或重度疾病（见</w:t>
      </w:r>
      <w:r>
        <w:rPr>
          <w:b/>
          <w:i/>
          <w:spacing w:val="-52"/>
          <w:w w:val="95"/>
          <w:sz w:val="22"/>
        </w:rPr>
        <w:t> </w:t>
      </w:r>
      <w:r>
        <w:rPr>
          <w:b/>
          <w:i/>
          <w:w w:val="95"/>
          <w:sz w:val="22"/>
        </w:rPr>
        <w:t>9.8）</w:t>
      </w:r>
      <w:r>
        <w:rPr>
          <w:b/>
          <w:i/>
          <w:w w:val="95"/>
          <w:sz w:val="22"/>
        </w:rPr>
        <w:t>的一种或多种；（二）</w:t>
      </w:r>
      <w:r>
        <w:rPr>
          <w:b/>
          <w:i/>
          <w:w w:val="95"/>
          <w:sz w:val="22"/>
        </w:rPr>
        <w:t>达到疾病终末期（见</w:t>
      </w:r>
      <w:r>
        <w:rPr>
          <w:b/>
          <w:i/>
          <w:spacing w:val="-53"/>
          <w:w w:val="95"/>
          <w:sz w:val="22"/>
        </w:rPr>
        <w:t> </w:t>
      </w:r>
      <w:r>
        <w:rPr>
          <w:b/>
          <w:i/>
          <w:w w:val="95"/>
          <w:sz w:val="22"/>
        </w:rPr>
        <w:t>9.9）；（三）</w:t>
      </w:r>
      <w:r>
        <w:rPr>
          <w:b/>
          <w:i/>
          <w:w w:val="95"/>
          <w:sz w:val="22"/>
        </w:rPr>
        <w:t>身故或全残（见</w:t>
      </w:r>
      <w:r>
        <w:rPr>
          <w:b/>
          <w:i/>
          <w:spacing w:val="-52"/>
          <w:w w:val="95"/>
          <w:sz w:val="22"/>
        </w:rPr>
        <w:t> </w:t>
      </w:r>
      <w:r>
        <w:rPr>
          <w:b/>
          <w:i/>
          <w:w w:val="95"/>
          <w:sz w:val="22"/>
        </w:rPr>
        <w:t>9.10），</w:t>
      </w:r>
      <w:r>
        <w:rPr>
          <w:b/>
          <w:i/>
          <w:w w:val="95"/>
          <w:sz w:val="22"/>
        </w:rPr>
        <w:t>我们将向</w:t>
      </w:r>
      <w:r>
        <w:rPr>
          <w:b/>
          <w:i/>
          <w:w w:val="95"/>
          <w:sz w:val="22"/>
        </w:rPr>
        <w:t>您返还本主险合同累计已交保险</w:t>
      </w:r>
      <w:r>
        <w:rPr>
          <w:b/>
          <w:i/>
          <w:w w:val="95"/>
          <w:sz w:val="22"/>
        </w:rPr>
        <w:t>费（无息），同时本主险</w:t>
      </w:r>
      <w:r>
        <w:rPr>
          <w:b/>
          <w:i/>
          <w:w w:val="95"/>
          <w:sz w:val="22"/>
        </w:rPr>
        <w:t>合同终止。</w:t>
      </w:r>
      <w:r>
        <w:rPr>
          <w:w w:val="95"/>
          <w:sz w:val="21"/>
        </w:rPr>
        <w:t>这</w:t>
      </w:r>
      <w:r>
        <w:rPr>
          <w:spacing w:val="-20"/>
          <w:w w:val="95"/>
          <w:sz w:val="21"/>
        </w:rPr>
        <w:t> </w:t>
      </w:r>
      <w:r>
        <w:rPr>
          <w:w w:val="95"/>
          <w:sz w:val="21"/>
        </w:rPr>
        <w:t>90</w:t>
      </w:r>
      <w:r>
        <w:rPr>
          <w:spacing w:val="-15"/>
          <w:w w:val="95"/>
          <w:sz w:val="21"/>
        </w:rPr>
        <w:t> </w:t>
      </w:r>
      <w:r>
        <w:rPr>
          <w:w w:val="95"/>
          <w:sz w:val="21"/>
        </w:rPr>
        <w:t>日</w:t>
      </w:r>
      <w:r>
        <w:rPr>
          <w:w w:val="95"/>
          <w:sz w:val="21"/>
        </w:rPr>
        <w:t>的</w:t>
      </w:r>
      <w:r>
        <w:rPr>
          <w:w w:val="95"/>
          <w:sz w:val="21"/>
        </w:rPr>
        <w:t>时</w:t>
      </w:r>
      <w:r>
        <w:rPr>
          <w:spacing w:val="-2"/>
          <w:sz w:val="21"/>
        </w:rPr>
        <w:t>间</w:t>
      </w:r>
      <w:r>
        <w:rPr>
          <w:spacing w:val="-2"/>
          <w:sz w:val="21"/>
        </w:rPr>
        <w:t>称</w:t>
      </w:r>
      <w:r>
        <w:rPr>
          <w:spacing w:val="-2"/>
          <w:sz w:val="21"/>
        </w:rPr>
        <w:t>为等待</w:t>
      </w:r>
      <w:r>
        <w:rPr>
          <w:spacing w:val="-2"/>
          <w:sz w:val="21"/>
        </w:rPr>
        <w:t>期</w:t>
      </w:r>
      <w:r>
        <w:rPr>
          <w:spacing w:val="-2"/>
          <w:sz w:val="21"/>
        </w:rPr>
        <w:t>。</w:t>
      </w:r>
    </w:p>
    <w:p>
      <w:pPr>
        <w:pStyle w:val="BodyText"/>
        <w:spacing w:line="268" w:lineRule="auto" w:before="8"/>
        <w:ind w:left="3285" w:right="560"/>
        <w:jc w:val="both"/>
      </w:pPr>
      <w:r>
        <w:rPr>
          <w:spacing w:val="-2"/>
        </w:rPr>
        <w:t>被保险人因意外伤害的原因导致发生下列情形之一的无等待期：（一）</w:t>
      </w:r>
      <w:r>
        <w:rPr>
          <w:b/>
          <w:i/>
          <w:spacing w:val="-2"/>
          <w:sz w:val="22"/>
        </w:rPr>
        <w:t>初</w:t>
      </w:r>
      <w:r>
        <w:rPr>
          <w:b/>
          <w:i/>
          <w:spacing w:val="-2"/>
          <w:sz w:val="22"/>
        </w:rPr>
        <w:t>次</w:t>
      </w:r>
      <w:r>
        <w:rPr>
          <w:b/>
          <w:i/>
          <w:spacing w:val="-2"/>
          <w:sz w:val="22"/>
        </w:rPr>
        <w:t>患</w:t>
      </w:r>
      <w:r>
        <w:rPr>
          <w:spacing w:val="-2"/>
        </w:rPr>
        <w:t>本主险合同约定的轻度疾病、中度疾病或重度疾病；（二）达到疾病终末</w:t>
      </w:r>
      <w:r>
        <w:rPr>
          <w:spacing w:val="-2"/>
        </w:rPr>
        <w:t>期；（三）身故或全残。</w:t>
      </w:r>
    </w:p>
    <w:p>
      <w:pPr>
        <w:pStyle w:val="BodyText"/>
        <w:spacing w:before="5"/>
        <w:rPr>
          <w:sz w:val="25"/>
        </w:rPr>
      </w:pPr>
    </w:p>
    <w:p>
      <w:pPr>
        <w:pStyle w:val="BodyText"/>
        <w:spacing w:line="278" w:lineRule="auto"/>
        <w:ind w:left="3285" w:right="752"/>
      </w:pPr>
      <w:r>
        <w:rPr>
          <w:spacing w:val="-2"/>
        </w:rPr>
        <w:t>若被保险人因意外伤害或于等待期后因意外伤害以外的原因导致本主险合</w:t>
      </w:r>
      <w:r>
        <w:rPr>
          <w:spacing w:val="-2"/>
        </w:rPr>
        <w:t>同约定的保险责任的，我们按照下列方式给付保险金：</w:t>
      </w:r>
    </w:p>
    <w:p>
      <w:pPr>
        <w:pStyle w:val="BodyText"/>
        <w:spacing w:before="4"/>
        <w:rPr>
          <w:sz w:val="24"/>
        </w:rPr>
      </w:pPr>
    </w:p>
    <w:p>
      <w:pPr>
        <w:pStyle w:val="Heading2"/>
        <w:spacing w:before="1"/>
        <w:ind w:firstLine="0"/>
        <w:rPr>
          <w:rFonts w:ascii="宋体" w:eastAsia="宋体" w:hint="eastAsia"/>
        </w:rPr>
      </w:pPr>
      <w:r>
        <w:rPr>
          <w:rFonts w:ascii="宋体" w:eastAsia="宋体" w:hint="eastAsia"/>
          <w:spacing w:val="-3"/>
        </w:rPr>
        <w:t>基本部分</w:t>
      </w:r>
    </w:p>
    <w:p>
      <w:pPr>
        <w:pStyle w:val="BodyText"/>
        <w:spacing w:before="4"/>
        <w:rPr>
          <w:b/>
        </w:rPr>
      </w:pPr>
    </w:p>
    <w:p>
      <w:pPr>
        <w:spacing w:after="0"/>
        <w:sectPr>
          <w:type w:val="continuous"/>
          <w:pgSz w:w="11910" w:h="16840"/>
          <w:pgMar w:top="460" w:bottom="280" w:left="680" w:right="460"/>
        </w:sectPr>
      </w:pPr>
    </w:p>
    <w:p>
      <w:pPr>
        <w:spacing w:line="278" w:lineRule="auto" w:before="81"/>
        <w:ind w:left="1713" w:right="0" w:firstLine="0"/>
        <w:jc w:val="left"/>
        <w:rPr>
          <w:rFonts w:ascii="楷体" w:eastAsia="楷体" w:hint="eastAsia"/>
          <w:b/>
          <w:sz w:val="21"/>
        </w:rPr>
      </w:pPr>
      <w:r>
        <w:rPr>
          <w:rFonts w:ascii="楷体" w:eastAsia="楷体" w:hint="eastAsia"/>
          <w:b/>
          <w:spacing w:val="-2"/>
          <w:sz w:val="21"/>
        </w:rPr>
        <w:t>轻度疾病保险</w:t>
      </w:r>
      <w:r>
        <w:rPr>
          <w:rFonts w:ascii="楷体" w:eastAsia="楷体" w:hint="eastAsia"/>
          <w:b/>
          <w:spacing w:val="-10"/>
          <w:sz w:val="21"/>
        </w:rPr>
        <w:t>金</w:t>
      </w:r>
    </w:p>
    <w:p>
      <w:pPr>
        <w:spacing w:line="268" w:lineRule="auto" w:before="71"/>
        <w:ind w:left="265" w:right="577" w:firstLine="0"/>
        <w:jc w:val="both"/>
        <w:rPr>
          <w:sz w:val="21"/>
        </w:rPr>
      </w:pPr>
      <w:r>
        <w:rPr/>
        <w:br w:type="column"/>
      </w:r>
      <w:r>
        <w:rPr>
          <w:spacing w:val="-3"/>
          <w:w w:val="100"/>
          <w:sz w:val="21"/>
        </w:rPr>
        <w:t>若被保险人经专科医生明确诊断</w:t>
      </w:r>
      <w:r>
        <w:rPr>
          <w:b/>
          <w:i/>
          <w:w w:val="95"/>
          <w:sz w:val="22"/>
        </w:rPr>
        <w:t>初次患</w:t>
      </w:r>
      <w:r>
        <w:rPr>
          <w:spacing w:val="-6"/>
          <w:w w:val="100"/>
          <w:sz w:val="21"/>
        </w:rPr>
        <w:t>本主险合同约定的轻度疾病，我们将</w:t>
      </w:r>
      <w:r>
        <w:rPr>
          <w:spacing w:val="-4"/>
          <w:w w:val="100"/>
          <w:sz w:val="21"/>
        </w:rPr>
        <w:t>按确诊时本主险合同基本部分对应的</w:t>
      </w:r>
      <w:r>
        <w:rPr>
          <w:b/>
          <w:i/>
          <w:spacing w:val="-1"/>
          <w:w w:val="95"/>
          <w:sz w:val="22"/>
        </w:rPr>
        <w:t>基本保险金额的</w:t>
      </w:r>
      <w:r>
        <w:rPr>
          <w:b/>
          <w:i/>
          <w:spacing w:val="-58"/>
          <w:sz w:val="22"/>
        </w:rPr>
        <w:t> </w:t>
      </w:r>
      <w:r>
        <w:rPr>
          <w:b/>
          <w:i/>
          <w:w w:val="95"/>
          <w:sz w:val="22"/>
        </w:rPr>
        <w:t>30</w:t>
      </w:r>
      <w:r>
        <w:rPr>
          <w:b/>
          <w:i/>
          <w:spacing w:val="2"/>
          <w:w w:val="95"/>
          <w:sz w:val="22"/>
        </w:rPr>
        <w:t>%</w:t>
      </w:r>
      <w:r>
        <w:rPr>
          <w:spacing w:val="-3"/>
          <w:w w:val="100"/>
          <w:sz w:val="21"/>
        </w:rPr>
        <w:t>给付一次轻度疾病</w:t>
      </w:r>
      <w:r>
        <w:rPr>
          <w:spacing w:val="-1"/>
          <w:w w:val="100"/>
          <w:sz w:val="21"/>
        </w:rPr>
        <w:t>保险金。</w:t>
      </w:r>
    </w:p>
    <w:p>
      <w:pPr>
        <w:spacing w:line="266" w:lineRule="auto" w:before="4"/>
        <w:ind w:left="265" w:right="519" w:firstLine="0"/>
        <w:jc w:val="both"/>
        <w:rPr>
          <w:b/>
          <w:i/>
          <w:sz w:val="22"/>
        </w:rPr>
      </w:pPr>
      <w:r>
        <w:rPr>
          <w:b/>
          <w:i/>
          <w:spacing w:val="-2"/>
          <w:w w:val="95"/>
          <w:sz w:val="22"/>
        </w:rPr>
        <w:t>就本主险合同约定的每种轻度疾病，我们最多只给付一次轻度疾病保险金，</w:t>
      </w:r>
      <w:r>
        <w:rPr>
          <w:b/>
          <w:i/>
          <w:spacing w:val="-2"/>
          <w:w w:val="95"/>
          <w:sz w:val="22"/>
        </w:rPr>
        <w:t>轻度疾病保险金累计给付次数以三次为限</w:t>
      </w:r>
      <w:r>
        <w:rPr>
          <w:spacing w:val="-2"/>
          <w:w w:val="95"/>
          <w:sz w:val="21"/>
        </w:rPr>
        <w:t>，</w:t>
      </w:r>
      <w:r>
        <w:rPr>
          <w:b/>
          <w:i/>
          <w:spacing w:val="-2"/>
          <w:w w:val="95"/>
          <w:sz w:val="22"/>
        </w:rPr>
        <w:t>当累计给付次数达到三次时，本</w:t>
      </w:r>
      <w:r>
        <w:rPr>
          <w:b/>
          <w:i/>
          <w:spacing w:val="-2"/>
          <w:sz w:val="22"/>
        </w:rPr>
        <w:t>项</w:t>
      </w:r>
      <w:r>
        <w:rPr>
          <w:b/>
          <w:i/>
          <w:spacing w:val="-2"/>
          <w:sz w:val="22"/>
        </w:rPr>
        <w:t>保</w:t>
      </w:r>
      <w:r>
        <w:rPr>
          <w:b/>
          <w:i/>
          <w:spacing w:val="-2"/>
          <w:sz w:val="22"/>
        </w:rPr>
        <w:t>险</w:t>
      </w:r>
      <w:r>
        <w:rPr>
          <w:b/>
          <w:i/>
          <w:spacing w:val="-2"/>
          <w:sz w:val="22"/>
        </w:rPr>
        <w:t>责</w:t>
      </w:r>
      <w:r>
        <w:rPr>
          <w:b/>
          <w:i/>
          <w:spacing w:val="-2"/>
          <w:sz w:val="22"/>
        </w:rPr>
        <w:t>任</w:t>
      </w:r>
      <w:r>
        <w:rPr>
          <w:b/>
          <w:i/>
          <w:spacing w:val="-2"/>
          <w:sz w:val="22"/>
        </w:rPr>
        <w:t>终</w:t>
      </w:r>
      <w:r>
        <w:rPr>
          <w:b/>
          <w:i/>
          <w:spacing w:val="-2"/>
          <w:sz w:val="22"/>
        </w:rPr>
        <w:t>止</w:t>
      </w:r>
      <w:r>
        <w:rPr>
          <w:b/>
          <w:i/>
          <w:spacing w:val="-2"/>
          <w:sz w:val="22"/>
        </w:rPr>
        <w:t>。</w:t>
      </w:r>
    </w:p>
    <w:p>
      <w:pPr>
        <w:spacing w:after="0" w:line="266" w:lineRule="auto"/>
        <w:jc w:val="both"/>
        <w:rPr>
          <w:sz w:val="22"/>
        </w:rPr>
        <w:sectPr>
          <w:type w:val="continuous"/>
          <w:pgSz w:w="11910" w:h="16840"/>
          <w:pgMar w:top="460" w:bottom="280" w:left="680" w:right="460"/>
          <w:cols w:num="2" w:equalWidth="0">
            <w:col w:w="2981" w:space="40"/>
            <w:col w:w="7749"/>
          </w:cols>
        </w:sectPr>
      </w:pPr>
    </w:p>
    <w:p>
      <w:pPr>
        <w:pStyle w:val="BodyText"/>
        <w:spacing w:before="7"/>
        <w:rPr>
          <w:b/>
          <w:i/>
          <w:sz w:val="18"/>
        </w:rPr>
      </w:pPr>
    </w:p>
    <w:p>
      <w:pPr>
        <w:spacing w:after="0"/>
        <w:rPr>
          <w:sz w:val="18"/>
        </w:rPr>
        <w:sectPr>
          <w:type w:val="continuous"/>
          <w:pgSz w:w="11910" w:h="16840"/>
          <w:pgMar w:top="460" w:bottom="280" w:left="680" w:right="460"/>
        </w:sectPr>
      </w:pPr>
    </w:p>
    <w:p>
      <w:pPr>
        <w:pStyle w:val="Heading2"/>
        <w:spacing w:line="278" w:lineRule="auto" w:before="82"/>
        <w:ind w:firstLine="0"/>
        <w:rPr>
          <w:rFonts w:ascii="楷体" w:eastAsia="楷体" w:hint="eastAsia"/>
        </w:rPr>
      </w:pPr>
      <w:r>
        <w:rPr>
          <w:rFonts w:ascii="楷体" w:eastAsia="楷体" w:hint="eastAsia"/>
          <w:spacing w:val="-2"/>
        </w:rPr>
        <w:t>中度疾病保险</w:t>
      </w:r>
      <w:r>
        <w:rPr>
          <w:rFonts w:ascii="楷体" w:eastAsia="楷体" w:hint="eastAsia"/>
          <w:spacing w:val="-10"/>
        </w:rPr>
        <w:t>金</w:t>
      </w:r>
    </w:p>
    <w:p>
      <w:pPr>
        <w:spacing w:line="268" w:lineRule="auto" w:before="72"/>
        <w:ind w:left="265" w:right="577" w:firstLine="0"/>
        <w:jc w:val="both"/>
        <w:rPr>
          <w:sz w:val="21"/>
        </w:rPr>
      </w:pPr>
      <w:r>
        <w:rPr/>
        <w:br w:type="column"/>
      </w:r>
      <w:r>
        <w:rPr>
          <w:spacing w:val="-3"/>
          <w:w w:val="100"/>
          <w:sz w:val="21"/>
        </w:rPr>
        <w:t>若被保险人经专科医生明确诊断</w:t>
      </w:r>
      <w:r>
        <w:rPr>
          <w:b/>
          <w:i/>
          <w:w w:val="95"/>
          <w:sz w:val="22"/>
        </w:rPr>
        <w:t>初次患</w:t>
      </w:r>
      <w:r>
        <w:rPr>
          <w:spacing w:val="-6"/>
          <w:w w:val="100"/>
          <w:sz w:val="21"/>
        </w:rPr>
        <w:t>本主险合同约定的中度疾病，我们将</w:t>
      </w:r>
      <w:r>
        <w:rPr>
          <w:spacing w:val="-4"/>
          <w:w w:val="100"/>
          <w:sz w:val="21"/>
        </w:rPr>
        <w:t>按确诊时本主险合同基本部分对应的</w:t>
      </w:r>
      <w:r>
        <w:rPr>
          <w:b/>
          <w:i/>
          <w:spacing w:val="-1"/>
          <w:w w:val="95"/>
          <w:sz w:val="22"/>
        </w:rPr>
        <w:t>基本保险金额的</w:t>
      </w:r>
      <w:r>
        <w:rPr>
          <w:b/>
          <w:i/>
          <w:spacing w:val="-58"/>
          <w:sz w:val="22"/>
        </w:rPr>
        <w:t> </w:t>
      </w:r>
      <w:r>
        <w:rPr>
          <w:b/>
          <w:i/>
          <w:w w:val="95"/>
          <w:sz w:val="22"/>
        </w:rPr>
        <w:t>50</w:t>
      </w:r>
      <w:r>
        <w:rPr>
          <w:b/>
          <w:i/>
          <w:spacing w:val="2"/>
          <w:w w:val="95"/>
          <w:sz w:val="22"/>
        </w:rPr>
        <w:t>%</w:t>
      </w:r>
      <w:r>
        <w:rPr>
          <w:spacing w:val="-3"/>
          <w:w w:val="100"/>
          <w:sz w:val="21"/>
        </w:rPr>
        <w:t>给付一次中度疾病</w:t>
      </w:r>
      <w:r>
        <w:rPr>
          <w:spacing w:val="-1"/>
          <w:w w:val="100"/>
          <w:sz w:val="21"/>
        </w:rPr>
        <w:t>保险金。</w:t>
      </w:r>
    </w:p>
    <w:p>
      <w:pPr>
        <w:spacing w:line="266" w:lineRule="auto" w:before="3"/>
        <w:ind w:left="265" w:right="519" w:firstLine="0"/>
        <w:jc w:val="both"/>
        <w:rPr>
          <w:b/>
          <w:i/>
          <w:sz w:val="22"/>
        </w:rPr>
      </w:pPr>
      <w:r>
        <w:rPr>
          <w:b/>
          <w:i/>
          <w:spacing w:val="-2"/>
          <w:w w:val="95"/>
          <w:sz w:val="22"/>
        </w:rPr>
        <w:t>就本主险合同约定的每种中度疾病，我们最多只给付一次中度疾病保险金，</w:t>
      </w:r>
      <w:r>
        <w:rPr>
          <w:b/>
          <w:i/>
          <w:spacing w:val="-2"/>
          <w:w w:val="95"/>
          <w:sz w:val="22"/>
        </w:rPr>
        <w:t>中度疾病保险金累计给付次数以两次为限，当累计给付次数达到两次时，本</w:t>
      </w:r>
      <w:r>
        <w:rPr>
          <w:b/>
          <w:i/>
          <w:spacing w:val="-2"/>
          <w:sz w:val="22"/>
        </w:rPr>
        <w:t>项</w:t>
      </w:r>
      <w:r>
        <w:rPr>
          <w:b/>
          <w:i/>
          <w:spacing w:val="-2"/>
          <w:sz w:val="22"/>
        </w:rPr>
        <w:t>保</w:t>
      </w:r>
      <w:r>
        <w:rPr>
          <w:b/>
          <w:i/>
          <w:spacing w:val="-2"/>
          <w:sz w:val="22"/>
        </w:rPr>
        <w:t>险</w:t>
      </w:r>
      <w:r>
        <w:rPr>
          <w:b/>
          <w:i/>
          <w:spacing w:val="-2"/>
          <w:sz w:val="22"/>
        </w:rPr>
        <w:t>责</w:t>
      </w:r>
      <w:r>
        <w:rPr>
          <w:b/>
          <w:i/>
          <w:spacing w:val="-2"/>
          <w:sz w:val="22"/>
        </w:rPr>
        <w:t>任</w:t>
      </w:r>
      <w:r>
        <w:rPr>
          <w:b/>
          <w:i/>
          <w:spacing w:val="-2"/>
          <w:sz w:val="22"/>
        </w:rPr>
        <w:t>终</w:t>
      </w:r>
      <w:r>
        <w:rPr>
          <w:b/>
          <w:i/>
          <w:spacing w:val="-2"/>
          <w:sz w:val="22"/>
        </w:rPr>
        <w:t>止</w:t>
      </w:r>
      <w:r>
        <w:rPr>
          <w:b/>
          <w:i/>
          <w:spacing w:val="-2"/>
          <w:sz w:val="22"/>
        </w:rPr>
        <w:t>。</w:t>
      </w:r>
    </w:p>
    <w:p>
      <w:pPr>
        <w:spacing w:after="0" w:line="266" w:lineRule="auto"/>
        <w:jc w:val="both"/>
        <w:rPr>
          <w:sz w:val="22"/>
        </w:rPr>
        <w:sectPr>
          <w:type w:val="continuous"/>
          <w:pgSz w:w="11910" w:h="16840"/>
          <w:pgMar w:top="460" w:bottom="280" w:left="680" w:right="460"/>
          <w:cols w:num="2" w:equalWidth="0">
            <w:col w:w="2981" w:space="40"/>
            <w:col w:w="7749"/>
          </w:cols>
        </w:sectPr>
      </w:pPr>
    </w:p>
    <w:p>
      <w:pPr>
        <w:pStyle w:val="Heading2"/>
        <w:spacing w:line="278" w:lineRule="auto" w:before="44"/>
        <w:ind w:firstLine="0"/>
        <w:rPr>
          <w:rFonts w:ascii="楷体" w:eastAsia="楷体" w:hint="eastAsia"/>
        </w:rPr>
      </w:pPr>
      <w:r>
        <w:rPr>
          <w:rFonts w:ascii="楷体" w:eastAsia="楷体" w:hint="eastAsia"/>
          <w:spacing w:val="-2"/>
        </w:rPr>
        <w:t>重度疾病保险</w:t>
      </w:r>
      <w:r>
        <w:rPr>
          <w:rFonts w:ascii="楷体" w:eastAsia="楷体" w:hint="eastAsia"/>
          <w:spacing w:val="-10"/>
        </w:rPr>
        <w:t>金</w:t>
      </w:r>
    </w:p>
    <w:p>
      <w:pPr>
        <w:spacing w:before="44"/>
        <w:ind w:left="265" w:right="0" w:firstLine="0"/>
        <w:jc w:val="left"/>
        <w:rPr>
          <w:b/>
          <w:sz w:val="21"/>
        </w:rPr>
      </w:pPr>
      <w:r>
        <w:rPr/>
        <w:br w:type="column"/>
      </w:r>
      <w:r>
        <w:rPr>
          <w:b/>
          <w:spacing w:val="-2"/>
          <w:sz w:val="21"/>
        </w:rPr>
        <w:t>首次重度疾病保险金</w:t>
      </w:r>
    </w:p>
    <w:p>
      <w:pPr>
        <w:spacing w:line="271" w:lineRule="auto" w:before="33"/>
        <w:ind w:left="265" w:right="577" w:firstLine="0"/>
        <w:jc w:val="left"/>
        <w:rPr>
          <w:sz w:val="21"/>
        </w:rPr>
      </w:pPr>
      <w:r>
        <w:rPr>
          <w:spacing w:val="-3"/>
          <w:w w:val="100"/>
          <w:sz w:val="21"/>
        </w:rPr>
        <w:t>若被保险人经专科医生明确诊断</w:t>
      </w:r>
      <w:r>
        <w:rPr>
          <w:b/>
          <w:i/>
          <w:w w:val="95"/>
          <w:sz w:val="22"/>
        </w:rPr>
        <w:t>初次患</w:t>
      </w:r>
      <w:r>
        <w:rPr>
          <w:spacing w:val="-6"/>
          <w:w w:val="100"/>
          <w:sz w:val="21"/>
        </w:rPr>
        <w:t>本主险合同约定的重度疾病，我们将</w:t>
      </w:r>
      <w:r>
        <w:rPr>
          <w:spacing w:val="-4"/>
          <w:w w:val="100"/>
          <w:sz w:val="21"/>
        </w:rPr>
        <w:t>按确诊时本主险合同基本部分对应的基本保险金额给付首次重度疾病保险金，</w:t>
      </w:r>
      <w:r>
        <w:rPr>
          <w:b/>
          <w:i/>
          <w:spacing w:val="-1"/>
          <w:w w:val="95"/>
          <w:sz w:val="22"/>
        </w:rPr>
        <w:t>同时首次重度疾病保险金的保险责任终止</w:t>
      </w:r>
      <w:r>
        <w:rPr>
          <w:w w:val="100"/>
          <w:sz w:val="21"/>
        </w:rPr>
        <w:t>。</w:t>
      </w:r>
    </w:p>
    <w:p>
      <w:pPr>
        <w:spacing w:line="277" w:lineRule="exact" w:before="0"/>
        <w:ind w:left="265" w:right="0" w:firstLine="0"/>
        <w:jc w:val="left"/>
        <w:rPr>
          <w:b/>
          <w:i/>
          <w:sz w:val="22"/>
        </w:rPr>
      </w:pPr>
      <w:r>
        <w:rPr>
          <w:b/>
          <w:i/>
          <w:spacing w:val="-3"/>
          <w:w w:val="95"/>
          <w:sz w:val="22"/>
        </w:rPr>
        <w:t>若我们已按上述约定给付首次重度疾病保险金，则本主险合同的现金价值</w:t>
      </w:r>
    </w:p>
    <w:p>
      <w:pPr>
        <w:spacing w:line="266" w:lineRule="auto" w:before="31"/>
        <w:ind w:left="265" w:right="580" w:firstLine="0"/>
        <w:jc w:val="left"/>
        <w:rPr>
          <w:b/>
          <w:i/>
          <w:sz w:val="22"/>
        </w:rPr>
      </w:pPr>
      <w:r>
        <w:rPr>
          <w:b/>
          <w:i/>
          <w:w w:val="95"/>
          <w:sz w:val="22"/>
        </w:rPr>
        <w:t>（</w:t>
      </w:r>
      <w:r>
        <w:rPr>
          <w:b/>
          <w:i/>
          <w:spacing w:val="-21"/>
          <w:w w:val="95"/>
          <w:sz w:val="22"/>
        </w:rPr>
        <w:t>见 </w:t>
      </w:r>
      <w:r>
        <w:rPr>
          <w:b/>
          <w:i/>
          <w:w w:val="95"/>
          <w:sz w:val="22"/>
        </w:rPr>
        <w:t>9.11）自该给付之日起即降为零，同时本主险合同约定的身故或全残</w:t>
      </w:r>
      <w:r>
        <w:rPr>
          <w:b/>
          <w:i/>
          <w:spacing w:val="-2"/>
          <w:w w:val="95"/>
          <w:sz w:val="22"/>
        </w:rPr>
        <w:t>保险金、轻度疾病保险金、中度疾病保险金、疾病终末期保险金的保险责任</w:t>
      </w:r>
      <w:r>
        <w:rPr>
          <w:b/>
          <w:i/>
          <w:spacing w:val="-4"/>
          <w:sz w:val="22"/>
        </w:rPr>
        <w:t>均</w:t>
      </w:r>
      <w:r>
        <w:rPr>
          <w:b/>
          <w:i/>
          <w:spacing w:val="-4"/>
          <w:sz w:val="22"/>
        </w:rPr>
        <w:t>终</w:t>
      </w:r>
      <w:r>
        <w:rPr>
          <w:b/>
          <w:i/>
          <w:spacing w:val="-4"/>
          <w:sz w:val="22"/>
        </w:rPr>
        <w:t>止</w:t>
      </w:r>
      <w:r>
        <w:rPr>
          <w:b/>
          <w:i/>
          <w:spacing w:val="-4"/>
          <w:sz w:val="22"/>
        </w:rPr>
        <w:t>。</w:t>
      </w:r>
    </w:p>
    <w:p>
      <w:pPr>
        <w:pStyle w:val="BodyText"/>
        <w:spacing w:before="1"/>
        <w:rPr>
          <w:b/>
          <w:i/>
          <w:sz w:val="24"/>
        </w:rPr>
      </w:pPr>
    </w:p>
    <w:p>
      <w:pPr>
        <w:pStyle w:val="BodyText"/>
        <w:spacing w:line="266" w:lineRule="auto"/>
        <w:ind w:left="265" w:right="577"/>
      </w:pPr>
      <w:r>
        <w:rPr>
          <w:spacing w:val="-2"/>
          <w:w w:val="100"/>
        </w:rPr>
        <w:t>若被保险人</w:t>
      </w:r>
      <w:r>
        <w:rPr>
          <w:b/>
          <w:i/>
          <w:w w:val="95"/>
          <w:sz w:val="22"/>
        </w:rPr>
        <w:t>初次患</w:t>
      </w:r>
      <w:r>
        <w:rPr>
          <w:spacing w:val="-3"/>
          <w:w w:val="100"/>
        </w:rPr>
        <w:t>的疾病为一种重度疾病，该种重度疾病即为首次重度疾</w:t>
      </w:r>
      <w:r>
        <w:rPr>
          <w:spacing w:val="-6"/>
          <w:w w:val="100"/>
        </w:rPr>
        <w:t>病；若被保险人</w:t>
      </w:r>
      <w:r>
        <w:rPr>
          <w:b/>
          <w:i/>
          <w:w w:val="95"/>
          <w:sz w:val="22"/>
        </w:rPr>
        <w:t>初次患</w:t>
      </w:r>
      <w:r>
        <w:rPr>
          <w:spacing w:val="-5"/>
          <w:w w:val="100"/>
        </w:rPr>
        <w:t>的疾病为两种或两种以上重度疾病，则最先被专科医</w:t>
      </w:r>
      <w:r>
        <w:rPr>
          <w:spacing w:val="-4"/>
          <w:w w:val="100"/>
        </w:rPr>
        <w:t>生明确诊断</w:t>
      </w:r>
      <w:r>
        <w:rPr>
          <w:b/>
          <w:i/>
          <w:w w:val="95"/>
          <w:sz w:val="22"/>
        </w:rPr>
        <w:t>初次患</w:t>
      </w:r>
      <w:r>
        <w:rPr>
          <w:spacing w:val="-3"/>
          <w:w w:val="100"/>
        </w:rPr>
        <w:t>的重度疾病为首次重度疾病。</w:t>
      </w:r>
    </w:p>
    <w:p>
      <w:pPr>
        <w:pStyle w:val="BodyText"/>
        <w:rPr>
          <w:sz w:val="25"/>
        </w:rPr>
      </w:pPr>
    </w:p>
    <w:p>
      <w:pPr>
        <w:pStyle w:val="Heading2"/>
        <w:spacing w:before="0"/>
        <w:ind w:left="265" w:firstLine="0"/>
        <w:rPr>
          <w:rFonts w:ascii="宋体" w:eastAsia="宋体" w:hint="eastAsia"/>
        </w:rPr>
      </w:pPr>
      <w:r>
        <w:rPr>
          <w:rFonts w:ascii="宋体" w:eastAsia="宋体" w:hint="eastAsia"/>
          <w:spacing w:val="-3"/>
        </w:rPr>
        <w:t>第二次重度疾病保险金</w:t>
      </w:r>
    </w:p>
    <w:p>
      <w:pPr>
        <w:pStyle w:val="BodyText"/>
        <w:spacing w:line="268" w:lineRule="auto" w:before="43"/>
        <w:ind w:left="265" w:right="577"/>
        <w:jc w:val="both"/>
      </w:pPr>
      <w:r>
        <w:rPr>
          <w:spacing w:val="-5"/>
          <w:w w:val="100"/>
        </w:rPr>
        <w:t>在我们已按本主险合同的约定给付首次重度疾病保险金后，自首次重度疾病</w:t>
      </w:r>
      <w:r>
        <w:rPr>
          <w:spacing w:val="-4"/>
          <w:w w:val="100"/>
        </w:rPr>
        <w:t>确诊之日起满</w:t>
      </w:r>
      <w:r>
        <w:rPr>
          <w:spacing w:val="-53"/>
        </w:rPr>
        <w:t> </w:t>
      </w:r>
      <w:r>
        <w:rPr>
          <w:w w:val="100"/>
        </w:rPr>
        <w:t>1</w:t>
      </w:r>
      <w:r>
        <w:rPr>
          <w:spacing w:val="-55"/>
        </w:rPr>
        <w:t> </w:t>
      </w:r>
      <w:r>
        <w:rPr>
          <w:spacing w:val="-8"/>
          <w:w w:val="100"/>
        </w:rPr>
        <w:t>年后，被保险人经专科医生明确诊断</w:t>
      </w:r>
      <w:r>
        <w:rPr>
          <w:b/>
          <w:i/>
          <w:w w:val="95"/>
          <w:sz w:val="22"/>
        </w:rPr>
        <w:t>初次患</w:t>
      </w:r>
      <w:r>
        <w:rPr>
          <w:spacing w:val="-3"/>
          <w:w w:val="100"/>
        </w:rPr>
        <w:t>本主险合同约定</w:t>
      </w:r>
      <w:r>
        <w:rPr>
          <w:spacing w:val="-5"/>
          <w:w w:val="100"/>
        </w:rPr>
        <w:t>的除首次重度疾病以外的一种或多种重度疾病，我们将按确诊时本主险合同</w:t>
      </w:r>
      <w:r>
        <w:rPr>
          <w:spacing w:val="-6"/>
          <w:w w:val="100"/>
        </w:rPr>
        <w:t>基本部分对应的基本保险金额给付第二次重度疾病保险金，</w:t>
      </w:r>
      <w:r>
        <w:rPr>
          <w:b/>
          <w:i/>
          <w:w w:val="95"/>
          <w:sz w:val="22"/>
        </w:rPr>
        <w:t>同时第二次重度</w:t>
      </w:r>
      <w:r>
        <w:rPr>
          <w:b/>
          <w:i/>
          <w:spacing w:val="-2"/>
          <w:w w:val="95"/>
          <w:sz w:val="22"/>
        </w:rPr>
        <w:t>疾病保险金的保险责任终止</w:t>
      </w:r>
      <w:r>
        <w:rPr>
          <w:w w:val="100"/>
        </w:rPr>
        <w:t>。</w:t>
      </w:r>
    </w:p>
    <w:p>
      <w:pPr>
        <w:pStyle w:val="BodyText"/>
        <w:spacing w:before="5"/>
        <w:rPr>
          <w:sz w:val="24"/>
        </w:rPr>
      </w:pPr>
    </w:p>
    <w:p>
      <w:pPr>
        <w:spacing w:line="266" w:lineRule="auto" w:before="0"/>
        <w:ind w:left="265" w:right="583" w:firstLine="0"/>
        <w:jc w:val="left"/>
        <w:rPr>
          <w:b/>
          <w:i/>
          <w:sz w:val="22"/>
        </w:rPr>
      </w:pPr>
      <w:r>
        <w:rPr>
          <w:b/>
          <w:i/>
          <w:spacing w:val="-2"/>
          <w:w w:val="95"/>
          <w:sz w:val="22"/>
        </w:rPr>
        <w:t>我们已按上述约定给付第二次重度疾病保险金后，则除可选部分“特别关爱</w:t>
      </w:r>
      <w:r>
        <w:rPr>
          <w:b/>
          <w:i/>
          <w:spacing w:val="-2"/>
          <w:w w:val="95"/>
          <w:sz w:val="22"/>
        </w:rPr>
        <w:t>身故保险金”保险责任外，其他保险责任均终止。</w:t>
      </w:r>
    </w:p>
    <w:p>
      <w:pPr>
        <w:spacing w:after="0" w:line="266" w:lineRule="auto"/>
        <w:jc w:val="left"/>
        <w:rPr>
          <w:sz w:val="22"/>
        </w:rPr>
        <w:sectPr>
          <w:pgSz w:w="11910" w:h="16840"/>
          <w:pgMar w:top="1520" w:bottom="280" w:left="680" w:right="460"/>
          <w:cols w:num="2" w:equalWidth="0">
            <w:col w:w="2981" w:space="40"/>
            <w:col w:w="7749"/>
          </w:cols>
        </w:sectPr>
      </w:pPr>
    </w:p>
    <w:p>
      <w:pPr>
        <w:pStyle w:val="BodyText"/>
        <w:spacing w:before="5"/>
        <w:rPr>
          <w:b/>
          <w:i/>
          <w:sz w:val="19"/>
        </w:rPr>
      </w:pPr>
    </w:p>
    <w:p>
      <w:pPr>
        <w:spacing w:after="0"/>
        <w:rPr>
          <w:sz w:val="19"/>
        </w:rPr>
        <w:sectPr>
          <w:type w:val="continuous"/>
          <w:pgSz w:w="11910" w:h="16840"/>
          <w:pgMar w:top="460" w:bottom="280" w:left="680" w:right="460"/>
        </w:sectPr>
      </w:pPr>
    </w:p>
    <w:p>
      <w:pPr>
        <w:pStyle w:val="Heading2"/>
        <w:spacing w:line="278" w:lineRule="auto"/>
        <w:ind w:firstLine="0"/>
        <w:rPr>
          <w:rFonts w:ascii="楷体" w:eastAsia="楷体" w:hint="eastAsia"/>
        </w:rPr>
      </w:pPr>
      <w:r>
        <w:rPr>
          <w:rFonts w:ascii="楷体" w:eastAsia="楷体" w:hint="eastAsia"/>
          <w:spacing w:val="-2"/>
        </w:rPr>
        <w:t>极重度疾病额</w:t>
      </w:r>
      <w:r>
        <w:rPr>
          <w:rFonts w:ascii="楷体" w:eastAsia="楷体" w:hint="eastAsia"/>
          <w:spacing w:val="-4"/>
        </w:rPr>
        <w:t>外保险金</w:t>
      </w:r>
    </w:p>
    <w:p>
      <w:pPr>
        <w:spacing w:line="271" w:lineRule="auto" w:before="72"/>
        <w:ind w:left="264" w:right="493" w:firstLine="0"/>
        <w:jc w:val="left"/>
        <w:rPr>
          <w:b/>
          <w:i/>
          <w:sz w:val="22"/>
        </w:rPr>
      </w:pPr>
      <w:r>
        <w:rPr/>
        <w:br w:type="column"/>
      </w:r>
      <w:r>
        <w:rPr>
          <w:spacing w:val="-3"/>
          <w:w w:val="100"/>
          <w:sz w:val="21"/>
        </w:rPr>
        <w:t>若首次重度疾病在确诊时已达到本主险合同约定的极重度疾病（</w:t>
      </w:r>
      <w:r>
        <w:rPr>
          <w:w w:val="100"/>
          <w:sz w:val="21"/>
        </w:rPr>
        <w:t>见</w:t>
      </w:r>
      <w:r>
        <w:rPr>
          <w:spacing w:val="-53"/>
          <w:sz w:val="21"/>
        </w:rPr>
        <w:t> </w:t>
      </w:r>
      <w:r>
        <w:rPr>
          <w:w w:val="100"/>
          <w:sz w:val="21"/>
        </w:rPr>
        <w:t>9.</w:t>
      </w:r>
      <w:r>
        <w:rPr>
          <w:spacing w:val="-3"/>
          <w:w w:val="100"/>
          <w:sz w:val="21"/>
        </w:rPr>
        <w:t>1</w:t>
      </w:r>
      <w:r>
        <w:rPr>
          <w:w w:val="100"/>
          <w:sz w:val="21"/>
        </w:rPr>
        <w:t>2</w:t>
      </w:r>
      <w:r>
        <w:rPr>
          <w:spacing w:val="-3"/>
          <w:w w:val="100"/>
          <w:sz w:val="21"/>
        </w:rPr>
        <w:t>），</w:t>
      </w:r>
      <w:r>
        <w:rPr>
          <w:spacing w:val="-6"/>
          <w:w w:val="100"/>
          <w:sz w:val="21"/>
        </w:rPr>
        <w:t>我们除给付首次重度疾病保险金外，还将按确诊时本主险合同基本部分对应</w:t>
      </w:r>
      <w:r>
        <w:rPr>
          <w:spacing w:val="-3"/>
          <w:w w:val="100"/>
          <w:sz w:val="21"/>
        </w:rPr>
        <w:t>的</w:t>
      </w:r>
      <w:r>
        <w:rPr>
          <w:b/>
          <w:i/>
          <w:w w:val="95"/>
          <w:sz w:val="22"/>
        </w:rPr>
        <w:t>基本保险金额的</w:t>
      </w:r>
      <w:r>
        <w:rPr>
          <w:b/>
          <w:i/>
          <w:spacing w:val="-58"/>
          <w:sz w:val="22"/>
        </w:rPr>
        <w:t> </w:t>
      </w:r>
      <w:r>
        <w:rPr>
          <w:b/>
          <w:i/>
          <w:w w:val="95"/>
          <w:sz w:val="22"/>
        </w:rPr>
        <w:t>50%</w:t>
      </w:r>
      <w:r>
        <w:rPr>
          <w:spacing w:val="-3"/>
          <w:w w:val="100"/>
          <w:sz w:val="21"/>
        </w:rPr>
        <w:t>额外给付极重度疾病额外保险金，</w:t>
      </w:r>
      <w:r>
        <w:rPr>
          <w:b/>
          <w:i/>
          <w:spacing w:val="-1"/>
          <w:w w:val="95"/>
          <w:sz w:val="22"/>
        </w:rPr>
        <w:t>同时本项保险责任终止</w:t>
      </w:r>
      <w:r>
        <w:rPr>
          <w:spacing w:val="-3"/>
          <w:w w:val="100"/>
          <w:sz w:val="21"/>
        </w:rPr>
        <w:t>。</w:t>
      </w:r>
      <w:r>
        <w:rPr>
          <w:b/>
          <w:i/>
          <w:spacing w:val="-3"/>
          <w:w w:val="95"/>
          <w:sz w:val="22"/>
        </w:rPr>
        <w:t>本主险合同极重度疾病额外保险金的给付次数以一次为限。</w:t>
      </w:r>
    </w:p>
    <w:p>
      <w:pPr>
        <w:spacing w:line="266" w:lineRule="auto" w:before="0"/>
        <w:ind w:left="264" w:right="579" w:firstLine="0"/>
        <w:jc w:val="left"/>
        <w:rPr>
          <w:b/>
          <w:i/>
          <w:sz w:val="22"/>
        </w:rPr>
      </w:pPr>
      <w:r>
        <w:rPr>
          <w:b/>
          <w:i/>
          <w:spacing w:val="-3"/>
          <w:w w:val="95"/>
          <w:sz w:val="22"/>
        </w:rPr>
        <w:t>若被保险人初次患的首次重度疾病不属于本主险合同约定的恶性肿瘤——</w:t>
      </w:r>
      <w:r>
        <w:rPr>
          <w:b/>
          <w:i/>
          <w:spacing w:val="-9"/>
          <w:w w:val="95"/>
          <w:sz w:val="22"/>
        </w:rPr>
        <w:t>重度、较重急性心肌梗死、严重脑中风后遗症，或属于上述三种重度疾病之</w:t>
      </w:r>
      <w:r>
        <w:rPr>
          <w:b/>
          <w:i/>
          <w:spacing w:val="-6"/>
          <w:w w:val="95"/>
          <w:sz w:val="22"/>
        </w:rPr>
        <w:t>一但未达到本主险合同约定的极重度疾病，我们不承担给付极重度疾病额外保险金的保险责任，同时本项保险责任终止。</w:t>
      </w:r>
    </w:p>
    <w:p>
      <w:pPr>
        <w:spacing w:after="0" w:line="266" w:lineRule="auto"/>
        <w:jc w:val="left"/>
        <w:rPr>
          <w:sz w:val="22"/>
        </w:rPr>
        <w:sectPr>
          <w:type w:val="continuous"/>
          <w:pgSz w:w="11910" w:h="16840"/>
          <w:pgMar w:top="460" w:bottom="280" w:left="680" w:right="460"/>
          <w:cols w:num="2" w:equalWidth="0">
            <w:col w:w="2982" w:space="40"/>
            <w:col w:w="7748"/>
          </w:cols>
        </w:sectPr>
      </w:pPr>
    </w:p>
    <w:p>
      <w:pPr>
        <w:pStyle w:val="BodyText"/>
        <w:spacing w:before="9"/>
        <w:rPr>
          <w:b/>
          <w:i/>
          <w:sz w:val="18"/>
        </w:rPr>
      </w:pPr>
    </w:p>
    <w:p>
      <w:pPr>
        <w:spacing w:after="0"/>
        <w:rPr>
          <w:sz w:val="18"/>
        </w:rPr>
        <w:sectPr>
          <w:type w:val="continuous"/>
          <w:pgSz w:w="11910" w:h="16840"/>
          <w:pgMar w:top="460" w:bottom="280" w:left="680" w:right="460"/>
        </w:sectPr>
      </w:pPr>
    </w:p>
    <w:p>
      <w:pPr>
        <w:pStyle w:val="Heading2"/>
        <w:spacing w:line="278" w:lineRule="auto"/>
        <w:ind w:firstLine="0"/>
        <w:rPr>
          <w:rFonts w:ascii="楷体" w:eastAsia="楷体" w:hint="eastAsia"/>
        </w:rPr>
      </w:pPr>
      <w:r>
        <w:rPr>
          <w:rFonts w:ascii="楷体" w:eastAsia="楷体" w:hint="eastAsia"/>
          <w:spacing w:val="-2"/>
        </w:rPr>
        <w:t>疾病终末期保</w:t>
      </w:r>
      <w:r>
        <w:rPr>
          <w:rFonts w:ascii="楷体" w:eastAsia="楷体" w:hint="eastAsia"/>
          <w:spacing w:val="-6"/>
        </w:rPr>
        <w:t>险金</w:t>
      </w:r>
    </w:p>
    <w:p>
      <w:pPr>
        <w:pStyle w:val="BodyText"/>
        <w:spacing w:line="268" w:lineRule="auto" w:before="72"/>
        <w:ind w:left="265" w:right="577"/>
      </w:pPr>
      <w:r>
        <w:rPr/>
        <w:br w:type="column"/>
      </w:r>
      <w:r>
        <w:rPr>
          <w:spacing w:val="-2"/>
        </w:rPr>
        <w:t>若被保险人经专科医生明确诊断达到疾病终末期的，我们将按以下约定给付</w:t>
      </w:r>
      <w:r>
        <w:rPr>
          <w:spacing w:val="-2"/>
        </w:rPr>
        <w:t>疾病终末期保险金，</w:t>
      </w:r>
      <w:r>
        <w:rPr>
          <w:b/>
          <w:i/>
          <w:spacing w:val="-2"/>
          <w:sz w:val="22"/>
        </w:rPr>
        <w:t>同时</w:t>
      </w:r>
      <w:r>
        <w:rPr>
          <w:b/>
          <w:i/>
          <w:spacing w:val="-2"/>
          <w:sz w:val="22"/>
        </w:rPr>
        <w:t>本</w:t>
      </w:r>
      <w:r>
        <w:rPr>
          <w:b/>
          <w:i/>
          <w:spacing w:val="-2"/>
          <w:sz w:val="22"/>
        </w:rPr>
        <w:t>主</w:t>
      </w:r>
      <w:r>
        <w:rPr>
          <w:b/>
          <w:i/>
          <w:spacing w:val="-2"/>
          <w:sz w:val="22"/>
        </w:rPr>
        <w:t>险</w:t>
      </w:r>
      <w:r>
        <w:rPr>
          <w:b/>
          <w:i/>
          <w:spacing w:val="-2"/>
          <w:sz w:val="22"/>
        </w:rPr>
        <w:t>合</w:t>
      </w:r>
      <w:r>
        <w:rPr>
          <w:b/>
          <w:i/>
          <w:spacing w:val="-2"/>
          <w:sz w:val="22"/>
        </w:rPr>
        <w:t>同</w:t>
      </w:r>
      <w:r>
        <w:rPr>
          <w:b/>
          <w:i/>
          <w:spacing w:val="-2"/>
          <w:sz w:val="22"/>
        </w:rPr>
        <w:t>终</w:t>
      </w:r>
      <w:r>
        <w:rPr>
          <w:b/>
          <w:i/>
          <w:spacing w:val="-2"/>
          <w:sz w:val="22"/>
        </w:rPr>
        <w:t>止</w:t>
      </w:r>
      <w:r>
        <w:rPr>
          <w:spacing w:val="-2"/>
        </w:rPr>
        <w:t>：</w:t>
      </w:r>
    </w:p>
    <w:p>
      <w:pPr>
        <w:pStyle w:val="BodyText"/>
        <w:spacing w:before="7"/>
        <w:ind w:left="265"/>
      </w:pPr>
      <w:r>
        <w:rPr>
          <w:spacing w:val="-6"/>
        </w:rPr>
        <w:t>若被保险人确诊时未满 </w:t>
      </w:r>
      <w:r>
        <w:rPr>
          <w:spacing w:val="-2"/>
        </w:rPr>
        <w:t>18</w:t>
      </w:r>
      <w:r>
        <w:rPr>
          <w:spacing w:val="-10"/>
        </w:rPr>
        <w:t> 周岁，给付确诊时本主险合同已交保险费年度数</w:t>
      </w:r>
    </w:p>
    <w:p>
      <w:pPr>
        <w:pStyle w:val="BodyText"/>
        <w:spacing w:before="43"/>
        <w:ind w:left="265"/>
      </w:pPr>
      <w:r>
        <w:rPr>
          <w:spacing w:val="-2"/>
        </w:rPr>
        <w:t>（</w:t>
      </w:r>
      <w:r>
        <w:rPr>
          <w:spacing w:val="-27"/>
        </w:rPr>
        <w:t>见 </w:t>
      </w:r>
      <w:r>
        <w:rPr>
          <w:spacing w:val="-2"/>
        </w:rPr>
        <w:t>9.13）×年交保险费（无息）</w:t>
      </w:r>
      <w:r>
        <w:rPr>
          <w:spacing w:val="-26"/>
        </w:rPr>
        <w:t>的 </w:t>
      </w:r>
      <w:r>
        <w:rPr>
          <w:spacing w:val="-2"/>
        </w:rPr>
        <w:t>2</w:t>
      </w:r>
      <w:r>
        <w:rPr>
          <w:spacing w:val="-21"/>
        </w:rPr>
        <w:t> 倍。</w:t>
      </w:r>
    </w:p>
    <w:p>
      <w:pPr>
        <w:pStyle w:val="BodyText"/>
        <w:spacing w:line="278" w:lineRule="auto" w:before="43"/>
        <w:ind w:left="265" w:right="649"/>
      </w:pPr>
      <w:r>
        <w:rPr>
          <w:spacing w:val="-5"/>
        </w:rPr>
        <w:t>若被保险人确诊时已满 </w:t>
      </w:r>
      <w:r>
        <w:rPr/>
        <w:t>18</w:t>
      </w:r>
      <w:r>
        <w:rPr>
          <w:spacing w:val="-8"/>
        </w:rPr>
        <w:t> 周岁，给付确诊时本主险合同基本部分对应的基</w:t>
      </w:r>
      <w:r>
        <w:rPr>
          <w:spacing w:val="-2"/>
        </w:rPr>
        <w:t>本保险金额。</w:t>
      </w:r>
    </w:p>
    <w:p>
      <w:pPr>
        <w:spacing w:after="0" w:line="278" w:lineRule="auto"/>
        <w:sectPr>
          <w:type w:val="continuous"/>
          <w:pgSz w:w="11910" w:h="16840"/>
          <w:pgMar w:top="460" w:bottom="280" w:left="680" w:right="460"/>
          <w:cols w:num="2" w:equalWidth="0">
            <w:col w:w="2981" w:space="40"/>
            <w:col w:w="7749"/>
          </w:cols>
        </w:sectPr>
      </w:pPr>
    </w:p>
    <w:p>
      <w:pPr>
        <w:pStyle w:val="BodyText"/>
        <w:rPr>
          <w:sz w:val="18"/>
        </w:rPr>
      </w:pPr>
    </w:p>
    <w:p>
      <w:pPr>
        <w:spacing w:after="0"/>
        <w:rPr>
          <w:sz w:val="18"/>
        </w:rPr>
        <w:sectPr>
          <w:type w:val="continuous"/>
          <w:pgSz w:w="11910" w:h="16840"/>
          <w:pgMar w:top="460" w:bottom="280" w:left="680" w:right="460"/>
        </w:sectPr>
      </w:pPr>
    </w:p>
    <w:p>
      <w:pPr>
        <w:pStyle w:val="Heading2"/>
        <w:spacing w:line="278" w:lineRule="auto" w:before="81"/>
        <w:ind w:firstLine="0"/>
        <w:rPr>
          <w:rFonts w:ascii="楷体" w:eastAsia="楷体" w:hint="eastAsia"/>
        </w:rPr>
      </w:pPr>
      <w:r>
        <w:rPr>
          <w:rFonts w:ascii="楷体" w:eastAsia="楷体" w:hint="eastAsia"/>
          <w:spacing w:val="-2"/>
        </w:rPr>
        <w:t>身故或全残保</w:t>
      </w:r>
      <w:r>
        <w:rPr>
          <w:rFonts w:ascii="楷体" w:eastAsia="楷体" w:hint="eastAsia"/>
          <w:spacing w:val="-6"/>
        </w:rPr>
        <w:t>险金</w:t>
      </w:r>
    </w:p>
    <w:p>
      <w:pPr>
        <w:spacing w:line="266" w:lineRule="auto" w:before="71"/>
        <w:ind w:left="265" w:right="579" w:firstLine="0"/>
        <w:jc w:val="left"/>
        <w:rPr>
          <w:sz w:val="21"/>
        </w:rPr>
      </w:pPr>
      <w:r>
        <w:rPr/>
        <w:br w:type="column"/>
      </w:r>
      <w:r>
        <w:rPr>
          <w:spacing w:val="-2"/>
          <w:sz w:val="21"/>
        </w:rPr>
        <w:t>若被保险人身故或全残的，我们将按以下约定给付身故或全残保险金，</w:t>
      </w:r>
      <w:r>
        <w:rPr>
          <w:b/>
          <w:i/>
          <w:spacing w:val="-2"/>
          <w:sz w:val="22"/>
        </w:rPr>
        <w:t>同</w:t>
      </w:r>
      <w:r>
        <w:rPr>
          <w:b/>
          <w:i/>
          <w:spacing w:val="-2"/>
          <w:sz w:val="22"/>
        </w:rPr>
        <w:t>时</w:t>
      </w:r>
      <w:r>
        <w:rPr>
          <w:b/>
          <w:i/>
          <w:spacing w:val="-2"/>
          <w:sz w:val="22"/>
        </w:rPr>
        <w:t>本</w:t>
      </w:r>
      <w:r>
        <w:rPr>
          <w:b/>
          <w:i/>
          <w:spacing w:val="-2"/>
          <w:sz w:val="22"/>
        </w:rPr>
        <w:t>主</w:t>
      </w:r>
      <w:r>
        <w:rPr>
          <w:b/>
          <w:i/>
          <w:spacing w:val="-2"/>
          <w:sz w:val="22"/>
        </w:rPr>
        <w:t>险</w:t>
      </w:r>
      <w:r>
        <w:rPr>
          <w:b/>
          <w:i/>
          <w:spacing w:val="-2"/>
          <w:sz w:val="22"/>
        </w:rPr>
        <w:t>合</w:t>
      </w:r>
      <w:r>
        <w:rPr>
          <w:b/>
          <w:i/>
          <w:spacing w:val="-2"/>
          <w:sz w:val="22"/>
        </w:rPr>
        <w:t>同</w:t>
      </w:r>
      <w:r>
        <w:rPr>
          <w:b/>
          <w:i/>
          <w:spacing w:val="-2"/>
          <w:sz w:val="22"/>
        </w:rPr>
        <w:t>终</w:t>
      </w:r>
      <w:r>
        <w:rPr>
          <w:b/>
          <w:i/>
          <w:spacing w:val="-2"/>
          <w:sz w:val="22"/>
        </w:rPr>
        <w:t>止</w:t>
      </w:r>
      <w:r>
        <w:rPr>
          <w:spacing w:val="-2"/>
          <w:sz w:val="21"/>
        </w:rPr>
        <w:t>：</w:t>
      </w:r>
    </w:p>
    <w:p>
      <w:pPr>
        <w:pStyle w:val="BodyText"/>
        <w:spacing w:before="8"/>
        <w:ind w:left="265"/>
      </w:pPr>
      <w:r>
        <w:rPr>
          <w:spacing w:val="-5"/>
        </w:rPr>
        <w:t>若被保险人身故或全残时未满 </w:t>
      </w:r>
      <w:r>
        <w:rPr>
          <w:spacing w:val="-2"/>
        </w:rPr>
        <w:t>18</w:t>
      </w:r>
      <w:r>
        <w:rPr>
          <w:spacing w:val="-10"/>
        </w:rPr>
        <w:t> 周岁，给付身故或全残时本主险合同已交</w:t>
      </w:r>
    </w:p>
    <w:p>
      <w:pPr>
        <w:pStyle w:val="BodyText"/>
        <w:spacing w:before="43"/>
        <w:ind w:left="265"/>
      </w:pPr>
      <w:r>
        <w:rPr>
          <w:spacing w:val="-2"/>
        </w:rPr>
        <w:t>保险费年度数×年交保险费（无息）</w:t>
      </w:r>
      <w:r>
        <w:rPr>
          <w:spacing w:val="-25"/>
        </w:rPr>
        <w:t>的 </w:t>
      </w:r>
      <w:r>
        <w:rPr>
          <w:spacing w:val="-2"/>
        </w:rPr>
        <w:t>2</w:t>
      </w:r>
      <w:r>
        <w:rPr>
          <w:spacing w:val="-20"/>
        </w:rPr>
        <w:t> 倍。</w:t>
      </w:r>
    </w:p>
    <w:p>
      <w:pPr>
        <w:pStyle w:val="BodyText"/>
        <w:spacing w:line="278" w:lineRule="auto" w:before="43"/>
        <w:ind w:left="265" w:right="649"/>
      </w:pPr>
      <w:r>
        <w:rPr>
          <w:spacing w:val="-4"/>
        </w:rPr>
        <w:t>若被保险人身故或全残时已满 </w:t>
      </w:r>
      <w:r>
        <w:rPr/>
        <w:t>18</w:t>
      </w:r>
      <w:r>
        <w:rPr>
          <w:spacing w:val="-8"/>
        </w:rPr>
        <w:t> 周岁，给付身故或全残时本主险合同基本</w:t>
      </w:r>
      <w:r>
        <w:rPr>
          <w:spacing w:val="-2"/>
        </w:rPr>
        <w:t>部分对应的基本保险金额。</w:t>
      </w:r>
    </w:p>
    <w:p>
      <w:pPr>
        <w:spacing w:after="0" w:line="278" w:lineRule="auto"/>
        <w:sectPr>
          <w:type w:val="continuous"/>
          <w:pgSz w:w="11910" w:h="16840"/>
          <w:pgMar w:top="460" w:bottom="280" w:left="680" w:right="460"/>
          <w:cols w:num="2" w:equalWidth="0">
            <w:col w:w="2981" w:space="40"/>
            <w:col w:w="7749"/>
          </w:cols>
        </w:sectPr>
      </w:pPr>
    </w:p>
    <w:p>
      <w:pPr>
        <w:pStyle w:val="Heading2"/>
        <w:spacing w:line="278" w:lineRule="auto" w:before="44"/>
        <w:ind w:firstLine="0"/>
        <w:rPr>
          <w:rFonts w:ascii="楷体" w:eastAsia="楷体" w:hint="eastAsia"/>
        </w:rPr>
      </w:pPr>
      <w:r>
        <w:rPr>
          <w:rFonts w:ascii="楷体" w:eastAsia="楷体" w:hint="eastAsia"/>
          <w:spacing w:val="-2"/>
        </w:rPr>
        <w:t>青少儿特定疾</w:t>
      </w:r>
      <w:r>
        <w:rPr>
          <w:rFonts w:ascii="楷体" w:eastAsia="楷体" w:hint="eastAsia"/>
          <w:spacing w:val="-2"/>
        </w:rPr>
        <w:t>病额外保险金</w:t>
      </w:r>
    </w:p>
    <w:p>
      <w:pPr>
        <w:spacing w:line="273" w:lineRule="auto" w:before="44"/>
        <w:ind w:left="265" w:right="579" w:firstLine="0"/>
        <w:jc w:val="left"/>
        <w:rPr>
          <w:b/>
          <w:i/>
          <w:sz w:val="22"/>
        </w:rPr>
      </w:pPr>
      <w:r>
        <w:rPr/>
        <w:br w:type="column"/>
      </w:r>
      <w:r>
        <w:rPr>
          <w:spacing w:val="-2"/>
          <w:w w:val="100"/>
          <w:sz w:val="21"/>
        </w:rPr>
        <w:t>若被保险人于</w:t>
      </w:r>
      <w:r>
        <w:rPr>
          <w:spacing w:val="-53"/>
          <w:sz w:val="21"/>
        </w:rPr>
        <w:t> </w:t>
      </w:r>
      <w:r>
        <w:rPr>
          <w:spacing w:val="-3"/>
          <w:w w:val="100"/>
          <w:sz w:val="21"/>
        </w:rPr>
        <w:t>2</w:t>
      </w:r>
      <w:r>
        <w:rPr>
          <w:w w:val="100"/>
          <w:sz w:val="21"/>
        </w:rPr>
        <w:t>5</w:t>
      </w:r>
      <w:r>
        <w:rPr>
          <w:spacing w:val="-52"/>
          <w:sz w:val="21"/>
        </w:rPr>
        <w:t> </w:t>
      </w:r>
      <w:r>
        <w:rPr>
          <w:spacing w:val="-2"/>
          <w:w w:val="100"/>
          <w:sz w:val="21"/>
        </w:rPr>
        <w:t>周岁</w:t>
      </w:r>
      <w:r>
        <w:rPr>
          <w:spacing w:val="-3"/>
          <w:w w:val="100"/>
          <w:sz w:val="21"/>
        </w:rPr>
        <w:t>（含</w:t>
      </w:r>
      <w:r>
        <w:rPr>
          <w:w w:val="100"/>
          <w:sz w:val="21"/>
        </w:rPr>
        <w:t>）</w:t>
      </w:r>
      <w:r>
        <w:rPr>
          <w:spacing w:val="-3"/>
          <w:w w:val="100"/>
          <w:sz w:val="21"/>
        </w:rPr>
        <w:t>前，首次重度疾病为本主险合同约定的青少儿</w:t>
      </w:r>
      <w:r>
        <w:rPr>
          <w:spacing w:val="-1"/>
          <w:w w:val="100"/>
          <w:sz w:val="21"/>
        </w:rPr>
        <w:t>特定疾病</w:t>
      </w:r>
      <w:r>
        <w:rPr>
          <w:spacing w:val="-3"/>
          <w:w w:val="100"/>
          <w:sz w:val="21"/>
        </w:rPr>
        <w:t>（</w:t>
      </w:r>
      <w:r>
        <w:rPr>
          <w:w w:val="100"/>
          <w:sz w:val="21"/>
        </w:rPr>
        <w:t>见</w:t>
      </w:r>
      <w:r>
        <w:rPr>
          <w:spacing w:val="-53"/>
          <w:sz w:val="21"/>
        </w:rPr>
        <w:t> </w:t>
      </w:r>
      <w:r>
        <w:rPr>
          <w:spacing w:val="-3"/>
          <w:w w:val="100"/>
          <w:sz w:val="21"/>
        </w:rPr>
        <w:t>9</w:t>
      </w:r>
      <w:r>
        <w:rPr>
          <w:w w:val="100"/>
          <w:sz w:val="21"/>
        </w:rPr>
        <w:t>.14</w:t>
      </w:r>
      <w:r>
        <w:rPr>
          <w:spacing w:val="-108"/>
          <w:w w:val="100"/>
          <w:sz w:val="21"/>
        </w:rPr>
        <w:t>）</w:t>
      </w:r>
      <w:r>
        <w:rPr>
          <w:spacing w:val="-3"/>
          <w:w w:val="100"/>
          <w:sz w:val="21"/>
        </w:rPr>
        <w:t>，我们除给付首次重度疾病保险金外，还将按确诊时本主险合同基本部分对应的基本保险金额额外给付青少儿特定疾病额外保险</w:t>
      </w:r>
      <w:r>
        <w:rPr>
          <w:spacing w:val="-18"/>
          <w:w w:val="100"/>
          <w:sz w:val="21"/>
        </w:rPr>
        <w:t>金，</w:t>
      </w:r>
      <w:r>
        <w:rPr>
          <w:b/>
          <w:i/>
          <w:spacing w:val="-2"/>
          <w:w w:val="95"/>
          <w:sz w:val="22"/>
        </w:rPr>
        <w:t>同时本项保险责任终止</w:t>
      </w:r>
      <w:r>
        <w:rPr>
          <w:spacing w:val="-32"/>
          <w:w w:val="100"/>
          <w:sz w:val="21"/>
        </w:rPr>
        <w:t>。</w:t>
      </w:r>
      <w:r>
        <w:rPr>
          <w:b/>
          <w:i/>
          <w:spacing w:val="-3"/>
          <w:w w:val="95"/>
          <w:sz w:val="22"/>
        </w:rPr>
        <w:t>本主险合同青少儿特定疾病额外保险金的给付</w:t>
      </w:r>
      <w:r>
        <w:rPr>
          <w:b/>
          <w:i/>
          <w:w w:val="95"/>
          <w:sz w:val="22"/>
        </w:rPr>
        <w:t>次数以一次为限。</w:t>
      </w:r>
    </w:p>
    <w:p>
      <w:pPr>
        <w:spacing w:after="0" w:line="273" w:lineRule="auto"/>
        <w:jc w:val="left"/>
        <w:rPr>
          <w:sz w:val="22"/>
        </w:rPr>
        <w:sectPr>
          <w:pgSz w:w="11910" w:h="16840"/>
          <w:pgMar w:top="1520" w:bottom="280" w:left="680" w:right="460"/>
          <w:cols w:num="2" w:equalWidth="0">
            <w:col w:w="2981" w:space="40"/>
            <w:col w:w="7749"/>
          </w:cols>
        </w:sectPr>
      </w:pPr>
    </w:p>
    <w:p>
      <w:pPr>
        <w:pStyle w:val="BodyText"/>
        <w:spacing w:before="7"/>
        <w:rPr>
          <w:b/>
          <w:i/>
          <w:sz w:val="18"/>
        </w:rPr>
      </w:pPr>
    </w:p>
    <w:p>
      <w:pPr>
        <w:spacing w:after="0"/>
        <w:rPr>
          <w:sz w:val="18"/>
        </w:rPr>
        <w:sectPr>
          <w:type w:val="continuous"/>
          <w:pgSz w:w="11910" w:h="16840"/>
          <w:pgMar w:top="460" w:bottom="280" w:left="680" w:right="460"/>
        </w:sectPr>
      </w:pPr>
    </w:p>
    <w:p>
      <w:pPr>
        <w:pStyle w:val="Heading2"/>
        <w:spacing w:line="278" w:lineRule="auto"/>
        <w:ind w:firstLine="0"/>
        <w:rPr>
          <w:rFonts w:ascii="楷体" w:eastAsia="楷体" w:hint="eastAsia"/>
        </w:rPr>
      </w:pPr>
      <w:r>
        <w:rPr>
          <w:rFonts w:ascii="楷体" w:eastAsia="楷体" w:hint="eastAsia"/>
          <w:spacing w:val="-2"/>
        </w:rPr>
        <w:t>成人特定疾病</w:t>
      </w:r>
      <w:r>
        <w:rPr>
          <w:rFonts w:ascii="楷体" w:eastAsia="楷体" w:hint="eastAsia"/>
          <w:spacing w:val="-2"/>
        </w:rPr>
        <w:t>额外保险金</w:t>
      </w:r>
    </w:p>
    <w:p>
      <w:pPr>
        <w:spacing w:line="273" w:lineRule="auto" w:before="72"/>
        <w:ind w:left="265" w:right="493" w:firstLine="0"/>
        <w:jc w:val="left"/>
        <w:rPr>
          <w:b/>
          <w:i/>
          <w:sz w:val="22"/>
        </w:rPr>
      </w:pPr>
      <w:r>
        <w:rPr/>
        <w:br w:type="column"/>
      </w:r>
      <w:r>
        <w:rPr>
          <w:spacing w:val="-2"/>
          <w:w w:val="100"/>
          <w:sz w:val="21"/>
        </w:rPr>
        <w:t>若被保险人于</w:t>
      </w:r>
      <w:r>
        <w:rPr>
          <w:spacing w:val="-53"/>
          <w:sz w:val="21"/>
        </w:rPr>
        <w:t> </w:t>
      </w:r>
      <w:r>
        <w:rPr>
          <w:spacing w:val="-3"/>
          <w:w w:val="100"/>
          <w:sz w:val="21"/>
        </w:rPr>
        <w:t>2</w:t>
      </w:r>
      <w:r>
        <w:rPr>
          <w:w w:val="100"/>
          <w:sz w:val="21"/>
        </w:rPr>
        <w:t>6</w:t>
      </w:r>
      <w:r>
        <w:rPr>
          <w:spacing w:val="-52"/>
          <w:sz w:val="21"/>
        </w:rPr>
        <w:t> </w:t>
      </w:r>
      <w:r>
        <w:rPr>
          <w:spacing w:val="-6"/>
          <w:w w:val="100"/>
          <w:sz w:val="21"/>
        </w:rPr>
        <w:t>周岁</w:t>
      </w:r>
      <w:r>
        <w:rPr>
          <w:spacing w:val="-3"/>
          <w:w w:val="100"/>
          <w:sz w:val="21"/>
        </w:rPr>
        <w:t>（含</w:t>
      </w:r>
      <w:r>
        <w:rPr>
          <w:spacing w:val="-8"/>
          <w:w w:val="100"/>
          <w:sz w:val="21"/>
        </w:rPr>
        <w:t>）</w:t>
      </w:r>
      <w:r>
        <w:rPr>
          <w:w w:val="100"/>
          <w:sz w:val="21"/>
        </w:rPr>
        <w:t>至</w:t>
      </w:r>
      <w:r>
        <w:rPr>
          <w:spacing w:val="-53"/>
          <w:sz w:val="21"/>
        </w:rPr>
        <w:t> </w:t>
      </w:r>
      <w:r>
        <w:rPr>
          <w:spacing w:val="-3"/>
          <w:w w:val="100"/>
          <w:sz w:val="21"/>
        </w:rPr>
        <w:t>6</w:t>
      </w:r>
      <w:r>
        <w:rPr>
          <w:w w:val="100"/>
          <w:sz w:val="21"/>
        </w:rPr>
        <w:t>0</w:t>
      </w:r>
      <w:r>
        <w:rPr>
          <w:spacing w:val="-53"/>
          <w:sz w:val="21"/>
        </w:rPr>
        <w:t> </w:t>
      </w:r>
      <w:r>
        <w:rPr>
          <w:spacing w:val="-6"/>
          <w:w w:val="100"/>
          <w:sz w:val="21"/>
        </w:rPr>
        <w:t>周岁</w:t>
      </w:r>
      <w:r>
        <w:rPr>
          <w:spacing w:val="-3"/>
          <w:w w:val="100"/>
          <w:sz w:val="21"/>
        </w:rPr>
        <w:t>（</w:t>
      </w:r>
      <w:r>
        <w:rPr>
          <w:w w:val="100"/>
          <w:sz w:val="21"/>
        </w:rPr>
        <w:t>含</w:t>
      </w:r>
      <w:r>
        <w:rPr>
          <w:spacing w:val="-8"/>
          <w:w w:val="100"/>
          <w:sz w:val="21"/>
        </w:rPr>
        <w:t>）</w:t>
      </w:r>
      <w:r>
        <w:rPr>
          <w:spacing w:val="-4"/>
          <w:w w:val="100"/>
          <w:sz w:val="21"/>
        </w:rPr>
        <w:t>之间，首次重度疾病为本主险</w:t>
      </w:r>
      <w:r>
        <w:rPr>
          <w:spacing w:val="-3"/>
          <w:w w:val="100"/>
          <w:sz w:val="21"/>
        </w:rPr>
        <w:t>合同约定的成人特定疾病</w:t>
      </w:r>
      <w:r>
        <w:rPr>
          <w:w w:val="100"/>
          <w:sz w:val="21"/>
        </w:rPr>
        <w:t>（见</w:t>
      </w:r>
      <w:r>
        <w:rPr>
          <w:spacing w:val="-52"/>
          <w:sz w:val="21"/>
        </w:rPr>
        <w:t> </w:t>
      </w:r>
      <w:r>
        <w:rPr>
          <w:spacing w:val="-3"/>
          <w:w w:val="100"/>
          <w:sz w:val="21"/>
        </w:rPr>
        <w:t>9</w:t>
      </w:r>
      <w:r>
        <w:rPr>
          <w:w w:val="100"/>
          <w:sz w:val="21"/>
        </w:rPr>
        <w:t>.1</w:t>
      </w:r>
      <w:r>
        <w:rPr>
          <w:spacing w:val="-3"/>
          <w:w w:val="100"/>
          <w:sz w:val="21"/>
        </w:rPr>
        <w:t>5</w:t>
      </w:r>
      <w:r>
        <w:rPr>
          <w:w w:val="100"/>
          <w:sz w:val="21"/>
        </w:rPr>
        <w:t>）</w:t>
      </w:r>
      <w:r>
        <w:rPr>
          <w:spacing w:val="-3"/>
          <w:w w:val="100"/>
          <w:sz w:val="21"/>
        </w:rPr>
        <w:t>，我们除给付首次重度疾病保险金外，还将按确诊时本主险合同基本部分对应的基本保险金额额外给付成人特定</w:t>
      </w:r>
      <w:r>
        <w:rPr>
          <w:spacing w:val="-3"/>
          <w:w w:val="100"/>
          <w:sz w:val="21"/>
        </w:rPr>
        <w:t> </w:t>
      </w:r>
      <w:r>
        <w:rPr>
          <w:spacing w:val="-7"/>
          <w:w w:val="100"/>
          <w:sz w:val="21"/>
        </w:rPr>
        <w:t>疾病额外保险金，</w:t>
      </w:r>
      <w:r>
        <w:rPr>
          <w:b/>
          <w:i/>
          <w:spacing w:val="-1"/>
          <w:w w:val="95"/>
          <w:sz w:val="22"/>
        </w:rPr>
        <w:t>同时本项保险责任终止</w:t>
      </w:r>
      <w:r>
        <w:rPr>
          <w:spacing w:val="-29"/>
          <w:w w:val="100"/>
          <w:sz w:val="21"/>
        </w:rPr>
        <w:t>。</w:t>
      </w:r>
      <w:r>
        <w:rPr>
          <w:b/>
          <w:i/>
          <w:spacing w:val="-2"/>
          <w:w w:val="95"/>
          <w:sz w:val="22"/>
        </w:rPr>
        <w:t>本主险合同成人特定疾病额外保</w:t>
      </w:r>
      <w:r>
        <w:rPr>
          <w:b/>
          <w:i/>
          <w:spacing w:val="-3"/>
          <w:w w:val="95"/>
          <w:sz w:val="22"/>
        </w:rPr>
        <w:t>险金的给付次数以一次为限。</w:t>
      </w:r>
    </w:p>
    <w:p>
      <w:pPr>
        <w:spacing w:after="0" w:line="273" w:lineRule="auto"/>
        <w:jc w:val="left"/>
        <w:rPr>
          <w:sz w:val="22"/>
        </w:rPr>
        <w:sectPr>
          <w:type w:val="continuous"/>
          <w:pgSz w:w="11910" w:h="16840"/>
          <w:pgMar w:top="460" w:bottom="280" w:left="680" w:right="460"/>
          <w:cols w:num="2" w:equalWidth="0">
            <w:col w:w="2981" w:space="40"/>
            <w:col w:w="7749"/>
          </w:cols>
        </w:sectPr>
      </w:pPr>
    </w:p>
    <w:p>
      <w:pPr>
        <w:pStyle w:val="BodyText"/>
        <w:spacing w:before="10"/>
        <w:rPr>
          <w:b/>
          <w:i/>
          <w:sz w:val="17"/>
        </w:rPr>
      </w:pPr>
    </w:p>
    <w:p>
      <w:pPr>
        <w:spacing w:after="0"/>
        <w:rPr>
          <w:sz w:val="17"/>
        </w:rPr>
        <w:sectPr>
          <w:type w:val="continuous"/>
          <w:pgSz w:w="11910" w:h="16840"/>
          <w:pgMar w:top="460" w:bottom="280" w:left="680" w:right="460"/>
        </w:sectPr>
      </w:pPr>
    </w:p>
    <w:p>
      <w:pPr>
        <w:pStyle w:val="Heading2"/>
        <w:spacing w:line="278" w:lineRule="auto" w:before="82"/>
        <w:ind w:firstLine="0"/>
        <w:rPr>
          <w:rFonts w:ascii="楷体" w:eastAsia="楷体" w:hint="eastAsia"/>
        </w:rPr>
      </w:pPr>
      <w:r>
        <w:rPr>
          <w:rFonts w:ascii="楷体" w:eastAsia="楷体" w:hint="eastAsia"/>
          <w:spacing w:val="-2"/>
        </w:rPr>
        <w:t>轻度疾病豁免</w:t>
      </w:r>
      <w:r>
        <w:rPr>
          <w:rFonts w:ascii="楷体" w:eastAsia="楷体" w:hint="eastAsia"/>
          <w:spacing w:val="-4"/>
        </w:rPr>
        <w:t>保险费</w:t>
      </w:r>
    </w:p>
    <w:p>
      <w:pPr>
        <w:pStyle w:val="BodyText"/>
        <w:spacing w:line="276" w:lineRule="auto" w:before="72"/>
        <w:ind w:left="265" w:right="577"/>
        <w:jc w:val="both"/>
      </w:pPr>
      <w:r>
        <w:rPr/>
        <w:br w:type="column"/>
      </w:r>
      <w:r>
        <w:rPr>
          <w:spacing w:val="-2"/>
        </w:rPr>
        <w:t>若被保险人经专科医生明确诊断</w:t>
      </w:r>
      <w:r>
        <w:rPr>
          <w:b/>
          <w:i/>
          <w:spacing w:val="-2"/>
          <w:sz w:val="22"/>
        </w:rPr>
        <w:t>初</w:t>
      </w:r>
      <w:r>
        <w:rPr>
          <w:b/>
          <w:i/>
          <w:spacing w:val="-2"/>
          <w:sz w:val="22"/>
        </w:rPr>
        <w:t>次</w:t>
      </w:r>
      <w:r>
        <w:rPr>
          <w:b/>
          <w:i/>
          <w:spacing w:val="-2"/>
          <w:sz w:val="22"/>
        </w:rPr>
        <w:t>患</w:t>
      </w:r>
      <w:r>
        <w:rPr>
          <w:spacing w:val="-2"/>
        </w:rPr>
        <w:t>本主险合同约定的轻度疾病，我们将</w:t>
      </w:r>
      <w:r>
        <w:rPr>
          <w:spacing w:val="-2"/>
        </w:rPr>
        <w:t>豁免本主险合同自被保险人的轻度疾病确诊之日起的续期保险费，本主险合</w:t>
      </w:r>
      <w:r>
        <w:rPr>
          <w:spacing w:val="-2"/>
        </w:rPr>
        <w:t>同继续有效。</w:t>
      </w:r>
    </w:p>
    <w:p>
      <w:pPr>
        <w:spacing w:after="0" w:line="276" w:lineRule="auto"/>
        <w:jc w:val="both"/>
        <w:sectPr>
          <w:type w:val="continuous"/>
          <w:pgSz w:w="11910" w:h="16840"/>
          <w:pgMar w:top="460" w:bottom="280" w:left="680" w:right="460"/>
          <w:cols w:num="2" w:equalWidth="0">
            <w:col w:w="2981" w:space="40"/>
            <w:col w:w="7749"/>
          </w:cols>
        </w:sectPr>
      </w:pPr>
    </w:p>
    <w:p>
      <w:pPr>
        <w:pStyle w:val="BodyText"/>
        <w:spacing w:before="3"/>
        <w:rPr>
          <w:sz w:val="18"/>
        </w:rPr>
      </w:pPr>
    </w:p>
    <w:p>
      <w:pPr>
        <w:spacing w:after="0"/>
        <w:rPr>
          <w:sz w:val="18"/>
        </w:rPr>
        <w:sectPr>
          <w:type w:val="continuous"/>
          <w:pgSz w:w="11910" w:h="16840"/>
          <w:pgMar w:top="460" w:bottom="280" w:left="680" w:right="460"/>
        </w:sectPr>
      </w:pPr>
    </w:p>
    <w:p>
      <w:pPr>
        <w:pStyle w:val="Heading2"/>
        <w:spacing w:line="278" w:lineRule="auto" w:before="81"/>
        <w:ind w:firstLine="0"/>
        <w:rPr>
          <w:rFonts w:ascii="楷体" w:eastAsia="楷体" w:hint="eastAsia"/>
        </w:rPr>
      </w:pPr>
      <w:r>
        <w:rPr>
          <w:rFonts w:ascii="楷体" w:eastAsia="楷体" w:hint="eastAsia"/>
          <w:spacing w:val="-2"/>
        </w:rPr>
        <w:t>中度疾病豁免</w:t>
      </w:r>
      <w:r>
        <w:rPr>
          <w:rFonts w:ascii="楷体" w:eastAsia="楷体" w:hint="eastAsia"/>
          <w:spacing w:val="-4"/>
        </w:rPr>
        <w:t>保险费</w:t>
      </w:r>
    </w:p>
    <w:p>
      <w:pPr>
        <w:pStyle w:val="BodyText"/>
        <w:spacing w:line="276" w:lineRule="auto" w:before="71"/>
        <w:ind w:left="265" w:right="577"/>
        <w:jc w:val="both"/>
      </w:pPr>
      <w:r>
        <w:rPr/>
        <w:br w:type="column"/>
      </w:r>
      <w:r>
        <w:rPr>
          <w:spacing w:val="-2"/>
        </w:rPr>
        <w:t>若被保险人经专科医生明确诊断</w:t>
      </w:r>
      <w:r>
        <w:rPr>
          <w:b/>
          <w:i/>
          <w:spacing w:val="-2"/>
          <w:sz w:val="22"/>
        </w:rPr>
        <w:t>初</w:t>
      </w:r>
      <w:r>
        <w:rPr>
          <w:b/>
          <w:i/>
          <w:spacing w:val="-2"/>
          <w:sz w:val="22"/>
        </w:rPr>
        <w:t>次</w:t>
      </w:r>
      <w:r>
        <w:rPr>
          <w:b/>
          <w:i/>
          <w:spacing w:val="-2"/>
          <w:sz w:val="22"/>
        </w:rPr>
        <w:t>患</w:t>
      </w:r>
      <w:r>
        <w:rPr>
          <w:spacing w:val="-2"/>
        </w:rPr>
        <w:t>本主险合同约定的中度疾病，我们将</w:t>
      </w:r>
      <w:r>
        <w:rPr>
          <w:spacing w:val="-2"/>
        </w:rPr>
        <w:t>豁免本主险合同自被保险人的中度疾病确诊之日起的续期保险费，本主险合</w:t>
      </w:r>
      <w:r>
        <w:rPr>
          <w:spacing w:val="-2"/>
        </w:rPr>
        <w:t>同继续有效。</w:t>
      </w:r>
    </w:p>
    <w:p>
      <w:pPr>
        <w:spacing w:after="0" w:line="276" w:lineRule="auto"/>
        <w:jc w:val="both"/>
        <w:sectPr>
          <w:type w:val="continuous"/>
          <w:pgSz w:w="11910" w:h="16840"/>
          <w:pgMar w:top="460" w:bottom="280" w:left="680" w:right="460"/>
          <w:cols w:num="2" w:equalWidth="0">
            <w:col w:w="2981" w:space="40"/>
            <w:col w:w="7749"/>
          </w:cols>
        </w:sectPr>
      </w:pPr>
    </w:p>
    <w:p>
      <w:pPr>
        <w:pStyle w:val="BodyText"/>
        <w:spacing w:before="3"/>
        <w:rPr>
          <w:sz w:val="18"/>
        </w:rPr>
      </w:pPr>
    </w:p>
    <w:p>
      <w:pPr>
        <w:spacing w:after="0"/>
        <w:rPr>
          <w:sz w:val="18"/>
        </w:rPr>
        <w:sectPr>
          <w:type w:val="continuous"/>
          <w:pgSz w:w="11910" w:h="16840"/>
          <w:pgMar w:top="460" w:bottom="280" w:left="680" w:right="460"/>
        </w:sectPr>
      </w:pPr>
    </w:p>
    <w:p>
      <w:pPr>
        <w:pStyle w:val="Heading2"/>
        <w:spacing w:line="278" w:lineRule="auto" w:before="82"/>
        <w:ind w:firstLine="0"/>
        <w:rPr>
          <w:rFonts w:ascii="楷体" w:eastAsia="楷体" w:hint="eastAsia"/>
        </w:rPr>
      </w:pPr>
      <w:r>
        <w:rPr>
          <w:rFonts w:ascii="楷体" w:eastAsia="楷体" w:hint="eastAsia"/>
          <w:spacing w:val="-2"/>
        </w:rPr>
        <w:t>重度疾病豁免</w:t>
      </w:r>
      <w:r>
        <w:rPr>
          <w:rFonts w:ascii="楷体" w:eastAsia="楷体" w:hint="eastAsia"/>
          <w:spacing w:val="-4"/>
        </w:rPr>
        <w:t>保险费</w:t>
      </w:r>
    </w:p>
    <w:p>
      <w:pPr>
        <w:pStyle w:val="BodyText"/>
        <w:spacing w:line="276" w:lineRule="auto" w:before="72"/>
        <w:ind w:left="265" w:right="577"/>
        <w:jc w:val="both"/>
      </w:pPr>
      <w:r>
        <w:rPr/>
        <w:br w:type="column"/>
      </w:r>
      <w:r>
        <w:rPr>
          <w:spacing w:val="-2"/>
        </w:rPr>
        <w:t>若被保险人经专科医生明确诊断</w:t>
      </w:r>
      <w:r>
        <w:rPr>
          <w:b/>
          <w:i/>
          <w:spacing w:val="-2"/>
          <w:sz w:val="22"/>
        </w:rPr>
        <w:t>初</w:t>
      </w:r>
      <w:r>
        <w:rPr>
          <w:b/>
          <w:i/>
          <w:spacing w:val="-2"/>
          <w:sz w:val="22"/>
        </w:rPr>
        <w:t>次</w:t>
      </w:r>
      <w:r>
        <w:rPr>
          <w:b/>
          <w:i/>
          <w:spacing w:val="-2"/>
          <w:sz w:val="22"/>
        </w:rPr>
        <w:t>患</w:t>
      </w:r>
      <w:r>
        <w:rPr>
          <w:spacing w:val="-2"/>
        </w:rPr>
        <w:t>本主险合同约定的重度疾病，我们将</w:t>
      </w:r>
      <w:r>
        <w:rPr>
          <w:spacing w:val="-2"/>
        </w:rPr>
        <w:t>豁免本主险合同自被保险人的首次重度疾病确诊之日起的续期保险费，本主</w:t>
      </w:r>
      <w:r>
        <w:rPr>
          <w:spacing w:val="-2"/>
        </w:rPr>
        <w:t>险合同继续有效。</w:t>
      </w:r>
    </w:p>
    <w:p>
      <w:pPr>
        <w:pStyle w:val="BodyText"/>
        <w:spacing w:before="7"/>
        <w:rPr>
          <w:sz w:val="24"/>
        </w:rPr>
      </w:pPr>
    </w:p>
    <w:p>
      <w:pPr>
        <w:pStyle w:val="BodyText"/>
        <w:spacing w:line="278" w:lineRule="auto" w:before="1"/>
        <w:ind w:left="265" w:right="577"/>
        <w:jc w:val="both"/>
      </w:pPr>
      <w:r>
        <w:rPr>
          <w:spacing w:val="-2"/>
        </w:rPr>
        <w:t>被豁免的本主险合同的保险费视同已交纳。在豁免保险费期间，我们不接受</w:t>
      </w:r>
      <w:r>
        <w:rPr>
          <w:spacing w:val="-2"/>
        </w:rPr>
        <w:t>本主险合同基本部分和可选部分（如选）对应的基本保险金额、交费期间及</w:t>
      </w:r>
      <w:r>
        <w:rPr>
          <w:spacing w:val="-2"/>
        </w:rPr>
        <w:t>交费方式的变更。</w:t>
      </w:r>
    </w:p>
    <w:p>
      <w:pPr>
        <w:spacing w:after="0" w:line="278" w:lineRule="auto"/>
        <w:jc w:val="both"/>
        <w:sectPr>
          <w:type w:val="continuous"/>
          <w:pgSz w:w="11910" w:h="16840"/>
          <w:pgMar w:top="460" w:bottom="280" w:left="680" w:right="460"/>
          <w:cols w:num="2" w:equalWidth="0">
            <w:col w:w="2981" w:space="40"/>
            <w:col w:w="7749"/>
          </w:cols>
        </w:sectPr>
      </w:pPr>
    </w:p>
    <w:p>
      <w:pPr>
        <w:pStyle w:val="BodyText"/>
        <w:spacing w:before="9"/>
        <w:rPr>
          <w:sz w:val="18"/>
        </w:rPr>
      </w:pPr>
    </w:p>
    <w:p>
      <w:pPr>
        <w:pStyle w:val="BodyText"/>
        <w:tabs>
          <w:tab w:pos="3285" w:val="left" w:leader="none"/>
        </w:tabs>
        <w:spacing w:line="278" w:lineRule="auto" w:before="72"/>
        <w:ind w:left="3285" w:right="577" w:hanging="1573"/>
      </w:pPr>
      <w:r>
        <w:rPr>
          <w:b/>
          <w:w w:val="100"/>
        </w:rPr>
        <w:t>可选部分</w:t>
      </w:r>
      <w:r>
        <w:rPr>
          <w:b/>
        </w:rPr>
        <w:tab/>
      </w:r>
      <w:r>
        <w:rPr>
          <w:w w:val="100"/>
        </w:rPr>
        <w:t>本主</w:t>
      </w:r>
      <w:r>
        <w:rPr>
          <w:spacing w:val="-3"/>
          <w:w w:val="100"/>
        </w:rPr>
        <w:t>险</w:t>
      </w:r>
      <w:r>
        <w:rPr>
          <w:w w:val="100"/>
        </w:rPr>
        <w:t>合</w:t>
      </w:r>
      <w:r>
        <w:rPr>
          <w:spacing w:val="-3"/>
          <w:w w:val="100"/>
        </w:rPr>
        <w:t>同</w:t>
      </w:r>
      <w:r>
        <w:rPr>
          <w:w w:val="100"/>
        </w:rPr>
        <w:t>可</w:t>
      </w:r>
      <w:r>
        <w:rPr>
          <w:spacing w:val="-3"/>
          <w:w w:val="100"/>
        </w:rPr>
        <w:t>选</w:t>
      </w:r>
      <w:r>
        <w:rPr>
          <w:w w:val="100"/>
        </w:rPr>
        <w:t>部</w:t>
      </w:r>
      <w:r>
        <w:rPr>
          <w:spacing w:val="-3"/>
          <w:w w:val="100"/>
        </w:rPr>
        <w:t>分</w:t>
      </w:r>
      <w:r>
        <w:rPr>
          <w:w w:val="100"/>
        </w:rPr>
        <w:t>的</w:t>
      </w:r>
      <w:r>
        <w:rPr>
          <w:spacing w:val="-3"/>
          <w:w w:val="100"/>
        </w:rPr>
        <w:t>保</w:t>
      </w:r>
      <w:r>
        <w:rPr>
          <w:w w:val="100"/>
        </w:rPr>
        <w:t>险责</w:t>
      </w:r>
      <w:r>
        <w:rPr>
          <w:spacing w:val="-3"/>
          <w:w w:val="100"/>
        </w:rPr>
        <w:t>任</w:t>
      </w:r>
      <w:r>
        <w:rPr>
          <w:w w:val="100"/>
        </w:rPr>
        <w:t>包</w:t>
      </w:r>
      <w:r>
        <w:rPr>
          <w:spacing w:val="-3"/>
          <w:w w:val="100"/>
        </w:rPr>
        <w:t>括</w:t>
      </w:r>
      <w:r>
        <w:rPr>
          <w:w w:val="100"/>
        </w:rPr>
        <w:t>较</w:t>
      </w:r>
      <w:r>
        <w:rPr>
          <w:spacing w:val="-3"/>
          <w:w w:val="100"/>
        </w:rPr>
        <w:t>重</w:t>
      </w:r>
      <w:r>
        <w:rPr>
          <w:w w:val="100"/>
        </w:rPr>
        <w:t>急</w:t>
      </w:r>
      <w:r>
        <w:rPr>
          <w:spacing w:val="-2"/>
          <w:w w:val="100"/>
        </w:rPr>
        <w:t>性</w:t>
      </w:r>
      <w:r>
        <w:rPr>
          <w:w w:val="100"/>
        </w:rPr>
        <w:t>心</w:t>
      </w:r>
      <w:r>
        <w:rPr>
          <w:spacing w:val="-3"/>
          <w:w w:val="100"/>
        </w:rPr>
        <w:t>肌</w:t>
      </w:r>
      <w:r>
        <w:rPr>
          <w:w w:val="100"/>
        </w:rPr>
        <w:t>梗</w:t>
      </w:r>
      <w:r>
        <w:rPr>
          <w:spacing w:val="-1"/>
          <w:w w:val="100"/>
        </w:rPr>
        <w:t>死</w:t>
      </w:r>
      <w:r>
        <w:rPr>
          <w:spacing w:val="-3"/>
          <w:w w:val="100"/>
        </w:rPr>
        <w:t>或</w:t>
      </w:r>
      <w:r>
        <w:rPr>
          <w:w w:val="100"/>
        </w:rPr>
        <w:t>严</w:t>
      </w:r>
      <w:r>
        <w:rPr>
          <w:spacing w:val="-3"/>
          <w:w w:val="100"/>
        </w:rPr>
        <w:t>重</w:t>
      </w:r>
      <w:r>
        <w:rPr>
          <w:w w:val="100"/>
        </w:rPr>
        <w:t>脑</w:t>
      </w:r>
      <w:r>
        <w:rPr>
          <w:spacing w:val="-3"/>
          <w:w w:val="100"/>
        </w:rPr>
        <w:t>中</w:t>
      </w:r>
      <w:r>
        <w:rPr>
          <w:w w:val="100"/>
        </w:rPr>
        <w:t>风</w:t>
      </w:r>
      <w:r>
        <w:rPr>
          <w:spacing w:val="-3"/>
          <w:w w:val="100"/>
        </w:rPr>
        <w:t>后</w:t>
      </w:r>
      <w:r>
        <w:rPr>
          <w:w w:val="100"/>
        </w:rPr>
        <w:t>遗症特</w:t>
      </w:r>
      <w:r>
        <w:rPr>
          <w:spacing w:val="-3"/>
          <w:w w:val="100"/>
        </w:rPr>
        <w:t>别</w:t>
      </w:r>
      <w:r>
        <w:rPr>
          <w:w w:val="100"/>
        </w:rPr>
        <w:t>保</w:t>
      </w:r>
      <w:r>
        <w:rPr>
          <w:spacing w:val="-3"/>
          <w:w w:val="100"/>
        </w:rPr>
        <w:t>险</w:t>
      </w:r>
      <w:r>
        <w:rPr>
          <w:w w:val="100"/>
        </w:rPr>
        <w:t>金</w:t>
      </w:r>
      <w:r>
        <w:rPr>
          <w:spacing w:val="-15"/>
          <w:w w:val="100"/>
        </w:rPr>
        <w:t>、</w:t>
      </w:r>
      <w:r>
        <w:rPr>
          <w:w w:val="100"/>
        </w:rPr>
        <w:t>恶</w:t>
      </w:r>
      <w:r>
        <w:rPr>
          <w:spacing w:val="-3"/>
          <w:w w:val="100"/>
        </w:rPr>
        <w:t>性</w:t>
      </w:r>
      <w:r>
        <w:rPr>
          <w:w w:val="100"/>
        </w:rPr>
        <w:t>肿</w:t>
      </w:r>
      <w:r>
        <w:rPr>
          <w:spacing w:val="-3"/>
          <w:w w:val="100"/>
        </w:rPr>
        <w:t>瘤</w:t>
      </w:r>
      <w:r>
        <w:rPr>
          <w:w w:val="100"/>
        </w:rPr>
        <w:t>——</w:t>
      </w:r>
      <w:r>
        <w:rPr>
          <w:spacing w:val="-3"/>
          <w:w w:val="100"/>
        </w:rPr>
        <w:t>重</w:t>
      </w:r>
      <w:r>
        <w:rPr>
          <w:w w:val="100"/>
        </w:rPr>
        <w:t>度</w:t>
      </w:r>
      <w:r>
        <w:rPr>
          <w:spacing w:val="-3"/>
          <w:w w:val="100"/>
        </w:rPr>
        <w:t>特</w:t>
      </w:r>
      <w:r>
        <w:rPr>
          <w:w w:val="100"/>
        </w:rPr>
        <w:t>别</w:t>
      </w:r>
      <w:r>
        <w:rPr>
          <w:spacing w:val="-3"/>
          <w:w w:val="100"/>
        </w:rPr>
        <w:t>保</w:t>
      </w:r>
      <w:r>
        <w:rPr>
          <w:w w:val="100"/>
        </w:rPr>
        <w:t>险</w:t>
      </w:r>
      <w:r>
        <w:rPr>
          <w:spacing w:val="-2"/>
          <w:w w:val="100"/>
        </w:rPr>
        <w:t>金</w:t>
      </w:r>
      <w:r>
        <w:rPr>
          <w:spacing w:val="-13"/>
          <w:w w:val="100"/>
        </w:rPr>
        <w:t>、</w:t>
      </w:r>
      <w:r>
        <w:rPr>
          <w:spacing w:val="-3"/>
          <w:w w:val="100"/>
        </w:rPr>
        <w:t>特</w:t>
      </w:r>
      <w:r>
        <w:rPr>
          <w:w w:val="100"/>
        </w:rPr>
        <w:t>别关</w:t>
      </w:r>
      <w:r>
        <w:rPr>
          <w:spacing w:val="-3"/>
          <w:w w:val="100"/>
        </w:rPr>
        <w:t>爱</w:t>
      </w:r>
      <w:r>
        <w:rPr>
          <w:w w:val="100"/>
        </w:rPr>
        <w:t>身</w:t>
      </w:r>
      <w:r>
        <w:rPr>
          <w:spacing w:val="-3"/>
          <w:w w:val="100"/>
        </w:rPr>
        <w:t>故</w:t>
      </w:r>
      <w:r>
        <w:rPr>
          <w:w w:val="100"/>
        </w:rPr>
        <w:t>保</w:t>
      </w:r>
      <w:r>
        <w:rPr>
          <w:spacing w:val="-3"/>
          <w:w w:val="100"/>
        </w:rPr>
        <w:t>险</w:t>
      </w:r>
      <w:r>
        <w:rPr>
          <w:w w:val="100"/>
        </w:rPr>
        <w:t>金</w:t>
      </w:r>
      <w:r>
        <w:rPr>
          <w:spacing w:val="-15"/>
          <w:w w:val="100"/>
        </w:rPr>
        <w:t>。</w:t>
      </w:r>
      <w:r>
        <w:rPr>
          <w:w w:val="100"/>
        </w:rPr>
        <w:t>您在投保</w:t>
      </w:r>
      <w:r>
        <w:rPr>
          <w:spacing w:val="-3"/>
          <w:w w:val="100"/>
        </w:rPr>
        <w:t>基</w:t>
      </w:r>
      <w:r>
        <w:rPr>
          <w:w w:val="100"/>
        </w:rPr>
        <w:t>本</w:t>
      </w:r>
      <w:r>
        <w:rPr>
          <w:spacing w:val="-3"/>
          <w:w w:val="100"/>
        </w:rPr>
        <w:t>部</w:t>
      </w:r>
      <w:r>
        <w:rPr>
          <w:spacing w:val="-1"/>
          <w:w w:val="100"/>
        </w:rPr>
        <w:t>分</w:t>
      </w:r>
      <w:r>
        <w:rPr>
          <w:spacing w:val="-3"/>
          <w:w w:val="100"/>
        </w:rPr>
        <w:t>的</w:t>
      </w:r>
      <w:r>
        <w:rPr>
          <w:w w:val="100"/>
        </w:rPr>
        <w:t>基</w:t>
      </w:r>
      <w:r>
        <w:rPr>
          <w:spacing w:val="-3"/>
          <w:w w:val="100"/>
        </w:rPr>
        <w:t>础</w:t>
      </w:r>
      <w:r>
        <w:rPr>
          <w:w w:val="100"/>
        </w:rPr>
        <w:t>上</w:t>
      </w:r>
      <w:r>
        <w:rPr>
          <w:spacing w:val="-3"/>
          <w:w w:val="100"/>
        </w:rPr>
        <w:t>可</w:t>
      </w:r>
      <w:r>
        <w:rPr>
          <w:w w:val="100"/>
        </w:rPr>
        <w:t>选择</w:t>
      </w:r>
      <w:r>
        <w:rPr>
          <w:spacing w:val="-3"/>
          <w:w w:val="100"/>
        </w:rPr>
        <w:t>投</w:t>
      </w:r>
      <w:r>
        <w:rPr>
          <w:w w:val="100"/>
        </w:rPr>
        <w:t>保</w:t>
      </w:r>
      <w:r>
        <w:rPr>
          <w:spacing w:val="-3"/>
          <w:w w:val="100"/>
        </w:rPr>
        <w:t>一</w:t>
      </w:r>
      <w:r>
        <w:rPr>
          <w:w w:val="100"/>
        </w:rPr>
        <w:t>项</w:t>
      </w:r>
      <w:r>
        <w:rPr>
          <w:spacing w:val="-3"/>
          <w:w w:val="100"/>
        </w:rPr>
        <w:t>或</w:t>
      </w:r>
      <w:r>
        <w:rPr>
          <w:w w:val="100"/>
        </w:rPr>
        <w:t>多</w:t>
      </w:r>
      <w:r>
        <w:rPr>
          <w:spacing w:val="-3"/>
          <w:w w:val="100"/>
        </w:rPr>
        <w:t>项</w:t>
      </w:r>
      <w:r>
        <w:rPr>
          <w:w w:val="100"/>
        </w:rPr>
        <w:t>可</w:t>
      </w:r>
      <w:r>
        <w:rPr>
          <w:spacing w:val="-3"/>
          <w:w w:val="100"/>
        </w:rPr>
        <w:t>选</w:t>
      </w:r>
      <w:r>
        <w:rPr>
          <w:w w:val="100"/>
        </w:rPr>
        <w:t>部分</w:t>
      </w:r>
      <w:r>
        <w:rPr>
          <w:spacing w:val="-3"/>
          <w:w w:val="100"/>
        </w:rPr>
        <w:t>对</w:t>
      </w:r>
      <w:r>
        <w:rPr>
          <w:w w:val="100"/>
        </w:rPr>
        <w:t>应</w:t>
      </w:r>
      <w:r>
        <w:rPr>
          <w:spacing w:val="-3"/>
          <w:w w:val="100"/>
        </w:rPr>
        <w:t>的</w:t>
      </w:r>
      <w:r>
        <w:rPr>
          <w:w w:val="100"/>
        </w:rPr>
        <w:t>保</w:t>
      </w:r>
      <w:r>
        <w:rPr>
          <w:spacing w:val="-3"/>
          <w:w w:val="100"/>
        </w:rPr>
        <w:t>险</w:t>
      </w:r>
      <w:r>
        <w:rPr>
          <w:w w:val="100"/>
        </w:rPr>
        <w:t>责</w:t>
      </w:r>
      <w:r>
        <w:rPr>
          <w:spacing w:val="-3"/>
          <w:w w:val="100"/>
        </w:rPr>
        <w:t>任</w:t>
      </w:r>
      <w:r>
        <w:rPr>
          <w:w w:val="100"/>
        </w:rPr>
        <w:t>。</w:t>
      </w:r>
    </w:p>
    <w:p>
      <w:pPr>
        <w:pStyle w:val="BodyText"/>
        <w:spacing w:before="12"/>
        <w:rPr>
          <w:sz w:val="17"/>
        </w:rPr>
      </w:pPr>
    </w:p>
    <w:p>
      <w:pPr>
        <w:spacing w:after="0"/>
        <w:rPr>
          <w:sz w:val="17"/>
        </w:rPr>
        <w:sectPr>
          <w:type w:val="continuous"/>
          <w:pgSz w:w="11910" w:h="16840"/>
          <w:pgMar w:top="460" w:bottom="280" w:left="680" w:right="460"/>
        </w:sectPr>
      </w:pPr>
    </w:p>
    <w:p>
      <w:pPr>
        <w:pStyle w:val="Heading2"/>
        <w:spacing w:line="278" w:lineRule="auto" w:before="81"/>
        <w:ind w:firstLine="0"/>
        <w:jc w:val="both"/>
        <w:rPr>
          <w:rFonts w:ascii="楷体" w:eastAsia="楷体" w:hint="eastAsia"/>
        </w:rPr>
      </w:pPr>
      <w:r>
        <w:rPr>
          <w:rFonts w:ascii="楷体" w:eastAsia="楷体" w:hint="eastAsia"/>
          <w:spacing w:val="-2"/>
        </w:rPr>
        <w:t>较重急性心肌</w:t>
      </w:r>
      <w:r>
        <w:rPr>
          <w:rFonts w:ascii="楷体" w:eastAsia="楷体" w:hint="eastAsia"/>
          <w:spacing w:val="-2"/>
        </w:rPr>
        <w:t>梗死或严重脑</w:t>
      </w:r>
      <w:r>
        <w:rPr>
          <w:rFonts w:ascii="楷体" w:eastAsia="楷体" w:hint="eastAsia"/>
          <w:spacing w:val="-2"/>
        </w:rPr>
        <w:t>中风后遗症特</w:t>
      </w:r>
      <w:r>
        <w:rPr>
          <w:rFonts w:ascii="楷体" w:eastAsia="楷体" w:hint="eastAsia"/>
          <w:spacing w:val="-4"/>
        </w:rPr>
        <w:t>别保险金</w:t>
      </w:r>
    </w:p>
    <w:p>
      <w:pPr>
        <w:spacing w:line="268" w:lineRule="auto" w:before="71"/>
        <w:ind w:left="264" w:right="559" w:firstLine="0"/>
        <w:jc w:val="left"/>
        <w:rPr>
          <w:b/>
          <w:i/>
          <w:sz w:val="22"/>
        </w:rPr>
      </w:pPr>
      <w:r>
        <w:rPr/>
        <w:br w:type="column"/>
      </w:r>
      <w:r>
        <w:rPr>
          <w:spacing w:val="-3"/>
          <w:w w:val="100"/>
          <w:sz w:val="21"/>
        </w:rPr>
        <w:t>若首次重度疾病为本主险合同约定的</w:t>
      </w:r>
      <w:r>
        <w:rPr>
          <w:b/>
          <w:i/>
          <w:spacing w:val="-1"/>
          <w:w w:val="95"/>
          <w:sz w:val="22"/>
        </w:rPr>
        <w:t>较重急性心肌梗死</w:t>
      </w:r>
      <w:r>
        <w:rPr>
          <w:spacing w:val="-3"/>
          <w:w w:val="100"/>
          <w:sz w:val="21"/>
        </w:rPr>
        <w:t>或</w:t>
      </w:r>
      <w:r>
        <w:rPr>
          <w:b/>
          <w:i/>
          <w:w w:val="95"/>
          <w:sz w:val="22"/>
        </w:rPr>
        <w:t>严重脑中风后遗</w:t>
      </w:r>
      <w:r>
        <w:rPr>
          <w:b/>
          <w:i/>
          <w:spacing w:val="2"/>
          <w:w w:val="95"/>
          <w:sz w:val="22"/>
        </w:rPr>
        <w:t>症</w:t>
      </w:r>
      <w:r>
        <w:rPr>
          <w:spacing w:val="-5"/>
          <w:w w:val="100"/>
          <w:sz w:val="21"/>
        </w:rPr>
        <w:t>，且我们已按本主险合同约定给付该种疾病的重度疾病保险金后，自前述</w:t>
      </w:r>
      <w:r>
        <w:rPr>
          <w:spacing w:val="-4"/>
          <w:w w:val="100"/>
          <w:sz w:val="21"/>
        </w:rPr>
        <w:t>较重急性心肌梗死或严重脑中风后遗症确诊之日起满</w:t>
      </w:r>
      <w:r>
        <w:rPr>
          <w:spacing w:val="-53"/>
          <w:sz w:val="21"/>
        </w:rPr>
        <w:t> </w:t>
      </w:r>
      <w:r>
        <w:rPr>
          <w:w w:val="100"/>
          <w:sz w:val="21"/>
        </w:rPr>
        <w:t>5</w:t>
      </w:r>
      <w:r>
        <w:rPr>
          <w:spacing w:val="-53"/>
          <w:sz w:val="21"/>
        </w:rPr>
        <w:t> </w:t>
      </w:r>
      <w:r>
        <w:rPr>
          <w:spacing w:val="-5"/>
          <w:w w:val="100"/>
          <w:sz w:val="21"/>
        </w:rPr>
        <w:t>年后，经专科医生明</w:t>
      </w:r>
      <w:r>
        <w:rPr>
          <w:spacing w:val="-6"/>
          <w:w w:val="100"/>
          <w:sz w:val="21"/>
        </w:rPr>
        <w:t>确诊断再次患同一种疾病，我们按再次确诊时本项可选责任对应的基本保险</w:t>
      </w:r>
      <w:r>
        <w:rPr>
          <w:spacing w:val="-5"/>
          <w:w w:val="100"/>
          <w:sz w:val="21"/>
        </w:rPr>
        <w:t>金额给付较重急性心肌梗死或严重脑中风后遗症特别保险金，</w:t>
      </w:r>
      <w:r>
        <w:rPr>
          <w:b/>
          <w:i/>
          <w:w w:val="95"/>
          <w:sz w:val="22"/>
        </w:rPr>
        <w:t>同时本项保险责任终止</w:t>
      </w:r>
      <w:r>
        <w:rPr>
          <w:spacing w:val="-46"/>
          <w:w w:val="100"/>
          <w:sz w:val="21"/>
        </w:rPr>
        <w:t>。</w:t>
      </w:r>
      <w:r>
        <w:rPr>
          <w:b/>
          <w:i/>
          <w:spacing w:val="-3"/>
          <w:w w:val="95"/>
          <w:sz w:val="22"/>
        </w:rPr>
        <w:t>本主险合同较重急性心肌梗死或严重脑中风后遗症特别保险金的给付次数以一次为限。</w:t>
      </w:r>
    </w:p>
    <w:p>
      <w:pPr>
        <w:spacing w:line="266" w:lineRule="auto" w:before="4"/>
        <w:ind w:left="264" w:right="731" w:firstLine="0"/>
        <w:jc w:val="left"/>
        <w:rPr>
          <w:b/>
          <w:i/>
          <w:sz w:val="22"/>
        </w:rPr>
      </w:pPr>
      <w:r>
        <w:rPr>
          <w:b/>
          <w:i/>
          <w:spacing w:val="-2"/>
          <w:w w:val="95"/>
          <w:sz w:val="22"/>
        </w:rPr>
        <w:t>再次确诊的严重脑中风后遗症须由颅脑显影或影像学检查证实为新一次的</w:t>
      </w:r>
      <w:r>
        <w:rPr>
          <w:b/>
          <w:i/>
          <w:spacing w:val="-2"/>
          <w:w w:val="95"/>
          <w:sz w:val="22"/>
        </w:rPr>
        <w:t>中风，并符合重度疾病“严重脑中风后遗症”的定义条件。</w:t>
      </w:r>
    </w:p>
    <w:p>
      <w:pPr>
        <w:spacing w:line="266" w:lineRule="auto" w:before="0"/>
        <w:ind w:left="264" w:right="563" w:firstLine="0"/>
        <w:jc w:val="left"/>
        <w:rPr>
          <w:b/>
          <w:i/>
          <w:sz w:val="22"/>
        </w:rPr>
      </w:pPr>
      <w:r>
        <w:rPr>
          <w:b/>
          <w:i/>
          <w:spacing w:val="-2"/>
          <w:w w:val="95"/>
          <w:sz w:val="22"/>
        </w:rPr>
        <w:t>若首次重度疾病不是较重急性心肌梗死或严重脑中风后遗症，则本项保险责</w:t>
      </w:r>
      <w:r>
        <w:rPr>
          <w:b/>
          <w:i/>
          <w:spacing w:val="-4"/>
          <w:sz w:val="22"/>
        </w:rPr>
        <w:t>任</w:t>
      </w:r>
      <w:r>
        <w:rPr>
          <w:b/>
          <w:i/>
          <w:spacing w:val="-4"/>
          <w:sz w:val="22"/>
        </w:rPr>
        <w:t>终</w:t>
      </w:r>
      <w:r>
        <w:rPr>
          <w:b/>
          <w:i/>
          <w:spacing w:val="-4"/>
          <w:sz w:val="22"/>
        </w:rPr>
        <w:t>止</w:t>
      </w:r>
      <w:r>
        <w:rPr>
          <w:b/>
          <w:i/>
          <w:spacing w:val="-4"/>
          <w:sz w:val="22"/>
        </w:rPr>
        <w:t>。</w:t>
      </w:r>
    </w:p>
    <w:p>
      <w:pPr>
        <w:spacing w:after="0" w:line="266" w:lineRule="auto"/>
        <w:jc w:val="left"/>
        <w:rPr>
          <w:sz w:val="22"/>
        </w:rPr>
        <w:sectPr>
          <w:type w:val="continuous"/>
          <w:pgSz w:w="11910" w:h="16840"/>
          <w:pgMar w:top="460" w:bottom="280" w:left="680" w:right="460"/>
          <w:cols w:num="2" w:equalWidth="0">
            <w:col w:w="2982" w:space="40"/>
            <w:col w:w="7748"/>
          </w:cols>
        </w:sectPr>
      </w:pPr>
    </w:p>
    <w:p>
      <w:pPr>
        <w:pStyle w:val="BodyText"/>
        <w:spacing w:before="6"/>
        <w:rPr>
          <w:b/>
          <w:i/>
          <w:sz w:val="18"/>
        </w:rPr>
      </w:pPr>
    </w:p>
    <w:p>
      <w:pPr>
        <w:tabs>
          <w:tab w:pos="3285" w:val="left" w:leader="none"/>
        </w:tabs>
        <w:spacing w:before="72"/>
        <w:ind w:left="1713" w:right="0" w:firstLine="0"/>
        <w:jc w:val="left"/>
        <w:rPr>
          <w:sz w:val="21"/>
        </w:rPr>
      </w:pPr>
      <w:r>
        <w:rPr>
          <w:rFonts w:ascii="楷体" w:hAnsi="楷体" w:eastAsia="楷体" w:hint="eastAsia"/>
          <w:b/>
          <w:sz w:val="21"/>
        </w:rPr>
        <w:t>恶性肿瘤—</w:t>
      </w:r>
      <w:r>
        <w:rPr>
          <w:rFonts w:ascii="楷体" w:hAnsi="楷体" w:eastAsia="楷体" w:hint="eastAsia"/>
          <w:b/>
          <w:spacing w:val="-10"/>
          <w:sz w:val="21"/>
        </w:rPr>
        <w:t>—</w:t>
      </w:r>
      <w:r>
        <w:rPr>
          <w:rFonts w:ascii="楷体" w:hAnsi="楷体" w:eastAsia="楷体" w:hint="eastAsia"/>
          <w:b/>
          <w:sz w:val="21"/>
        </w:rPr>
        <w:tab/>
      </w:r>
      <w:r>
        <w:rPr>
          <w:w w:val="95"/>
          <w:sz w:val="21"/>
        </w:rPr>
        <w:t>若</w:t>
      </w:r>
      <w:r>
        <w:rPr>
          <w:w w:val="95"/>
          <w:sz w:val="21"/>
        </w:rPr>
        <w:t>首</w:t>
      </w:r>
      <w:r>
        <w:rPr>
          <w:w w:val="95"/>
          <w:sz w:val="21"/>
        </w:rPr>
        <w:t>次重度疾病为本主险</w:t>
      </w:r>
      <w:r>
        <w:rPr>
          <w:w w:val="95"/>
          <w:sz w:val="21"/>
        </w:rPr>
        <w:t>合</w:t>
      </w:r>
      <w:r>
        <w:rPr>
          <w:w w:val="95"/>
          <w:sz w:val="21"/>
        </w:rPr>
        <w:t>同</w:t>
      </w:r>
      <w:r>
        <w:rPr>
          <w:w w:val="95"/>
          <w:sz w:val="21"/>
        </w:rPr>
        <w:t>约定的</w:t>
      </w:r>
      <w:r>
        <w:rPr>
          <w:b/>
          <w:i/>
          <w:w w:val="95"/>
          <w:sz w:val="22"/>
        </w:rPr>
        <w:t>恶性肿瘤——</w:t>
      </w:r>
      <w:r>
        <w:rPr>
          <w:b/>
          <w:i/>
          <w:w w:val="95"/>
          <w:sz w:val="22"/>
        </w:rPr>
        <w:t>重度</w:t>
      </w:r>
      <w:r>
        <w:rPr>
          <w:w w:val="95"/>
          <w:sz w:val="21"/>
        </w:rPr>
        <w:t>，且我们已按本</w:t>
      </w:r>
      <w:r>
        <w:rPr>
          <w:w w:val="95"/>
          <w:sz w:val="21"/>
        </w:rPr>
        <w:t>主</w:t>
      </w:r>
      <w:r>
        <w:rPr>
          <w:spacing w:val="-10"/>
          <w:w w:val="95"/>
          <w:sz w:val="21"/>
        </w:rPr>
        <w:t>险</w:t>
      </w:r>
    </w:p>
    <w:p>
      <w:pPr>
        <w:spacing w:after="0"/>
        <w:jc w:val="left"/>
        <w:rPr>
          <w:sz w:val="21"/>
        </w:rPr>
        <w:sectPr>
          <w:type w:val="continuous"/>
          <w:pgSz w:w="11910" w:h="16840"/>
          <w:pgMar w:top="460" w:bottom="280" w:left="680" w:right="460"/>
        </w:sectPr>
      </w:pPr>
    </w:p>
    <w:p>
      <w:pPr>
        <w:pStyle w:val="Heading2"/>
        <w:spacing w:line="278" w:lineRule="auto" w:before="52"/>
        <w:ind w:firstLine="0"/>
        <w:rPr>
          <w:rFonts w:ascii="楷体" w:eastAsia="楷体" w:hint="eastAsia"/>
        </w:rPr>
      </w:pPr>
      <w:r>
        <w:rPr>
          <w:rFonts w:ascii="楷体" w:eastAsia="楷体" w:hint="eastAsia"/>
          <w:spacing w:val="-2"/>
        </w:rPr>
        <w:t>重度特别保险</w:t>
      </w:r>
      <w:r>
        <w:rPr>
          <w:rFonts w:ascii="楷体" w:eastAsia="楷体" w:hint="eastAsia"/>
          <w:spacing w:val="-10"/>
        </w:rPr>
        <w:t>金</w:t>
      </w:r>
    </w:p>
    <w:p>
      <w:pPr>
        <w:pStyle w:val="BodyText"/>
        <w:spacing w:line="278" w:lineRule="auto" w:before="52"/>
        <w:ind w:left="265" w:right="558"/>
      </w:pPr>
      <w:r>
        <w:rPr/>
        <w:br w:type="column"/>
      </w:r>
      <w:r>
        <w:rPr>
          <w:spacing w:val="-2"/>
        </w:rPr>
        <w:t>合同约定给付该种疾病的重度疾病保险金后，自前述恶性肿瘤——重度确诊</w:t>
      </w:r>
      <w:r>
        <w:rPr>
          <w:spacing w:val="-12"/>
        </w:rPr>
        <w:t>之日起满 </w:t>
      </w:r>
      <w:r>
        <w:rPr>
          <w:spacing w:val="-2"/>
        </w:rPr>
        <w:t>5</w:t>
      </w:r>
      <w:r>
        <w:rPr>
          <w:spacing w:val="-10"/>
        </w:rPr>
        <w:t> 年后，经专科医生明确诊断再次患本主险合同约定的恶性肿瘤—</w:t>
      </w:r>
    </w:p>
    <w:p>
      <w:pPr>
        <w:pStyle w:val="BodyText"/>
        <w:ind w:left="265"/>
      </w:pPr>
      <w:r>
        <w:rPr>
          <w:spacing w:val="-3"/>
        </w:rPr>
        <w:t>—重度，我们按再次确诊时本项可选责任对应的基本保险金额给付恶性肿瘤</w:t>
      </w:r>
    </w:p>
    <w:p>
      <w:pPr>
        <w:spacing w:line="266" w:lineRule="auto" w:before="33"/>
        <w:ind w:left="265" w:right="560" w:firstLine="0"/>
        <w:jc w:val="left"/>
        <w:rPr>
          <w:b/>
          <w:i/>
          <w:sz w:val="22"/>
        </w:rPr>
      </w:pPr>
      <w:r>
        <w:rPr>
          <w:spacing w:val="-2"/>
          <w:w w:val="95"/>
          <w:sz w:val="21"/>
        </w:rPr>
        <w:t>——重度特别保险金，</w:t>
      </w:r>
      <w:r>
        <w:rPr>
          <w:b/>
          <w:i/>
          <w:spacing w:val="-2"/>
          <w:w w:val="95"/>
          <w:sz w:val="22"/>
        </w:rPr>
        <w:t>同时本项保险责任终止。本主险合同恶性肿瘤——重</w:t>
      </w:r>
      <w:r>
        <w:rPr>
          <w:b/>
          <w:i/>
          <w:spacing w:val="-2"/>
          <w:sz w:val="22"/>
        </w:rPr>
        <w:t>度</w:t>
      </w:r>
      <w:r>
        <w:rPr>
          <w:b/>
          <w:i/>
          <w:spacing w:val="-2"/>
          <w:sz w:val="22"/>
        </w:rPr>
        <w:t>特</w:t>
      </w:r>
      <w:r>
        <w:rPr>
          <w:b/>
          <w:i/>
          <w:spacing w:val="-2"/>
          <w:sz w:val="22"/>
        </w:rPr>
        <w:t>别</w:t>
      </w:r>
      <w:r>
        <w:rPr>
          <w:b/>
          <w:i/>
          <w:spacing w:val="-2"/>
          <w:sz w:val="22"/>
        </w:rPr>
        <w:t>保</w:t>
      </w:r>
      <w:r>
        <w:rPr>
          <w:b/>
          <w:i/>
          <w:spacing w:val="-2"/>
          <w:sz w:val="22"/>
        </w:rPr>
        <w:t>险</w:t>
      </w:r>
      <w:r>
        <w:rPr>
          <w:b/>
          <w:i/>
          <w:spacing w:val="-2"/>
          <w:sz w:val="22"/>
        </w:rPr>
        <w:t>金</w:t>
      </w:r>
      <w:r>
        <w:rPr>
          <w:b/>
          <w:i/>
          <w:spacing w:val="-2"/>
          <w:sz w:val="22"/>
        </w:rPr>
        <w:t>的</w:t>
      </w:r>
      <w:r>
        <w:rPr>
          <w:b/>
          <w:i/>
          <w:spacing w:val="-2"/>
          <w:sz w:val="22"/>
        </w:rPr>
        <w:t>给</w:t>
      </w:r>
      <w:r>
        <w:rPr>
          <w:b/>
          <w:i/>
          <w:spacing w:val="-2"/>
          <w:sz w:val="22"/>
        </w:rPr>
        <w:t>付次数</w:t>
      </w:r>
      <w:r>
        <w:rPr>
          <w:b/>
          <w:i/>
          <w:spacing w:val="-2"/>
          <w:sz w:val="22"/>
        </w:rPr>
        <w:t>以</w:t>
      </w:r>
      <w:r>
        <w:rPr>
          <w:b/>
          <w:i/>
          <w:spacing w:val="-2"/>
          <w:sz w:val="22"/>
        </w:rPr>
        <w:t>一</w:t>
      </w:r>
      <w:r>
        <w:rPr>
          <w:b/>
          <w:i/>
          <w:spacing w:val="-2"/>
          <w:sz w:val="22"/>
        </w:rPr>
        <w:t>次</w:t>
      </w:r>
      <w:r>
        <w:rPr>
          <w:b/>
          <w:i/>
          <w:spacing w:val="-2"/>
          <w:sz w:val="22"/>
        </w:rPr>
        <w:t>为</w:t>
      </w:r>
      <w:r>
        <w:rPr>
          <w:b/>
          <w:i/>
          <w:spacing w:val="-2"/>
          <w:sz w:val="22"/>
        </w:rPr>
        <w:t>限</w:t>
      </w:r>
      <w:r>
        <w:rPr>
          <w:b/>
          <w:i/>
          <w:spacing w:val="-2"/>
          <w:sz w:val="22"/>
        </w:rPr>
        <w:t>。</w:t>
      </w:r>
    </w:p>
    <w:p>
      <w:pPr>
        <w:pStyle w:val="BodyText"/>
        <w:spacing w:before="8"/>
        <w:ind w:left="265"/>
      </w:pPr>
      <w:r>
        <w:rPr>
          <w:spacing w:val="-3"/>
        </w:rPr>
        <w:t>符合本主险合同项下恶性肿瘤——重度特别保险金给付条件的恶性肿瘤—</w:t>
      </w:r>
    </w:p>
    <w:p>
      <w:pPr>
        <w:pStyle w:val="BodyText"/>
        <w:spacing w:before="43"/>
        <w:ind w:left="265"/>
      </w:pPr>
      <w:r>
        <w:rPr>
          <w:spacing w:val="-3"/>
        </w:rPr>
        <w:t>—重度包括如下情况：</w:t>
      </w:r>
    </w:p>
    <w:p>
      <w:pPr>
        <w:pStyle w:val="ListParagraph"/>
        <w:numPr>
          <w:ilvl w:val="0"/>
          <w:numId w:val="4"/>
        </w:numPr>
        <w:tabs>
          <w:tab w:pos="795" w:val="left" w:leader="none"/>
        </w:tabs>
        <w:spacing w:line="240" w:lineRule="auto" w:before="43" w:after="0"/>
        <w:ind w:left="794" w:right="0" w:hanging="530"/>
        <w:jc w:val="left"/>
        <w:rPr>
          <w:sz w:val="21"/>
        </w:rPr>
      </w:pPr>
      <w:r>
        <w:rPr>
          <w:spacing w:val="-3"/>
          <w:sz w:val="21"/>
        </w:rPr>
        <w:t>与前一次恶性肿瘤——重度无关的新发恶性肿瘤——重度；</w:t>
      </w:r>
    </w:p>
    <w:p>
      <w:pPr>
        <w:pStyle w:val="ListParagraph"/>
        <w:numPr>
          <w:ilvl w:val="0"/>
          <w:numId w:val="4"/>
        </w:numPr>
        <w:tabs>
          <w:tab w:pos="795" w:val="left" w:leader="none"/>
        </w:tabs>
        <w:spacing w:line="240" w:lineRule="auto" w:before="43" w:after="0"/>
        <w:ind w:left="794" w:right="0" w:hanging="530"/>
        <w:jc w:val="left"/>
        <w:rPr>
          <w:sz w:val="21"/>
        </w:rPr>
      </w:pPr>
      <w:r>
        <w:rPr>
          <w:spacing w:val="-3"/>
          <w:sz w:val="21"/>
        </w:rPr>
        <w:t>前一次恶性肿瘤——重度的复发、转移；</w:t>
      </w:r>
    </w:p>
    <w:p>
      <w:pPr>
        <w:pStyle w:val="ListParagraph"/>
        <w:numPr>
          <w:ilvl w:val="0"/>
          <w:numId w:val="4"/>
        </w:numPr>
        <w:tabs>
          <w:tab w:pos="795" w:val="left" w:leader="none"/>
        </w:tabs>
        <w:spacing w:line="278" w:lineRule="auto" w:before="43" w:after="0"/>
        <w:ind w:left="265" w:right="649" w:firstLine="0"/>
        <w:jc w:val="left"/>
        <w:rPr>
          <w:sz w:val="21"/>
        </w:rPr>
      </w:pPr>
      <w:r>
        <w:rPr>
          <w:spacing w:val="-2"/>
          <w:sz w:val="21"/>
        </w:rPr>
        <w:t>经病理检查或影像学检查，显示前一次病变部位恶性肿瘤——重度仍</w:t>
      </w:r>
      <w:r>
        <w:rPr>
          <w:spacing w:val="-2"/>
          <w:sz w:val="21"/>
        </w:rPr>
        <w:t>然存在且需继续治疗的。</w:t>
      </w:r>
    </w:p>
    <w:p>
      <w:pPr>
        <w:spacing w:line="272" w:lineRule="exact" w:before="0"/>
        <w:ind w:left="265" w:right="0" w:firstLine="0"/>
        <w:jc w:val="left"/>
        <w:rPr>
          <w:b/>
          <w:i/>
          <w:sz w:val="22"/>
        </w:rPr>
      </w:pPr>
      <w:r>
        <w:rPr>
          <w:b/>
          <w:i/>
          <w:spacing w:val="-3"/>
          <w:w w:val="95"/>
          <w:sz w:val="22"/>
        </w:rPr>
        <w:t>若首次重度疾病不是恶性肿瘤——重度，则本项保险责任终止。</w:t>
      </w:r>
    </w:p>
    <w:p>
      <w:pPr>
        <w:spacing w:after="0" w:line="272" w:lineRule="exact"/>
        <w:jc w:val="left"/>
        <w:rPr>
          <w:sz w:val="22"/>
        </w:rPr>
        <w:sectPr>
          <w:pgSz w:w="11910" w:h="16840"/>
          <w:pgMar w:top="1200" w:bottom="280" w:left="680" w:right="460"/>
          <w:cols w:num="2" w:equalWidth="0">
            <w:col w:w="2981" w:space="40"/>
            <w:col w:w="7749"/>
          </w:cols>
        </w:sectPr>
      </w:pPr>
    </w:p>
    <w:p>
      <w:pPr>
        <w:pStyle w:val="BodyText"/>
        <w:spacing w:before="2"/>
        <w:rPr>
          <w:b/>
          <w:i/>
        </w:rPr>
      </w:pPr>
    </w:p>
    <w:p>
      <w:pPr>
        <w:spacing w:after="0"/>
        <w:sectPr>
          <w:type w:val="continuous"/>
          <w:pgSz w:w="11910" w:h="16840"/>
          <w:pgMar w:top="460" w:bottom="280" w:left="680" w:right="460"/>
        </w:sectPr>
      </w:pPr>
    </w:p>
    <w:p>
      <w:pPr>
        <w:pStyle w:val="Heading2"/>
        <w:spacing w:line="278" w:lineRule="auto" w:before="82"/>
        <w:ind w:firstLine="0"/>
        <w:rPr>
          <w:rFonts w:ascii="楷体" w:eastAsia="楷体" w:hint="eastAsia"/>
        </w:rPr>
      </w:pPr>
      <w:r>
        <w:rPr>
          <w:rFonts w:ascii="楷体" w:eastAsia="楷体" w:hint="eastAsia"/>
          <w:spacing w:val="-2"/>
        </w:rPr>
        <w:t>特别关爱身故</w:t>
      </w:r>
      <w:r>
        <w:rPr>
          <w:rFonts w:ascii="楷体" w:eastAsia="楷体" w:hint="eastAsia"/>
          <w:spacing w:val="-4"/>
        </w:rPr>
        <w:t>保险金</w:t>
      </w:r>
    </w:p>
    <w:p>
      <w:pPr>
        <w:spacing w:line="266" w:lineRule="auto" w:before="72"/>
        <w:ind w:left="265" w:right="577" w:firstLine="0"/>
        <w:jc w:val="both"/>
        <w:rPr>
          <w:sz w:val="21"/>
        </w:rPr>
      </w:pPr>
      <w:r>
        <w:rPr/>
        <w:br w:type="column"/>
      </w:r>
      <w:r>
        <w:rPr>
          <w:spacing w:val="-2"/>
          <w:sz w:val="21"/>
        </w:rPr>
        <w:t>若被保险人经专科医生明确诊断</w:t>
      </w:r>
      <w:r>
        <w:rPr>
          <w:b/>
          <w:i/>
          <w:spacing w:val="-2"/>
          <w:sz w:val="22"/>
        </w:rPr>
        <w:t>初</w:t>
      </w:r>
      <w:r>
        <w:rPr>
          <w:b/>
          <w:i/>
          <w:spacing w:val="-2"/>
          <w:sz w:val="22"/>
        </w:rPr>
        <w:t>次</w:t>
      </w:r>
      <w:r>
        <w:rPr>
          <w:b/>
          <w:i/>
          <w:spacing w:val="-2"/>
          <w:sz w:val="22"/>
        </w:rPr>
        <w:t>患</w:t>
      </w:r>
      <w:r>
        <w:rPr>
          <w:spacing w:val="-2"/>
          <w:sz w:val="21"/>
        </w:rPr>
        <w:t>本主险合同约定的首次重度疾病，并</w:t>
      </w:r>
      <w:r>
        <w:rPr>
          <w:spacing w:val="-2"/>
          <w:w w:val="95"/>
          <w:sz w:val="21"/>
        </w:rPr>
        <w:t>于</w:t>
      </w:r>
      <w:r>
        <w:rPr>
          <w:spacing w:val="-2"/>
          <w:w w:val="95"/>
          <w:sz w:val="21"/>
        </w:rPr>
        <w:t>确</w:t>
      </w:r>
      <w:r>
        <w:rPr>
          <w:spacing w:val="-10"/>
          <w:w w:val="95"/>
          <w:sz w:val="21"/>
        </w:rPr>
        <w:t>诊之日后身故，</w:t>
      </w:r>
      <w:r>
        <w:rPr>
          <w:b/>
          <w:i/>
          <w:spacing w:val="-2"/>
          <w:w w:val="95"/>
          <w:sz w:val="22"/>
        </w:rPr>
        <w:t>我们按被保险人身故时本项可选责任对应的基本保险金</w:t>
      </w:r>
      <w:r>
        <w:rPr>
          <w:b/>
          <w:i/>
          <w:spacing w:val="-2"/>
          <w:w w:val="95"/>
          <w:sz w:val="22"/>
        </w:rPr>
        <w:t>额的一定比例给付特别关爱身故保险金，同时本主险合同终止</w:t>
      </w:r>
      <w:r>
        <w:rPr>
          <w:spacing w:val="-2"/>
          <w:w w:val="95"/>
          <w:sz w:val="21"/>
        </w:rPr>
        <w:t>。</w:t>
      </w:r>
    </w:p>
    <w:p>
      <w:pPr>
        <w:spacing w:after="0" w:line="266" w:lineRule="auto"/>
        <w:jc w:val="both"/>
        <w:rPr>
          <w:sz w:val="21"/>
        </w:rPr>
        <w:sectPr>
          <w:type w:val="continuous"/>
          <w:pgSz w:w="11910" w:h="16840"/>
          <w:pgMar w:top="460" w:bottom="280" w:left="680" w:right="460"/>
          <w:cols w:num="2" w:equalWidth="0">
            <w:col w:w="2981" w:space="40"/>
            <w:col w:w="7749"/>
          </w:cols>
        </w:sectPr>
      </w:pPr>
    </w:p>
    <w:tbl>
      <w:tblPr>
        <w:tblW w:w="0" w:type="auto"/>
        <w:jc w:val="left"/>
        <w:tblInd w:w="4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84"/>
        <w:gridCol w:w="1570"/>
      </w:tblGrid>
      <w:tr>
        <w:trPr>
          <w:trHeight w:val="311" w:hRule="atLeast"/>
        </w:trPr>
        <w:tc>
          <w:tcPr>
            <w:tcW w:w="3584" w:type="dxa"/>
          </w:tcPr>
          <w:p>
            <w:pPr>
              <w:pStyle w:val="TableParagraph"/>
              <w:spacing w:before="7"/>
              <w:ind w:left="220" w:right="209"/>
              <w:jc w:val="center"/>
              <w:rPr>
                <w:sz w:val="21"/>
              </w:rPr>
            </w:pPr>
            <w:r>
              <w:rPr>
                <w:spacing w:val="-3"/>
                <w:sz w:val="21"/>
              </w:rPr>
              <w:t>身故之日距首次重度疾病确诊之日</w:t>
            </w:r>
          </w:p>
        </w:tc>
        <w:tc>
          <w:tcPr>
            <w:tcW w:w="1570" w:type="dxa"/>
          </w:tcPr>
          <w:p>
            <w:pPr>
              <w:pStyle w:val="TableParagraph"/>
              <w:spacing w:before="7"/>
              <w:ind w:left="351" w:right="344"/>
              <w:jc w:val="center"/>
              <w:rPr>
                <w:sz w:val="21"/>
              </w:rPr>
            </w:pPr>
            <w:r>
              <w:rPr>
                <w:spacing w:val="-4"/>
                <w:sz w:val="21"/>
              </w:rPr>
              <w:t>给付比例</w:t>
            </w:r>
          </w:p>
        </w:tc>
      </w:tr>
      <w:tr>
        <w:trPr>
          <w:trHeight w:val="311" w:hRule="atLeast"/>
        </w:trPr>
        <w:tc>
          <w:tcPr>
            <w:tcW w:w="3584" w:type="dxa"/>
          </w:tcPr>
          <w:p>
            <w:pPr>
              <w:pStyle w:val="TableParagraph"/>
              <w:spacing w:before="7"/>
              <w:ind w:left="218" w:right="209"/>
              <w:jc w:val="center"/>
              <w:rPr>
                <w:sz w:val="21"/>
              </w:rPr>
            </w:pPr>
            <w:r>
              <w:rPr>
                <w:spacing w:val="-18"/>
                <w:sz w:val="21"/>
              </w:rPr>
              <w:t>不满 </w:t>
            </w:r>
            <w:r>
              <w:rPr>
                <w:sz w:val="21"/>
              </w:rPr>
              <w:t>1</w:t>
            </w:r>
            <w:r>
              <w:rPr>
                <w:spacing w:val="-33"/>
                <w:sz w:val="21"/>
              </w:rPr>
              <w:t> 年</w:t>
            </w:r>
          </w:p>
        </w:tc>
        <w:tc>
          <w:tcPr>
            <w:tcW w:w="1570" w:type="dxa"/>
          </w:tcPr>
          <w:p>
            <w:pPr>
              <w:pStyle w:val="TableParagraph"/>
              <w:spacing w:before="7"/>
              <w:ind w:left="348" w:right="344"/>
              <w:jc w:val="center"/>
              <w:rPr>
                <w:sz w:val="21"/>
              </w:rPr>
            </w:pPr>
            <w:r>
              <w:rPr>
                <w:spacing w:val="-5"/>
                <w:sz w:val="21"/>
              </w:rPr>
              <w:t>0%</w:t>
            </w:r>
          </w:p>
        </w:tc>
      </w:tr>
      <w:tr>
        <w:trPr>
          <w:trHeight w:val="311" w:hRule="atLeast"/>
        </w:trPr>
        <w:tc>
          <w:tcPr>
            <w:tcW w:w="3584" w:type="dxa"/>
          </w:tcPr>
          <w:p>
            <w:pPr>
              <w:pStyle w:val="TableParagraph"/>
              <w:spacing w:before="7"/>
              <w:ind w:left="218" w:right="209"/>
              <w:jc w:val="center"/>
              <w:rPr>
                <w:sz w:val="21"/>
              </w:rPr>
            </w:pPr>
            <w:r>
              <w:rPr>
                <w:spacing w:val="-27"/>
                <w:sz w:val="21"/>
              </w:rPr>
              <w:t>满 </w:t>
            </w:r>
            <w:r>
              <w:rPr>
                <w:spacing w:val="-2"/>
                <w:sz w:val="21"/>
              </w:rPr>
              <w:t>1</w:t>
            </w:r>
            <w:r>
              <w:rPr>
                <w:spacing w:val="-20"/>
                <w:sz w:val="21"/>
              </w:rPr>
              <w:t> 年但不满 </w:t>
            </w:r>
            <w:r>
              <w:rPr>
                <w:spacing w:val="-2"/>
                <w:sz w:val="21"/>
              </w:rPr>
              <w:t>2</w:t>
            </w:r>
            <w:r>
              <w:rPr>
                <w:spacing w:val="-32"/>
                <w:sz w:val="21"/>
              </w:rPr>
              <w:t> 年</w:t>
            </w:r>
          </w:p>
        </w:tc>
        <w:tc>
          <w:tcPr>
            <w:tcW w:w="1570" w:type="dxa"/>
          </w:tcPr>
          <w:p>
            <w:pPr>
              <w:pStyle w:val="TableParagraph"/>
              <w:spacing w:before="7"/>
              <w:ind w:left="348" w:right="344"/>
              <w:jc w:val="center"/>
              <w:rPr>
                <w:sz w:val="21"/>
              </w:rPr>
            </w:pPr>
            <w:r>
              <w:rPr>
                <w:spacing w:val="-5"/>
                <w:sz w:val="21"/>
              </w:rPr>
              <w:t>25%</w:t>
            </w:r>
          </w:p>
        </w:tc>
      </w:tr>
      <w:tr>
        <w:trPr>
          <w:trHeight w:val="311" w:hRule="atLeast"/>
        </w:trPr>
        <w:tc>
          <w:tcPr>
            <w:tcW w:w="3584" w:type="dxa"/>
          </w:tcPr>
          <w:p>
            <w:pPr>
              <w:pStyle w:val="TableParagraph"/>
              <w:spacing w:before="7"/>
              <w:ind w:left="218" w:right="209"/>
              <w:jc w:val="center"/>
              <w:rPr>
                <w:sz w:val="21"/>
              </w:rPr>
            </w:pPr>
            <w:r>
              <w:rPr>
                <w:spacing w:val="-27"/>
                <w:sz w:val="21"/>
              </w:rPr>
              <w:t>满 </w:t>
            </w:r>
            <w:r>
              <w:rPr>
                <w:spacing w:val="-2"/>
                <w:sz w:val="21"/>
              </w:rPr>
              <w:t>2</w:t>
            </w:r>
            <w:r>
              <w:rPr>
                <w:spacing w:val="-20"/>
                <w:sz w:val="21"/>
              </w:rPr>
              <w:t> 年但不满 </w:t>
            </w:r>
            <w:r>
              <w:rPr>
                <w:spacing w:val="-2"/>
                <w:sz w:val="21"/>
              </w:rPr>
              <w:t>3</w:t>
            </w:r>
            <w:r>
              <w:rPr>
                <w:spacing w:val="-32"/>
                <w:sz w:val="21"/>
              </w:rPr>
              <w:t> 年</w:t>
            </w:r>
          </w:p>
        </w:tc>
        <w:tc>
          <w:tcPr>
            <w:tcW w:w="1570" w:type="dxa"/>
          </w:tcPr>
          <w:p>
            <w:pPr>
              <w:pStyle w:val="TableParagraph"/>
              <w:spacing w:before="7"/>
              <w:ind w:left="348" w:right="344"/>
              <w:jc w:val="center"/>
              <w:rPr>
                <w:sz w:val="21"/>
              </w:rPr>
            </w:pPr>
            <w:r>
              <w:rPr>
                <w:spacing w:val="-5"/>
                <w:sz w:val="21"/>
              </w:rPr>
              <w:t>50%</w:t>
            </w:r>
          </w:p>
        </w:tc>
      </w:tr>
      <w:tr>
        <w:trPr>
          <w:trHeight w:val="311" w:hRule="atLeast"/>
        </w:trPr>
        <w:tc>
          <w:tcPr>
            <w:tcW w:w="3584" w:type="dxa"/>
          </w:tcPr>
          <w:p>
            <w:pPr>
              <w:pStyle w:val="TableParagraph"/>
              <w:spacing w:before="7"/>
              <w:ind w:left="218" w:right="209"/>
              <w:jc w:val="center"/>
              <w:rPr>
                <w:sz w:val="21"/>
              </w:rPr>
            </w:pPr>
            <w:r>
              <w:rPr>
                <w:spacing w:val="-27"/>
                <w:sz w:val="21"/>
              </w:rPr>
              <w:t>满 </w:t>
            </w:r>
            <w:r>
              <w:rPr>
                <w:spacing w:val="-2"/>
                <w:sz w:val="21"/>
              </w:rPr>
              <w:t>3</w:t>
            </w:r>
            <w:r>
              <w:rPr>
                <w:spacing w:val="-20"/>
                <w:sz w:val="21"/>
              </w:rPr>
              <w:t> 年但不满 </w:t>
            </w:r>
            <w:r>
              <w:rPr>
                <w:spacing w:val="-2"/>
                <w:sz w:val="21"/>
              </w:rPr>
              <w:t>4</w:t>
            </w:r>
            <w:r>
              <w:rPr>
                <w:spacing w:val="-32"/>
                <w:sz w:val="21"/>
              </w:rPr>
              <w:t> 年</w:t>
            </w:r>
          </w:p>
        </w:tc>
        <w:tc>
          <w:tcPr>
            <w:tcW w:w="1570" w:type="dxa"/>
          </w:tcPr>
          <w:p>
            <w:pPr>
              <w:pStyle w:val="TableParagraph"/>
              <w:spacing w:before="7"/>
              <w:ind w:left="348" w:right="344"/>
              <w:jc w:val="center"/>
              <w:rPr>
                <w:sz w:val="21"/>
              </w:rPr>
            </w:pPr>
            <w:r>
              <w:rPr>
                <w:spacing w:val="-5"/>
                <w:sz w:val="21"/>
              </w:rPr>
              <w:t>75%</w:t>
            </w:r>
          </w:p>
        </w:tc>
      </w:tr>
      <w:tr>
        <w:trPr>
          <w:trHeight w:val="314" w:hRule="atLeast"/>
        </w:trPr>
        <w:tc>
          <w:tcPr>
            <w:tcW w:w="3584" w:type="dxa"/>
          </w:tcPr>
          <w:p>
            <w:pPr>
              <w:pStyle w:val="TableParagraph"/>
              <w:spacing w:before="9"/>
              <w:ind w:left="220" w:right="208"/>
              <w:jc w:val="center"/>
              <w:rPr>
                <w:sz w:val="21"/>
              </w:rPr>
            </w:pPr>
            <w:r>
              <w:rPr>
                <w:spacing w:val="-27"/>
                <w:sz w:val="21"/>
              </w:rPr>
              <w:t>满 </w:t>
            </w:r>
            <w:r>
              <w:rPr>
                <w:sz w:val="21"/>
              </w:rPr>
              <w:t>4</w:t>
            </w:r>
            <w:r>
              <w:rPr>
                <w:spacing w:val="-32"/>
                <w:sz w:val="21"/>
              </w:rPr>
              <w:t> 年</w:t>
            </w:r>
          </w:p>
        </w:tc>
        <w:tc>
          <w:tcPr>
            <w:tcW w:w="1570" w:type="dxa"/>
          </w:tcPr>
          <w:p>
            <w:pPr>
              <w:pStyle w:val="TableParagraph"/>
              <w:spacing w:before="9"/>
              <w:ind w:left="348" w:right="344"/>
              <w:jc w:val="center"/>
              <w:rPr>
                <w:sz w:val="21"/>
              </w:rPr>
            </w:pPr>
            <w:r>
              <w:rPr>
                <w:spacing w:val="-4"/>
                <w:sz w:val="21"/>
              </w:rPr>
              <w:t>100%</w:t>
            </w:r>
          </w:p>
        </w:tc>
      </w:tr>
    </w:tbl>
    <w:p>
      <w:pPr>
        <w:pStyle w:val="BodyText"/>
        <w:spacing w:before="6"/>
        <w:rPr>
          <w:sz w:val="26"/>
        </w:rPr>
      </w:pPr>
    </w:p>
    <w:p>
      <w:pPr>
        <w:tabs>
          <w:tab w:pos="3285" w:val="left" w:leader="none"/>
        </w:tabs>
        <w:spacing w:line="266" w:lineRule="auto" w:before="71"/>
        <w:ind w:left="3705" w:right="522" w:hanging="1993"/>
        <w:jc w:val="left"/>
        <w:rPr>
          <w:b/>
          <w:i/>
          <w:sz w:val="22"/>
        </w:rPr>
      </w:pPr>
      <w:r>
        <w:rPr>
          <w:rFonts w:ascii="楷体" w:eastAsia="楷体" w:hint="eastAsia"/>
          <w:b/>
          <w:w w:val="100"/>
          <w:sz w:val="21"/>
        </w:rPr>
        <w:t>特别注意事项</w:t>
      </w:r>
      <w:r>
        <w:rPr>
          <w:rFonts w:ascii="楷体" w:eastAsia="楷体" w:hint="eastAsia"/>
          <w:b/>
          <w:sz w:val="21"/>
        </w:rPr>
        <w:tab/>
      </w:r>
      <w:r>
        <w:rPr>
          <w:b/>
          <w:i/>
          <w:w w:val="95"/>
          <w:sz w:val="22"/>
        </w:rPr>
        <w:t>一</w:t>
      </w:r>
      <w:r>
        <w:rPr>
          <w:b/>
          <w:i/>
          <w:spacing w:val="28"/>
          <w:w w:val="95"/>
          <w:sz w:val="22"/>
        </w:rPr>
        <w:t>、</w:t>
      </w:r>
      <w:r>
        <w:rPr>
          <w:b/>
          <w:i/>
          <w:w w:val="95"/>
          <w:sz w:val="22"/>
        </w:rPr>
        <w:t>若被保险人初次患</w:t>
      </w:r>
      <w:r>
        <w:rPr>
          <w:b/>
          <w:i/>
          <w:spacing w:val="-3"/>
          <w:w w:val="95"/>
          <w:sz w:val="22"/>
        </w:rPr>
        <w:t>本</w:t>
      </w:r>
      <w:r>
        <w:rPr>
          <w:b/>
          <w:i/>
          <w:w w:val="95"/>
          <w:sz w:val="22"/>
        </w:rPr>
        <w:t>主</w:t>
      </w:r>
      <w:r>
        <w:rPr>
          <w:b/>
          <w:i/>
          <w:spacing w:val="-3"/>
          <w:w w:val="95"/>
          <w:sz w:val="22"/>
        </w:rPr>
        <w:t>险</w:t>
      </w:r>
      <w:r>
        <w:rPr>
          <w:b/>
          <w:i/>
          <w:w w:val="95"/>
          <w:sz w:val="22"/>
        </w:rPr>
        <w:t>合同约定的轻度疾</w:t>
      </w:r>
      <w:r>
        <w:rPr>
          <w:b/>
          <w:i/>
          <w:spacing w:val="-3"/>
          <w:w w:val="95"/>
          <w:sz w:val="22"/>
        </w:rPr>
        <w:t>病</w:t>
      </w:r>
      <w:r>
        <w:rPr>
          <w:b/>
          <w:i/>
          <w:spacing w:val="-1"/>
          <w:w w:val="95"/>
          <w:sz w:val="22"/>
        </w:rPr>
        <w:t>或</w:t>
      </w:r>
      <w:r>
        <w:rPr>
          <w:b/>
          <w:i/>
          <w:spacing w:val="-3"/>
          <w:w w:val="95"/>
          <w:sz w:val="22"/>
        </w:rPr>
        <w:t>中</w:t>
      </w:r>
      <w:r>
        <w:rPr>
          <w:b/>
          <w:i/>
          <w:w w:val="95"/>
          <w:sz w:val="22"/>
        </w:rPr>
        <w:t>度疾病之前已经发生符合本主险合同</w:t>
      </w:r>
      <w:r>
        <w:rPr>
          <w:b/>
          <w:i/>
          <w:spacing w:val="-3"/>
          <w:w w:val="95"/>
          <w:sz w:val="22"/>
        </w:rPr>
        <w:t>约</w:t>
      </w:r>
      <w:r>
        <w:rPr>
          <w:b/>
          <w:i/>
          <w:w w:val="95"/>
          <w:sz w:val="22"/>
        </w:rPr>
        <w:t>定</w:t>
      </w:r>
      <w:r>
        <w:rPr>
          <w:b/>
          <w:i/>
          <w:spacing w:val="-3"/>
          <w:w w:val="95"/>
          <w:sz w:val="22"/>
        </w:rPr>
        <w:t>的</w:t>
      </w:r>
      <w:r>
        <w:rPr>
          <w:b/>
          <w:i/>
          <w:w w:val="95"/>
          <w:sz w:val="22"/>
        </w:rPr>
        <w:t>重度疾病</w:t>
      </w:r>
      <w:r>
        <w:rPr>
          <w:b/>
          <w:i/>
          <w:spacing w:val="-32"/>
          <w:w w:val="95"/>
          <w:sz w:val="22"/>
        </w:rPr>
        <w:t>、</w:t>
      </w:r>
      <w:r>
        <w:rPr>
          <w:b/>
          <w:i/>
          <w:w w:val="95"/>
          <w:sz w:val="22"/>
        </w:rPr>
        <w:t>达到疾病终</w:t>
      </w:r>
      <w:r>
        <w:rPr>
          <w:b/>
          <w:i/>
          <w:spacing w:val="-3"/>
          <w:w w:val="95"/>
          <w:sz w:val="22"/>
        </w:rPr>
        <w:t>末</w:t>
      </w:r>
      <w:r>
        <w:rPr>
          <w:b/>
          <w:i/>
          <w:w w:val="95"/>
          <w:sz w:val="22"/>
        </w:rPr>
        <w:t>期或全残</w:t>
      </w:r>
      <w:r>
        <w:rPr>
          <w:b/>
          <w:i/>
          <w:spacing w:val="-32"/>
          <w:w w:val="95"/>
          <w:sz w:val="22"/>
        </w:rPr>
        <w:t>，</w:t>
      </w:r>
      <w:r>
        <w:rPr>
          <w:b/>
          <w:i/>
          <w:w w:val="95"/>
          <w:sz w:val="22"/>
        </w:rPr>
        <w:t>未申请理赔的，保险金申请</w:t>
      </w:r>
      <w:r>
        <w:rPr>
          <w:b/>
          <w:i/>
          <w:spacing w:val="-3"/>
          <w:w w:val="95"/>
          <w:sz w:val="22"/>
        </w:rPr>
        <w:t>人</w:t>
      </w:r>
      <w:r>
        <w:rPr>
          <w:b/>
          <w:i/>
          <w:w w:val="95"/>
          <w:sz w:val="22"/>
        </w:rPr>
        <w:t>在</w:t>
      </w:r>
      <w:r>
        <w:rPr>
          <w:b/>
          <w:i/>
          <w:spacing w:val="-3"/>
          <w:w w:val="95"/>
          <w:sz w:val="22"/>
        </w:rPr>
        <w:t>之</w:t>
      </w:r>
      <w:r>
        <w:rPr>
          <w:b/>
          <w:i/>
          <w:w w:val="95"/>
          <w:sz w:val="22"/>
        </w:rPr>
        <w:t>后就上述以前发生</w:t>
      </w:r>
      <w:r>
        <w:rPr>
          <w:b/>
          <w:i/>
          <w:spacing w:val="-2"/>
          <w:w w:val="95"/>
          <w:sz w:val="22"/>
        </w:rPr>
        <w:t>的</w:t>
      </w:r>
      <w:r>
        <w:rPr>
          <w:b/>
          <w:i/>
          <w:w w:val="95"/>
          <w:sz w:val="22"/>
        </w:rPr>
        <w:t>重</w:t>
      </w:r>
      <w:r>
        <w:rPr>
          <w:b/>
          <w:i/>
          <w:spacing w:val="-3"/>
          <w:w w:val="95"/>
          <w:sz w:val="22"/>
        </w:rPr>
        <w:t>度</w:t>
      </w:r>
      <w:r>
        <w:rPr>
          <w:b/>
          <w:i/>
          <w:w w:val="95"/>
          <w:sz w:val="22"/>
        </w:rPr>
        <w:t>疾病、疾病终末</w:t>
      </w:r>
      <w:r>
        <w:rPr>
          <w:b/>
          <w:i/>
          <w:spacing w:val="-3"/>
          <w:w w:val="95"/>
          <w:sz w:val="22"/>
        </w:rPr>
        <w:t>期</w:t>
      </w:r>
      <w:r>
        <w:rPr>
          <w:b/>
          <w:i/>
          <w:spacing w:val="-14"/>
          <w:w w:val="95"/>
          <w:sz w:val="22"/>
        </w:rPr>
        <w:t>、</w:t>
      </w:r>
      <w:r>
        <w:rPr>
          <w:b/>
          <w:i/>
          <w:w w:val="95"/>
          <w:sz w:val="22"/>
        </w:rPr>
        <w:t>全残保险事故申请</w:t>
      </w:r>
      <w:r>
        <w:rPr>
          <w:b/>
          <w:i/>
          <w:spacing w:val="-3"/>
          <w:w w:val="95"/>
          <w:sz w:val="22"/>
        </w:rPr>
        <w:t>理</w:t>
      </w:r>
      <w:r>
        <w:rPr>
          <w:b/>
          <w:i/>
          <w:w w:val="95"/>
          <w:sz w:val="22"/>
        </w:rPr>
        <w:t>赔</w:t>
      </w:r>
      <w:r>
        <w:rPr>
          <w:b/>
          <w:i/>
          <w:spacing w:val="-3"/>
          <w:w w:val="95"/>
          <w:sz w:val="22"/>
        </w:rPr>
        <w:t>时</w:t>
      </w:r>
      <w:r>
        <w:rPr>
          <w:b/>
          <w:i/>
          <w:spacing w:val="-60"/>
          <w:w w:val="95"/>
          <w:sz w:val="22"/>
        </w:rPr>
        <w:t>，</w:t>
      </w:r>
      <w:r>
        <w:rPr>
          <w:b/>
          <w:i/>
          <w:w w:val="95"/>
          <w:sz w:val="22"/>
        </w:rPr>
        <w:t>我们将扣除已</w:t>
      </w:r>
      <w:r>
        <w:rPr>
          <w:b/>
          <w:i/>
          <w:spacing w:val="-3"/>
          <w:w w:val="95"/>
          <w:sz w:val="22"/>
        </w:rPr>
        <w:t>经</w:t>
      </w:r>
      <w:r>
        <w:rPr>
          <w:b/>
          <w:i/>
          <w:w w:val="95"/>
          <w:sz w:val="22"/>
        </w:rPr>
        <w:t>给付</w:t>
      </w:r>
      <w:r>
        <w:rPr>
          <w:b/>
          <w:i/>
          <w:spacing w:val="-2"/>
          <w:w w:val="95"/>
          <w:sz w:val="22"/>
        </w:rPr>
        <w:t>的</w:t>
      </w:r>
      <w:r>
        <w:rPr>
          <w:b/>
          <w:i/>
          <w:w w:val="95"/>
          <w:sz w:val="22"/>
        </w:rPr>
        <w:t>轻度疾病保险金或中度疾病保险金的金</w:t>
      </w:r>
      <w:r>
        <w:rPr>
          <w:b/>
          <w:i/>
          <w:spacing w:val="-3"/>
          <w:w w:val="95"/>
          <w:sz w:val="22"/>
        </w:rPr>
        <w:t>额</w:t>
      </w:r>
      <w:r>
        <w:rPr>
          <w:b/>
          <w:i/>
          <w:w w:val="95"/>
          <w:sz w:val="22"/>
        </w:rPr>
        <w:t>。</w:t>
      </w:r>
    </w:p>
    <w:p>
      <w:pPr>
        <w:spacing w:line="266" w:lineRule="auto" w:before="0"/>
        <w:ind w:left="3705" w:right="579" w:hanging="420"/>
        <w:jc w:val="both"/>
        <w:rPr>
          <w:b/>
          <w:i/>
          <w:sz w:val="22"/>
        </w:rPr>
      </w:pPr>
      <w:r>
        <w:rPr>
          <w:b/>
          <w:i/>
          <w:spacing w:val="-4"/>
          <w:w w:val="95"/>
          <w:sz w:val="22"/>
        </w:rPr>
        <w:t>二、若被保险人同时满足本主险合同约定的多种轻度疾病、中度疾病或重度</w:t>
      </w:r>
      <w:r>
        <w:rPr>
          <w:b/>
          <w:i/>
          <w:spacing w:val="-10"/>
          <w:w w:val="95"/>
          <w:sz w:val="22"/>
        </w:rPr>
        <w:t>疾病的给付标准，我们仅给付上述疾病的保险金金额中最高的一种疾病</w:t>
      </w:r>
      <w:r>
        <w:rPr>
          <w:b/>
          <w:i/>
          <w:spacing w:val="-2"/>
          <w:w w:val="95"/>
          <w:sz w:val="22"/>
        </w:rPr>
        <w:t>的保险金，同时相应上述疾病的保险责任均终止。</w:t>
      </w:r>
    </w:p>
    <w:p>
      <w:pPr>
        <w:spacing w:line="266" w:lineRule="auto" w:before="0"/>
        <w:ind w:left="3705" w:right="577" w:hanging="420"/>
        <w:jc w:val="both"/>
        <w:rPr>
          <w:b/>
          <w:i/>
          <w:sz w:val="22"/>
        </w:rPr>
      </w:pPr>
      <w:r>
        <w:rPr>
          <w:b/>
          <w:i/>
          <w:spacing w:val="-5"/>
          <w:w w:val="95"/>
          <w:sz w:val="22"/>
        </w:rPr>
        <w:t>三、由同一疾病原因导致的多种轻度疾病，我们仅给付其中一种轻度疾病的</w:t>
      </w:r>
      <w:r>
        <w:rPr>
          <w:b/>
          <w:i/>
          <w:spacing w:val="-4"/>
          <w:sz w:val="22"/>
        </w:rPr>
        <w:t>保</w:t>
      </w:r>
      <w:r>
        <w:rPr>
          <w:b/>
          <w:i/>
          <w:spacing w:val="-4"/>
          <w:sz w:val="22"/>
        </w:rPr>
        <w:t>险</w:t>
      </w:r>
      <w:r>
        <w:rPr>
          <w:b/>
          <w:i/>
          <w:spacing w:val="-4"/>
          <w:sz w:val="22"/>
        </w:rPr>
        <w:t>金</w:t>
      </w:r>
      <w:r>
        <w:rPr>
          <w:b/>
          <w:i/>
          <w:spacing w:val="-4"/>
          <w:sz w:val="22"/>
        </w:rPr>
        <w:t>。</w:t>
      </w:r>
    </w:p>
    <w:p>
      <w:pPr>
        <w:spacing w:line="266" w:lineRule="auto" w:before="0"/>
        <w:ind w:left="3705" w:right="577" w:hanging="420"/>
        <w:jc w:val="both"/>
        <w:rPr>
          <w:b/>
          <w:i/>
          <w:sz w:val="22"/>
        </w:rPr>
      </w:pPr>
      <w:r>
        <w:rPr>
          <w:b/>
          <w:i/>
          <w:spacing w:val="-5"/>
          <w:w w:val="95"/>
          <w:sz w:val="22"/>
        </w:rPr>
        <w:t>四、由同一疾病原因导致的多种中度疾病，我们仅给付其中一种中度疾病的</w:t>
      </w:r>
      <w:r>
        <w:rPr>
          <w:b/>
          <w:i/>
          <w:spacing w:val="-4"/>
          <w:sz w:val="22"/>
        </w:rPr>
        <w:t>保</w:t>
      </w:r>
      <w:r>
        <w:rPr>
          <w:b/>
          <w:i/>
          <w:spacing w:val="-4"/>
          <w:sz w:val="22"/>
        </w:rPr>
        <w:t>险</w:t>
      </w:r>
      <w:r>
        <w:rPr>
          <w:b/>
          <w:i/>
          <w:spacing w:val="-4"/>
          <w:sz w:val="22"/>
        </w:rPr>
        <w:t>金</w:t>
      </w:r>
      <w:r>
        <w:rPr>
          <w:b/>
          <w:i/>
          <w:spacing w:val="-4"/>
          <w:sz w:val="22"/>
        </w:rPr>
        <w:t>。</w:t>
      </w:r>
    </w:p>
    <w:p>
      <w:pPr>
        <w:spacing w:line="266" w:lineRule="auto" w:before="0"/>
        <w:ind w:left="3705" w:right="577" w:hanging="420"/>
        <w:jc w:val="both"/>
        <w:rPr>
          <w:b/>
          <w:i/>
          <w:sz w:val="22"/>
        </w:rPr>
      </w:pPr>
      <w:r>
        <w:rPr>
          <w:b/>
          <w:i/>
          <w:spacing w:val="-5"/>
          <w:w w:val="95"/>
          <w:sz w:val="22"/>
        </w:rPr>
        <w:t>五、由同一疾病原因导致的多种重度疾病，我们仅给付其中一种重度疾病的</w:t>
      </w:r>
      <w:r>
        <w:rPr>
          <w:b/>
          <w:i/>
          <w:spacing w:val="-4"/>
          <w:sz w:val="22"/>
        </w:rPr>
        <w:t>保</w:t>
      </w:r>
      <w:r>
        <w:rPr>
          <w:b/>
          <w:i/>
          <w:spacing w:val="-4"/>
          <w:sz w:val="22"/>
        </w:rPr>
        <w:t>险</w:t>
      </w:r>
      <w:r>
        <w:rPr>
          <w:b/>
          <w:i/>
          <w:spacing w:val="-4"/>
          <w:sz w:val="22"/>
        </w:rPr>
        <w:t>金</w:t>
      </w:r>
      <w:r>
        <w:rPr>
          <w:b/>
          <w:i/>
          <w:spacing w:val="-4"/>
          <w:sz w:val="22"/>
        </w:rPr>
        <w:t>。</w:t>
      </w:r>
    </w:p>
    <w:p>
      <w:pPr>
        <w:spacing w:line="266" w:lineRule="auto" w:before="0"/>
        <w:ind w:left="3705" w:right="580" w:hanging="420"/>
        <w:jc w:val="both"/>
        <w:rPr>
          <w:b/>
          <w:i/>
          <w:sz w:val="22"/>
        </w:rPr>
      </w:pPr>
      <w:r>
        <w:rPr>
          <w:b/>
          <w:i/>
          <w:spacing w:val="-2"/>
          <w:w w:val="95"/>
          <w:sz w:val="22"/>
        </w:rPr>
        <w:t>六、在任何情况下，我们仅给付本主险合同约定的重度疾病保险金、疾病终</w:t>
      </w:r>
      <w:r>
        <w:rPr>
          <w:b/>
          <w:i/>
          <w:spacing w:val="-2"/>
          <w:sz w:val="22"/>
        </w:rPr>
        <w:t>末</w:t>
      </w:r>
      <w:r>
        <w:rPr>
          <w:b/>
          <w:i/>
          <w:spacing w:val="-2"/>
          <w:sz w:val="22"/>
        </w:rPr>
        <w:t>期</w:t>
      </w:r>
      <w:r>
        <w:rPr>
          <w:b/>
          <w:i/>
          <w:spacing w:val="-2"/>
          <w:sz w:val="22"/>
        </w:rPr>
        <w:t>保</w:t>
      </w:r>
      <w:r>
        <w:rPr>
          <w:b/>
          <w:i/>
          <w:spacing w:val="-2"/>
          <w:sz w:val="22"/>
        </w:rPr>
        <w:t>险</w:t>
      </w:r>
      <w:r>
        <w:rPr>
          <w:b/>
          <w:i/>
          <w:spacing w:val="-2"/>
          <w:sz w:val="22"/>
        </w:rPr>
        <w:t>金</w:t>
      </w:r>
      <w:r>
        <w:rPr>
          <w:b/>
          <w:i/>
          <w:spacing w:val="-2"/>
          <w:sz w:val="22"/>
        </w:rPr>
        <w:t>、</w:t>
      </w:r>
      <w:r>
        <w:rPr>
          <w:b/>
          <w:i/>
          <w:spacing w:val="-2"/>
          <w:sz w:val="22"/>
        </w:rPr>
        <w:t>身</w:t>
      </w:r>
      <w:r>
        <w:rPr>
          <w:b/>
          <w:i/>
          <w:spacing w:val="-2"/>
          <w:sz w:val="22"/>
        </w:rPr>
        <w:t>故</w:t>
      </w:r>
      <w:r>
        <w:rPr>
          <w:b/>
          <w:i/>
          <w:spacing w:val="-2"/>
          <w:sz w:val="22"/>
        </w:rPr>
        <w:t>或全残</w:t>
      </w:r>
      <w:r>
        <w:rPr>
          <w:b/>
          <w:i/>
          <w:spacing w:val="-2"/>
          <w:sz w:val="22"/>
        </w:rPr>
        <w:t>保</w:t>
      </w:r>
      <w:r>
        <w:rPr>
          <w:b/>
          <w:i/>
          <w:spacing w:val="-2"/>
          <w:sz w:val="22"/>
        </w:rPr>
        <w:t>险</w:t>
      </w:r>
      <w:r>
        <w:rPr>
          <w:b/>
          <w:i/>
          <w:spacing w:val="-2"/>
          <w:sz w:val="22"/>
        </w:rPr>
        <w:t>金</w:t>
      </w:r>
      <w:r>
        <w:rPr>
          <w:b/>
          <w:i/>
          <w:spacing w:val="-2"/>
          <w:sz w:val="22"/>
        </w:rPr>
        <w:t>中</w:t>
      </w:r>
      <w:r>
        <w:rPr>
          <w:b/>
          <w:i/>
          <w:spacing w:val="-2"/>
          <w:sz w:val="22"/>
        </w:rPr>
        <w:t>的</w:t>
      </w:r>
      <w:r>
        <w:rPr>
          <w:b/>
          <w:i/>
          <w:spacing w:val="-2"/>
          <w:sz w:val="22"/>
        </w:rPr>
        <w:t>一</w:t>
      </w:r>
      <w:r>
        <w:rPr>
          <w:b/>
          <w:i/>
          <w:spacing w:val="-2"/>
          <w:sz w:val="22"/>
        </w:rPr>
        <w:t>项</w:t>
      </w:r>
      <w:r>
        <w:rPr>
          <w:b/>
          <w:i/>
          <w:spacing w:val="-2"/>
          <w:sz w:val="22"/>
        </w:rPr>
        <w:t>。</w:t>
      </w:r>
    </w:p>
    <w:p>
      <w:pPr>
        <w:pStyle w:val="BodyText"/>
        <w:spacing w:before="1"/>
        <w:rPr>
          <w:b/>
          <w:i/>
          <w:sz w:val="24"/>
        </w:rPr>
      </w:pPr>
    </w:p>
    <w:p>
      <w:pPr>
        <w:pStyle w:val="ListParagraph"/>
        <w:numPr>
          <w:ilvl w:val="1"/>
          <w:numId w:val="3"/>
        </w:numPr>
        <w:tabs>
          <w:tab w:pos="1713" w:val="left" w:leader="none"/>
          <w:tab w:pos="1714" w:val="left" w:leader="none"/>
          <w:tab w:pos="3285" w:val="left" w:leader="none"/>
        </w:tabs>
        <w:spacing w:line="278" w:lineRule="auto" w:before="0" w:after="0"/>
        <w:ind w:left="3285" w:right="580" w:hanging="2711"/>
        <w:jc w:val="left"/>
        <w:rPr>
          <w:rFonts w:ascii="黑体" w:eastAsia="黑体" w:hint="eastAsia"/>
          <w:b/>
          <w:sz w:val="21"/>
        </w:rPr>
      </w:pPr>
      <w:r>
        <w:rPr>
          <w:rFonts w:ascii="黑体" w:eastAsia="黑体" w:hint="eastAsia"/>
          <w:b/>
          <w:spacing w:val="-4"/>
          <w:sz w:val="21"/>
        </w:rPr>
        <w:t>责</w:t>
      </w:r>
      <w:r>
        <w:rPr>
          <w:rFonts w:ascii="黑体" w:eastAsia="黑体" w:hint="eastAsia"/>
          <w:b/>
          <w:spacing w:val="-4"/>
          <w:sz w:val="21"/>
        </w:rPr>
        <w:t>任</w:t>
      </w:r>
      <w:r>
        <w:rPr>
          <w:rFonts w:ascii="黑体" w:eastAsia="黑体" w:hint="eastAsia"/>
          <w:b/>
          <w:spacing w:val="-4"/>
          <w:sz w:val="21"/>
        </w:rPr>
        <w:t>免</w:t>
      </w:r>
      <w:r>
        <w:rPr>
          <w:rFonts w:ascii="黑体" w:eastAsia="黑体" w:hint="eastAsia"/>
          <w:b/>
          <w:spacing w:val="-4"/>
          <w:sz w:val="21"/>
        </w:rPr>
        <w:t>除</w:t>
      </w:r>
      <w:r>
        <w:rPr>
          <w:rFonts w:ascii="黑体" w:eastAsia="黑体" w:hint="eastAsia"/>
          <w:b/>
          <w:sz w:val="21"/>
        </w:rPr>
        <w:tab/>
      </w:r>
      <w:r>
        <w:rPr>
          <w:rFonts w:ascii="黑体" w:eastAsia="黑体" w:hint="eastAsia"/>
          <w:b/>
          <w:spacing w:val="-2"/>
          <w:sz w:val="21"/>
        </w:rPr>
        <w:t>因</w:t>
      </w:r>
      <w:r>
        <w:rPr>
          <w:rFonts w:ascii="黑体" w:eastAsia="黑体" w:hint="eastAsia"/>
          <w:b/>
          <w:spacing w:val="-2"/>
          <w:sz w:val="21"/>
        </w:rPr>
        <w:t>下</w:t>
      </w:r>
      <w:r>
        <w:rPr>
          <w:rFonts w:ascii="黑体" w:eastAsia="黑体" w:hint="eastAsia"/>
          <w:b/>
          <w:spacing w:val="-2"/>
          <w:sz w:val="21"/>
        </w:rPr>
        <w:t>列</w:t>
      </w:r>
      <w:r>
        <w:rPr>
          <w:rFonts w:ascii="黑体" w:eastAsia="黑体" w:hint="eastAsia"/>
          <w:b/>
          <w:spacing w:val="-2"/>
          <w:sz w:val="21"/>
        </w:rPr>
        <w:t>第（一）</w:t>
      </w:r>
      <w:r>
        <w:rPr>
          <w:rFonts w:ascii="黑体" w:eastAsia="黑体" w:hint="eastAsia"/>
          <w:b/>
          <w:spacing w:val="-2"/>
          <w:sz w:val="21"/>
        </w:rPr>
        <w:t>项</w:t>
      </w:r>
      <w:r>
        <w:rPr>
          <w:rFonts w:ascii="黑体" w:eastAsia="黑体" w:hint="eastAsia"/>
          <w:b/>
          <w:spacing w:val="-2"/>
          <w:sz w:val="21"/>
        </w:rPr>
        <w:t>至</w:t>
      </w:r>
      <w:r>
        <w:rPr>
          <w:rFonts w:ascii="黑体" w:eastAsia="黑体" w:hint="eastAsia"/>
          <w:b/>
          <w:spacing w:val="-2"/>
          <w:sz w:val="21"/>
        </w:rPr>
        <w:t>第（七）</w:t>
      </w:r>
      <w:r>
        <w:rPr>
          <w:rFonts w:ascii="黑体" w:eastAsia="黑体" w:hint="eastAsia"/>
          <w:b/>
          <w:spacing w:val="-2"/>
          <w:sz w:val="21"/>
        </w:rPr>
        <w:t>项</w:t>
      </w:r>
      <w:r>
        <w:rPr>
          <w:rFonts w:ascii="黑体" w:eastAsia="黑体" w:hint="eastAsia"/>
          <w:b/>
          <w:spacing w:val="-2"/>
          <w:sz w:val="21"/>
        </w:rPr>
        <w:t>情</w:t>
      </w:r>
      <w:r>
        <w:rPr>
          <w:rFonts w:ascii="黑体" w:eastAsia="黑体" w:hint="eastAsia"/>
          <w:b/>
          <w:spacing w:val="-2"/>
          <w:sz w:val="21"/>
        </w:rPr>
        <w:t>形</w:t>
      </w:r>
      <w:r>
        <w:rPr>
          <w:rFonts w:ascii="黑体" w:eastAsia="黑体" w:hint="eastAsia"/>
          <w:b/>
          <w:spacing w:val="-2"/>
          <w:sz w:val="21"/>
        </w:rPr>
        <w:t>之</w:t>
      </w:r>
      <w:r>
        <w:rPr>
          <w:rFonts w:ascii="黑体" w:eastAsia="黑体" w:hint="eastAsia"/>
          <w:b/>
          <w:spacing w:val="-2"/>
          <w:sz w:val="21"/>
        </w:rPr>
        <w:t>一，</w:t>
      </w:r>
      <w:r>
        <w:rPr>
          <w:rFonts w:ascii="黑体" w:eastAsia="黑体" w:hint="eastAsia"/>
          <w:b/>
          <w:spacing w:val="-2"/>
          <w:sz w:val="21"/>
        </w:rPr>
        <w:t>导</w:t>
      </w:r>
      <w:r>
        <w:rPr>
          <w:rFonts w:ascii="黑体" w:eastAsia="黑体" w:hint="eastAsia"/>
          <w:b/>
          <w:spacing w:val="-2"/>
          <w:sz w:val="21"/>
        </w:rPr>
        <w:t>致</w:t>
      </w:r>
      <w:r>
        <w:rPr>
          <w:rFonts w:ascii="黑体" w:eastAsia="黑体" w:hint="eastAsia"/>
          <w:b/>
          <w:spacing w:val="-2"/>
          <w:sz w:val="21"/>
        </w:rPr>
        <w:t>被</w:t>
      </w:r>
      <w:r>
        <w:rPr>
          <w:rFonts w:ascii="黑体" w:eastAsia="黑体" w:hint="eastAsia"/>
          <w:b/>
          <w:spacing w:val="-2"/>
          <w:sz w:val="21"/>
        </w:rPr>
        <w:t>保</w:t>
      </w:r>
      <w:r>
        <w:rPr>
          <w:rFonts w:ascii="黑体" w:eastAsia="黑体" w:hint="eastAsia"/>
          <w:b/>
          <w:spacing w:val="-2"/>
          <w:sz w:val="21"/>
        </w:rPr>
        <w:t>险</w:t>
      </w:r>
      <w:r>
        <w:rPr>
          <w:rFonts w:ascii="黑体" w:eastAsia="黑体" w:hint="eastAsia"/>
          <w:b/>
          <w:spacing w:val="-2"/>
          <w:sz w:val="21"/>
        </w:rPr>
        <w:t>人</w:t>
      </w:r>
      <w:r>
        <w:rPr>
          <w:rFonts w:ascii="黑体" w:eastAsia="黑体" w:hint="eastAsia"/>
          <w:b/>
          <w:spacing w:val="-2"/>
          <w:sz w:val="21"/>
        </w:rPr>
        <w:t>身</w:t>
      </w:r>
      <w:r>
        <w:rPr>
          <w:rFonts w:ascii="黑体" w:eastAsia="黑体" w:hint="eastAsia"/>
          <w:b/>
          <w:spacing w:val="-2"/>
          <w:sz w:val="21"/>
        </w:rPr>
        <w:t>故</w:t>
      </w:r>
      <w:r>
        <w:rPr>
          <w:rFonts w:ascii="黑体" w:eastAsia="黑体" w:hint="eastAsia"/>
          <w:b/>
          <w:spacing w:val="-2"/>
          <w:sz w:val="21"/>
        </w:rPr>
        <w:t>或</w:t>
      </w:r>
      <w:r>
        <w:rPr>
          <w:rFonts w:ascii="黑体" w:eastAsia="黑体" w:hint="eastAsia"/>
          <w:b/>
          <w:spacing w:val="-2"/>
          <w:sz w:val="21"/>
        </w:rPr>
        <w:t>全</w:t>
      </w:r>
      <w:r>
        <w:rPr>
          <w:rFonts w:ascii="黑体" w:eastAsia="黑体" w:hint="eastAsia"/>
          <w:b/>
          <w:spacing w:val="-2"/>
          <w:sz w:val="21"/>
        </w:rPr>
        <w:t>残</w:t>
      </w:r>
      <w:r>
        <w:rPr>
          <w:rFonts w:ascii="黑体" w:eastAsia="黑体" w:hint="eastAsia"/>
          <w:b/>
          <w:spacing w:val="-2"/>
          <w:sz w:val="21"/>
        </w:rPr>
        <w:t>的，</w:t>
      </w:r>
      <w:r>
        <w:rPr>
          <w:rFonts w:ascii="黑体" w:eastAsia="黑体" w:hint="eastAsia"/>
          <w:b/>
          <w:spacing w:val="-2"/>
          <w:sz w:val="21"/>
        </w:rPr>
        <w:t>我</w:t>
      </w:r>
      <w:r>
        <w:rPr>
          <w:rFonts w:ascii="黑体" w:eastAsia="黑体" w:hint="eastAsia"/>
          <w:b/>
          <w:spacing w:val="-2"/>
          <w:sz w:val="21"/>
        </w:rPr>
        <w:t>们</w:t>
      </w:r>
      <w:r>
        <w:rPr>
          <w:rFonts w:ascii="黑体" w:eastAsia="黑体" w:hint="eastAsia"/>
          <w:b/>
          <w:spacing w:val="-2"/>
          <w:sz w:val="21"/>
        </w:rPr>
        <w:t>不</w:t>
      </w:r>
      <w:r>
        <w:rPr>
          <w:rFonts w:ascii="黑体" w:eastAsia="黑体" w:hint="eastAsia"/>
          <w:b/>
          <w:spacing w:val="-2"/>
          <w:sz w:val="21"/>
        </w:rPr>
        <w:t>承</w:t>
      </w:r>
      <w:r>
        <w:rPr>
          <w:rFonts w:ascii="黑体" w:eastAsia="黑体" w:hint="eastAsia"/>
          <w:b/>
          <w:spacing w:val="-2"/>
          <w:sz w:val="21"/>
        </w:rPr>
        <w:t>担</w:t>
      </w:r>
      <w:r>
        <w:rPr>
          <w:rFonts w:ascii="黑体" w:eastAsia="黑体" w:hint="eastAsia"/>
          <w:b/>
          <w:spacing w:val="-2"/>
          <w:sz w:val="21"/>
        </w:rPr>
        <w:t>保</w:t>
      </w:r>
      <w:r>
        <w:rPr>
          <w:rFonts w:ascii="黑体" w:eastAsia="黑体" w:hint="eastAsia"/>
          <w:b/>
          <w:spacing w:val="-2"/>
          <w:sz w:val="21"/>
        </w:rPr>
        <w:t>险</w:t>
      </w:r>
      <w:r>
        <w:rPr>
          <w:rFonts w:ascii="黑体" w:eastAsia="黑体" w:hint="eastAsia"/>
          <w:b/>
          <w:spacing w:val="-2"/>
          <w:sz w:val="21"/>
        </w:rPr>
        <w:t>责</w:t>
      </w:r>
      <w:r>
        <w:rPr>
          <w:rFonts w:ascii="黑体" w:eastAsia="黑体" w:hint="eastAsia"/>
          <w:b/>
          <w:spacing w:val="-2"/>
          <w:sz w:val="21"/>
        </w:rPr>
        <w:t>任</w:t>
      </w:r>
      <w:r>
        <w:rPr>
          <w:rFonts w:ascii="黑体" w:eastAsia="黑体" w:hint="eastAsia"/>
          <w:b/>
          <w:spacing w:val="-2"/>
          <w:sz w:val="21"/>
        </w:rPr>
        <w:t>：</w:t>
      </w:r>
    </w:p>
    <w:p>
      <w:pPr>
        <w:spacing w:line="278" w:lineRule="auto" w:before="0"/>
        <w:ind w:left="3285" w:right="579" w:firstLine="0"/>
        <w:jc w:val="left"/>
        <w:rPr>
          <w:rFonts w:ascii="黑体" w:eastAsia="黑体" w:hint="eastAsia"/>
          <w:b/>
          <w:sz w:val="21"/>
        </w:rPr>
      </w:pPr>
      <w:r>
        <w:rPr>
          <w:rFonts w:ascii="黑体" w:eastAsia="黑体" w:hint="eastAsia"/>
          <w:b/>
          <w:spacing w:val="-2"/>
          <w:sz w:val="21"/>
        </w:rPr>
        <w:t>因下列第（一）项至第（九）项情形之一，导致被保险人发生疾病、达到疾</w:t>
      </w:r>
      <w:r>
        <w:rPr>
          <w:rFonts w:ascii="黑体" w:eastAsia="黑体" w:hint="eastAsia"/>
          <w:b/>
          <w:spacing w:val="-2"/>
          <w:sz w:val="21"/>
        </w:rPr>
        <w:t>病状态或进行手术的，我们不承担保险责任：</w:t>
      </w:r>
    </w:p>
    <w:p>
      <w:pPr>
        <w:spacing w:line="269" w:lineRule="exact" w:before="0"/>
        <w:ind w:left="3259" w:right="0" w:firstLine="0"/>
        <w:jc w:val="left"/>
        <w:rPr>
          <w:rFonts w:ascii="黑体" w:eastAsia="黑体" w:hint="eastAsia"/>
          <w:b/>
          <w:sz w:val="21"/>
        </w:rPr>
      </w:pPr>
      <w:r>
        <w:rPr>
          <w:rFonts w:ascii="黑体" w:eastAsia="黑体" w:hint="eastAsia"/>
          <w:b/>
          <w:w w:val="95"/>
          <w:sz w:val="21"/>
        </w:rPr>
        <w:t>(一)</w:t>
      </w:r>
      <w:r>
        <w:rPr>
          <w:rFonts w:ascii="黑体" w:eastAsia="黑体" w:hint="eastAsia"/>
          <w:b/>
          <w:w w:val="95"/>
          <w:sz w:val="21"/>
        </w:rPr>
        <w:t>投</w:t>
      </w:r>
      <w:r>
        <w:rPr>
          <w:rFonts w:ascii="黑体" w:eastAsia="黑体" w:hint="eastAsia"/>
          <w:b/>
          <w:w w:val="95"/>
          <w:sz w:val="21"/>
        </w:rPr>
        <w:t>保</w:t>
      </w:r>
      <w:r>
        <w:rPr>
          <w:rFonts w:ascii="黑体" w:eastAsia="黑体" w:hint="eastAsia"/>
          <w:b/>
          <w:w w:val="95"/>
          <w:sz w:val="21"/>
        </w:rPr>
        <w:t>人</w:t>
      </w:r>
      <w:r>
        <w:rPr>
          <w:rFonts w:ascii="黑体" w:eastAsia="黑体" w:hint="eastAsia"/>
          <w:b/>
          <w:w w:val="95"/>
          <w:sz w:val="21"/>
        </w:rPr>
        <w:t>对</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的故意</w:t>
      </w:r>
      <w:r>
        <w:rPr>
          <w:rFonts w:ascii="黑体" w:eastAsia="黑体" w:hint="eastAsia"/>
          <w:b/>
          <w:w w:val="95"/>
          <w:sz w:val="21"/>
        </w:rPr>
        <w:t>杀</w:t>
      </w:r>
      <w:r>
        <w:rPr>
          <w:rFonts w:ascii="黑体" w:eastAsia="黑体" w:hint="eastAsia"/>
          <w:b/>
          <w:w w:val="95"/>
          <w:sz w:val="21"/>
        </w:rPr>
        <w:t>害</w:t>
      </w:r>
      <w:r>
        <w:rPr>
          <w:rFonts w:ascii="黑体" w:eastAsia="黑体" w:hint="eastAsia"/>
          <w:b/>
          <w:w w:val="95"/>
          <w:sz w:val="21"/>
        </w:rPr>
        <w:t>、</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伤</w:t>
      </w:r>
      <w:r>
        <w:rPr>
          <w:rFonts w:ascii="黑体" w:eastAsia="黑体" w:hint="eastAsia"/>
          <w:b/>
          <w:w w:val="95"/>
          <w:sz w:val="21"/>
        </w:rPr>
        <w:t>害</w:t>
      </w:r>
      <w:r>
        <w:rPr>
          <w:rFonts w:ascii="黑体" w:eastAsia="黑体" w:hint="eastAsia"/>
          <w:b/>
          <w:spacing w:val="-10"/>
          <w:w w:val="95"/>
          <w:sz w:val="21"/>
        </w:rPr>
        <w:t>；</w:t>
      </w:r>
    </w:p>
    <w:p>
      <w:pPr>
        <w:spacing w:after="0" w:line="269" w:lineRule="exact"/>
        <w:jc w:val="left"/>
        <w:rPr>
          <w:rFonts w:ascii="黑体" w:eastAsia="黑体" w:hint="eastAsia"/>
          <w:sz w:val="21"/>
        </w:rPr>
        <w:sectPr>
          <w:type w:val="continuous"/>
          <w:pgSz w:w="11910" w:h="16840"/>
          <w:pgMar w:top="460" w:bottom="280" w:left="680" w:right="460"/>
        </w:sectPr>
      </w:pPr>
    </w:p>
    <w:p>
      <w:pPr>
        <w:spacing w:before="52"/>
        <w:ind w:left="3259" w:right="0" w:firstLine="0"/>
        <w:jc w:val="left"/>
        <w:rPr>
          <w:rFonts w:ascii="黑体" w:eastAsia="黑体" w:hint="eastAsia"/>
          <w:b/>
          <w:sz w:val="21"/>
        </w:rPr>
      </w:pPr>
      <w:r>
        <w:rPr>
          <w:rFonts w:ascii="黑体" w:eastAsia="黑体" w:hint="eastAsia"/>
          <w:b/>
          <w:w w:val="95"/>
          <w:sz w:val="21"/>
        </w:rPr>
        <w:t>(二)</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犯</w:t>
      </w:r>
      <w:r>
        <w:rPr>
          <w:rFonts w:ascii="黑体" w:eastAsia="黑体" w:hint="eastAsia"/>
          <w:b/>
          <w:w w:val="95"/>
          <w:sz w:val="21"/>
        </w:rPr>
        <w:t>罪</w:t>
      </w:r>
      <w:r>
        <w:rPr>
          <w:rFonts w:ascii="黑体" w:eastAsia="黑体" w:hint="eastAsia"/>
          <w:b/>
          <w:w w:val="95"/>
          <w:sz w:val="21"/>
        </w:rPr>
        <w:t>或抗拒</w:t>
      </w:r>
      <w:r>
        <w:rPr>
          <w:rFonts w:ascii="黑体" w:eastAsia="黑体" w:hint="eastAsia"/>
          <w:b/>
          <w:w w:val="95"/>
          <w:sz w:val="21"/>
        </w:rPr>
        <w:t>依</w:t>
      </w:r>
      <w:r>
        <w:rPr>
          <w:rFonts w:ascii="黑体" w:eastAsia="黑体" w:hint="eastAsia"/>
          <w:b/>
          <w:w w:val="95"/>
          <w:sz w:val="21"/>
        </w:rPr>
        <w:t>法</w:t>
      </w:r>
      <w:r>
        <w:rPr>
          <w:rFonts w:ascii="黑体" w:eastAsia="黑体" w:hint="eastAsia"/>
          <w:b/>
          <w:w w:val="95"/>
          <w:sz w:val="21"/>
        </w:rPr>
        <w:t>采</w:t>
      </w:r>
      <w:r>
        <w:rPr>
          <w:rFonts w:ascii="黑体" w:eastAsia="黑体" w:hint="eastAsia"/>
          <w:b/>
          <w:w w:val="95"/>
          <w:sz w:val="21"/>
        </w:rPr>
        <w:t>取</w:t>
      </w:r>
      <w:r>
        <w:rPr>
          <w:rFonts w:ascii="黑体" w:eastAsia="黑体" w:hint="eastAsia"/>
          <w:b/>
          <w:w w:val="95"/>
          <w:sz w:val="21"/>
        </w:rPr>
        <w:t>的</w:t>
      </w:r>
      <w:r>
        <w:rPr>
          <w:rFonts w:ascii="黑体" w:eastAsia="黑体" w:hint="eastAsia"/>
          <w:b/>
          <w:w w:val="95"/>
          <w:sz w:val="21"/>
        </w:rPr>
        <w:t>刑</w:t>
      </w:r>
      <w:r>
        <w:rPr>
          <w:rFonts w:ascii="黑体" w:eastAsia="黑体" w:hint="eastAsia"/>
          <w:b/>
          <w:w w:val="95"/>
          <w:sz w:val="21"/>
        </w:rPr>
        <w:t>事</w:t>
      </w:r>
      <w:r>
        <w:rPr>
          <w:rFonts w:ascii="黑体" w:eastAsia="黑体" w:hint="eastAsia"/>
          <w:b/>
          <w:w w:val="95"/>
          <w:sz w:val="21"/>
        </w:rPr>
        <w:t>强</w:t>
      </w:r>
      <w:r>
        <w:rPr>
          <w:rFonts w:ascii="黑体" w:eastAsia="黑体" w:hint="eastAsia"/>
          <w:b/>
          <w:spacing w:val="-3"/>
          <w:w w:val="95"/>
          <w:sz w:val="21"/>
        </w:rPr>
        <w:t>制措施；</w:t>
      </w:r>
    </w:p>
    <w:p>
      <w:pPr>
        <w:spacing w:line="278" w:lineRule="auto" w:before="43"/>
        <w:ind w:left="3681" w:right="580" w:hanging="423"/>
        <w:jc w:val="left"/>
        <w:rPr>
          <w:rFonts w:ascii="黑体" w:eastAsia="黑体" w:hint="eastAsia"/>
          <w:b/>
          <w:sz w:val="21"/>
        </w:rPr>
      </w:pPr>
      <w:r>
        <w:rPr>
          <w:rFonts w:ascii="黑体" w:eastAsia="黑体" w:hint="eastAsia"/>
          <w:b/>
          <w:spacing w:val="-2"/>
          <w:sz w:val="21"/>
        </w:rPr>
        <w:t>(三)</w:t>
      </w:r>
      <w:r>
        <w:rPr>
          <w:rFonts w:ascii="黑体" w:eastAsia="黑体" w:hint="eastAsia"/>
          <w:b/>
          <w:spacing w:val="-2"/>
          <w:sz w:val="21"/>
        </w:rPr>
        <w:t>被保险人故意自伤、或自本主险合同成立或者本主险合同效力恢复之日</w:t>
      </w:r>
      <w:r>
        <w:rPr>
          <w:rFonts w:ascii="黑体" w:eastAsia="黑体" w:hint="eastAsia"/>
          <w:b/>
          <w:spacing w:val="-12"/>
          <w:sz w:val="21"/>
        </w:rPr>
        <w:t>起 </w:t>
      </w:r>
      <w:r>
        <w:rPr>
          <w:rFonts w:ascii="黑体" w:eastAsia="黑体" w:hint="eastAsia"/>
          <w:b/>
          <w:sz w:val="21"/>
        </w:rPr>
        <w:t>2</w:t>
      </w:r>
      <w:r>
        <w:rPr>
          <w:rFonts w:ascii="黑体" w:eastAsia="黑体" w:hint="eastAsia"/>
          <w:b/>
          <w:spacing w:val="-5"/>
          <w:sz w:val="21"/>
        </w:rPr>
        <w:t> 年内自杀，但被保险人自杀时为无民事行为能力人的除外；</w:t>
      </w:r>
    </w:p>
    <w:p>
      <w:pPr>
        <w:spacing w:line="269" w:lineRule="exact" w:before="0"/>
        <w:ind w:left="3259" w:right="0" w:firstLine="0"/>
        <w:jc w:val="left"/>
        <w:rPr>
          <w:rFonts w:ascii="黑体" w:eastAsia="黑体" w:hint="eastAsia"/>
          <w:b/>
          <w:sz w:val="21"/>
        </w:rPr>
      </w:pPr>
      <w:r>
        <w:rPr>
          <w:rFonts w:ascii="黑体" w:eastAsia="黑体" w:hint="eastAsia"/>
          <w:b/>
          <w:w w:val="95"/>
          <w:sz w:val="21"/>
        </w:rPr>
        <w:t>(四)</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服</w:t>
      </w:r>
      <w:r>
        <w:rPr>
          <w:rFonts w:ascii="黑体" w:eastAsia="黑体" w:hint="eastAsia"/>
          <w:b/>
          <w:w w:val="95"/>
          <w:sz w:val="21"/>
        </w:rPr>
        <w:t>用</w:t>
      </w:r>
      <w:r>
        <w:rPr>
          <w:rFonts w:ascii="黑体" w:eastAsia="黑体" w:hint="eastAsia"/>
          <w:b/>
          <w:w w:val="95"/>
          <w:sz w:val="21"/>
        </w:rPr>
        <w:t>、</w:t>
      </w:r>
      <w:r>
        <w:rPr>
          <w:rFonts w:ascii="黑体" w:eastAsia="黑体" w:hint="eastAsia"/>
          <w:b/>
          <w:w w:val="95"/>
          <w:sz w:val="21"/>
        </w:rPr>
        <w:t>吸</w:t>
      </w:r>
      <w:r>
        <w:rPr>
          <w:rFonts w:ascii="黑体" w:eastAsia="黑体" w:hint="eastAsia"/>
          <w:b/>
          <w:w w:val="95"/>
          <w:sz w:val="21"/>
        </w:rPr>
        <w:t>食或注</w:t>
      </w:r>
      <w:r>
        <w:rPr>
          <w:rFonts w:ascii="黑体" w:eastAsia="黑体" w:hint="eastAsia"/>
          <w:b/>
          <w:w w:val="95"/>
          <w:sz w:val="21"/>
        </w:rPr>
        <w:t>射</w:t>
      </w:r>
      <w:r>
        <w:rPr>
          <w:rFonts w:ascii="黑体" w:eastAsia="黑体" w:hint="eastAsia"/>
          <w:b/>
          <w:w w:val="95"/>
          <w:sz w:val="21"/>
        </w:rPr>
        <w:t>毒</w:t>
      </w:r>
      <w:r>
        <w:rPr>
          <w:rFonts w:ascii="黑体" w:eastAsia="黑体" w:hint="eastAsia"/>
          <w:b/>
          <w:w w:val="95"/>
          <w:sz w:val="21"/>
        </w:rPr>
        <w:t>品</w:t>
      </w:r>
      <w:r>
        <w:rPr>
          <w:rFonts w:ascii="黑体" w:eastAsia="黑体" w:hint="eastAsia"/>
          <w:b/>
          <w:w w:val="95"/>
          <w:sz w:val="21"/>
        </w:rPr>
        <w:t>（</w:t>
      </w:r>
      <w:r>
        <w:rPr>
          <w:rFonts w:ascii="黑体" w:eastAsia="黑体" w:hint="eastAsia"/>
          <w:b/>
          <w:w w:val="95"/>
          <w:sz w:val="21"/>
        </w:rPr>
        <w:t>见</w:t>
      </w:r>
      <w:r>
        <w:rPr>
          <w:rFonts w:ascii="黑体" w:eastAsia="黑体" w:hint="eastAsia"/>
          <w:b/>
          <w:spacing w:val="79"/>
          <w:w w:val="150"/>
          <w:sz w:val="21"/>
        </w:rPr>
        <w:t> </w:t>
      </w:r>
      <w:r>
        <w:rPr>
          <w:rFonts w:ascii="黑体" w:eastAsia="黑体" w:hint="eastAsia"/>
          <w:b/>
          <w:spacing w:val="-2"/>
          <w:w w:val="95"/>
          <w:sz w:val="21"/>
        </w:rPr>
        <w:t>9.16）；</w:t>
      </w:r>
    </w:p>
    <w:p>
      <w:pPr>
        <w:spacing w:line="278" w:lineRule="auto" w:before="43"/>
        <w:ind w:left="3681" w:right="579" w:hanging="423"/>
        <w:jc w:val="left"/>
        <w:rPr>
          <w:rFonts w:ascii="黑体" w:eastAsia="黑体" w:hint="eastAsia"/>
          <w:b/>
          <w:sz w:val="21"/>
        </w:rPr>
      </w:pPr>
      <w:r>
        <w:rPr>
          <w:rFonts w:ascii="黑体" w:eastAsia="黑体" w:hint="eastAsia"/>
          <w:b/>
          <w:sz w:val="21"/>
        </w:rPr>
        <w:t>(五)</w:t>
      </w:r>
      <w:r>
        <w:rPr>
          <w:rFonts w:ascii="黑体" w:eastAsia="黑体" w:hint="eastAsia"/>
          <w:b/>
          <w:sz w:val="21"/>
        </w:rPr>
        <w:t>被保险人酒后驾驶（</w:t>
      </w:r>
      <w:r>
        <w:rPr>
          <w:rFonts w:ascii="黑体" w:eastAsia="黑体" w:hint="eastAsia"/>
          <w:b/>
          <w:spacing w:val="-14"/>
          <w:sz w:val="21"/>
        </w:rPr>
        <w:t>见 </w:t>
      </w:r>
      <w:r>
        <w:rPr>
          <w:rFonts w:ascii="黑体" w:eastAsia="黑体" w:hint="eastAsia"/>
          <w:b/>
          <w:sz w:val="21"/>
        </w:rPr>
        <w:t>9.17），无合法有效驾驶证驾驶（</w:t>
      </w:r>
      <w:r>
        <w:rPr>
          <w:rFonts w:ascii="黑体" w:eastAsia="黑体" w:hint="eastAsia"/>
          <w:b/>
          <w:spacing w:val="-13"/>
          <w:sz w:val="21"/>
        </w:rPr>
        <w:t>见 </w:t>
      </w:r>
      <w:r>
        <w:rPr>
          <w:rFonts w:ascii="黑体" w:eastAsia="黑体" w:hint="eastAsia"/>
          <w:b/>
          <w:sz w:val="21"/>
        </w:rPr>
        <w:t>9.18），</w:t>
      </w:r>
      <w:r>
        <w:rPr>
          <w:rFonts w:ascii="黑体" w:eastAsia="黑体" w:hint="eastAsia"/>
          <w:b/>
          <w:sz w:val="21"/>
        </w:rPr>
        <w:t>或驾驶无合法有效行驶证（</w:t>
      </w:r>
      <w:r>
        <w:rPr>
          <w:rFonts w:ascii="黑体" w:eastAsia="黑体" w:hint="eastAsia"/>
          <w:b/>
          <w:spacing w:val="-12"/>
          <w:sz w:val="21"/>
        </w:rPr>
        <w:t>见 </w:t>
      </w:r>
      <w:r>
        <w:rPr>
          <w:rFonts w:ascii="黑体" w:eastAsia="黑体" w:hint="eastAsia"/>
          <w:b/>
          <w:sz w:val="21"/>
        </w:rPr>
        <w:t>9.19）的机动车（</w:t>
      </w:r>
      <w:r>
        <w:rPr>
          <w:rFonts w:ascii="黑体" w:eastAsia="黑体" w:hint="eastAsia"/>
          <w:b/>
          <w:spacing w:val="-13"/>
          <w:sz w:val="21"/>
        </w:rPr>
        <w:t>见 </w:t>
      </w:r>
      <w:r>
        <w:rPr>
          <w:rFonts w:ascii="黑体" w:eastAsia="黑体" w:hint="eastAsia"/>
          <w:b/>
          <w:sz w:val="21"/>
        </w:rPr>
        <w:t>9.20）；</w:t>
      </w:r>
    </w:p>
    <w:p>
      <w:pPr>
        <w:spacing w:line="278" w:lineRule="auto" w:before="0"/>
        <w:ind w:left="3259" w:right="3669" w:firstLine="0"/>
        <w:jc w:val="left"/>
        <w:rPr>
          <w:rFonts w:ascii="黑体" w:eastAsia="黑体" w:hint="eastAsia"/>
          <w:b/>
          <w:sz w:val="21"/>
        </w:rPr>
      </w:pPr>
      <w:r>
        <w:rPr>
          <w:rFonts w:ascii="黑体" w:eastAsia="黑体" w:hint="eastAsia"/>
          <w:b/>
          <w:spacing w:val="-2"/>
          <w:sz w:val="21"/>
        </w:rPr>
        <w:t>(六)</w:t>
      </w:r>
      <w:r>
        <w:rPr>
          <w:rFonts w:ascii="黑体" w:eastAsia="黑体" w:hint="eastAsia"/>
          <w:b/>
          <w:spacing w:val="-2"/>
          <w:sz w:val="21"/>
        </w:rPr>
        <w:t>战争、军事冲突、暴乱或武装叛乱； (七)</w:t>
      </w:r>
      <w:r>
        <w:rPr>
          <w:rFonts w:ascii="黑体" w:eastAsia="黑体" w:hint="eastAsia"/>
          <w:b/>
          <w:spacing w:val="-2"/>
          <w:sz w:val="21"/>
        </w:rPr>
        <w:t>核爆炸、核辐射或核污染；</w:t>
      </w:r>
    </w:p>
    <w:p>
      <w:pPr>
        <w:spacing w:line="269" w:lineRule="exact" w:before="0"/>
        <w:ind w:left="3259" w:right="0" w:firstLine="0"/>
        <w:jc w:val="left"/>
        <w:rPr>
          <w:rFonts w:ascii="黑体" w:eastAsia="黑体" w:hint="eastAsia"/>
          <w:b/>
          <w:sz w:val="21"/>
        </w:rPr>
      </w:pPr>
      <w:r>
        <w:rPr>
          <w:rFonts w:ascii="黑体" w:eastAsia="黑体" w:hint="eastAsia"/>
          <w:b/>
          <w:w w:val="95"/>
          <w:sz w:val="21"/>
        </w:rPr>
        <w:t>(八)</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感</w:t>
      </w:r>
      <w:r>
        <w:rPr>
          <w:rFonts w:ascii="黑体" w:eastAsia="黑体" w:hint="eastAsia"/>
          <w:b/>
          <w:w w:val="95"/>
          <w:sz w:val="21"/>
        </w:rPr>
        <w:t>染</w:t>
      </w:r>
      <w:r>
        <w:rPr>
          <w:rFonts w:ascii="黑体" w:eastAsia="黑体" w:hint="eastAsia"/>
          <w:b/>
          <w:w w:val="95"/>
          <w:sz w:val="21"/>
        </w:rPr>
        <w:t>艾</w:t>
      </w:r>
      <w:r>
        <w:rPr>
          <w:rFonts w:ascii="黑体" w:eastAsia="黑体" w:hint="eastAsia"/>
          <w:b/>
          <w:w w:val="95"/>
          <w:sz w:val="21"/>
        </w:rPr>
        <w:t>滋</w:t>
      </w:r>
      <w:r>
        <w:rPr>
          <w:rFonts w:ascii="黑体" w:eastAsia="黑体" w:hint="eastAsia"/>
          <w:b/>
          <w:w w:val="95"/>
          <w:sz w:val="21"/>
        </w:rPr>
        <w:t>病病毒</w:t>
      </w:r>
      <w:r>
        <w:rPr>
          <w:rFonts w:ascii="黑体" w:eastAsia="黑体" w:hint="eastAsia"/>
          <w:b/>
          <w:w w:val="95"/>
          <w:sz w:val="21"/>
        </w:rPr>
        <w:t>或</w:t>
      </w:r>
      <w:r>
        <w:rPr>
          <w:rFonts w:ascii="黑体" w:eastAsia="黑体" w:hint="eastAsia"/>
          <w:b/>
          <w:w w:val="95"/>
          <w:sz w:val="21"/>
        </w:rPr>
        <w:t>患</w:t>
      </w:r>
      <w:r>
        <w:rPr>
          <w:rFonts w:ascii="黑体" w:eastAsia="黑体" w:hint="eastAsia"/>
          <w:b/>
          <w:w w:val="95"/>
          <w:sz w:val="21"/>
        </w:rPr>
        <w:t>艾</w:t>
      </w:r>
      <w:r>
        <w:rPr>
          <w:rFonts w:ascii="黑体" w:eastAsia="黑体" w:hint="eastAsia"/>
          <w:b/>
          <w:w w:val="95"/>
          <w:sz w:val="21"/>
        </w:rPr>
        <w:t>滋</w:t>
      </w:r>
      <w:r>
        <w:rPr>
          <w:rFonts w:ascii="黑体" w:eastAsia="黑体" w:hint="eastAsia"/>
          <w:b/>
          <w:w w:val="95"/>
          <w:sz w:val="21"/>
        </w:rPr>
        <w:t>病</w:t>
      </w:r>
      <w:r>
        <w:rPr>
          <w:rFonts w:ascii="黑体" w:eastAsia="黑体" w:hint="eastAsia"/>
          <w:b/>
          <w:w w:val="95"/>
          <w:sz w:val="21"/>
        </w:rPr>
        <w:t>（</w:t>
      </w:r>
      <w:r>
        <w:rPr>
          <w:rFonts w:ascii="黑体" w:eastAsia="黑体" w:hint="eastAsia"/>
          <w:b/>
          <w:w w:val="95"/>
          <w:sz w:val="21"/>
        </w:rPr>
        <w:t>见</w:t>
      </w:r>
      <w:r>
        <w:rPr>
          <w:rFonts w:ascii="黑体" w:eastAsia="黑体" w:hint="eastAsia"/>
          <w:b/>
          <w:spacing w:val="23"/>
          <w:sz w:val="21"/>
        </w:rPr>
        <w:t>  </w:t>
      </w:r>
      <w:r>
        <w:rPr>
          <w:rFonts w:ascii="黑体" w:eastAsia="黑体" w:hint="eastAsia"/>
          <w:b/>
          <w:spacing w:val="-2"/>
          <w:w w:val="95"/>
          <w:sz w:val="21"/>
        </w:rPr>
        <w:t>9.21）；</w:t>
      </w:r>
    </w:p>
    <w:p>
      <w:pPr>
        <w:spacing w:before="43"/>
        <w:ind w:left="3259" w:right="0" w:firstLine="0"/>
        <w:jc w:val="left"/>
        <w:rPr>
          <w:rFonts w:ascii="黑体" w:eastAsia="黑体" w:hint="eastAsia"/>
          <w:b/>
          <w:sz w:val="21"/>
        </w:rPr>
      </w:pPr>
      <w:r>
        <w:rPr>
          <w:rFonts w:ascii="黑体" w:eastAsia="黑体" w:hint="eastAsia"/>
          <w:b/>
          <w:w w:val="95"/>
          <w:sz w:val="21"/>
        </w:rPr>
        <w:t>(九)</w:t>
      </w:r>
      <w:r>
        <w:rPr>
          <w:rFonts w:ascii="黑体" w:eastAsia="黑体" w:hint="eastAsia"/>
          <w:b/>
          <w:w w:val="95"/>
          <w:sz w:val="21"/>
        </w:rPr>
        <w:t>遗</w:t>
      </w:r>
      <w:r>
        <w:rPr>
          <w:rFonts w:ascii="黑体" w:eastAsia="黑体" w:hint="eastAsia"/>
          <w:b/>
          <w:w w:val="95"/>
          <w:sz w:val="21"/>
        </w:rPr>
        <w:t>传</w:t>
      </w:r>
      <w:r>
        <w:rPr>
          <w:rFonts w:ascii="黑体" w:eastAsia="黑体" w:hint="eastAsia"/>
          <w:b/>
          <w:w w:val="95"/>
          <w:sz w:val="21"/>
        </w:rPr>
        <w:t>性</w:t>
      </w:r>
      <w:r>
        <w:rPr>
          <w:rFonts w:ascii="黑体" w:eastAsia="黑体" w:hint="eastAsia"/>
          <w:b/>
          <w:w w:val="95"/>
          <w:sz w:val="21"/>
        </w:rPr>
        <w:t>疾</w:t>
      </w:r>
      <w:r>
        <w:rPr>
          <w:rFonts w:ascii="黑体" w:eastAsia="黑体" w:hint="eastAsia"/>
          <w:b/>
          <w:w w:val="95"/>
          <w:sz w:val="21"/>
        </w:rPr>
        <w:t>病（</w:t>
      </w:r>
      <w:r>
        <w:rPr>
          <w:rFonts w:ascii="黑体" w:eastAsia="黑体" w:hint="eastAsia"/>
          <w:b/>
          <w:w w:val="95"/>
          <w:sz w:val="21"/>
        </w:rPr>
        <w:t>见</w:t>
      </w:r>
      <w:r>
        <w:rPr>
          <w:rFonts w:ascii="黑体" w:eastAsia="黑体" w:hint="eastAsia"/>
          <w:b/>
          <w:spacing w:val="31"/>
          <w:w w:val="150"/>
          <w:sz w:val="21"/>
        </w:rPr>
        <w:t> </w:t>
      </w:r>
      <w:r>
        <w:rPr>
          <w:rFonts w:ascii="黑体" w:eastAsia="黑体" w:hint="eastAsia"/>
          <w:b/>
          <w:w w:val="95"/>
          <w:sz w:val="21"/>
        </w:rPr>
        <w:t>9.22），</w:t>
      </w:r>
      <w:r>
        <w:rPr>
          <w:rFonts w:ascii="黑体" w:eastAsia="黑体" w:hint="eastAsia"/>
          <w:b/>
          <w:w w:val="95"/>
          <w:sz w:val="21"/>
        </w:rPr>
        <w:t>先</w:t>
      </w:r>
      <w:r>
        <w:rPr>
          <w:rFonts w:ascii="黑体" w:eastAsia="黑体" w:hint="eastAsia"/>
          <w:b/>
          <w:w w:val="95"/>
          <w:sz w:val="21"/>
        </w:rPr>
        <w:t>天</w:t>
      </w:r>
      <w:r>
        <w:rPr>
          <w:rFonts w:ascii="黑体" w:eastAsia="黑体" w:hint="eastAsia"/>
          <w:b/>
          <w:w w:val="95"/>
          <w:sz w:val="21"/>
        </w:rPr>
        <w:t>性</w:t>
      </w:r>
      <w:r>
        <w:rPr>
          <w:rFonts w:ascii="黑体" w:eastAsia="黑体" w:hint="eastAsia"/>
          <w:b/>
          <w:w w:val="95"/>
          <w:sz w:val="21"/>
        </w:rPr>
        <w:t>畸</w:t>
      </w:r>
      <w:r>
        <w:rPr>
          <w:rFonts w:ascii="黑体" w:eastAsia="黑体" w:hint="eastAsia"/>
          <w:b/>
          <w:w w:val="95"/>
          <w:sz w:val="21"/>
        </w:rPr>
        <w:t>形</w:t>
      </w:r>
      <w:r>
        <w:rPr>
          <w:rFonts w:ascii="黑体" w:eastAsia="黑体" w:hint="eastAsia"/>
          <w:b/>
          <w:w w:val="95"/>
          <w:sz w:val="21"/>
        </w:rPr>
        <w:t>、</w:t>
      </w:r>
      <w:r>
        <w:rPr>
          <w:rFonts w:ascii="黑体" w:eastAsia="黑体" w:hint="eastAsia"/>
          <w:b/>
          <w:w w:val="95"/>
          <w:sz w:val="21"/>
        </w:rPr>
        <w:t>变</w:t>
      </w:r>
      <w:r>
        <w:rPr>
          <w:rFonts w:ascii="黑体" w:eastAsia="黑体" w:hint="eastAsia"/>
          <w:b/>
          <w:w w:val="95"/>
          <w:sz w:val="21"/>
        </w:rPr>
        <w:t>形</w:t>
      </w:r>
      <w:r>
        <w:rPr>
          <w:rFonts w:ascii="黑体" w:eastAsia="黑体" w:hint="eastAsia"/>
          <w:b/>
          <w:w w:val="95"/>
          <w:sz w:val="21"/>
        </w:rPr>
        <w:t>或染色</w:t>
      </w:r>
      <w:r>
        <w:rPr>
          <w:rFonts w:ascii="黑体" w:eastAsia="黑体" w:hint="eastAsia"/>
          <w:b/>
          <w:w w:val="95"/>
          <w:sz w:val="21"/>
        </w:rPr>
        <w:t>体</w:t>
      </w:r>
      <w:r>
        <w:rPr>
          <w:rFonts w:ascii="黑体" w:eastAsia="黑体" w:hint="eastAsia"/>
          <w:b/>
          <w:w w:val="95"/>
          <w:sz w:val="21"/>
        </w:rPr>
        <w:t>异</w:t>
      </w:r>
      <w:r>
        <w:rPr>
          <w:rFonts w:ascii="黑体" w:eastAsia="黑体" w:hint="eastAsia"/>
          <w:b/>
          <w:w w:val="95"/>
          <w:sz w:val="21"/>
        </w:rPr>
        <w:t>常（</w:t>
      </w:r>
      <w:r>
        <w:rPr>
          <w:rFonts w:ascii="黑体" w:eastAsia="黑体" w:hint="eastAsia"/>
          <w:b/>
          <w:w w:val="95"/>
          <w:sz w:val="21"/>
        </w:rPr>
        <w:t>见</w:t>
      </w:r>
      <w:r>
        <w:rPr>
          <w:rFonts w:ascii="黑体" w:eastAsia="黑体" w:hint="eastAsia"/>
          <w:b/>
          <w:spacing w:val="32"/>
          <w:w w:val="150"/>
          <w:sz w:val="21"/>
        </w:rPr>
        <w:t> </w:t>
      </w:r>
      <w:r>
        <w:rPr>
          <w:rFonts w:ascii="黑体" w:eastAsia="黑体" w:hint="eastAsia"/>
          <w:b/>
          <w:w w:val="95"/>
          <w:sz w:val="21"/>
        </w:rPr>
        <w:t>9.23）</w:t>
      </w:r>
      <w:r>
        <w:rPr>
          <w:rFonts w:ascii="黑体" w:eastAsia="黑体" w:hint="eastAsia"/>
          <w:b/>
          <w:spacing w:val="-10"/>
          <w:w w:val="95"/>
          <w:sz w:val="21"/>
        </w:rPr>
        <w:t>。</w:t>
      </w:r>
    </w:p>
    <w:p>
      <w:pPr>
        <w:pStyle w:val="BodyText"/>
        <w:spacing w:before="9"/>
        <w:rPr>
          <w:rFonts w:ascii="黑体"/>
          <w:b/>
          <w:sz w:val="27"/>
        </w:rPr>
      </w:pPr>
    </w:p>
    <w:p>
      <w:pPr>
        <w:spacing w:line="278" w:lineRule="auto" w:before="0"/>
        <w:ind w:left="3285" w:right="577" w:firstLine="0"/>
        <w:jc w:val="both"/>
        <w:rPr>
          <w:rFonts w:ascii="黑体" w:eastAsia="黑体" w:hint="eastAsia"/>
          <w:b/>
          <w:sz w:val="21"/>
        </w:rPr>
      </w:pPr>
      <w:r>
        <w:rPr>
          <w:rFonts w:ascii="黑体" w:eastAsia="黑体" w:hint="eastAsia"/>
          <w:b/>
          <w:spacing w:val="-3"/>
          <w:w w:val="100"/>
          <w:sz w:val="21"/>
        </w:rPr>
        <w:t>发生上述第</w:t>
      </w:r>
      <w:r>
        <w:rPr>
          <w:rFonts w:ascii="黑体" w:eastAsia="黑体" w:hint="eastAsia"/>
          <w:b/>
          <w:w w:val="100"/>
          <w:sz w:val="21"/>
        </w:rPr>
        <w:t>（</w:t>
      </w:r>
      <w:r>
        <w:rPr>
          <w:rFonts w:ascii="黑体" w:eastAsia="黑体" w:hint="eastAsia"/>
          <w:b/>
          <w:spacing w:val="-3"/>
          <w:w w:val="100"/>
          <w:sz w:val="21"/>
        </w:rPr>
        <w:t>一</w:t>
      </w:r>
      <w:r>
        <w:rPr>
          <w:rFonts w:ascii="黑体" w:eastAsia="黑体" w:hint="eastAsia"/>
          <w:b/>
          <w:spacing w:val="-13"/>
          <w:w w:val="100"/>
          <w:sz w:val="21"/>
        </w:rPr>
        <w:t>）</w:t>
      </w:r>
      <w:r>
        <w:rPr>
          <w:rFonts w:ascii="黑体" w:eastAsia="黑体" w:hint="eastAsia"/>
          <w:b/>
          <w:spacing w:val="-5"/>
          <w:w w:val="100"/>
          <w:sz w:val="21"/>
        </w:rPr>
        <w:t>项情形导致被保险人身故、全残、发生疾病、达到疾病状</w:t>
      </w:r>
      <w:r>
        <w:rPr>
          <w:rFonts w:ascii="黑体" w:eastAsia="黑体" w:hint="eastAsia"/>
          <w:b/>
          <w:spacing w:val="-10"/>
          <w:w w:val="100"/>
          <w:sz w:val="21"/>
        </w:rPr>
        <w:t>态或进行手术的，我们不承担保险责任，本主险合同终止，您已交足</w:t>
      </w:r>
      <w:r>
        <w:rPr>
          <w:rFonts w:ascii="黑体" w:eastAsia="黑体" w:hint="eastAsia"/>
          <w:b/>
          <w:spacing w:val="-53"/>
          <w:sz w:val="21"/>
        </w:rPr>
        <w:t> </w:t>
      </w:r>
      <w:r>
        <w:rPr>
          <w:rFonts w:ascii="黑体" w:eastAsia="黑体" w:hint="eastAsia"/>
          <w:b/>
          <w:w w:val="99"/>
          <w:sz w:val="21"/>
        </w:rPr>
        <w:t>2</w:t>
      </w:r>
      <w:r>
        <w:rPr>
          <w:rFonts w:ascii="黑体" w:eastAsia="黑体" w:hint="eastAsia"/>
          <w:b/>
          <w:spacing w:val="-54"/>
          <w:sz w:val="21"/>
        </w:rPr>
        <w:t> </w:t>
      </w:r>
      <w:r>
        <w:rPr>
          <w:rFonts w:ascii="黑体" w:eastAsia="黑体" w:hint="eastAsia"/>
          <w:b/>
          <w:spacing w:val="-7"/>
          <w:w w:val="100"/>
          <w:sz w:val="21"/>
        </w:rPr>
        <w:t>年以</w:t>
      </w:r>
      <w:r>
        <w:rPr>
          <w:rFonts w:ascii="黑体" w:eastAsia="黑体" w:hint="eastAsia"/>
          <w:b/>
          <w:spacing w:val="1"/>
          <w:w w:val="100"/>
          <w:sz w:val="21"/>
        </w:rPr>
        <w:t>上保险费的，我们向被保险人或被保险人继承人退还本主险合同的现金价值。</w:t>
      </w:r>
    </w:p>
    <w:p>
      <w:pPr>
        <w:pStyle w:val="BodyText"/>
        <w:spacing w:before="5"/>
        <w:rPr>
          <w:rFonts w:ascii="黑体"/>
          <w:b/>
          <w:sz w:val="24"/>
        </w:rPr>
      </w:pPr>
    </w:p>
    <w:p>
      <w:pPr>
        <w:spacing w:line="278" w:lineRule="auto" w:before="0"/>
        <w:ind w:left="3285" w:right="474" w:firstLine="0"/>
        <w:jc w:val="left"/>
        <w:rPr>
          <w:rFonts w:ascii="黑体" w:eastAsia="黑体" w:hint="eastAsia"/>
          <w:b/>
          <w:sz w:val="21"/>
        </w:rPr>
      </w:pPr>
      <w:r>
        <w:rPr>
          <w:rFonts w:ascii="黑体" w:eastAsia="黑体" w:hint="eastAsia"/>
          <w:b/>
          <w:spacing w:val="-13"/>
          <w:sz w:val="21"/>
        </w:rPr>
        <w:t>发生上述第</w:t>
      </w:r>
      <w:r>
        <w:rPr>
          <w:rFonts w:ascii="黑体" w:eastAsia="黑体" w:hint="eastAsia"/>
          <w:b/>
          <w:spacing w:val="-2"/>
          <w:sz w:val="21"/>
        </w:rPr>
        <w:t>（二</w:t>
      </w:r>
      <w:r>
        <w:rPr>
          <w:rFonts w:ascii="黑体" w:eastAsia="黑体" w:hint="eastAsia"/>
          <w:b/>
          <w:spacing w:val="-56"/>
          <w:sz w:val="21"/>
        </w:rPr>
        <w:t>）</w:t>
      </w:r>
      <w:r>
        <w:rPr>
          <w:rFonts w:ascii="黑体" w:eastAsia="黑体" w:hint="eastAsia"/>
          <w:b/>
          <w:spacing w:val="-6"/>
          <w:sz w:val="21"/>
        </w:rPr>
        <w:t>项情形导致被保险人身故或全残的，我们不承担保险责任，</w:t>
      </w:r>
      <w:r>
        <w:rPr>
          <w:rFonts w:ascii="黑体" w:eastAsia="黑体" w:hint="eastAsia"/>
          <w:b/>
          <w:spacing w:val="-4"/>
          <w:sz w:val="21"/>
        </w:rPr>
        <w:t>本主险合同终止，您已交足 </w:t>
      </w:r>
      <w:r>
        <w:rPr>
          <w:rFonts w:ascii="黑体" w:eastAsia="黑体" w:hint="eastAsia"/>
          <w:b/>
          <w:sz w:val="21"/>
        </w:rPr>
        <w:t>2</w:t>
      </w:r>
      <w:r>
        <w:rPr>
          <w:rFonts w:ascii="黑体" w:eastAsia="黑体" w:hint="eastAsia"/>
          <w:b/>
          <w:spacing w:val="-7"/>
          <w:sz w:val="21"/>
        </w:rPr>
        <w:t> 年以上保险费的，我们向您退还本主险合同的</w:t>
      </w:r>
      <w:r>
        <w:rPr>
          <w:rFonts w:ascii="黑体" w:eastAsia="黑体" w:hint="eastAsia"/>
          <w:b/>
          <w:spacing w:val="-2"/>
          <w:sz w:val="21"/>
        </w:rPr>
        <w:t>现金价值。</w:t>
      </w:r>
    </w:p>
    <w:p>
      <w:pPr>
        <w:pStyle w:val="BodyText"/>
        <w:spacing w:before="4"/>
        <w:rPr>
          <w:rFonts w:ascii="黑体"/>
          <w:b/>
          <w:sz w:val="24"/>
        </w:rPr>
      </w:pPr>
    </w:p>
    <w:p>
      <w:pPr>
        <w:spacing w:line="278" w:lineRule="auto" w:before="0"/>
        <w:ind w:left="3285" w:right="578" w:firstLine="0"/>
        <w:jc w:val="both"/>
        <w:rPr>
          <w:rFonts w:ascii="黑体" w:eastAsia="黑体" w:hint="eastAsia"/>
          <w:b/>
          <w:sz w:val="21"/>
        </w:rPr>
      </w:pPr>
      <w:r>
        <w:rPr>
          <w:rFonts w:ascii="黑体" w:eastAsia="黑体" w:hint="eastAsia"/>
          <w:b/>
          <w:spacing w:val="-2"/>
          <w:sz w:val="21"/>
        </w:rPr>
        <w:t>发生上述第（三）项至第（七）项情形导致被保险人身故或全残的，或发生</w:t>
      </w:r>
      <w:r>
        <w:rPr>
          <w:rFonts w:ascii="黑体" w:eastAsia="黑体" w:hint="eastAsia"/>
          <w:b/>
          <w:spacing w:val="-2"/>
          <w:sz w:val="21"/>
        </w:rPr>
        <w:t>上述第（二）项至第（九）项情形导致被保险人发生疾病、达到疾病状态或</w:t>
      </w:r>
      <w:r>
        <w:rPr>
          <w:rFonts w:ascii="黑体" w:eastAsia="黑体" w:hint="eastAsia"/>
          <w:b/>
          <w:spacing w:val="-2"/>
          <w:sz w:val="21"/>
        </w:rPr>
        <w:t>进行手术的，我们不承担保险责任，本主险合同终止，我们向您退还本主险</w:t>
      </w:r>
      <w:r>
        <w:rPr>
          <w:rFonts w:ascii="黑体" w:eastAsia="黑体" w:hint="eastAsia"/>
          <w:b/>
          <w:spacing w:val="-2"/>
          <w:sz w:val="21"/>
        </w:rPr>
        <w:t>合同的现金价值。</w:t>
      </w:r>
    </w:p>
    <w:p>
      <w:pPr>
        <w:pStyle w:val="BodyText"/>
        <w:spacing w:before="3"/>
        <w:rPr>
          <w:rFonts w:ascii="黑体"/>
          <w:b/>
          <w:sz w:val="25"/>
        </w:rPr>
      </w:pPr>
    </w:p>
    <w:p>
      <w:pPr>
        <w:pStyle w:val="Heading1"/>
        <w:tabs>
          <w:tab w:pos="1713" w:val="left" w:leader="none"/>
        </w:tabs>
      </w:pPr>
      <w:r>
        <w:rPr/>
        <w:drawing>
          <wp:anchor distT="0" distB="0" distL="0" distR="0" allowOverlap="1" layoutInCell="1" locked="0" behindDoc="0" simplePos="0" relativeHeight="6">
            <wp:simplePos x="0" y="0"/>
            <wp:positionH relativeFrom="page">
              <wp:posOffset>728776</wp:posOffset>
            </wp:positionH>
            <wp:positionV relativeFrom="paragraph">
              <wp:posOffset>374456</wp:posOffset>
            </wp:positionV>
            <wp:extent cx="6235773" cy="6096"/>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0" cstate="print"/>
                    <a:stretch>
                      <a:fillRect/>
                    </a:stretch>
                  </pic:blipFill>
                  <pic:spPr>
                    <a:xfrm>
                      <a:off x="0" y="0"/>
                      <a:ext cx="623577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w w:val="95"/>
        </w:rPr>
        <w:t>如</w:t>
      </w:r>
      <w:r>
        <w:rPr>
          <w:w w:val="95"/>
        </w:rPr>
        <w:t>何</w:t>
      </w:r>
      <w:r>
        <w:rPr>
          <w:w w:val="95"/>
        </w:rPr>
        <w:t>申</w:t>
      </w:r>
      <w:r>
        <w:rPr>
          <w:w w:val="95"/>
        </w:rPr>
        <w:t>请</w:t>
      </w:r>
      <w:r>
        <w:rPr>
          <w:w w:val="95"/>
        </w:rPr>
        <w:t>领</w:t>
      </w:r>
      <w:r>
        <w:rPr>
          <w:w w:val="95"/>
        </w:rPr>
        <w:t>取</w:t>
      </w:r>
      <w:r>
        <w:rPr>
          <w:w w:val="95"/>
        </w:rPr>
        <w:t>保</w:t>
      </w:r>
      <w:r>
        <w:rPr>
          <w:w w:val="95"/>
        </w:rPr>
        <w:t>险</w:t>
      </w:r>
      <w:r>
        <w:rPr>
          <w:spacing w:val="-10"/>
          <w:w w:val="95"/>
        </w:rPr>
        <w:t>金</w:t>
      </w:r>
    </w:p>
    <w:p>
      <w:pPr>
        <w:pStyle w:val="ListParagraph"/>
        <w:numPr>
          <w:ilvl w:val="1"/>
          <w:numId w:val="5"/>
        </w:numPr>
        <w:tabs>
          <w:tab w:pos="1714" w:val="left" w:leader="none"/>
        </w:tabs>
        <w:spacing w:line="240" w:lineRule="auto" w:before="335" w:after="0"/>
        <w:ind w:left="1713" w:right="0" w:hanging="1139"/>
        <w:jc w:val="both"/>
        <w:rPr>
          <w:sz w:val="21"/>
        </w:rPr>
      </w:pPr>
      <w:r>
        <w:rPr>
          <w:b/>
          <w:sz w:val="21"/>
        </w:rPr>
        <w:t>受益人</w:t>
      </w:r>
      <w:r>
        <w:rPr>
          <w:b/>
          <w:spacing w:val="56"/>
          <w:w w:val="150"/>
          <w:sz w:val="21"/>
        </w:rPr>
        <w:t>    </w:t>
      </w:r>
      <w:r>
        <w:rPr>
          <w:spacing w:val="-1"/>
          <w:sz w:val="21"/>
        </w:rPr>
        <w:t>一、您或者被保险人可以指定一人或多人为身故保险金和特别关爱身故保险</w:t>
      </w:r>
    </w:p>
    <w:p>
      <w:pPr>
        <w:pStyle w:val="BodyText"/>
        <w:spacing w:line="278" w:lineRule="auto" w:before="42"/>
        <w:ind w:left="3705" w:right="577"/>
        <w:jc w:val="both"/>
      </w:pPr>
      <w:r>
        <w:rPr>
          <w:spacing w:val="-2"/>
        </w:rPr>
        <w:t>金的受益人。身故保险金和特别关爱身故保险金受益人为多人时，可以</w:t>
      </w:r>
      <w:r>
        <w:rPr>
          <w:spacing w:val="-2"/>
        </w:rPr>
        <w:t>确定受益顺序和受益份额；未确定受益份额的，各受益人按照相等份额</w:t>
      </w:r>
      <w:r>
        <w:rPr>
          <w:spacing w:val="-2"/>
        </w:rPr>
        <w:t>享有受益权。</w:t>
      </w:r>
    </w:p>
    <w:p>
      <w:pPr>
        <w:pStyle w:val="BodyText"/>
        <w:spacing w:line="278" w:lineRule="auto"/>
        <w:ind w:left="3705" w:right="577" w:hanging="420"/>
        <w:jc w:val="both"/>
      </w:pPr>
      <w:r>
        <w:rPr>
          <w:spacing w:val="-2"/>
        </w:rPr>
        <w:t>二、您或者被保险人在被保险人身故前可以变更身故保险金和特别关爱身故</w:t>
      </w:r>
      <w:r>
        <w:rPr>
          <w:spacing w:val="-2"/>
        </w:rPr>
        <w:t>保险金受益人，但是需要书面通知我们。我们收到变更身故保险金和特</w:t>
      </w:r>
      <w:r>
        <w:rPr>
          <w:spacing w:val="-2"/>
        </w:rPr>
        <w:t>别关爱身故保险金受益人的书面通知后，将及时在保险单或其他保险凭</w:t>
      </w:r>
      <w:r>
        <w:rPr>
          <w:spacing w:val="-2"/>
        </w:rPr>
        <w:t>证上批注或附贴批单。</w:t>
      </w:r>
    </w:p>
    <w:p>
      <w:pPr>
        <w:pStyle w:val="BodyText"/>
        <w:spacing w:line="278" w:lineRule="auto"/>
        <w:ind w:left="3705" w:right="577" w:hanging="420"/>
        <w:jc w:val="both"/>
      </w:pPr>
      <w:r>
        <w:rPr>
          <w:spacing w:val="-2"/>
        </w:rPr>
        <w:t>三、您在指定和变更身故保险金和特别关爱身故保险金受益人时，必须经过</w:t>
      </w:r>
      <w:r>
        <w:rPr>
          <w:spacing w:val="-2"/>
        </w:rPr>
        <w:t>被保险人或被保险人监护人同意。被保险人为无民事行为能力人或者限</w:t>
      </w:r>
      <w:r>
        <w:rPr>
          <w:spacing w:val="-2"/>
        </w:rPr>
        <w:t>制民事行为能力人的，可以由其监护人指定和变更身故保险金和特别关</w:t>
      </w:r>
      <w:r>
        <w:rPr>
          <w:spacing w:val="-2"/>
        </w:rPr>
        <w:t>爱身故保险金受益人。</w:t>
      </w:r>
    </w:p>
    <w:p>
      <w:pPr>
        <w:pStyle w:val="BodyText"/>
        <w:spacing w:line="278" w:lineRule="auto"/>
        <w:ind w:left="3705" w:right="541" w:hanging="420"/>
        <w:jc w:val="both"/>
      </w:pPr>
      <w:r>
        <w:rPr>
          <w:spacing w:val="-2"/>
        </w:rPr>
        <w:t>四、被保险人身故后，遇有下列情形之一的，保险金作为被保险人的遗产，</w:t>
      </w:r>
      <w:r>
        <w:rPr>
          <w:spacing w:val="-2"/>
        </w:rPr>
        <w:t>由我们依照《中华人民共和国民法典》的规定履行给付保险金的义务： (一)没有指定受益人，或者受益人指定不明无法确定的；</w:t>
      </w:r>
    </w:p>
    <w:p>
      <w:pPr>
        <w:pStyle w:val="BodyText"/>
        <w:spacing w:line="269" w:lineRule="exact"/>
        <w:ind w:left="2118" w:right="629"/>
        <w:jc w:val="center"/>
      </w:pPr>
      <w:r>
        <w:rPr>
          <w:spacing w:val="-3"/>
        </w:rPr>
        <w:t>(二)受益人先于被保险人身故，没有其他受益人的；</w:t>
      </w:r>
    </w:p>
    <w:p>
      <w:pPr>
        <w:pStyle w:val="BodyText"/>
        <w:spacing w:before="43"/>
        <w:ind w:left="3335" w:right="584"/>
        <w:jc w:val="center"/>
      </w:pPr>
      <w:r>
        <w:rPr>
          <w:spacing w:val="-3"/>
        </w:rPr>
        <w:t>(三)受益人依法丧失受益权或者放弃受益权，没有其他受益人的。</w:t>
      </w:r>
    </w:p>
    <w:p>
      <w:pPr>
        <w:pStyle w:val="BodyText"/>
        <w:spacing w:before="43"/>
        <w:ind w:left="3335" w:right="629"/>
        <w:jc w:val="center"/>
      </w:pPr>
      <w:r>
        <w:rPr>
          <w:spacing w:val="-5"/>
        </w:rPr>
        <w:t>五、受益人与被保险人在同一事件中身故，且不能确定身故顺序的，推定受</w:t>
      </w:r>
    </w:p>
    <w:p>
      <w:pPr>
        <w:spacing w:after="0"/>
        <w:jc w:val="center"/>
        <w:sectPr>
          <w:pgSz w:w="11910" w:h="16840"/>
          <w:pgMar w:top="1200" w:bottom="280" w:left="680" w:right="460"/>
        </w:sectPr>
      </w:pPr>
    </w:p>
    <w:p>
      <w:pPr>
        <w:pStyle w:val="BodyText"/>
        <w:spacing w:before="52"/>
        <w:ind w:left="3705"/>
      </w:pPr>
      <w:r>
        <w:rPr>
          <w:spacing w:val="-4"/>
        </w:rPr>
        <w:t>益人身故在先。</w:t>
      </w:r>
    </w:p>
    <w:p>
      <w:pPr>
        <w:spacing w:line="266" w:lineRule="auto" w:before="33"/>
        <w:ind w:left="3705" w:right="580" w:hanging="420"/>
        <w:jc w:val="left"/>
        <w:rPr>
          <w:b/>
          <w:i/>
          <w:sz w:val="22"/>
        </w:rPr>
      </w:pPr>
      <w:r>
        <w:rPr>
          <w:spacing w:val="-2"/>
          <w:w w:val="95"/>
          <w:sz w:val="21"/>
        </w:rPr>
        <w:t>六、</w:t>
      </w:r>
      <w:r>
        <w:rPr>
          <w:b/>
          <w:i/>
          <w:spacing w:val="-2"/>
          <w:w w:val="95"/>
          <w:sz w:val="22"/>
        </w:rPr>
        <w:t>受益人故意造成被保险人身故、伤残或疾病的，或者故意杀害被保险人</w:t>
      </w:r>
      <w:r>
        <w:rPr>
          <w:b/>
          <w:i/>
          <w:spacing w:val="-2"/>
          <w:sz w:val="22"/>
        </w:rPr>
        <w:t>未</w:t>
      </w:r>
      <w:r>
        <w:rPr>
          <w:b/>
          <w:i/>
          <w:spacing w:val="-2"/>
          <w:sz w:val="22"/>
        </w:rPr>
        <w:t>遂</w:t>
      </w:r>
      <w:r>
        <w:rPr>
          <w:b/>
          <w:i/>
          <w:spacing w:val="-2"/>
          <w:sz w:val="22"/>
        </w:rPr>
        <w:t>的</w:t>
      </w:r>
      <w:r>
        <w:rPr>
          <w:b/>
          <w:i/>
          <w:spacing w:val="-2"/>
          <w:sz w:val="22"/>
        </w:rPr>
        <w:t>，</w:t>
      </w:r>
      <w:r>
        <w:rPr>
          <w:b/>
          <w:i/>
          <w:spacing w:val="-2"/>
          <w:sz w:val="22"/>
        </w:rPr>
        <w:t>该</w:t>
      </w:r>
      <w:r>
        <w:rPr>
          <w:b/>
          <w:i/>
          <w:spacing w:val="-2"/>
          <w:sz w:val="22"/>
        </w:rPr>
        <w:t>受</w:t>
      </w:r>
      <w:r>
        <w:rPr>
          <w:b/>
          <w:i/>
          <w:spacing w:val="-2"/>
          <w:sz w:val="22"/>
        </w:rPr>
        <w:t>益</w:t>
      </w:r>
      <w:r>
        <w:rPr>
          <w:b/>
          <w:i/>
          <w:spacing w:val="-2"/>
          <w:sz w:val="22"/>
        </w:rPr>
        <w:t>人</w:t>
      </w:r>
      <w:r>
        <w:rPr>
          <w:b/>
          <w:i/>
          <w:spacing w:val="-2"/>
          <w:sz w:val="22"/>
        </w:rPr>
        <w:t>丧失受</w:t>
      </w:r>
      <w:r>
        <w:rPr>
          <w:b/>
          <w:i/>
          <w:spacing w:val="-2"/>
          <w:sz w:val="22"/>
        </w:rPr>
        <w:t>益</w:t>
      </w:r>
      <w:r>
        <w:rPr>
          <w:b/>
          <w:i/>
          <w:spacing w:val="-2"/>
          <w:sz w:val="22"/>
        </w:rPr>
        <w:t>权</w:t>
      </w:r>
      <w:r>
        <w:rPr>
          <w:b/>
          <w:i/>
          <w:spacing w:val="-2"/>
          <w:sz w:val="22"/>
        </w:rPr>
        <w:t>。</w:t>
      </w:r>
    </w:p>
    <w:p>
      <w:pPr>
        <w:pStyle w:val="BodyText"/>
        <w:spacing w:line="278" w:lineRule="auto" w:before="9"/>
        <w:ind w:left="3705" w:right="541" w:hanging="420"/>
        <w:jc w:val="both"/>
      </w:pPr>
      <w:r>
        <w:rPr>
          <w:spacing w:val="-2"/>
        </w:rPr>
        <w:t>七、除另有约定外，轻度疾病保险金、中度疾病保险金、重度疾病保险金、</w:t>
      </w:r>
      <w:r>
        <w:rPr>
          <w:spacing w:val="-2"/>
        </w:rPr>
        <w:t>极重度疾病额外保险金、疾病终末期保险金、全残保险金、青少儿特定</w:t>
      </w:r>
      <w:r>
        <w:rPr>
          <w:spacing w:val="-2"/>
        </w:rPr>
        <w:t>疾病额外保险金、成人特定疾病额外保险金、较重急性心肌梗死或严重</w:t>
      </w:r>
      <w:r>
        <w:rPr>
          <w:spacing w:val="-2"/>
        </w:rPr>
        <w:t>脑中风后遗症特别保险金、恶性肿瘤——重度特别保险金的受益人均为</w:t>
      </w:r>
      <w:r>
        <w:rPr>
          <w:spacing w:val="-2"/>
        </w:rPr>
        <w:t>被保险人本人。</w:t>
      </w:r>
    </w:p>
    <w:p>
      <w:pPr>
        <w:pStyle w:val="BodyText"/>
        <w:spacing w:before="3"/>
        <w:rPr>
          <w:sz w:val="24"/>
        </w:rPr>
      </w:pPr>
    </w:p>
    <w:p>
      <w:pPr>
        <w:pStyle w:val="ListParagraph"/>
        <w:numPr>
          <w:ilvl w:val="1"/>
          <w:numId w:val="5"/>
        </w:numPr>
        <w:tabs>
          <w:tab w:pos="1713" w:val="left" w:leader="none"/>
          <w:tab w:pos="1714" w:val="left" w:leader="none"/>
          <w:tab w:pos="3285" w:val="left" w:leader="none"/>
        </w:tabs>
        <w:spacing w:line="278" w:lineRule="auto" w:before="1" w:after="0"/>
        <w:ind w:left="3285" w:right="699" w:hanging="2711"/>
        <w:jc w:val="left"/>
        <w:rPr>
          <w:sz w:val="21"/>
        </w:rPr>
      </w:pPr>
      <w:r>
        <w:rPr>
          <w:b/>
          <w:spacing w:val="-2"/>
          <w:sz w:val="21"/>
        </w:rPr>
        <w:t>保</w:t>
      </w:r>
      <w:r>
        <w:rPr>
          <w:b/>
          <w:spacing w:val="-2"/>
          <w:sz w:val="21"/>
        </w:rPr>
        <w:t>险</w:t>
      </w:r>
      <w:r>
        <w:rPr>
          <w:b/>
          <w:spacing w:val="-2"/>
          <w:sz w:val="21"/>
        </w:rPr>
        <w:t>事</w:t>
      </w:r>
      <w:r>
        <w:rPr>
          <w:b/>
          <w:spacing w:val="-2"/>
          <w:sz w:val="21"/>
        </w:rPr>
        <w:t>故</w:t>
      </w:r>
      <w:r>
        <w:rPr>
          <w:b/>
          <w:spacing w:val="-2"/>
          <w:sz w:val="21"/>
        </w:rPr>
        <w:t>通</w:t>
      </w:r>
      <w:r>
        <w:rPr>
          <w:b/>
          <w:spacing w:val="-2"/>
          <w:sz w:val="21"/>
        </w:rPr>
        <w:t>知</w:t>
      </w:r>
      <w:r>
        <w:rPr>
          <w:b/>
          <w:sz w:val="21"/>
        </w:rPr>
        <w:tab/>
      </w:r>
      <w:r>
        <w:rPr>
          <w:sz w:val="21"/>
        </w:rPr>
        <w:t>您、被保险人或其监护人</w:t>
      </w:r>
      <w:r>
        <w:rPr>
          <w:sz w:val="21"/>
        </w:rPr>
        <w:t>、保险金申请人应在知道</w:t>
      </w:r>
      <w:r>
        <w:rPr>
          <w:sz w:val="21"/>
        </w:rPr>
        <w:t>保险事故发生之日起</w:t>
      </w:r>
      <w:r>
        <w:rPr>
          <w:spacing w:val="-53"/>
          <w:sz w:val="21"/>
        </w:rPr>
        <w:t> </w:t>
      </w:r>
      <w:r>
        <w:rPr>
          <w:sz w:val="21"/>
        </w:rPr>
        <w:t>10</w:t>
      </w:r>
      <w:r>
        <w:rPr>
          <w:spacing w:val="-2"/>
          <w:sz w:val="21"/>
        </w:rPr>
        <w:t>日</w:t>
      </w:r>
      <w:r>
        <w:rPr>
          <w:spacing w:val="-2"/>
          <w:sz w:val="21"/>
        </w:rPr>
        <w:t>内</w:t>
      </w:r>
      <w:r>
        <w:rPr>
          <w:spacing w:val="-2"/>
          <w:sz w:val="21"/>
        </w:rPr>
        <w:t>通知我</w:t>
      </w:r>
      <w:r>
        <w:rPr>
          <w:spacing w:val="-2"/>
          <w:sz w:val="21"/>
        </w:rPr>
        <w:t>们</w:t>
      </w:r>
      <w:r>
        <w:rPr>
          <w:spacing w:val="-2"/>
          <w:sz w:val="21"/>
        </w:rPr>
        <w:t>。</w:t>
      </w:r>
    </w:p>
    <w:p>
      <w:pPr>
        <w:spacing w:line="271" w:lineRule="auto" w:before="0"/>
        <w:ind w:left="3285" w:right="579" w:firstLine="0"/>
        <w:jc w:val="left"/>
        <w:rPr>
          <w:sz w:val="21"/>
        </w:rPr>
      </w:pPr>
      <w:r>
        <w:rPr>
          <w:b/>
          <w:i/>
          <w:spacing w:val="-8"/>
          <w:w w:val="95"/>
          <w:sz w:val="22"/>
        </w:rPr>
        <w:t>如果您、被保险人或其监护人、保险金申请人故意或者因重大过失未及时通知，致使保险事故的性质、原因、损失程度等难以确定的，我们对无法确定</w:t>
      </w:r>
      <w:r>
        <w:rPr>
          <w:b/>
          <w:i/>
          <w:spacing w:val="-9"/>
          <w:w w:val="95"/>
          <w:sz w:val="22"/>
        </w:rPr>
        <w:t>的部分，不承担给付保险金的责任，</w:t>
      </w:r>
      <w:r>
        <w:rPr>
          <w:spacing w:val="-3"/>
          <w:w w:val="100"/>
          <w:sz w:val="21"/>
        </w:rPr>
        <w:t>但我们通过其他途径已经及时知道或者应当及时知道保险事故发生或者虽未及时通知但不影响本公司确定保险事故的性质、原因、损失程度的除外。</w:t>
      </w:r>
    </w:p>
    <w:p>
      <w:pPr>
        <w:pStyle w:val="BodyText"/>
        <w:spacing w:line="278" w:lineRule="auto"/>
        <w:ind w:left="3285" w:right="577"/>
      </w:pPr>
      <w:r>
        <w:rPr>
          <w:spacing w:val="-2"/>
        </w:rPr>
        <w:t>本主险合同项下的保险金申请人包括保险金受益人或其监护人，若保险金作</w:t>
      </w:r>
      <w:r>
        <w:rPr>
          <w:spacing w:val="-2"/>
        </w:rPr>
        <w:t>为被保险人遗产时保险金申请人为被保险人的继承人或继承人的监护人。</w:t>
      </w:r>
    </w:p>
    <w:p>
      <w:pPr>
        <w:pStyle w:val="BodyText"/>
        <w:rPr>
          <w:sz w:val="24"/>
        </w:rPr>
      </w:pPr>
    </w:p>
    <w:p>
      <w:pPr>
        <w:pStyle w:val="ListParagraph"/>
        <w:numPr>
          <w:ilvl w:val="1"/>
          <w:numId w:val="5"/>
        </w:numPr>
        <w:tabs>
          <w:tab w:pos="1713" w:val="left" w:leader="none"/>
          <w:tab w:pos="1714" w:val="left" w:leader="none"/>
          <w:tab w:pos="3285" w:val="left" w:leader="none"/>
        </w:tabs>
        <w:spacing w:line="240" w:lineRule="auto" w:before="1" w:after="0"/>
        <w:ind w:left="1713" w:right="0" w:hanging="1139"/>
        <w:jc w:val="left"/>
        <w:rPr>
          <w:sz w:val="21"/>
        </w:rPr>
      </w:pPr>
      <w:r>
        <w:rPr>
          <w:b/>
          <w:sz w:val="21"/>
        </w:rPr>
        <w:t>保险金申</w:t>
      </w:r>
      <w:r>
        <w:rPr>
          <w:b/>
          <w:spacing w:val="-10"/>
          <w:sz w:val="21"/>
        </w:rPr>
        <w:t>请</w:t>
      </w:r>
      <w:r>
        <w:rPr>
          <w:b/>
          <w:sz w:val="21"/>
        </w:rPr>
        <w:tab/>
      </w:r>
      <w:r>
        <w:rPr>
          <w:sz w:val="21"/>
        </w:rPr>
        <w:t>一</w:t>
      </w:r>
      <w:r>
        <w:rPr>
          <w:spacing w:val="6"/>
          <w:sz w:val="21"/>
        </w:rPr>
        <w:t>、</w:t>
      </w:r>
      <w:r>
        <w:rPr>
          <w:sz w:val="21"/>
        </w:rPr>
        <w:t>在申请保险金时，请按照</w:t>
      </w:r>
      <w:r>
        <w:rPr>
          <w:sz w:val="21"/>
        </w:rPr>
        <w:t>下列方式办</w:t>
      </w:r>
      <w:r>
        <w:rPr>
          <w:sz w:val="21"/>
        </w:rPr>
        <w:t>理</w:t>
      </w:r>
      <w:r>
        <w:rPr>
          <w:spacing w:val="-10"/>
          <w:sz w:val="21"/>
        </w:rPr>
        <w:t>：</w:t>
      </w:r>
    </w:p>
    <w:p>
      <w:pPr>
        <w:pStyle w:val="BodyText"/>
        <w:spacing w:before="1"/>
        <w:rPr>
          <w:sz w:val="22"/>
        </w:rPr>
      </w:pPr>
    </w:p>
    <w:p>
      <w:pPr>
        <w:spacing w:after="0"/>
        <w:rPr>
          <w:sz w:val="22"/>
        </w:rPr>
        <w:sectPr>
          <w:pgSz w:w="11910" w:h="16840"/>
          <w:pgMar w:top="1200" w:bottom="280" w:left="680" w:right="460"/>
        </w:sectPr>
      </w:pPr>
    </w:p>
    <w:p>
      <w:pPr>
        <w:pStyle w:val="Heading2"/>
        <w:spacing w:line="278" w:lineRule="auto"/>
        <w:ind w:firstLine="0"/>
        <w:jc w:val="both"/>
        <w:rPr>
          <w:rFonts w:ascii="楷体" w:eastAsia="楷体" w:hint="eastAsia"/>
        </w:rPr>
      </w:pPr>
      <w:r>
        <w:rPr>
          <w:rFonts w:ascii="楷体" w:eastAsia="楷体" w:hint="eastAsia"/>
          <w:spacing w:val="-2"/>
        </w:rPr>
        <w:t>身故保险金、</w:t>
      </w:r>
      <w:r>
        <w:rPr>
          <w:rFonts w:ascii="楷体" w:eastAsia="楷体" w:hint="eastAsia"/>
          <w:spacing w:val="-2"/>
        </w:rPr>
        <w:t>特别关爱身故</w:t>
      </w:r>
      <w:r>
        <w:rPr>
          <w:rFonts w:ascii="楷体" w:eastAsia="楷体" w:hint="eastAsia"/>
          <w:spacing w:val="-2"/>
        </w:rPr>
        <w:t>保险金申请</w:t>
      </w:r>
    </w:p>
    <w:p>
      <w:pPr>
        <w:pStyle w:val="BodyText"/>
        <w:spacing w:line="278" w:lineRule="auto" w:before="72"/>
        <w:ind w:left="265" w:right="1793"/>
      </w:pPr>
      <w:r>
        <w:rPr/>
        <w:br w:type="column"/>
      </w:r>
      <w:r>
        <w:rPr>
          <w:spacing w:val="-2"/>
        </w:rPr>
        <w:t>由保险金申请人填写理赔申请书，并须提供下列证明和资料： </w:t>
      </w:r>
      <w:r>
        <w:rPr>
          <w:spacing w:val="-10"/>
        </w:rPr>
        <w:t>(一) 保险合同；</w:t>
      </w:r>
    </w:p>
    <w:p>
      <w:pPr>
        <w:pStyle w:val="BodyText"/>
        <w:spacing w:line="278" w:lineRule="auto"/>
        <w:ind w:left="745" w:right="577" w:hanging="480"/>
      </w:pPr>
      <w:r>
        <w:rPr>
          <w:spacing w:val="-11"/>
        </w:rPr>
        <w:t>(二) 保险金申请人的有效身份证件，当保险金申请人为监护人时，还须提供</w:t>
      </w:r>
      <w:r>
        <w:rPr>
          <w:spacing w:val="-2"/>
        </w:rPr>
        <w:t>能够证明监护关系的证明文件；</w:t>
      </w:r>
    </w:p>
    <w:p>
      <w:pPr>
        <w:pStyle w:val="BodyText"/>
        <w:spacing w:line="278" w:lineRule="auto"/>
        <w:ind w:left="745" w:right="577" w:hanging="480"/>
      </w:pPr>
      <w:r>
        <w:rPr>
          <w:spacing w:val="-12"/>
        </w:rPr>
        <w:t>(三) 国家卫生行政部门认定的医疗机构、公安部门或其他相关机构出具的被</w:t>
      </w:r>
      <w:r>
        <w:rPr>
          <w:spacing w:val="-2"/>
        </w:rPr>
        <w:t>保险人的死亡证明；</w:t>
      </w:r>
    </w:p>
    <w:p>
      <w:pPr>
        <w:pStyle w:val="BodyText"/>
        <w:spacing w:line="269" w:lineRule="exact"/>
        <w:ind w:left="265"/>
      </w:pPr>
      <w:r>
        <w:rPr>
          <w:spacing w:val="-10"/>
        </w:rPr>
        <w:t>(四) 所能提供的与确认保险事故性质、原因等有关的其他证明和资料。</w:t>
      </w:r>
    </w:p>
    <w:p>
      <w:pPr>
        <w:spacing w:after="0" w:line="269" w:lineRule="exact"/>
        <w:sectPr>
          <w:type w:val="continuous"/>
          <w:pgSz w:w="11910" w:h="16840"/>
          <w:pgMar w:top="460" w:bottom="280" w:left="680" w:right="460"/>
          <w:cols w:num="2" w:equalWidth="0">
            <w:col w:w="2981" w:space="40"/>
            <w:col w:w="7749"/>
          </w:cols>
        </w:sectPr>
      </w:pPr>
    </w:p>
    <w:p>
      <w:pPr>
        <w:pStyle w:val="BodyText"/>
        <w:spacing w:before="1"/>
        <w:rPr>
          <w:sz w:val="22"/>
        </w:rPr>
      </w:pPr>
    </w:p>
    <w:p>
      <w:pPr>
        <w:spacing w:after="0"/>
        <w:rPr>
          <w:sz w:val="22"/>
        </w:rPr>
        <w:sectPr>
          <w:type w:val="continuous"/>
          <w:pgSz w:w="11910" w:h="16840"/>
          <w:pgMar w:top="460" w:bottom="280" w:left="680" w:right="460"/>
        </w:sectPr>
      </w:pPr>
    </w:p>
    <w:p>
      <w:pPr>
        <w:pStyle w:val="Heading2"/>
        <w:spacing w:line="278" w:lineRule="auto"/>
        <w:ind w:firstLine="0"/>
        <w:rPr>
          <w:rFonts w:ascii="楷体" w:eastAsia="楷体" w:hint="eastAsia"/>
        </w:rPr>
      </w:pPr>
      <w:r>
        <w:rPr>
          <w:rFonts w:ascii="楷体" w:eastAsia="楷体" w:hint="eastAsia"/>
          <w:spacing w:val="-2"/>
        </w:rPr>
        <w:t>全残保险金申</w:t>
      </w:r>
      <w:r>
        <w:rPr>
          <w:rFonts w:ascii="楷体" w:eastAsia="楷体" w:hint="eastAsia"/>
          <w:spacing w:val="-10"/>
        </w:rPr>
        <w:t>请</w:t>
      </w:r>
    </w:p>
    <w:p>
      <w:pPr>
        <w:pStyle w:val="BodyText"/>
        <w:spacing w:line="278" w:lineRule="auto" w:before="72"/>
        <w:ind w:left="265" w:right="1377"/>
      </w:pPr>
      <w:r>
        <w:rPr/>
        <w:br w:type="column"/>
      </w:r>
      <w:r>
        <w:rPr>
          <w:spacing w:val="-2"/>
        </w:rPr>
        <w:t>由全残保险金申请人填写理赔申请书，并须提供下列证明和资料： </w:t>
      </w:r>
      <w:r>
        <w:rPr>
          <w:spacing w:val="-10"/>
        </w:rPr>
        <w:t>(一) 保险合同；</w:t>
      </w:r>
    </w:p>
    <w:p>
      <w:pPr>
        <w:pStyle w:val="BodyText"/>
        <w:spacing w:line="278" w:lineRule="auto"/>
        <w:ind w:left="745" w:right="512" w:hanging="480"/>
      </w:pPr>
      <w:r>
        <w:rPr>
          <w:spacing w:val="-9"/>
        </w:rPr>
        <w:t>(二) 全残保险金申请人的有效身份证件，当全残保险金申请人为监护人时，</w:t>
      </w:r>
      <w:r>
        <w:rPr>
          <w:spacing w:val="-2"/>
        </w:rPr>
        <w:t>还须提供能够证明监护关系的证明文件；</w:t>
      </w:r>
    </w:p>
    <w:p>
      <w:pPr>
        <w:pStyle w:val="BodyText"/>
        <w:spacing w:line="278" w:lineRule="auto"/>
        <w:ind w:left="745" w:right="582" w:hanging="480"/>
      </w:pPr>
      <w:r>
        <w:rPr>
          <w:spacing w:val="-9"/>
        </w:rPr>
        <w:t>(三) 国家机关认可的有合法资质的伤残鉴定机构出具的被保险人残疾程度</w:t>
      </w:r>
      <w:r>
        <w:rPr>
          <w:spacing w:val="-4"/>
        </w:rPr>
        <w:t>鉴定书；</w:t>
      </w:r>
    </w:p>
    <w:p>
      <w:pPr>
        <w:pStyle w:val="BodyText"/>
        <w:spacing w:line="278" w:lineRule="auto"/>
        <w:ind w:left="265" w:right="514"/>
      </w:pPr>
      <w:r>
        <w:rPr>
          <w:spacing w:val="-9"/>
        </w:rPr>
        <w:t>(四) 被保险人因意外伤害导致全残的，须提供相关意外伤害的证明和资料；</w:t>
      </w:r>
      <w:r>
        <w:rPr/>
        <w:t> </w:t>
      </w:r>
      <w:r>
        <w:rPr>
          <w:spacing w:val="-9"/>
        </w:rPr>
        <w:t>(五) 所能提供的与确认保险事故性质、原因等有关的其他证明和资料。</w:t>
      </w:r>
    </w:p>
    <w:p>
      <w:pPr>
        <w:spacing w:after="0" w:line="278" w:lineRule="auto"/>
        <w:sectPr>
          <w:type w:val="continuous"/>
          <w:pgSz w:w="11910" w:h="16840"/>
          <w:pgMar w:top="460" w:bottom="280" w:left="680" w:right="460"/>
          <w:cols w:num="2" w:equalWidth="0">
            <w:col w:w="2981" w:space="40"/>
            <w:col w:w="7749"/>
          </w:cols>
        </w:sectPr>
      </w:pPr>
    </w:p>
    <w:p>
      <w:pPr>
        <w:pStyle w:val="BodyText"/>
        <w:spacing w:before="9"/>
        <w:rPr>
          <w:sz w:val="18"/>
        </w:rPr>
      </w:pPr>
    </w:p>
    <w:p>
      <w:pPr>
        <w:spacing w:after="0"/>
        <w:rPr>
          <w:sz w:val="18"/>
        </w:rPr>
        <w:sectPr>
          <w:type w:val="continuous"/>
          <w:pgSz w:w="11910" w:h="16840"/>
          <w:pgMar w:top="460" w:bottom="280" w:left="680" w:right="460"/>
        </w:sectPr>
      </w:pPr>
    </w:p>
    <w:p>
      <w:pPr>
        <w:pStyle w:val="Heading2"/>
        <w:spacing w:line="278" w:lineRule="auto"/>
        <w:ind w:firstLine="0"/>
        <w:jc w:val="both"/>
        <w:rPr>
          <w:rFonts w:ascii="楷体" w:eastAsia="楷体" w:hint="eastAsia"/>
        </w:rPr>
      </w:pPr>
      <w:r>
        <w:rPr>
          <w:rFonts w:ascii="楷体" w:eastAsia="楷体" w:hint="eastAsia"/>
          <w:spacing w:val="-2"/>
        </w:rPr>
        <w:t>疾病保险金及</w:t>
      </w:r>
      <w:r>
        <w:rPr>
          <w:rFonts w:ascii="楷体" w:eastAsia="楷体" w:hint="eastAsia"/>
          <w:spacing w:val="-2"/>
        </w:rPr>
        <w:t>疾病豁免保险</w:t>
      </w:r>
      <w:r>
        <w:rPr>
          <w:rFonts w:ascii="楷体" w:eastAsia="楷体" w:hint="eastAsia"/>
          <w:spacing w:val="-4"/>
        </w:rPr>
        <w:t>费申请</w:t>
      </w:r>
    </w:p>
    <w:p>
      <w:pPr>
        <w:pStyle w:val="BodyText"/>
        <w:spacing w:line="278" w:lineRule="auto" w:before="72"/>
        <w:ind w:left="265" w:right="1793"/>
      </w:pPr>
      <w:r>
        <w:rPr/>
        <w:br w:type="column"/>
      </w:r>
      <w:r>
        <w:rPr>
          <w:spacing w:val="-2"/>
        </w:rPr>
        <w:t>由保险金申请人填写理赔申请书，并须提供下列证明和资料： </w:t>
      </w:r>
      <w:r>
        <w:rPr>
          <w:spacing w:val="-10"/>
        </w:rPr>
        <w:t>(一) 保险合同；</w:t>
      </w:r>
    </w:p>
    <w:p>
      <w:pPr>
        <w:pStyle w:val="BodyText"/>
        <w:spacing w:line="278" w:lineRule="auto"/>
        <w:ind w:left="685" w:right="577" w:hanging="420"/>
      </w:pPr>
      <w:r>
        <w:rPr>
          <w:spacing w:val="-11"/>
        </w:rPr>
        <w:t>(二) 保险金申请人的有效身份证件，当保险金申请人为监护人时，还须提供</w:t>
      </w:r>
      <w:r>
        <w:rPr>
          <w:spacing w:val="-2"/>
        </w:rPr>
        <w:t>能够证明监护关系的证明文件；</w:t>
      </w:r>
    </w:p>
    <w:p>
      <w:pPr>
        <w:pStyle w:val="BodyText"/>
        <w:spacing w:line="278" w:lineRule="auto"/>
        <w:ind w:left="685" w:right="581" w:hanging="420"/>
      </w:pPr>
      <w:r>
        <w:rPr>
          <w:spacing w:val="-14"/>
        </w:rPr>
        <w:t>(三) 医院</w:t>
      </w:r>
      <w:r>
        <w:rPr/>
        <w:t>（见 9.24）出具的附有病理显微镜检查、血液检验及其他科学方</w:t>
      </w:r>
      <w:r>
        <w:rPr>
          <w:spacing w:val="-2"/>
        </w:rPr>
        <w:t>法检验报告的被保险人疾病诊断证明；</w:t>
      </w:r>
    </w:p>
    <w:p>
      <w:pPr>
        <w:pStyle w:val="BodyText"/>
        <w:spacing w:line="269" w:lineRule="exact"/>
        <w:ind w:left="265"/>
      </w:pPr>
      <w:r>
        <w:rPr>
          <w:spacing w:val="-10"/>
        </w:rPr>
        <w:t>(四) 所能提供的与确认保险事故性质、原因等有关的其他证明和资料。</w:t>
      </w:r>
    </w:p>
    <w:p>
      <w:pPr>
        <w:spacing w:after="0" w:line="269" w:lineRule="exact"/>
        <w:sectPr>
          <w:type w:val="continuous"/>
          <w:pgSz w:w="11910" w:h="16840"/>
          <w:pgMar w:top="460" w:bottom="280" w:left="680" w:right="460"/>
          <w:cols w:num="2" w:equalWidth="0">
            <w:col w:w="2981" w:space="40"/>
            <w:col w:w="7749"/>
          </w:cols>
        </w:sectPr>
      </w:pPr>
    </w:p>
    <w:p>
      <w:pPr>
        <w:pStyle w:val="BodyText"/>
        <w:spacing w:line="278" w:lineRule="auto" w:before="52"/>
        <w:ind w:left="3285" w:right="515"/>
      </w:pPr>
      <w:r>
        <w:rPr/>
        <w:t>二、保险金作为被保险人遗产时，必须提供可证明合法继承权的相关文件。三、如果保险金申请人委托他人代为申请，则除上述证明和资料外，受托人</w:t>
      </w:r>
    </w:p>
    <w:p>
      <w:pPr>
        <w:pStyle w:val="BodyText"/>
        <w:spacing w:line="278" w:lineRule="auto"/>
        <w:ind w:left="3705" w:right="752"/>
      </w:pPr>
      <w:r>
        <w:rPr>
          <w:spacing w:val="-2"/>
        </w:rPr>
        <w:t>还应提供授权委托书、委托人和受托人的有效身份证件等相关证明文</w:t>
      </w:r>
      <w:r>
        <w:rPr>
          <w:spacing w:val="-6"/>
        </w:rPr>
        <w:t>件。</w:t>
      </w:r>
    </w:p>
    <w:p>
      <w:pPr>
        <w:pStyle w:val="BodyText"/>
        <w:spacing w:line="278" w:lineRule="auto"/>
        <w:ind w:left="3705" w:right="577" w:hanging="420"/>
      </w:pPr>
      <w:r>
        <w:rPr>
          <w:spacing w:val="-3"/>
        </w:rPr>
        <w:t>四、以上各项保险金申请所需证明和资料不完整的，我们将及时一次性书面</w:t>
      </w:r>
      <w:r>
        <w:rPr>
          <w:spacing w:val="-2"/>
        </w:rPr>
        <w:t>通知保险金申请人补充提供有关的证明和资料。</w:t>
      </w:r>
    </w:p>
    <w:p>
      <w:pPr>
        <w:pStyle w:val="BodyText"/>
        <w:spacing w:before="7"/>
        <w:rPr>
          <w:sz w:val="23"/>
        </w:rPr>
      </w:pPr>
    </w:p>
    <w:p>
      <w:pPr>
        <w:pStyle w:val="ListParagraph"/>
        <w:numPr>
          <w:ilvl w:val="1"/>
          <w:numId w:val="5"/>
        </w:numPr>
        <w:tabs>
          <w:tab w:pos="1713" w:val="left" w:leader="none"/>
          <w:tab w:pos="1714" w:val="left" w:leader="none"/>
          <w:tab w:pos="3285" w:val="left" w:leader="none"/>
        </w:tabs>
        <w:spacing w:line="266" w:lineRule="auto" w:before="0" w:after="0"/>
        <w:ind w:left="3285" w:right="583" w:hanging="2711"/>
        <w:jc w:val="left"/>
        <w:rPr>
          <w:b/>
          <w:i/>
          <w:sz w:val="22"/>
        </w:rPr>
      </w:pPr>
      <w:r>
        <w:rPr>
          <w:b/>
          <w:w w:val="100"/>
          <w:sz w:val="21"/>
        </w:rPr>
        <w:t>失踪处理</w:t>
      </w:r>
      <w:r>
        <w:rPr>
          <w:b/>
          <w:sz w:val="21"/>
        </w:rPr>
        <w:tab/>
      </w:r>
      <w:r>
        <w:rPr>
          <w:b/>
          <w:i/>
          <w:w w:val="95"/>
          <w:sz w:val="22"/>
        </w:rPr>
        <w:t>如果被保险人在本</w:t>
      </w:r>
      <w:r>
        <w:rPr>
          <w:b/>
          <w:i/>
          <w:spacing w:val="-3"/>
          <w:w w:val="95"/>
          <w:sz w:val="22"/>
        </w:rPr>
        <w:t>主</w:t>
      </w:r>
      <w:r>
        <w:rPr>
          <w:b/>
          <w:i/>
          <w:w w:val="95"/>
          <w:sz w:val="22"/>
        </w:rPr>
        <w:t>险</w:t>
      </w:r>
      <w:r>
        <w:rPr>
          <w:b/>
          <w:i/>
          <w:spacing w:val="-3"/>
          <w:w w:val="95"/>
          <w:sz w:val="22"/>
        </w:rPr>
        <w:t>合</w:t>
      </w:r>
      <w:r>
        <w:rPr>
          <w:b/>
          <w:i/>
          <w:w w:val="95"/>
          <w:sz w:val="22"/>
        </w:rPr>
        <w:t>同保险期间内且在</w:t>
      </w:r>
      <w:r>
        <w:rPr>
          <w:b/>
          <w:i/>
          <w:spacing w:val="-3"/>
          <w:w w:val="95"/>
          <w:sz w:val="22"/>
        </w:rPr>
        <w:t>本</w:t>
      </w:r>
      <w:r>
        <w:rPr>
          <w:b/>
          <w:i/>
          <w:w w:val="95"/>
          <w:sz w:val="22"/>
        </w:rPr>
        <w:t>主</w:t>
      </w:r>
      <w:r>
        <w:rPr>
          <w:b/>
          <w:i/>
          <w:spacing w:val="-3"/>
          <w:w w:val="95"/>
          <w:sz w:val="22"/>
        </w:rPr>
        <w:t>险</w:t>
      </w:r>
      <w:r>
        <w:rPr>
          <w:b/>
          <w:i/>
          <w:w w:val="95"/>
          <w:sz w:val="22"/>
        </w:rPr>
        <w:t>合同有效期内失踪</w:t>
      </w:r>
      <w:r>
        <w:rPr>
          <w:b/>
          <w:i/>
          <w:spacing w:val="-3"/>
          <w:w w:val="95"/>
          <w:sz w:val="22"/>
        </w:rPr>
        <w:t>且</w:t>
      </w:r>
      <w:r>
        <w:rPr>
          <w:b/>
          <w:i/>
          <w:w w:val="95"/>
          <w:sz w:val="22"/>
        </w:rPr>
        <w:t>之后被法院宣告死亡</w:t>
      </w:r>
      <w:r>
        <w:rPr>
          <w:b/>
          <w:i/>
          <w:spacing w:val="-32"/>
          <w:w w:val="95"/>
          <w:sz w:val="22"/>
        </w:rPr>
        <w:t>，</w:t>
      </w:r>
      <w:r>
        <w:rPr>
          <w:b/>
          <w:i/>
          <w:spacing w:val="-3"/>
          <w:w w:val="95"/>
          <w:sz w:val="22"/>
        </w:rPr>
        <w:t>我们</w:t>
      </w:r>
      <w:r>
        <w:rPr>
          <w:b/>
          <w:i/>
          <w:w w:val="95"/>
          <w:sz w:val="22"/>
        </w:rPr>
        <w:t>按本主险合同的约</w:t>
      </w:r>
      <w:r>
        <w:rPr>
          <w:b/>
          <w:i/>
          <w:spacing w:val="-3"/>
          <w:w w:val="95"/>
          <w:sz w:val="22"/>
        </w:rPr>
        <w:t>定</w:t>
      </w:r>
      <w:r>
        <w:rPr>
          <w:b/>
          <w:i/>
          <w:w w:val="95"/>
          <w:sz w:val="22"/>
        </w:rPr>
        <w:t>给</w:t>
      </w:r>
      <w:r>
        <w:rPr>
          <w:b/>
          <w:i/>
          <w:spacing w:val="-3"/>
          <w:w w:val="95"/>
          <w:sz w:val="22"/>
        </w:rPr>
        <w:t>付</w:t>
      </w:r>
      <w:r>
        <w:rPr>
          <w:b/>
          <w:i/>
          <w:w w:val="95"/>
          <w:sz w:val="22"/>
        </w:rPr>
        <w:t>身故保险金</w:t>
      </w:r>
      <w:r>
        <w:rPr>
          <w:b/>
          <w:i/>
          <w:spacing w:val="-32"/>
          <w:w w:val="95"/>
          <w:sz w:val="22"/>
        </w:rPr>
        <w:t>，</w:t>
      </w:r>
      <w:r>
        <w:rPr>
          <w:b/>
          <w:i/>
          <w:w w:val="95"/>
          <w:sz w:val="22"/>
        </w:rPr>
        <w:t>本主险</w:t>
      </w:r>
      <w:r>
        <w:rPr>
          <w:b/>
          <w:i/>
          <w:spacing w:val="-3"/>
          <w:w w:val="95"/>
          <w:sz w:val="22"/>
        </w:rPr>
        <w:t>合</w:t>
      </w:r>
      <w:r>
        <w:rPr>
          <w:b/>
          <w:i/>
          <w:spacing w:val="-13"/>
          <w:w w:val="95"/>
          <w:sz w:val="22"/>
        </w:rPr>
        <w:t>同</w:t>
      </w:r>
      <w:r>
        <w:rPr>
          <w:b/>
          <w:i/>
          <w:w w:val="95"/>
          <w:sz w:val="22"/>
        </w:rPr>
        <w:t>终止。</w:t>
      </w:r>
    </w:p>
    <w:p>
      <w:pPr>
        <w:spacing w:line="266" w:lineRule="auto" w:before="0"/>
        <w:ind w:left="3285" w:right="520" w:firstLine="0"/>
        <w:jc w:val="left"/>
        <w:rPr>
          <w:b/>
          <w:i/>
          <w:sz w:val="22"/>
        </w:rPr>
      </w:pPr>
      <w:r>
        <w:rPr>
          <w:b/>
          <w:i/>
          <w:spacing w:val="-2"/>
          <w:w w:val="95"/>
          <w:sz w:val="22"/>
        </w:rPr>
        <w:t>如果被保险人在宣告死亡后重新出现或者保险金申请人确知其没有死亡的，</w:t>
      </w:r>
      <w:r>
        <w:rPr>
          <w:b/>
          <w:i/>
          <w:spacing w:val="-2"/>
          <w:w w:val="95"/>
          <w:sz w:val="22"/>
        </w:rPr>
        <w:t>保险金申请人应于知道或应当知道后 </w:t>
      </w:r>
      <w:r>
        <w:rPr>
          <w:b/>
          <w:i/>
          <w:w w:val="95"/>
          <w:sz w:val="22"/>
        </w:rPr>
        <w:t>30</w:t>
      </w:r>
      <w:r>
        <w:rPr>
          <w:b/>
          <w:i/>
          <w:spacing w:val="-22"/>
          <w:w w:val="95"/>
          <w:sz w:val="22"/>
        </w:rPr>
        <w:t> </w:t>
      </w:r>
      <w:r>
        <w:rPr>
          <w:b/>
          <w:i/>
          <w:w w:val="95"/>
          <w:sz w:val="22"/>
        </w:rPr>
        <w:t>日内向我们退还已领取的保险金，</w:t>
      </w:r>
      <w:r>
        <w:rPr>
          <w:b/>
          <w:i/>
          <w:spacing w:val="-2"/>
          <w:sz w:val="22"/>
        </w:rPr>
        <w:t>本</w:t>
      </w:r>
      <w:r>
        <w:rPr>
          <w:b/>
          <w:i/>
          <w:spacing w:val="-2"/>
          <w:sz w:val="22"/>
        </w:rPr>
        <w:t>主</w:t>
      </w:r>
      <w:r>
        <w:rPr>
          <w:b/>
          <w:i/>
          <w:spacing w:val="-2"/>
          <w:sz w:val="22"/>
        </w:rPr>
        <w:t>险</w:t>
      </w:r>
      <w:r>
        <w:rPr>
          <w:b/>
          <w:i/>
          <w:spacing w:val="-2"/>
          <w:sz w:val="22"/>
        </w:rPr>
        <w:t>合</w:t>
      </w:r>
      <w:r>
        <w:rPr>
          <w:b/>
          <w:i/>
          <w:spacing w:val="-2"/>
          <w:sz w:val="22"/>
        </w:rPr>
        <w:t>同</w:t>
      </w:r>
      <w:r>
        <w:rPr>
          <w:b/>
          <w:i/>
          <w:spacing w:val="-2"/>
          <w:sz w:val="22"/>
        </w:rPr>
        <w:t>的</w:t>
      </w:r>
      <w:r>
        <w:rPr>
          <w:b/>
          <w:i/>
          <w:spacing w:val="-2"/>
          <w:sz w:val="22"/>
        </w:rPr>
        <w:t>效</w:t>
      </w:r>
      <w:r>
        <w:rPr>
          <w:b/>
          <w:i/>
          <w:spacing w:val="-2"/>
          <w:sz w:val="22"/>
        </w:rPr>
        <w:t>力</w:t>
      </w:r>
      <w:r>
        <w:rPr>
          <w:b/>
          <w:i/>
          <w:spacing w:val="-2"/>
          <w:sz w:val="22"/>
        </w:rPr>
        <w:t>依法确</w:t>
      </w:r>
      <w:r>
        <w:rPr>
          <w:b/>
          <w:i/>
          <w:spacing w:val="-2"/>
          <w:sz w:val="22"/>
        </w:rPr>
        <w:t>定</w:t>
      </w:r>
      <w:r>
        <w:rPr>
          <w:b/>
          <w:i/>
          <w:spacing w:val="-2"/>
          <w:sz w:val="22"/>
        </w:rPr>
        <w:t>。</w:t>
      </w:r>
    </w:p>
    <w:p>
      <w:pPr>
        <w:pStyle w:val="BodyText"/>
        <w:spacing w:before="10"/>
        <w:rPr>
          <w:b/>
          <w:i/>
          <w:sz w:val="24"/>
        </w:rPr>
      </w:pPr>
    </w:p>
    <w:p>
      <w:pPr>
        <w:pStyle w:val="ListParagraph"/>
        <w:numPr>
          <w:ilvl w:val="1"/>
          <w:numId w:val="5"/>
        </w:numPr>
        <w:tabs>
          <w:tab w:pos="1713" w:val="left" w:leader="none"/>
          <w:tab w:pos="1714" w:val="left" w:leader="none"/>
          <w:tab w:pos="3285" w:val="left" w:leader="none"/>
        </w:tabs>
        <w:spacing w:line="240" w:lineRule="auto" w:before="0" w:after="0"/>
        <w:ind w:left="1713" w:right="0" w:hanging="1139"/>
        <w:jc w:val="left"/>
        <w:rPr>
          <w:sz w:val="21"/>
        </w:rPr>
      </w:pPr>
      <w:r>
        <w:rPr>
          <w:b/>
          <w:sz w:val="21"/>
        </w:rPr>
        <w:t>保险金的给</w:t>
      </w:r>
      <w:r>
        <w:rPr>
          <w:b/>
          <w:spacing w:val="-10"/>
          <w:sz w:val="21"/>
        </w:rPr>
        <w:t>付</w:t>
      </w:r>
      <w:r>
        <w:rPr>
          <w:b/>
          <w:sz w:val="21"/>
        </w:rPr>
        <w:tab/>
      </w:r>
      <w:r>
        <w:rPr>
          <w:spacing w:val="-2"/>
          <w:sz w:val="21"/>
        </w:rPr>
        <w:t>一、</w:t>
      </w:r>
      <w:r>
        <w:rPr>
          <w:spacing w:val="-2"/>
          <w:sz w:val="21"/>
        </w:rPr>
        <w:t>我</w:t>
      </w:r>
      <w:r>
        <w:rPr>
          <w:spacing w:val="-2"/>
          <w:sz w:val="21"/>
        </w:rPr>
        <w:t>们</w:t>
      </w:r>
      <w:r>
        <w:rPr>
          <w:spacing w:val="-2"/>
          <w:sz w:val="21"/>
        </w:rPr>
        <w:t>在收到保险金申请人</w:t>
      </w:r>
      <w:r>
        <w:rPr>
          <w:spacing w:val="-2"/>
          <w:sz w:val="21"/>
        </w:rPr>
        <w:t>的</w:t>
      </w:r>
      <w:r>
        <w:rPr>
          <w:spacing w:val="-2"/>
          <w:sz w:val="21"/>
        </w:rPr>
        <w:t>理</w:t>
      </w:r>
      <w:r>
        <w:rPr>
          <w:spacing w:val="-2"/>
          <w:sz w:val="21"/>
        </w:rPr>
        <w:t>赔申请书及有关证明</w:t>
      </w:r>
      <w:r>
        <w:rPr>
          <w:spacing w:val="-2"/>
          <w:sz w:val="21"/>
        </w:rPr>
        <w:t>和</w:t>
      </w:r>
      <w:r>
        <w:rPr>
          <w:spacing w:val="-2"/>
          <w:sz w:val="21"/>
        </w:rPr>
        <w:t>资</w:t>
      </w:r>
      <w:r>
        <w:rPr>
          <w:spacing w:val="-2"/>
          <w:sz w:val="21"/>
        </w:rPr>
        <w:t>料后</w:t>
      </w:r>
      <w:r>
        <w:rPr>
          <w:spacing w:val="-65"/>
          <w:sz w:val="21"/>
        </w:rPr>
        <w:t>，</w:t>
      </w:r>
      <w:r>
        <w:rPr>
          <w:spacing w:val="-2"/>
          <w:sz w:val="21"/>
        </w:rPr>
        <w:t>将在</w:t>
      </w:r>
      <w:r>
        <w:rPr>
          <w:spacing w:val="-26"/>
          <w:sz w:val="21"/>
        </w:rPr>
        <w:t> </w:t>
      </w:r>
      <w:r>
        <w:rPr>
          <w:spacing w:val="-2"/>
          <w:sz w:val="21"/>
        </w:rPr>
        <w:t>5</w:t>
      </w:r>
      <w:r>
        <w:rPr>
          <w:spacing w:val="-30"/>
          <w:sz w:val="21"/>
        </w:rPr>
        <w:t> </w:t>
      </w:r>
      <w:r>
        <w:rPr>
          <w:spacing w:val="-10"/>
          <w:sz w:val="21"/>
        </w:rPr>
        <w:t>日</w:t>
      </w:r>
    </w:p>
    <w:p>
      <w:pPr>
        <w:pStyle w:val="BodyText"/>
        <w:spacing w:before="43"/>
        <w:ind w:left="3705"/>
      </w:pPr>
      <w:r>
        <w:rPr>
          <w:spacing w:val="-3"/>
        </w:rPr>
        <w:t>内作出核定；情形复杂的，在 </w:t>
      </w:r>
      <w:r>
        <w:rPr>
          <w:spacing w:val="-2"/>
        </w:rPr>
        <w:t>30</w:t>
      </w:r>
      <w:r>
        <w:rPr>
          <w:spacing w:val="-5"/>
        </w:rPr>
        <w:t> 日内作出核定。对属于保险责任的，</w:t>
      </w:r>
    </w:p>
    <w:p>
      <w:pPr>
        <w:pStyle w:val="BodyText"/>
        <w:spacing w:line="278" w:lineRule="auto" w:before="43"/>
        <w:ind w:left="3705" w:right="579"/>
      </w:pPr>
      <w:r>
        <w:rPr>
          <w:spacing w:val="-2"/>
        </w:rPr>
        <w:t>我们在与保险金申请人达成给付保险金的协议后 </w:t>
      </w:r>
      <w:r>
        <w:rPr/>
        <w:t>10</w:t>
      </w:r>
      <w:r>
        <w:rPr>
          <w:spacing w:val="-5"/>
        </w:rPr>
        <w:t> 日内，履行给付保</w:t>
      </w:r>
      <w:r>
        <w:rPr>
          <w:spacing w:val="-2"/>
        </w:rPr>
        <w:t>险金义务。</w:t>
      </w:r>
    </w:p>
    <w:p>
      <w:pPr>
        <w:pStyle w:val="BodyText"/>
        <w:spacing w:line="278" w:lineRule="auto"/>
        <w:ind w:left="3705" w:right="471" w:hanging="420"/>
      </w:pPr>
      <w:r>
        <w:rPr>
          <w:spacing w:val="-10"/>
        </w:rPr>
        <w:t>二、我们未及时履行前款规定义务的，对属于保险责任的，除支付保险金外，</w:t>
      </w:r>
      <w:r>
        <w:rPr>
          <w:spacing w:val="-2"/>
        </w:rPr>
        <w:t>应当赔偿保险金申请人因此受到的损失，其中利息损失按照我们确定的</w:t>
      </w:r>
      <w:r>
        <w:rPr>
          <w:spacing w:val="-2"/>
        </w:rPr>
        <w:t>利率按单利计算，且我们确定的利率不低于当时中国人民银行公布的金</w:t>
      </w:r>
      <w:r>
        <w:rPr>
          <w:spacing w:val="-2"/>
        </w:rPr>
        <w:t>融机构人民币活期存款基准利率。</w:t>
      </w:r>
    </w:p>
    <w:p>
      <w:pPr>
        <w:pStyle w:val="BodyText"/>
        <w:spacing w:line="278" w:lineRule="auto"/>
        <w:ind w:left="3705" w:right="577" w:hanging="420"/>
      </w:pPr>
      <w:r>
        <w:rPr>
          <w:spacing w:val="-8"/>
        </w:rPr>
        <w:t>三、对不属于保险责任的，我们自作出核定之日起 </w:t>
      </w:r>
      <w:r>
        <w:rPr/>
        <w:t>3</w:t>
      </w:r>
      <w:r>
        <w:rPr>
          <w:spacing w:val="-8"/>
        </w:rPr>
        <w:t> 日内向保险金申请人发</w:t>
      </w:r>
      <w:r>
        <w:rPr>
          <w:spacing w:val="-2"/>
        </w:rPr>
        <w:t>出拒绝给付保险金通知书并说明理由。</w:t>
      </w:r>
    </w:p>
    <w:p>
      <w:pPr>
        <w:pStyle w:val="BodyText"/>
        <w:spacing w:line="278" w:lineRule="auto"/>
        <w:ind w:left="3705" w:right="541" w:hanging="420"/>
      </w:pPr>
      <w:r>
        <w:rPr>
          <w:spacing w:val="-2"/>
        </w:rPr>
        <w:t>四、我们在收到理赔申请书及有关证明和资料之日起 </w:t>
      </w:r>
      <w:r>
        <w:rPr/>
        <w:t>60</w:t>
      </w:r>
      <w:r>
        <w:rPr>
          <w:spacing w:val="-6"/>
        </w:rPr>
        <w:t> 日内，对给付保险</w:t>
      </w:r>
      <w:r>
        <w:rPr>
          <w:spacing w:val="-2"/>
        </w:rPr>
        <w:t>金的数额不能确定的，根据已有证明和资料可以确定的数额先予支付；</w:t>
      </w:r>
      <w:r>
        <w:rPr>
          <w:spacing w:val="-2"/>
        </w:rPr>
        <w:t>我们最终确定给付保险金的数额后，将支付相应的差额。</w:t>
      </w:r>
    </w:p>
    <w:p>
      <w:pPr>
        <w:pStyle w:val="BodyText"/>
        <w:spacing w:before="3"/>
        <w:rPr>
          <w:sz w:val="24"/>
        </w:rPr>
      </w:pPr>
    </w:p>
    <w:p>
      <w:pPr>
        <w:pStyle w:val="ListParagraph"/>
        <w:numPr>
          <w:ilvl w:val="1"/>
          <w:numId w:val="5"/>
        </w:numPr>
        <w:tabs>
          <w:tab w:pos="1713" w:val="left" w:leader="none"/>
          <w:tab w:pos="1714" w:val="left" w:leader="none"/>
          <w:tab w:pos="3285" w:val="left" w:leader="none"/>
        </w:tabs>
        <w:spacing w:line="278" w:lineRule="auto" w:before="0" w:after="0"/>
        <w:ind w:left="3285" w:right="577" w:hanging="2711"/>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pacing w:val="-2"/>
          <w:sz w:val="21"/>
        </w:rPr>
        <w:t>保</w:t>
      </w:r>
      <w:r>
        <w:rPr>
          <w:spacing w:val="-2"/>
          <w:sz w:val="21"/>
        </w:rPr>
        <w:t>险</w:t>
      </w:r>
      <w:r>
        <w:rPr>
          <w:spacing w:val="-2"/>
          <w:sz w:val="21"/>
        </w:rPr>
        <w:t>金申请人向我们申请</w:t>
      </w:r>
      <w:r>
        <w:rPr>
          <w:spacing w:val="-2"/>
          <w:sz w:val="21"/>
        </w:rPr>
        <w:t>给</w:t>
      </w:r>
      <w:r>
        <w:rPr>
          <w:spacing w:val="-2"/>
          <w:sz w:val="21"/>
        </w:rPr>
        <w:t>付</w:t>
      </w:r>
      <w:r>
        <w:rPr>
          <w:spacing w:val="-2"/>
          <w:sz w:val="21"/>
        </w:rPr>
        <w:t>保险金的诉讼时效期</w:t>
      </w:r>
      <w:r>
        <w:rPr>
          <w:spacing w:val="-2"/>
          <w:sz w:val="21"/>
        </w:rPr>
        <w:t>间</w:t>
      </w:r>
      <w:r>
        <w:rPr>
          <w:spacing w:val="-2"/>
          <w:sz w:val="21"/>
        </w:rPr>
        <w:t>为</w:t>
      </w:r>
      <w:r>
        <w:rPr>
          <w:spacing w:val="-50"/>
          <w:sz w:val="21"/>
        </w:rPr>
        <w:t> </w:t>
      </w:r>
      <w:r>
        <w:rPr>
          <w:spacing w:val="-2"/>
          <w:sz w:val="21"/>
        </w:rPr>
        <w:t>2</w:t>
      </w:r>
      <w:r>
        <w:rPr>
          <w:spacing w:val="-53"/>
          <w:sz w:val="21"/>
        </w:rPr>
        <w:t> </w:t>
      </w:r>
      <w:r>
        <w:rPr>
          <w:spacing w:val="-2"/>
          <w:sz w:val="21"/>
        </w:rPr>
        <w:t>年，自其知道</w:t>
      </w:r>
      <w:r>
        <w:rPr>
          <w:spacing w:val="-2"/>
          <w:sz w:val="21"/>
        </w:rPr>
        <w:t>或</w:t>
      </w:r>
      <w:r>
        <w:rPr>
          <w:spacing w:val="-2"/>
          <w:sz w:val="21"/>
        </w:rPr>
        <w:t>者</w:t>
      </w:r>
      <w:r>
        <w:rPr>
          <w:spacing w:val="-2"/>
          <w:sz w:val="21"/>
        </w:rPr>
        <w:t>应</w:t>
      </w:r>
      <w:r>
        <w:rPr>
          <w:spacing w:val="-2"/>
          <w:sz w:val="21"/>
        </w:rPr>
        <w:t>当</w:t>
      </w:r>
      <w:r>
        <w:rPr>
          <w:spacing w:val="-2"/>
          <w:sz w:val="21"/>
        </w:rPr>
        <w:t>知道保险事故发生之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spacing w:before="5"/>
        <w:rPr>
          <w:sz w:val="24"/>
        </w:rPr>
      </w:pPr>
    </w:p>
    <w:p>
      <w:pPr>
        <w:pStyle w:val="ListParagraph"/>
        <w:numPr>
          <w:ilvl w:val="1"/>
          <w:numId w:val="5"/>
        </w:numPr>
        <w:tabs>
          <w:tab w:pos="1713" w:val="left" w:leader="none"/>
          <w:tab w:pos="1714" w:val="left" w:leader="none"/>
          <w:tab w:pos="3285" w:val="left" w:leader="none"/>
        </w:tabs>
        <w:spacing w:line="240" w:lineRule="auto" w:before="0" w:after="0"/>
        <w:ind w:left="1713" w:right="0" w:hanging="1139"/>
        <w:jc w:val="left"/>
        <w:rPr>
          <w:sz w:val="21"/>
        </w:rPr>
      </w:pPr>
      <w:r>
        <w:rPr>
          <w:b/>
          <w:sz w:val="21"/>
        </w:rPr>
        <w:t>司法鉴</w:t>
      </w:r>
      <w:r>
        <w:rPr>
          <w:b/>
          <w:spacing w:val="-10"/>
          <w:sz w:val="21"/>
        </w:rPr>
        <w:t>定</w:t>
      </w:r>
      <w:r>
        <w:rPr>
          <w:b/>
          <w:sz w:val="21"/>
        </w:rPr>
        <w:tab/>
      </w:r>
      <w:r>
        <w:rPr>
          <w:spacing w:val="-2"/>
          <w:sz w:val="21"/>
        </w:rPr>
        <w:t>若</w:t>
      </w:r>
      <w:r>
        <w:rPr>
          <w:spacing w:val="-2"/>
          <w:sz w:val="21"/>
        </w:rPr>
        <w:t>被</w:t>
      </w:r>
      <w:r>
        <w:rPr>
          <w:spacing w:val="-2"/>
          <w:sz w:val="21"/>
        </w:rPr>
        <w:t>保险人身故，我们有</w:t>
      </w:r>
      <w:r>
        <w:rPr>
          <w:spacing w:val="-2"/>
          <w:sz w:val="21"/>
        </w:rPr>
        <w:t>权</w:t>
      </w:r>
      <w:r>
        <w:rPr>
          <w:spacing w:val="-2"/>
          <w:sz w:val="21"/>
        </w:rPr>
        <w:t>要</w:t>
      </w:r>
      <w:r>
        <w:rPr>
          <w:spacing w:val="-2"/>
          <w:sz w:val="21"/>
        </w:rPr>
        <w:t>求司法鉴定机构对保</w:t>
      </w:r>
      <w:r>
        <w:rPr>
          <w:spacing w:val="-2"/>
          <w:sz w:val="21"/>
        </w:rPr>
        <w:t>险</w:t>
      </w:r>
      <w:r>
        <w:rPr>
          <w:spacing w:val="-2"/>
          <w:sz w:val="21"/>
        </w:rPr>
        <w:t>事</w:t>
      </w:r>
      <w:r>
        <w:rPr>
          <w:spacing w:val="-2"/>
          <w:sz w:val="21"/>
        </w:rPr>
        <w:t>故进行鉴定</w:t>
      </w:r>
      <w:r>
        <w:rPr>
          <w:spacing w:val="-10"/>
          <w:sz w:val="21"/>
        </w:rPr>
        <w:t>。</w:t>
      </w:r>
    </w:p>
    <w:p>
      <w:pPr>
        <w:pStyle w:val="BodyText"/>
        <w:spacing w:before="7"/>
        <w:rPr>
          <w:sz w:val="28"/>
        </w:rPr>
      </w:pPr>
    </w:p>
    <w:p>
      <w:pPr>
        <w:tabs>
          <w:tab w:pos="1713" w:val="left" w:leader="none"/>
        </w:tabs>
        <w:spacing w:before="0"/>
        <w:ind w:left="575" w:right="0" w:firstLine="0"/>
        <w:jc w:val="left"/>
        <w:rPr>
          <w:b/>
          <w:sz w:val="28"/>
        </w:rPr>
      </w:pPr>
      <w:r>
        <w:rPr/>
        <w:drawing>
          <wp:anchor distT="0" distB="0" distL="0" distR="0" allowOverlap="1" layoutInCell="1" locked="0" behindDoc="0" simplePos="0" relativeHeight="7">
            <wp:simplePos x="0" y="0"/>
            <wp:positionH relativeFrom="page">
              <wp:posOffset>728776</wp:posOffset>
            </wp:positionH>
            <wp:positionV relativeFrom="paragraph">
              <wp:posOffset>374456</wp:posOffset>
            </wp:positionV>
            <wp:extent cx="6235384" cy="6095"/>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9" cstate="print"/>
                    <a:stretch>
                      <a:fillRect/>
                    </a:stretch>
                  </pic:blipFill>
                  <pic:spPr>
                    <a:xfrm>
                      <a:off x="0" y="0"/>
                      <a:ext cx="6235384" cy="6095"/>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b/>
          <w:w w:val="95"/>
          <w:sz w:val="28"/>
        </w:rPr>
        <w:t>如</w:t>
      </w:r>
      <w:r>
        <w:rPr>
          <w:b/>
          <w:w w:val="95"/>
          <w:sz w:val="28"/>
        </w:rPr>
        <w:t>何</w:t>
      </w:r>
      <w:r>
        <w:rPr>
          <w:b/>
          <w:w w:val="95"/>
          <w:sz w:val="28"/>
        </w:rPr>
        <w:t>交</w:t>
      </w:r>
      <w:r>
        <w:rPr>
          <w:b/>
          <w:w w:val="95"/>
          <w:sz w:val="28"/>
        </w:rPr>
        <w:t>纳</w:t>
      </w:r>
      <w:r>
        <w:rPr>
          <w:b/>
          <w:w w:val="95"/>
          <w:sz w:val="28"/>
        </w:rPr>
        <w:t>保</w:t>
      </w:r>
      <w:r>
        <w:rPr>
          <w:b/>
          <w:w w:val="95"/>
          <w:sz w:val="28"/>
        </w:rPr>
        <w:t>险</w:t>
      </w:r>
      <w:r>
        <w:rPr>
          <w:b/>
          <w:spacing w:val="-10"/>
          <w:w w:val="95"/>
          <w:sz w:val="28"/>
        </w:rPr>
        <w:t>费</w:t>
      </w:r>
    </w:p>
    <w:p>
      <w:pPr>
        <w:pStyle w:val="ListParagraph"/>
        <w:numPr>
          <w:ilvl w:val="1"/>
          <w:numId w:val="6"/>
        </w:numPr>
        <w:tabs>
          <w:tab w:pos="1713" w:val="left" w:leader="none"/>
          <w:tab w:pos="1714" w:val="left" w:leader="none"/>
          <w:tab w:pos="3285" w:val="left" w:leader="none"/>
        </w:tabs>
        <w:spacing w:line="278" w:lineRule="auto" w:before="335" w:after="0"/>
        <w:ind w:left="3285" w:right="515" w:hanging="2711"/>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交</w:t>
      </w:r>
      <w:r>
        <w:rPr>
          <w:b/>
          <w:spacing w:val="-2"/>
          <w:sz w:val="21"/>
        </w:rPr>
        <w:t>纳</w:t>
      </w:r>
      <w:r>
        <w:rPr>
          <w:b/>
          <w:sz w:val="21"/>
        </w:rPr>
        <w:tab/>
      </w:r>
      <w:r>
        <w:rPr>
          <w:sz w:val="21"/>
        </w:rPr>
        <w:t>一</w:t>
      </w:r>
      <w:r>
        <w:rPr>
          <w:spacing w:val="18"/>
          <w:sz w:val="21"/>
        </w:rPr>
        <w:t>、</w:t>
      </w:r>
      <w:r>
        <w:rPr>
          <w:sz w:val="21"/>
        </w:rPr>
        <w:t>本主险合同的交费方式和</w:t>
      </w:r>
      <w:r>
        <w:rPr>
          <w:sz w:val="21"/>
        </w:rPr>
        <w:t>交费期间由您和我们约定</w:t>
      </w:r>
      <w:r>
        <w:rPr>
          <w:sz w:val="21"/>
        </w:rPr>
        <w:t>并在保险单上载明。二</w:t>
      </w:r>
      <w:r>
        <w:rPr>
          <w:spacing w:val="18"/>
          <w:sz w:val="21"/>
        </w:rPr>
        <w:t>、</w:t>
      </w:r>
      <w:r>
        <w:rPr>
          <w:sz w:val="21"/>
        </w:rPr>
        <w:t>分期交纳保险费的，在交</w:t>
      </w:r>
      <w:r>
        <w:rPr>
          <w:sz w:val="21"/>
        </w:rPr>
        <w:t>纳首期保险费后，您应当</w:t>
      </w:r>
      <w:r>
        <w:rPr>
          <w:sz w:val="21"/>
        </w:rPr>
        <w:t>按照约定，在每个保</w:t>
      </w:r>
    </w:p>
    <w:p>
      <w:pPr>
        <w:pStyle w:val="BodyText"/>
        <w:spacing w:line="269" w:lineRule="exact"/>
        <w:ind w:left="3749"/>
      </w:pPr>
      <w:r>
        <w:rPr>
          <w:spacing w:val="-2"/>
        </w:rPr>
        <w:t>险费约定交纳日（</w:t>
      </w:r>
      <w:r>
        <w:rPr>
          <w:spacing w:val="-21"/>
        </w:rPr>
        <w:t>见 </w:t>
      </w:r>
      <w:r>
        <w:rPr>
          <w:spacing w:val="-2"/>
        </w:rPr>
        <w:t>9.25）</w:t>
      </w:r>
      <w:r>
        <w:rPr>
          <w:spacing w:val="-3"/>
        </w:rPr>
        <w:t>交纳其余各期的保险费。</w:t>
      </w:r>
    </w:p>
    <w:p>
      <w:pPr>
        <w:pStyle w:val="BodyText"/>
        <w:spacing w:before="9"/>
        <w:rPr>
          <w:sz w:val="27"/>
        </w:rPr>
      </w:pPr>
    </w:p>
    <w:p>
      <w:pPr>
        <w:pStyle w:val="ListParagraph"/>
        <w:numPr>
          <w:ilvl w:val="1"/>
          <w:numId w:val="6"/>
        </w:numPr>
        <w:tabs>
          <w:tab w:pos="1713" w:val="left" w:leader="none"/>
          <w:tab w:pos="1714" w:val="left" w:leader="none"/>
          <w:tab w:pos="3285" w:val="left" w:leader="none"/>
        </w:tabs>
        <w:spacing w:line="240" w:lineRule="auto" w:before="0" w:after="0"/>
        <w:ind w:left="1713" w:right="0" w:hanging="1139"/>
        <w:jc w:val="left"/>
        <w:rPr>
          <w:sz w:val="21"/>
        </w:rPr>
      </w:pPr>
      <w:r>
        <w:rPr>
          <w:b/>
          <w:sz w:val="21"/>
        </w:rPr>
        <w:t>宽限</w:t>
      </w:r>
      <w:r>
        <w:rPr>
          <w:b/>
          <w:spacing w:val="-10"/>
          <w:sz w:val="21"/>
        </w:rPr>
        <w:t>期</w:t>
      </w:r>
      <w:r>
        <w:rPr>
          <w:b/>
          <w:sz w:val="21"/>
        </w:rPr>
        <w:tab/>
      </w:r>
      <w:r>
        <w:rPr>
          <w:spacing w:val="-2"/>
          <w:sz w:val="21"/>
        </w:rPr>
        <w:t>一、</w:t>
      </w:r>
      <w:r>
        <w:rPr>
          <w:spacing w:val="-2"/>
          <w:sz w:val="21"/>
        </w:rPr>
        <w:t>如</w:t>
      </w:r>
      <w:r>
        <w:rPr>
          <w:spacing w:val="-2"/>
          <w:sz w:val="21"/>
        </w:rPr>
        <w:t>果</w:t>
      </w:r>
      <w:r>
        <w:rPr>
          <w:spacing w:val="-2"/>
          <w:sz w:val="21"/>
        </w:rPr>
        <w:t>您到期未交纳保险费，</w:t>
      </w:r>
      <w:r>
        <w:rPr>
          <w:spacing w:val="-2"/>
          <w:sz w:val="21"/>
        </w:rPr>
        <w:t>自</w:t>
      </w:r>
      <w:r>
        <w:rPr>
          <w:spacing w:val="-2"/>
          <w:sz w:val="21"/>
        </w:rPr>
        <w:t>保险费约定交纳日的</w:t>
      </w:r>
      <w:r>
        <w:rPr>
          <w:spacing w:val="-2"/>
          <w:sz w:val="21"/>
        </w:rPr>
        <w:t>次</w:t>
      </w:r>
      <w:r>
        <w:rPr>
          <w:spacing w:val="-2"/>
          <w:sz w:val="21"/>
        </w:rPr>
        <w:t>日</w:t>
      </w:r>
      <w:r>
        <w:rPr>
          <w:spacing w:val="-2"/>
          <w:sz w:val="21"/>
        </w:rPr>
        <w:t>零时起</w:t>
      </w:r>
      <w:r>
        <w:rPr>
          <w:spacing w:val="-25"/>
          <w:sz w:val="21"/>
        </w:rPr>
        <w:t> </w:t>
      </w:r>
      <w:r>
        <w:rPr>
          <w:spacing w:val="-2"/>
          <w:sz w:val="21"/>
        </w:rPr>
        <w:t>60</w:t>
      </w:r>
      <w:r>
        <w:rPr>
          <w:spacing w:val="-27"/>
          <w:sz w:val="21"/>
        </w:rPr>
        <w:t> </w:t>
      </w:r>
      <w:r>
        <w:rPr>
          <w:spacing w:val="-2"/>
          <w:sz w:val="21"/>
        </w:rPr>
        <w:t>日</w:t>
      </w:r>
      <w:r>
        <w:rPr>
          <w:spacing w:val="-10"/>
          <w:sz w:val="21"/>
        </w:rPr>
        <w:t>为</w:t>
      </w:r>
    </w:p>
    <w:p>
      <w:pPr>
        <w:spacing w:line="268" w:lineRule="auto" w:before="43"/>
        <w:ind w:left="3749" w:right="577" w:firstLine="0"/>
        <w:jc w:val="left"/>
        <w:rPr>
          <w:b/>
          <w:i/>
          <w:sz w:val="22"/>
        </w:rPr>
      </w:pPr>
      <w:r>
        <w:rPr>
          <w:spacing w:val="-4"/>
          <w:sz w:val="21"/>
        </w:rPr>
        <w:t>宽限期。宽限期内发生的保险事故，我们仍会按本主险合同的约定承担</w:t>
      </w:r>
      <w:r>
        <w:rPr>
          <w:spacing w:val="-2"/>
          <w:sz w:val="21"/>
        </w:rPr>
        <w:t>相应的保险责任，</w:t>
      </w:r>
      <w:r>
        <w:rPr>
          <w:b/>
          <w:i/>
          <w:spacing w:val="-2"/>
          <w:sz w:val="22"/>
        </w:rPr>
        <w:t>但</w:t>
      </w:r>
      <w:r>
        <w:rPr>
          <w:b/>
          <w:i/>
          <w:spacing w:val="-2"/>
          <w:sz w:val="22"/>
        </w:rPr>
        <w:t>在</w:t>
      </w:r>
      <w:r>
        <w:rPr>
          <w:b/>
          <w:i/>
          <w:spacing w:val="-2"/>
          <w:sz w:val="22"/>
        </w:rPr>
        <w:t>给</w:t>
      </w:r>
      <w:r>
        <w:rPr>
          <w:b/>
          <w:i/>
          <w:spacing w:val="-2"/>
          <w:sz w:val="22"/>
        </w:rPr>
        <w:t>付</w:t>
      </w:r>
      <w:r>
        <w:rPr>
          <w:b/>
          <w:i/>
          <w:spacing w:val="-2"/>
          <w:sz w:val="22"/>
        </w:rPr>
        <w:t>保</w:t>
      </w:r>
      <w:r>
        <w:rPr>
          <w:b/>
          <w:i/>
          <w:spacing w:val="-2"/>
          <w:sz w:val="22"/>
        </w:rPr>
        <w:t>险</w:t>
      </w:r>
      <w:r>
        <w:rPr>
          <w:b/>
          <w:i/>
          <w:spacing w:val="-2"/>
          <w:sz w:val="22"/>
        </w:rPr>
        <w:t>金</w:t>
      </w:r>
      <w:r>
        <w:rPr>
          <w:b/>
          <w:i/>
          <w:spacing w:val="-2"/>
          <w:sz w:val="22"/>
        </w:rPr>
        <w:t>时</w:t>
      </w:r>
      <w:r>
        <w:rPr>
          <w:b/>
          <w:i/>
          <w:spacing w:val="-2"/>
          <w:sz w:val="22"/>
        </w:rPr>
        <w:t>需</w:t>
      </w:r>
      <w:r>
        <w:rPr>
          <w:b/>
          <w:i/>
          <w:spacing w:val="-2"/>
          <w:sz w:val="22"/>
        </w:rPr>
        <w:t>扣</w:t>
      </w:r>
      <w:r>
        <w:rPr>
          <w:b/>
          <w:i/>
          <w:spacing w:val="-2"/>
          <w:sz w:val="22"/>
        </w:rPr>
        <w:t>除</w:t>
      </w:r>
      <w:r>
        <w:rPr>
          <w:b/>
          <w:i/>
          <w:spacing w:val="-2"/>
          <w:sz w:val="22"/>
        </w:rPr>
        <w:t>您欠交</w:t>
      </w:r>
      <w:r>
        <w:rPr>
          <w:b/>
          <w:i/>
          <w:spacing w:val="-2"/>
          <w:sz w:val="22"/>
        </w:rPr>
        <w:t>的</w:t>
      </w:r>
      <w:r>
        <w:rPr>
          <w:b/>
          <w:i/>
          <w:spacing w:val="-2"/>
          <w:sz w:val="22"/>
        </w:rPr>
        <w:t>保</w:t>
      </w:r>
      <w:r>
        <w:rPr>
          <w:b/>
          <w:i/>
          <w:spacing w:val="-2"/>
          <w:sz w:val="22"/>
        </w:rPr>
        <w:t>险</w:t>
      </w:r>
      <w:r>
        <w:rPr>
          <w:b/>
          <w:i/>
          <w:spacing w:val="-2"/>
          <w:sz w:val="22"/>
        </w:rPr>
        <w:t>费</w:t>
      </w:r>
      <w:r>
        <w:rPr>
          <w:b/>
          <w:i/>
          <w:spacing w:val="-2"/>
          <w:sz w:val="22"/>
        </w:rPr>
        <w:t>。</w:t>
      </w:r>
    </w:p>
    <w:p>
      <w:pPr>
        <w:spacing w:line="266" w:lineRule="auto" w:before="0"/>
        <w:ind w:left="3705" w:right="578" w:hanging="420"/>
        <w:jc w:val="left"/>
        <w:rPr>
          <w:b/>
          <w:i/>
          <w:sz w:val="22"/>
        </w:rPr>
      </w:pPr>
      <w:r>
        <w:rPr>
          <w:spacing w:val="9"/>
          <w:w w:val="95"/>
          <w:sz w:val="21"/>
        </w:rPr>
        <w:t>二、</w:t>
      </w:r>
      <w:r>
        <w:rPr>
          <w:b/>
          <w:i/>
          <w:spacing w:val="-5"/>
          <w:w w:val="95"/>
          <w:sz w:val="22"/>
        </w:rPr>
        <w:t>如果您在宽限期结束之后仍未交纳对应的保险费，除非本主险合同另有</w:t>
      </w:r>
      <w:r>
        <w:rPr>
          <w:b/>
          <w:i/>
          <w:spacing w:val="-2"/>
          <w:w w:val="95"/>
          <w:sz w:val="22"/>
        </w:rPr>
        <w:t>约定，否则本主险合同自宽限期满的次日零时起效力中止。</w:t>
      </w:r>
    </w:p>
    <w:p>
      <w:pPr>
        <w:spacing w:after="0" w:line="266" w:lineRule="auto"/>
        <w:jc w:val="left"/>
        <w:rPr>
          <w:sz w:val="22"/>
        </w:rPr>
        <w:sectPr>
          <w:pgSz w:w="11910" w:h="16840"/>
          <w:pgMar w:top="1200" w:bottom="280" w:left="680" w:right="460"/>
        </w:sectPr>
      </w:pPr>
    </w:p>
    <w:p>
      <w:pPr>
        <w:tabs>
          <w:tab w:pos="1713" w:val="left" w:leader="none"/>
        </w:tabs>
        <w:spacing w:before="84"/>
        <w:ind w:left="575" w:right="0" w:firstLine="0"/>
        <w:jc w:val="left"/>
        <w:rPr>
          <w:b/>
          <w:sz w:val="28"/>
        </w:rPr>
      </w:pPr>
      <w:r>
        <w:rPr/>
        <w:drawing>
          <wp:anchor distT="0" distB="0" distL="0" distR="0" allowOverlap="1" layoutInCell="1" locked="0" behindDoc="0" simplePos="0" relativeHeight="8">
            <wp:simplePos x="0" y="0"/>
            <wp:positionH relativeFrom="page">
              <wp:posOffset>728776</wp:posOffset>
            </wp:positionH>
            <wp:positionV relativeFrom="paragraph">
              <wp:posOffset>428051</wp:posOffset>
            </wp:positionV>
            <wp:extent cx="6235903" cy="6096"/>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0" cstate="print"/>
                    <a:stretch>
                      <a:fillRect/>
                    </a:stretch>
                  </pic:blipFill>
                  <pic:spPr>
                    <a:xfrm>
                      <a:off x="0" y="0"/>
                      <a:ext cx="623590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b/>
          <w:w w:val="95"/>
          <w:sz w:val="28"/>
        </w:rPr>
        <w:t>现</w:t>
      </w:r>
      <w:r>
        <w:rPr>
          <w:b/>
          <w:w w:val="95"/>
          <w:sz w:val="28"/>
        </w:rPr>
        <w:t>金</w:t>
      </w:r>
      <w:r>
        <w:rPr>
          <w:b/>
          <w:w w:val="95"/>
          <w:sz w:val="28"/>
        </w:rPr>
        <w:t>价</w:t>
      </w:r>
      <w:r>
        <w:rPr>
          <w:b/>
          <w:w w:val="95"/>
          <w:sz w:val="28"/>
        </w:rPr>
        <w:t>值</w:t>
      </w:r>
      <w:r>
        <w:rPr>
          <w:b/>
          <w:w w:val="95"/>
          <w:sz w:val="28"/>
        </w:rPr>
        <w:t>权</w:t>
      </w:r>
      <w:r>
        <w:rPr>
          <w:b/>
          <w:spacing w:val="-10"/>
          <w:w w:val="95"/>
          <w:sz w:val="28"/>
        </w:rPr>
        <w:t>益</w:t>
      </w:r>
    </w:p>
    <w:p>
      <w:pPr>
        <w:pStyle w:val="ListParagraph"/>
        <w:numPr>
          <w:ilvl w:val="1"/>
          <w:numId w:val="7"/>
        </w:numPr>
        <w:tabs>
          <w:tab w:pos="1713" w:val="left" w:leader="none"/>
          <w:tab w:pos="1714" w:val="left" w:leader="none"/>
          <w:tab w:pos="3285" w:val="left" w:leader="none"/>
        </w:tabs>
        <w:spacing w:line="278" w:lineRule="auto" w:before="334" w:after="0"/>
        <w:ind w:left="3285" w:right="577" w:hanging="2711"/>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本</w:t>
      </w:r>
      <w:r>
        <w:rPr>
          <w:spacing w:val="-2"/>
          <w:sz w:val="21"/>
        </w:rPr>
        <w:t>主</w:t>
      </w:r>
      <w:r>
        <w:rPr>
          <w:spacing w:val="-2"/>
          <w:sz w:val="21"/>
        </w:rPr>
        <w:t>险合同保险单年度末</w:t>
      </w:r>
      <w:r>
        <w:rPr>
          <w:spacing w:val="-2"/>
          <w:sz w:val="21"/>
        </w:rPr>
        <w:t>的</w:t>
      </w:r>
      <w:r>
        <w:rPr>
          <w:spacing w:val="-2"/>
          <w:sz w:val="21"/>
        </w:rPr>
        <w:t>现</w:t>
      </w:r>
      <w:r>
        <w:rPr>
          <w:spacing w:val="-2"/>
          <w:sz w:val="21"/>
        </w:rPr>
        <w:t>金价值会在保险单上</w:t>
      </w:r>
      <w:r>
        <w:rPr>
          <w:spacing w:val="-2"/>
          <w:sz w:val="21"/>
        </w:rPr>
        <w:t>载</w:t>
      </w:r>
      <w:r>
        <w:rPr>
          <w:spacing w:val="-2"/>
          <w:sz w:val="21"/>
        </w:rPr>
        <w:t>明</w:t>
      </w:r>
      <w:r>
        <w:rPr>
          <w:spacing w:val="-2"/>
          <w:sz w:val="21"/>
        </w:rPr>
        <w:t>，保险单年度内</w:t>
      </w:r>
      <w:r>
        <w:rPr>
          <w:spacing w:val="-2"/>
          <w:sz w:val="21"/>
        </w:rPr>
        <w:t>的</w:t>
      </w:r>
      <w:r>
        <w:rPr>
          <w:spacing w:val="-2"/>
          <w:sz w:val="21"/>
        </w:rPr>
        <w:t>现</w:t>
      </w:r>
      <w:r>
        <w:rPr>
          <w:spacing w:val="-2"/>
          <w:sz w:val="21"/>
        </w:rPr>
        <w:t>金</w:t>
      </w:r>
      <w:r>
        <w:rPr>
          <w:spacing w:val="-2"/>
          <w:sz w:val="21"/>
        </w:rPr>
        <w:t>价</w:t>
      </w:r>
      <w:r>
        <w:rPr>
          <w:spacing w:val="-2"/>
          <w:sz w:val="21"/>
        </w:rPr>
        <w:t>值，您可以向我们咨</w:t>
      </w:r>
      <w:r>
        <w:rPr>
          <w:spacing w:val="-2"/>
          <w:sz w:val="21"/>
        </w:rPr>
        <w:t>询</w:t>
      </w:r>
      <w:r>
        <w:rPr>
          <w:spacing w:val="-2"/>
          <w:sz w:val="21"/>
        </w:rPr>
        <w:t>。</w:t>
      </w:r>
    </w:p>
    <w:p>
      <w:pPr>
        <w:pStyle w:val="BodyText"/>
        <w:spacing w:before="5"/>
        <w:rPr>
          <w:sz w:val="24"/>
        </w:rPr>
      </w:pPr>
    </w:p>
    <w:p>
      <w:pPr>
        <w:pStyle w:val="ListParagraph"/>
        <w:numPr>
          <w:ilvl w:val="1"/>
          <w:numId w:val="7"/>
        </w:numPr>
        <w:tabs>
          <w:tab w:pos="1714" w:val="left" w:leader="none"/>
        </w:tabs>
        <w:spacing w:line="240" w:lineRule="auto" w:before="0" w:after="0"/>
        <w:ind w:left="1713" w:right="0" w:hanging="1139"/>
        <w:jc w:val="both"/>
        <w:rPr>
          <w:sz w:val="21"/>
        </w:rPr>
      </w:pPr>
      <w:r>
        <w:rPr>
          <w:b/>
          <w:sz w:val="21"/>
        </w:rPr>
        <w:t>保险单借款</w:t>
      </w:r>
      <w:r>
        <w:rPr>
          <w:b/>
          <w:spacing w:val="58"/>
          <w:w w:val="150"/>
          <w:sz w:val="21"/>
        </w:rPr>
        <w:t>  </w:t>
      </w:r>
      <w:r>
        <w:rPr>
          <w:spacing w:val="-1"/>
          <w:sz w:val="21"/>
        </w:rPr>
        <w:t>一、在本主险合同保险期间内且在本主险合同有效期内，且在本主险合同生</w:t>
      </w:r>
    </w:p>
    <w:p>
      <w:pPr>
        <w:pStyle w:val="BodyText"/>
        <w:spacing w:line="278" w:lineRule="auto" w:before="43"/>
        <w:ind w:left="3705" w:right="577"/>
        <w:jc w:val="both"/>
      </w:pPr>
      <w:r>
        <w:rPr>
          <w:spacing w:val="-6"/>
          <w:w w:val="100"/>
        </w:rPr>
        <w:t>效满一年后，经我们同意，您可以凭保险单向我们申请借款。借款金额</w:t>
      </w:r>
      <w:r>
        <w:rPr>
          <w:spacing w:val="3"/>
          <w:w w:val="100"/>
        </w:rPr>
        <w:t>不得超过借款时本主险合同实际具有的现金价值扣除各项欠款后余额的</w:t>
      </w:r>
      <w:r>
        <w:rPr>
          <w:spacing w:val="-53"/>
        </w:rPr>
        <w:t> </w:t>
      </w:r>
      <w:r>
        <w:rPr>
          <w:w w:val="100"/>
        </w:rPr>
        <w:t>8</w:t>
      </w:r>
      <w:r>
        <w:rPr>
          <w:spacing w:val="-3"/>
          <w:w w:val="100"/>
        </w:rPr>
        <w:t>0</w:t>
      </w:r>
      <w:r>
        <w:rPr>
          <w:spacing w:val="-12"/>
          <w:w w:val="100"/>
        </w:rPr>
        <w:t>％，每次借款期限最长不超过六个月，借款利率按我们当时确定的</w:t>
      </w:r>
      <w:r>
        <w:rPr>
          <w:spacing w:val="-6"/>
          <w:w w:val="100"/>
        </w:rPr>
        <w:t>利率执行，并在借款协议中载明。</w:t>
      </w:r>
    </w:p>
    <w:p>
      <w:pPr>
        <w:spacing w:line="266" w:lineRule="auto" w:before="0"/>
        <w:ind w:left="3705" w:right="532" w:hanging="420"/>
        <w:jc w:val="left"/>
        <w:rPr>
          <w:sz w:val="21"/>
        </w:rPr>
      </w:pPr>
      <w:r>
        <w:rPr>
          <w:spacing w:val="-3"/>
          <w:w w:val="100"/>
          <w:sz w:val="21"/>
        </w:rPr>
        <w:t>二、借款本息应在借款到期前全部归还，</w:t>
      </w:r>
      <w:r>
        <w:rPr>
          <w:b/>
          <w:i/>
          <w:spacing w:val="-3"/>
          <w:w w:val="95"/>
          <w:sz w:val="22"/>
        </w:rPr>
        <w:t>若您到期未能足额偿还借款本息，则您所欠的借款本金及利息将作为新的借款本金计息</w:t>
      </w:r>
      <w:r>
        <w:rPr>
          <w:w w:val="100"/>
          <w:sz w:val="21"/>
        </w:rPr>
        <w:t>。</w:t>
      </w:r>
    </w:p>
    <w:p>
      <w:pPr>
        <w:spacing w:line="266" w:lineRule="auto" w:before="0"/>
        <w:ind w:left="3708" w:right="582" w:hanging="423"/>
        <w:jc w:val="left"/>
        <w:rPr>
          <w:b/>
          <w:i/>
          <w:sz w:val="22"/>
        </w:rPr>
      </w:pPr>
      <w:r>
        <w:rPr>
          <w:b/>
          <w:i/>
          <w:spacing w:val="-10"/>
          <w:w w:val="95"/>
          <w:sz w:val="22"/>
        </w:rPr>
        <w:t>三、当未还借款本金及利息加上其他各项欠款达到本主险合同实际具有的现</w:t>
      </w:r>
      <w:r>
        <w:rPr>
          <w:b/>
          <w:i/>
          <w:spacing w:val="-2"/>
          <w:sz w:val="22"/>
        </w:rPr>
        <w:t>金</w:t>
      </w:r>
      <w:r>
        <w:rPr>
          <w:b/>
          <w:i/>
          <w:spacing w:val="-2"/>
          <w:sz w:val="22"/>
        </w:rPr>
        <w:t>价</w:t>
      </w:r>
      <w:r>
        <w:rPr>
          <w:b/>
          <w:i/>
          <w:spacing w:val="-2"/>
          <w:sz w:val="22"/>
        </w:rPr>
        <w:t>值</w:t>
      </w:r>
      <w:r>
        <w:rPr>
          <w:b/>
          <w:i/>
          <w:spacing w:val="-2"/>
          <w:sz w:val="22"/>
        </w:rPr>
        <w:t>时</w:t>
      </w:r>
      <w:r>
        <w:rPr>
          <w:b/>
          <w:i/>
          <w:spacing w:val="-2"/>
          <w:sz w:val="22"/>
        </w:rPr>
        <w:t>，</w:t>
      </w:r>
      <w:r>
        <w:rPr>
          <w:b/>
          <w:i/>
          <w:spacing w:val="-2"/>
          <w:sz w:val="22"/>
        </w:rPr>
        <w:t>本</w:t>
      </w:r>
      <w:r>
        <w:rPr>
          <w:b/>
          <w:i/>
          <w:spacing w:val="-2"/>
          <w:sz w:val="22"/>
        </w:rPr>
        <w:t>主</w:t>
      </w:r>
      <w:r>
        <w:rPr>
          <w:b/>
          <w:i/>
          <w:spacing w:val="-2"/>
          <w:sz w:val="22"/>
        </w:rPr>
        <w:t>险</w:t>
      </w:r>
      <w:r>
        <w:rPr>
          <w:b/>
          <w:i/>
          <w:spacing w:val="-2"/>
          <w:sz w:val="22"/>
        </w:rPr>
        <w:t>合同效</w:t>
      </w:r>
      <w:r>
        <w:rPr>
          <w:b/>
          <w:i/>
          <w:spacing w:val="-2"/>
          <w:sz w:val="22"/>
        </w:rPr>
        <w:t>力</w:t>
      </w:r>
      <w:r>
        <w:rPr>
          <w:b/>
          <w:i/>
          <w:spacing w:val="-2"/>
          <w:sz w:val="22"/>
        </w:rPr>
        <w:t>即</w:t>
      </w:r>
      <w:r>
        <w:rPr>
          <w:b/>
          <w:i/>
          <w:spacing w:val="-2"/>
          <w:sz w:val="22"/>
        </w:rPr>
        <w:t>行</w:t>
      </w:r>
      <w:r>
        <w:rPr>
          <w:b/>
          <w:i/>
          <w:spacing w:val="-2"/>
          <w:sz w:val="22"/>
        </w:rPr>
        <w:t>中</w:t>
      </w:r>
      <w:r>
        <w:rPr>
          <w:b/>
          <w:i/>
          <w:spacing w:val="-2"/>
          <w:sz w:val="22"/>
        </w:rPr>
        <w:t>止</w:t>
      </w:r>
      <w:r>
        <w:rPr>
          <w:b/>
          <w:i/>
          <w:spacing w:val="-2"/>
          <w:sz w:val="22"/>
        </w:rPr>
        <w:t>。</w:t>
      </w:r>
    </w:p>
    <w:p>
      <w:pPr>
        <w:pStyle w:val="BodyText"/>
        <w:spacing w:before="12"/>
        <w:rPr>
          <w:b/>
          <w:i/>
          <w:sz w:val="24"/>
        </w:rPr>
      </w:pPr>
    </w:p>
    <w:p>
      <w:pPr>
        <w:pStyle w:val="Heading1"/>
        <w:tabs>
          <w:tab w:pos="1713" w:val="left" w:leader="none"/>
        </w:tabs>
      </w:pPr>
      <w:r>
        <w:rPr/>
        <w:drawing>
          <wp:anchor distT="0" distB="0" distL="0" distR="0" allowOverlap="1" layoutInCell="1" locked="0" behindDoc="0" simplePos="0" relativeHeight="9">
            <wp:simplePos x="0" y="0"/>
            <wp:positionH relativeFrom="page">
              <wp:posOffset>728776</wp:posOffset>
            </wp:positionH>
            <wp:positionV relativeFrom="paragraph">
              <wp:posOffset>374456</wp:posOffset>
            </wp:positionV>
            <wp:extent cx="6235773" cy="6096"/>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9" cstate="print"/>
                    <a:stretch>
                      <a:fillRect/>
                    </a:stretch>
                  </pic:blipFill>
                  <pic:spPr>
                    <a:xfrm>
                      <a:off x="0" y="0"/>
                      <a:ext cx="6235773" cy="6096"/>
                    </a:xfrm>
                    <a:prstGeom prst="rect">
                      <a:avLst/>
                    </a:prstGeom>
                  </pic:spPr>
                </pic:pic>
              </a:graphicData>
            </a:graphic>
          </wp:anchor>
        </w:drawing>
      </w:r>
      <w:r>
        <w:rPr>
          <w:rFonts w:ascii="Wingdings 2" w:hAnsi="Wingdings 2" w:eastAsia="Wingdings 2"/>
          <w:b w:val="0"/>
          <w:spacing w:val="-10"/>
          <w:position w:val="-5"/>
          <w:sz w:val="52"/>
        </w:rPr>
        <w:t></w:t>
      </w:r>
      <w:r>
        <w:rPr>
          <w:rFonts w:ascii="Times New Roman" w:hAnsi="Times New Roman" w:eastAsia="Times New Roman"/>
          <w:b w:val="0"/>
          <w:position w:val="-5"/>
          <w:sz w:val="52"/>
        </w:rPr>
        <w:tab/>
      </w:r>
      <w:r>
        <w:rPr>
          <w:w w:val="95"/>
        </w:rPr>
        <w:t>合</w:t>
      </w:r>
      <w:r>
        <w:rPr>
          <w:w w:val="95"/>
        </w:rPr>
        <w:t>同</w:t>
      </w:r>
      <w:r>
        <w:rPr>
          <w:w w:val="95"/>
        </w:rPr>
        <w:t>效</w:t>
      </w:r>
      <w:r>
        <w:rPr>
          <w:w w:val="95"/>
        </w:rPr>
        <w:t>力</w:t>
      </w:r>
      <w:r>
        <w:rPr>
          <w:w w:val="95"/>
        </w:rPr>
        <w:t>的</w:t>
      </w:r>
      <w:r>
        <w:rPr>
          <w:w w:val="95"/>
        </w:rPr>
        <w:t>中</w:t>
      </w:r>
      <w:r>
        <w:rPr>
          <w:w w:val="95"/>
        </w:rPr>
        <w:t>止</w:t>
      </w:r>
      <w:r>
        <w:rPr>
          <w:w w:val="95"/>
        </w:rPr>
        <w:t>及</w:t>
      </w:r>
      <w:r>
        <w:rPr>
          <w:w w:val="95"/>
        </w:rPr>
        <w:t>恢</w:t>
      </w:r>
      <w:r>
        <w:rPr>
          <w:spacing w:val="-10"/>
          <w:w w:val="95"/>
        </w:rPr>
        <w:t>复</w:t>
      </w:r>
    </w:p>
    <w:p>
      <w:pPr>
        <w:pStyle w:val="ListParagraph"/>
        <w:numPr>
          <w:ilvl w:val="1"/>
          <w:numId w:val="8"/>
        </w:numPr>
        <w:tabs>
          <w:tab w:pos="1714" w:val="left" w:leader="none"/>
        </w:tabs>
        <w:spacing w:line="240" w:lineRule="auto" w:before="325" w:after="0"/>
        <w:ind w:left="1713" w:right="0" w:hanging="1139"/>
        <w:jc w:val="both"/>
        <w:rPr>
          <w:b/>
          <w:i/>
          <w:sz w:val="22"/>
        </w:rPr>
      </w:pPr>
      <w:r>
        <w:rPr>
          <w:b/>
          <w:w w:val="95"/>
          <w:sz w:val="21"/>
        </w:rPr>
        <w:t>效</w:t>
      </w:r>
      <w:r>
        <w:rPr>
          <w:b/>
          <w:w w:val="95"/>
          <w:sz w:val="21"/>
        </w:rPr>
        <w:t>力</w:t>
      </w:r>
      <w:r>
        <w:rPr>
          <w:b/>
          <w:w w:val="95"/>
          <w:sz w:val="21"/>
        </w:rPr>
        <w:t>中</w:t>
      </w:r>
      <w:r>
        <w:rPr>
          <w:b/>
          <w:w w:val="95"/>
          <w:sz w:val="21"/>
        </w:rPr>
        <w:t>止</w:t>
      </w:r>
      <w:r>
        <w:rPr>
          <w:b/>
          <w:spacing w:val="598"/>
          <w:w w:val="150"/>
          <w:sz w:val="21"/>
        </w:rPr>
        <w:t> </w:t>
      </w:r>
      <w:r>
        <w:rPr>
          <w:b/>
          <w:i/>
          <w:spacing w:val="-1"/>
          <w:w w:val="95"/>
          <w:sz w:val="22"/>
        </w:rPr>
        <w:t>在本主险合同效力中止期间，我们不承担本主险合同项下的保险责任。</w:t>
      </w:r>
    </w:p>
    <w:p>
      <w:pPr>
        <w:pStyle w:val="BodyText"/>
        <w:spacing w:before="5"/>
        <w:rPr>
          <w:b/>
          <w:i/>
          <w:sz w:val="27"/>
        </w:rPr>
      </w:pPr>
    </w:p>
    <w:p>
      <w:pPr>
        <w:pStyle w:val="ListParagraph"/>
        <w:numPr>
          <w:ilvl w:val="1"/>
          <w:numId w:val="8"/>
        </w:numPr>
        <w:tabs>
          <w:tab w:pos="1713" w:val="left" w:leader="none"/>
          <w:tab w:pos="1714" w:val="left" w:leader="none"/>
          <w:tab w:pos="3285" w:val="left" w:leader="none"/>
        </w:tabs>
        <w:spacing w:line="240" w:lineRule="auto" w:before="1" w:after="0"/>
        <w:ind w:left="1713" w:right="0" w:hanging="1139"/>
        <w:jc w:val="left"/>
        <w:rPr>
          <w:sz w:val="21"/>
        </w:rPr>
      </w:pPr>
      <w:r>
        <w:rPr>
          <w:b/>
          <w:sz w:val="21"/>
        </w:rPr>
        <w:t>效力恢</w:t>
      </w:r>
      <w:r>
        <w:rPr>
          <w:b/>
          <w:spacing w:val="-10"/>
          <w:sz w:val="21"/>
        </w:rPr>
        <w:t>复</w:t>
      </w:r>
      <w:r>
        <w:rPr>
          <w:b/>
          <w:sz w:val="21"/>
        </w:rPr>
        <w:tab/>
      </w:r>
      <w:r>
        <w:rPr>
          <w:spacing w:val="-2"/>
          <w:sz w:val="21"/>
        </w:rPr>
        <w:t>一、</w:t>
      </w:r>
      <w:r>
        <w:rPr>
          <w:spacing w:val="-2"/>
          <w:sz w:val="21"/>
        </w:rPr>
        <w:t>本</w:t>
      </w:r>
      <w:r>
        <w:rPr>
          <w:spacing w:val="-2"/>
          <w:sz w:val="21"/>
        </w:rPr>
        <w:t>主</w:t>
      </w:r>
      <w:r>
        <w:rPr>
          <w:spacing w:val="-2"/>
          <w:sz w:val="21"/>
        </w:rPr>
        <w:t>险合同效力中止之日起</w:t>
      </w:r>
      <w:r>
        <w:rPr>
          <w:spacing w:val="-28"/>
          <w:sz w:val="21"/>
        </w:rPr>
        <w:t> </w:t>
      </w:r>
      <w:r>
        <w:rPr>
          <w:spacing w:val="-2"/>
          <w:sz w:val="21"/>
        </w:rPr>
        <w:t>2</w:t>
      </w:r>
      <w:r>
        <w:rPr>
          <w:spacing w:val="-28"/>
          <w:sz w:val="21"/>
        </w:rPr>
        <w:t> </w:t>
      </w:r>
      <w:r>
        <w:rPr>
          <w:spacing w:val="-2"/>
          <w:sz w:val="21"/>
        </w:rPr>
        <w:t>年内，您可以申请恢</w:t>
      </w:r>
      <w:r>
        <w:rPr>
          <w:spacing w:val="-2"/>
          <w:sz w:val="21"/>
        </w:rPr>
        <w:t>复</w:t>
      </w:r>
      <w:r>
        <w:rPr>
          <w:spacing w:val="-2"/>
          <w:sz w:val="21"/>
        </w:rPr>
        <w:t>本</w:t>
      </w:r>
      <w:r>
        <w:rPr>
          <w:spacing w:val="-2"/>
          <w:sz w:val="21"/>
        </w:rPr>
        <w:t>主险合同效力</w:t>
      </w:r>
      <w:r>
        <w:rPr>
          <w:spacing w:val="-10"/>
          <w:sz w:val="21"/>
        </w:rPr>
        <w:t>。</w:t>
      </w:r>
    </w:p>
    <w:p>
      <w:pPr>
        <w:pStyle w:val="BodyText"/>
        <w:spacing w:line="278" w:lineRule="auto" w:before="43"/>
        <w:ind w:left="3749" w:right="500"/>
      </w:pPr>
      <w:r>
        <w:rPr>
          <w:spacing w:val="-2"/>
        </w:rPr>
        <w:t>经我们与您协商并达成协议，并向我们补交您全部欠交保险费及利息，</w:t>
      </w:r>
      <w:r>
        <w:rPr>
          <w:spacing w:val="-7"/>
        </w:rPr>
        <w:t>如果您有未偿还的借款及借款利息，您需要同时向我们交清您的借款本</w:t>
      </w:r>
      <w:r>
        <w:rPr>
          <w:spacing w:val="-11"/>
        </w:rPr>
        <w:t>金及借款利息，本主险合同自我们收到上述所有款项并核准之日零时起</w:t>
      </w:r>
      <w:r>
        <w:rPr>
          <w:spacing w:val="-2"/>
        </w:rPr>
        <w:t>效力恢复。</w:t>
      </w:r>
    </w:p>
    <w:p>
      <w:pPr>
        <w:pStyle w:val="BodyText"/>
        <w:spacing w:line="278" w:lineRule="auto"/>
        <w:ind w:left="3749" w:right="577" w:hanging="464"/>
        <w:jc w:val="both"/>
      </w:pPr>
      <w:r>
        <w:rPr>
          <w:spacing w:val="-4"/>
        </w:rPr>
        <w:t>二、自本主险合同效力中止之日起满 </w:t>
      </w:r>
      <w:r>
        <w:rPr>
          <w:spacing w:val="-2"/>
        </w:rPr>
        <w:t>2</w:t>
      </w:r>
      <w:r>
        <w:rPr>
          <w:spacing w:val="-11"/>
        </w:rPr>
        <w:t> 年您和我们未达成协议的，我们有权</w:t>
      </w:r>
      <w:r>
        <w:rPr>
          <w:spacing w:val="-4"/>
        </w:rPr>
        <w:t>解除本主险合同。我们解除本主险合同的，向您退还本主险合同效力中</w:t>
      </w:r>
      <w:r>
        <w:rPr>
          <w:spacing w:val="-2"/>
        </w:rPr>
        <w:t>止日的现金价值。</w:t>
      </w:r>
    </w:p>
    <w:p>
      <w:pPr>
        <w:pStyle w:val="BodyText"/>
        <w:spacing w:before="2"/>
        <w:rPr>
          <w:sz w:val="25"/>
        </w:rPr>
      </w:pPr>
    </w:p>
    <w:p>
      <w:pPr>
        <w:pStyle w:val="Heading1"/>
        <w:tabs>
          <w:tab w:pos="1713" w:val="left" w:leader="none"/>
        </w:tabs>
      </w:pPr>
      <w:r>
        <w:rPr/>
        <w:drawing>
          <wp:anchor distT="0" distB="0" distL="0" distR="0" allowOverlap="1" layoutInCell="1" locked="0" behindDoc="0" simplePos="0" relativeHeight="10">
            <wp:simplePos x="0" y="0"/>
            <wp:positionH relativeFrom="page">
              <wp:posOffset>728776</wp:posOffset>
            </wp:positionH>
            <wp:positionV relativeFrom="paragraph">
              <wp:posOffset>374457</wp:posOffset>
            </wp:positionV>
            <wp:extent cx="6236163" cy="6096"/>
            <wp:effectExtent l="0" t="0" r="0" b="0"/>
            <wp:wrapTopAndBottom/>
            <wp:docPr id="21" name="image5.png"/>
            <wp:cNvGraphicFramePr>
              <a:graphicFrameLocks noChangeAspect="1"/>
            </wp:cNvGraphicFramePr>
            <a:graphic>
              <a:graphicData uri="http://schemas.openxmlformats.org/drawingml/2006/picture">
                <pic:pic>
                  <pic:nvPicPr>
                    <pic:cNvPr id="22" name="image5.png"/>
                    <pic:cNvPicPr/>
                  </pic:nvPicPr>
                  <pic:blipFill>
                    <a:blip r:embed="rId9" cstate="print"/>
                    <a:stretch>
                      <a:fillRect/>
                    </a:stretch>
                  </pic:blipFill>
                  <pic:spPr>
                    <a:xfrm>
                      <a:off x="0" y="0"/>
                      <a:ext cx="623616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w w:val="95"/>
        </w:rPr>
        <w:t>如</w:t>
      </w:r>
      <w:r>
        <w:rPr>
          <w:w w:val="95"/>
        </w:rPr>
        <w:t>何</w:t>
      </w:r>
      <w:r>
        <w:rPr>
          <w:w w:val="95"/>
        </w:rPr>
        <w:t>解</w:t>
      </w:r>
      <w:r>
        <w:rPr>
          <w:w w:val="95"/>
        </w:rPr>
        <w:t>除</w:t>
      </w:r>
      <w:r>
        <w:rPr>
          <w:w w:val="95"/>
        </w:rPr>
        <w:t>保</w:t>
      </w:r>
      <w:r>
        <w:rPr>
          <w:w w:val="95"/>
        </w:rPr>
        <w:t>险</w:t>
      </w:r>
      <w:r>
        <w:rPr>
          <w:w w:val="95"/>
        </w:rPr>
        <w:t>合</w:t>
      </w:r>
      <w:r>
        <w:rPr>
          <w:spacing w:val="-10"/>
          <w:w w:val="95"/>
        </w:rPr>
        <w:t>同</w:t>
      </w:r>
    </w:p>
    <w:p>
      <w:pPr>
        <w:pStyle w:val="BodyText"/>
        <w:spacing w:before="7"/>
        <w:rPr>
          <w:b/>
          <w:sz w:val="20"/>
        </w:rPr>
      </w:pPr>
    </w:p>
    <w:p>
      <w:pPr>
        <w:spacing w:after="0"/>
        <w:rPr>
          <w:sz w:val="20"/>
        </w:rPr>
        <w:sectPr>
          <w:pgSz w:w="11910" w:h="16840"/>
          <w:pgMar w:top="1180" w:bottom="280" w:left="680" w:right="460"/>
        </w:sectPr>
      </w:pPr>
    </w:p>
    <w:p>
      <w:pPr>
        <w:pStyle w:val="Heading2"/>
        <w:tabs>
          <w:tab w:pos="1713" w:val="left" w:leader="none"/>
        </w:tabs>
        <w:spacing w:line="278" w:lineRule="auto" w:before="71"/>
        <w:rPr>
          <w:rFonts w:ascii="宋体" w:eastAsia="宋体" w:hint="eastAsia"/>
        </w:rPr>
      </w:pPr>
      <w:r>
        <w:rPr>
          <w:rFonts w:ascii="宋体" w:eastAsia="宋体" w:hint="eastAsia"/>
          <w:spacing w:val="-4"/>
        </w:rPr>
        <w:t>7.1</w:t>
      </w:r>
      <w:r>
        <w:rPr>
          <w:rFonts w:ascii="宋体" w:eastAsia="宋体" w:hint="eastAsia"/>
        </w:rPr>
        <w:tab/>
      </w:r>
      <w:r>
        <w:rPr>
          <w:rFonts w:ascii="宋体" w:eastAsia="宋体" w:hint="eastAsia"/>
          <w:spacing w:val="-2"/>
        </w:rPr>
        <w:t>您解除合同的</w:t>
      </w:r>
      <w:r>
        <w:rPr>
          <w:rFonts w:ascii="宋体" w:eastAsia="宋体" w:hint="eastAsia"/>
          <w:spacing w:val="-4"/>
        </w:rPr>
        <w:t>手续及风险</w:t>
      </w:r>
    </w:p>
    <w:p>
      <w:pPr>
        <w:pStyle w:val="BodyText"/>
        <w:spacing w:line="278" w:lineRule="auto" w:before="71"/>
        <w:ind w:left="728" w:right="577" w:hanging="464"/>
      </w:pPr>
      <w:r>
        <w:rPr/>
        <w:br w:type="column"/>
      </w:r>
      <w:r>
        <w:rPr>
          <w:spacing w:val="-2"/>
        </w:rPr>
        <w:t>一、您在犹豫期后，可以书面通知要求解除本主险合同，并向我们提供下列</w:t>
      </w:r>
      <w:r>
        <w:rPr>
          <w:spacing w:val="-2"/>
        </w:rPr>
        <w:t>证明和资料：</w:t>
      </w:r>
    </w:p>
    <w:p>
      <w:pPr>
        <w:pStyle w:val="BodyText"/>
        <w:spacing w:line="269" w:lineRule="exact"/>
        <w:ind w:left="685"/>
      </w:pPr>
      <w:r>
        <w:rPr>
          <w:spacing w:val="-2"/>
        </w:rPr>
        <w:t>（一）</w:t>
      </w:r>
      <w:r>
        <w:rPr>
          <w:spacing w:val="-13"/>
        </w:rPr>
        <w:t> 保险合同；</w:t>
      </w:r>
    </w:p>
    <w:p>
      <w:pPr>
        <w:pStyle w:val="BodyText"/>
        <w:spacing w:before="44"/>
        <w:ind w:left="685"/>
      </w:pPr>
      <w:r>
        <w:rPr>
          <w:spacing w:val="-2"/>
        </w:rPr>
        <w:t>（二）</w:t>
      </w:r>
      <w:r>
        <w:rPr>
          <w:spacing w:val="-10"/>
        </w:rPr>
        <w:t> 解除合同的申请书；</w:t>
      </w:r>
    </w:p>
    <w:p>
      <w:pPr>
        <w:pStyle w:val="BodyText"/>
        <w:spacing w:before="43"/>
        <w:ind w:left="685"/>
      </w:pPr>
      <w:r>
        <w:rPr>
          <w:spacing w:val="-2"/>
        </w:rPr>
        <w:t>（三）</w:t>
      </w:r>
      <w:r>
        <w:rPr>
          <w:spacing w:val="-10"/>
        </w:rPr>
        <w:t> 您的有效身份证件。</w:t>
      </w:r>
    </w:p>
    <w:p>
      <w:pPr>
        <w:pStyle w:val="BodyText"/>
        <w:spacing w:line="278" w:lineRule="auto" w:before="43"/>
        <w:ind w:left="685" w:right="512" w:hanging="420"/>
        <w:jc w:val="both"/>
      </w:pPr>
      <w:r>
        <w:rPr/>
        <w:t>二、自我们收到解除合同的申请书时起，本主险合同终止。除另有约定外，我们在收到上述证明和资料之日起 30 日内向您退还合同解除时本主险</w:t>
      </w:r>
      <w:r>
        <w:rPr>
          <w:spacing w:val="-2"/>
        </w:rPr>
        <w:t>合同的现金价值。</w:t>
      </w:r>
    </w:p>
    <w:p>
      <w:pPr>
        <w:spacing w:line="272" w:lineRule="exact" w:before="0"/>
        <w:ind w:left="265" w:right="0" w:firstLine="0"/>
        <w:jc w:val="left"/>
        <w:rPr>
          <w:b/>
          <w:i/>
          <w:sz w:val="22"/>
        </w:rPr>
      </w:pPr>
      <w:r>
        <w:rPr>
          <w:b/>
          <w:i/>
          <w:spacing w:val="-1"/>
          <w:w w:val="95"/>
          <w:sz w:val="22"/>
        </w:rPr>
        <w:t>三、您在犹豫期后解除本主险合同会遭受一定损失。</w:t>
      </w:r>
    </w:p>
    <w:p>
      <w:pPr>
        <w:spacing w:line="266" w:lineRule="auto" w:before="30"/>
        <w:ind w:left="265" w:right="583" w:firstLine="0"/>
        <w:jc w:val="left"/>
        <w:rPr>
          <w:b/>
          <w:i/>
          <w:sz w:val="22"/>
        </w:rPr>
      </w:pPr>
      <w:r>
        <w:rPr>
          <w:b/>
          <w:i/>
          <w:spacing w:val="1"/>
          <w:w w:val="95"/>
          <w:sz w:val="22"/>
        </w:rPr>
        <w:t>如果被保险人或受益人已向您支付相当于本主险合同现金价值的款项并书</w:t>
      </w:r>
      <w:r>
        <w:rPr>
          <w:b/>
          <w:i/>
          <w:spacing w:val="-3"/>
          <w:w w:val="95"/>
          <w:sz w:val="22"/>
        </w:rPr>
        <w:t>面通知我们的情况下，您解除本主险合同应经被保险人或受益人同意。</w:t>
      </w:r>
    </w:p>
    <w:p>
      <w:pPr>
        <w:spacing w:after="0" w:line="266" w:lineRule="auto"/>
        <w:jc w:val="left"/>
        <w:rPr>
          <w:sz w:val="22"/>
        </w:rPr>
        <w:sectPr>
          <w:type w:val="continuous"/>
          <w:pgSz w:w="11910" w:h="16840"/>
          <w:pgMar w:top="460" w:bottom="280" w:left="680" w:right="460"/>
          <w:cols w:num="2" w:equalWidth="0">
            <w:col w:w="2981" w:space="40"/>
            <w:col w:w="7749"/>
          </w:cols>
        </w:sectPr>
      </w:pPr>
    </w:p>
    <w:p>
      <w:pPr>
        <w:pStyle w:val="Heading1"/>
        <w:tabs>
          <w:tab w:pos="1713" w:val="left" w:leader="none"/>
        </w:tabs>
        <w:spacing w:before="84"/>
      </w:pPr>
      <w:r>
        <w:rPr/>
        <w:drawing>
          <wp:anchor distT="0" distB="0" distL="0" distR="0" allowOverlap="1" layoutInCell="1" locked="0" behindDoc="0" simplePos="0" relativeHeight="11">
            <wp:simplePos x="0" y="0"/>
            <wp:positionH relativeFrom="page">
              <wp:posOffset>728776</wp:posOffset>
            </wp:positionH>
            <wp:positionV relativeFrom="paragraph">
              <wp:posOffset>428051</wp:posOffset>
            </wp:positionV>
            <wp:extent cx="6235903" cy="6096"/>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0" cstate="print"/>
                    <a:stretch>
                      <a:fillRect/>
                    </a:stretch>
                  </pic:blipFill>
                  <pic:spPr>
                    <a:xfrm>
                      <a:off x="0" y="0"/>
                      <a:ext cx="623590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w w:val="95"/>
        </w:rPr>
        <w:t>其</w:t>
      </w:r>
      <w:r>
        <w:rPr>
          <w:w w:val="95"/>
        </w:rPr>
        <w:t>他</w:t>
      </w:r>
      <w:r>
        <w:rPr>
          <w:w w:val="95"/>
        </w:rPr>
        <w:t>需</w:t>
      </w:r>
      <w:r>
        <w:rPr>
          <w:w w:val="95"/>
        </w:rPr>
        <w:t>要</w:t>
      </w:r>
      <w:r>
        <w:rPr>
          <w:w w:val="95"/>
        </w:rPr>
        <w:t>关</w:t>
      </w:r>
      <w:r>
        <w:rPr>
          <w:w w:val="95"/>
        </w:rPr>
        <w:t>注</w:t>
      </w:r>
      <w:r>
        <w:rPr>
          <w:w w:val="95"/>
        </w:rPr>
        <w:t>的</w:t>
      </w:r>
      <w:r>
        <w:rPr>
          <w:w w:val="95"/>
        </w:rPr>
        <w:t>事</w:t>
      </w:r>
      <w:r>
        <w:rPr>
          <w:spacing w:val="-10"/>
          <w:w w:val="95"/>
        </w:rPr>
        <w:t>项</w:t>
      </w:r>
    </w:p>
    <w:p>
      <w:pPr>
        <w:pStyle w:val="BodyText"/>
        <w:spacing w:before="7"/>
        <w:rPr>
          <w:b/>
          <w:sz w:val="20"/>
        </w:rPr>
      </w:pPr>
    </w:p>
    <w:p>
      <w:pPr>
        <w:spacing w:after="0"/>
        <w:rPr>
          <w:sz w:val="20"/>
        </w:rPr>
        <w:sectPr>
          <w:pgSz w:w="11910" w:h="16840"/>
          <w:pgMar w:top="1180" w:bottom="280" w:left="680" w:right="460"/>
        </w:sectPr>
      </w:pPr>
    </w:p>
    <w:p>
      <w:pPr>
        <w:pStyle w:val="Heading2"/>
        <w:numPr>
          <w:ilvl w:val="1"/>
          <w:numId w:val="9"/>
        </w:numPr>
        <w:tabs>
          <w:tab w:pos="1713" w:val="left" w:leader="none"/>
          <w:tab w:pos="1714" w:val="left" w:leader="none"/>
        </w:tabs>
        <w:spacing w:line="278" w:lineRule="auto" w:before="71" w:after="0"/>
        <w:ind w:left="1713" w:right="0" w:hanging="1138"/>
        <w:jc w:val="left"/>
        <w:rPr>
          <w:rFonts w:ascii="宋体" w:eastAsia="宋体" w:hint="eastAsia"/>
        </w:rPr>
      </w:pPr>
      <w:r>
        <w:rPr>
          <w:rFonts w:ascii="宋体" w:eastAsia="宋体" w:hint="eastAsia"/>
          <w:spacing w:val="-2"/>
        </w:rPr>
        <w:t>明确说明与如</w:t>
      </w:r>
      <w:r>
        <w:rPr>
          <w:rFonts w:ascii="宋体" w:eastAsia="宋体" w:hint="eastAsia"/>
          <w:spacing w:val="-4"/>
        </w:rPr>
        <w:t>实告知</w:t>
      </w:r>
    </w:p>
    <w:p>
      <w:pPr>
        <w:pStyle w:val="BodyText"/>
        <w:spacing w:before="71"/>
        <w:ind w:left="265"/>
        <w:jc w:val="both"/>
      </w:pPr>
      <w:r>
        <w:rPr/>
        <w:br w:type="column"/>
      </w:r>
      <w:r>
        <w:rPr>
          <w:spacing w:val="-3"/>
        </w:rPr>
        <w:t>一、订立本主险合同时，我们应向您说明本主险合同的内容。</w:t>
      </w:r>
    </w:p>
    <w:p>
      <w:pPr>
        <w:pStyle w:val="BodyText"/>
        <w:spacing w:line="278" w:lineRule="auto" w:before="43"/>
        <w:ind w:left="685" w:right="577" w:hanging="420"/>
        <w:jc w:val="both"/>
      </w:pPr>
      <w:r>
        <w:rPr>
          <w:spacing w:val="-4"/>
        </w:rPr>
        <w:t>二、对保险条款中免除我们责任的条款，我们在订立本主险合同时应当在投</w:t>
      </w:r>
      <w:r>
        <w:rPr>
          <w:spacing w:val="-2"/>
        </w:rPr>
        <w:t>保单、保险单或者其他保险凭证上作出足以引起您注意的提示，并对该</w:t>
      </w:r>
      <w:r>
        <w:rPr>
          <w:spacing w:val="-2"/>
        </w:rPr>
        <w:t>条款的内容以书面或者口头形式向您作出明确说明，未作提示或者明确</w:t>
      </w:r>
      <w:r>
        <w:rPr>
          <w:spacing w:val="-2"/>
        </w:rPr>
        <w:t>说明的，该条款不产生效力。</w:t>
      </w:r>
    </w:p>
    <w:p>
      <w:pPr>
        <w:pStyle w:val="BodyText"/>
        <w:spacing w:line="269" w:lineRule="exact"/>
        <w:ind w:left="265"/>
        <w:jc w:val="both"/>
      </w:pPr>
      <w:r>
        <w:rPr>
          <w:spacing w:val="-3"/>
        </w:rPr>
        <w:t>三、我们就您和被保险人的有关情况提出询问，您应当如实告知。</w:t>
      </w:r>
    </w:p>
    <w:p>
      <w:pPr>
        <w:spacing w:line="266" w:lineRule="auto" w:before="33"/>
        <w:ind w:left="685" w:right="580" w:hanging="420"/>
        <w:jc w:val="left"/>
        <w:rPr>
          <w:b/>
          <w:i/>
          <w:sz w:val="22"/>
        </w:rPr>
      </w:pPr>
      <w:r>
        <w:rPr>
          <w:b/>
          <w:i/>
          <w:spacing w:val="-8"/>
          <w:w w:val="95"/>
          <w:sz w:val="22"/>
        </w:rPr>
        <w:t>四、如果您故意或者因重大过失未履行前款规定的如实告知义务，足以影响</w:t>
      </w:r>
      <w:r>
        <w:rPr>
          <w:b/>
          <w:i/>
          <w:spacing w:val="-3"/>
          <w:w w:val="95"/>
          <w:sz w:val="22"/>
        </w:rPr>
        <w:t>我们决定是否同意承保或者提高保险费率的，我们有权解除本主险合同。</w:t>
      </w:r>
    </w:p>
    <w:p>
      <w:pPr>
        <w:spacing w:line="266" w:lineRule="auto" w:before="0"/>
        <w:ind w:left="685" w:right="578" w:hanging="420"/>
        <w:jc w:val="left"/>
        <w:rPr>
          <w:b/>
          <w:i/>
          <w:sz w:val="22"/>
        </w:rPr>
      </w:pPr>
      <w:r>
        <w:rPr>
          <w:b/>
          <w:i/>
          <w:spacing w:val="-6"/>
          <w:w w:val="95"/>
          <w:sz w:val="22"/>
        </w:rPr>
        <w:t>五、如果您故意不履行如实告知义务，对于本主险合同解除前发生的保险事</w:t>
      </w:r>
      <w:r>
        <w:rPr>
          <w:b/>
          <w:i/>
          <w:spacing w:val="-2"/>
          <w:w w:val="95"/>
          <w:sz w:val="22"/>
        </w:rPr>
        <w:t>故，我们不承担给付保险金的责任，并不退还保险费。</w:t>
      </w:r>
    </w:p>
    <w:p>
      <w:pPr>
        <w:spacing w:line="266" w:lineRule="auto" w:before="0"/>
        <w:ind w:left="685" w:right="578" w:hanging="420"/>
        <w:jc w:val="both"/>
        <w:rPr>
          <w:b/>
          <w:i/>
          <w:sz w:val="22"/>
        </w:rPr>
      </w:pPr>
      <w:r>
        <w:rPr>
          <w:b/>
          <w:i/>
          <w:spacing w:val="-5"/>
          <w:w w:val="95"/>
          <w:sz w:val="22"/>
        </w:rPr>
        <w:t>六、如果您因重大过失未履行如实告知义务，对保险事故的发生有严重影响</w:t>
      </w:r>
      <w:r>
        <w:rPr>
          <w:b/>
          <w:i/>
          <w:spacing w:val="-2"/>
          <w:w w:val="95"/>
          <w:sz w:val="22"/>
        </w:rPr>
        <w:t>的，对于本主险合同解除前发生的保险事故，我们不承担给付保险金的</w:t>
      </w:r>
      <w:r>
        <w:rPr>
          <w:b/>
          <w:i/>
          <w:spacing w:val="-2"/>
          <w:sz w:val="22"/>
        </w:rPr>
        <w:t>责</w:t>
      </w:r>
      <w:r>
        <w:rPr>
          <w:b/>
          <w:i/>
          <w:spacing w:val="-2"/>
          <w:sz w:val="22"/>
        </w:rPr>
        <w:t>任</w:t>
      </w:r>
      <w:r>
        <w:rPr>
          <w:b/>
          <w:i/>
          <w:spacing w:val="-2"/>
          <w:sz w:val="22"/>
        </w:rPr>
        <w:t>，</w:t>
      </w:r>
      <w:r>
        <w:rPr>
          <w:b/>
          <w:i/>
          <w:spacing w:val="-2"/>
          <w:sz w:val="22"/>
        </w:rPr>
        <w:t>但</w:t>
      </w:r>
      <w:r>
        <w:rPr>
          <w:b/>
          <w:i/>
          <w:spacing w:val="-2"/>
          <w:sz w:val="22"/>
        </w:rPr>
        <w:t>应</w:t>
      </w:r>
      <w:r>
        <w:rPr>
          <w:b/>
          <w:i/>
          <w:spacing w:val="-2"/>
          <w:sz w:val="22"/>
        </w:rPr>
        <w:t>当</w:t>
      </w:r>
      <w:r>
        <w:rPr>
          <w:b/>
          <w:i/>
          <w:spacing w:val="-2"/>
          <w:sz w:val="22"/>
        </w:rPr>
        <w:t>退</w:t>
      </w:r>
      <w:r>
        <w:rPr>
          <w:b/>
          <w:i/>
          <w:spacing w:val="-2"/>
          <w:sz w:val="22"/>
        </w:rPr>
        <w:t>还</w:t>
      </w:r>
      <w:r>
        <w:rPr>
          <w:b/>
          <w:i/>
          <w:spacing w:val="-2"/>
          <w:sz w:val="22"/>
        </w:rPr>
        <w:t>保险费（</w:t>
      </w:r>
      <w:r>
        <w:rPr>
          <w:b/>
          <w:i/>
          <w:spacing w:val="-2"/>
          <w:sz w:val="22"/>
        </w:rPr>
        <w:t>无</w:t>
      </w:r>
      <w:r>
        <w:rPr>
          <w:b/>
          <w:i/>
          <w:spacing w:val="-2"/>
          <w:sz w:val="22"/>
        </w:rPr>
        <w:t>息</w:t>
      </w:r>
      <w:r>
        <w:rPr>
          <w:b/>
          <w:i/>
          <w:spacing w:val="-106"/>
          <w:sz w:val="22"/>
        </w:rPr>
        <w:t>）</w:t>
      </w:r>
      <w:r>
        <w:rPr>
          <w:b/>
          <w:i/>
          <w:spacing w:val="-2"/>
          <w:sz w:val="22"/>
        </w:rPr>
        <w:t>。</w:t>
      </w:r>
    </w:p>
    <w:p>
      <w:pPr>
        <w:pStyle w:val="BodyText"/>
        <w:spacing w:line="278" w:lineRule="auto" w:before="4"/>
        <w:ind w:left="685" w:right="577" w:hanging="420"/>
        <w:jc w:val="both"/>
      </w:pPr>
      <w:r>
        <w:rPr>
          <w:spacing w:val="-3"/>
        </w:rPr>
        <w:t>七、我们在本主险合同订立时已经知道您未如实告知的情况的，我们不得解</w:t>
      </w:r>
      <w:r>
        <w:rPr>
          <w:spacing w:val="-2"/>
        </w:rPr>
        <w:t>除本主险合同；发生保险事故的，我们承担给付保险金的责任。</w:t>
      </w:r>
    </w:p>
    <w:p>
      <w:pPr>
        <w:spacing w:line="266" w:lineRule="auto" w:before="0"/>
        <w:ind w:left="685" w:right="577" w:hanging="420"/>
        <w:jc w:val="both"/>
        <w:rPr>
          <w:b/>
          <w:i/>
          <w:sz w:val="22"/>
        </w:rPr>
      </w:pPr>
      <w:r>
        <w:rPr>
          <w:spacing w:val="-4"/>
          <w:sz w:val="21"/>
        </w:rPr>
        <w:t>八、如果本主险合同效力中止后您申请复效时，我们就被保险人在本主险合</w:t>
      </w:r>
      <w:r>
        <w:rPr>
          <w:spacing w:val="-2"/>
          <w:sz w:val="21"/>
        </w:rPr>
        <w:t>同效力中止期间的有关情况提出询问的，您应当如实向我们告知。</w:t>
      </w:r>
      <w:r>
        <w:rPr>
          <w:b/>
          <w:i/>
          <w:spacing w:val="-2"/>
          <w:sz w:val="22"/>
        </w:rPr>
        <w:t>如</w:t>
      </w:r>
      <w:r>
        <w:rPr>
          <w:b/>
          <w:i/>
          <w:spacing w:val="-2"/>
          <w:sz w:val="22"/>
        </w:rPr>
        <w:t>果</w:t>
      </w:r>
      <w:r>
        <w:rPr>
          <w:b/>
          <w:i/>
          <w:spacing w:val="-6"/>
          <w:w w:val="95"/>
          <w:sz w:val="22"/>
        </w:rPr>
        <w:t>因您未履行前述的如实告知义务，足以影响我们决定是否同意您的复效</w:t>
      </w:r>
      <w:r>
        <w:rPr>
          <w:b/>
          <w:i/>
          <w:spacing w:val="-2"/>
          <w:w w:val="95"/>
          <w:sz w:val="22"/>
        </w:rPr>
        <w:t>申请或提高保险费率的，我们有权解除本主险合同。我们因此而解除本</w:t>
      </w:r>
      <w:r>
        <w:rPr>
          <w:b/>
          <w:i/>
          <w:spacing w:val="-4"/>
          <w:w w:val="95"/>
          <w:sz w:val="22"/>
        </w:rPr>
        <w:t>主险合同的，对于本主险合同复效之日（含）</w:t>
      </w:r>
      <w:r>
        <w:rPr>
          <w:b/>
          <w:i/>
          <w:spacing w:val="-5"/>
          <w:w w:val="95"/>
          <w:sz w:val="22"/>
        </w:rPr>
        <w:t>起至本主险合同解除之日</w:t>
      </w:r>
    </w:p>
    <w:p>
      <w:pPr>
        <w:spacing w:before="0"/>
        <w:ind w:left="685" w:right="0" w:firstLine="0"/>
        <w:jc w:val="left"/>
        <w:rPr>
          <w:b/>
          <w:i/>
          <w:sz w:val="22"/>
        </w:rPr>
      </w:pPr>
      <w:r>
        <w:rPr>
          <w:b/>
          <w:i/>
          <w:spacing w:val="-2"/>
          <w:w w:val="95"/>
          <w:sz w:val="22"/>
        </w:rPr>
        <w:t>（含）</w:t>
      </w:r>
      <w:r>
        <w:rPr>
          <w:b/>
          <w:i/>
          <w:spacing w:val="-3"/>
          <w:w w:val="95"/>
          <w:sz w:val="22"/>
        </w:rPr>
        <w:t>期间发生的保险事故，我们不承担给付保险金的责任。</w:t>
      </w:r>
    </w:p>
    <w:p>
      <w:pPr>
        <w:spacing w:after="0"/>
        <w:jc w:val="left"/>
        <w:rPr>
          <w:sz w:val="22"/>
        </w:rPr>
        <w:sectPr>
          <w:type w:val="continuous"/>
          <w:pgSz w:w="11910" w:h="16840"/>
          <w:pgMar w:top="460" w:bottom="280" w:left="680" w:right="460"/>
          <w:cols w:num="2" w:equalWidth="0">
            <w:col w:w="2981" w:space="40"/>
            <w:col w:w="7749"/>
          </w:cols>
        </w:sectPr>
      </w:pPr>
    </w:p>
    <w:p>
      <w:pPr>
        <w:pStyle w:val="BodyText"/>
        <w:spacing w:before="11"/>
        <w:rPr>
          <w:b/>
          <w:i/>
        </w:rPr>
      </w:pPr>
    </w:p>
    <w:p>
      <w:pPr>
        <w:spacing w:after="0"/>
        <w:sectPr>
          <w:type w:val="continuous"/>
          <w:pgSz w:w="11910" w:h="16840"/>
          <w:pgMar w:top="460" w:bottom="280" w:left="680" w:right="460"/>
        </w:sectPr>
      </w:pPr>
    </w:p>
    <w:p>
      <w:pPr>
        <w:pStyle w:val="Heading2"/>
        <w:numPr>
          <w:ilvl w:val="1"/>
          <w:numId w:val="9"/>
        </w:numPr>
        <w:tabs>
          <w:tab w:pos="1713" w:val="left" w:leader="none"/>
          <w:tab w:pos="1714" w:val="left" w:leader="none"/>
        </w:tabs>
        <w:spacing w:line="278" w:lineRule="auto" w:before="72" w:after="0"/>
        <w:ind w:left="1713" w:right="0" w:hanging="1138"/>
        <w:jc w:val="left"/>
        <w:rPr>
          <w:rFonts w:ascii="宋体" w:eastAsia="宋体" w:hint="eastAsia"/>
        </w:rPr>
      </w:pPr>
      <w:r>
        <w:rPr>
          <w:rFonts w:ascii="宋体" w:eastAsia="宋体" w:hint="eastAsia"/>
          <w:spacing w:val="-2"/>
        </w:rPr>
        <w:t>我们合同解除</w:t>
      </w:r>
      <w:r>
        <w:rPr>
          <w:rFonts w:ascii="宋体" w:eastAsia="宋体" w:hint="eastAsia"/>
          <w:spacing w:val="-4"/>
        </w:rPr>
        <w:t>权的限制</w:t>
      </w:r>
    </w:p>
    <w:p>
      <w:pPr>
        <w:pStyle w:val="BodyText"/>
        <w:spacing w:before="72"/>
        <w:ind w:left="265"/>
      </w:pPr>
      <w:r>
        <w:rPr/>
        <w:br w:type="column"/>
      </w:r>
      <w:r>
        <w:rPr>
          <w:spacing w:val="-4"/>
        </w:rPr>
        <w:t>前条规定的合同解除权，自我们知道有解除事由之日起，超过 </w:t>
      </w:r>
      <w:r>
        <w:rPr>
          <w:spacing w:val="-2"/>
        </w:rPr>
        <w:t>30</w:t>
      </w:r>
      <w:r>
        <w:rPr>
          <w:spacing w:val="-13"/>
        </w:rPr>
        <w:t> 日不行使</w:t>
      </w:r>
    </w:p>
    <w:p>
      <w:pPr>
        <w:pStyle w:val="BodyText"/>
        <w:spacing w:line="278" w:lineRule="auto" w:before="43"/>
        <w:ind w:left="265" w:right="582"/>
      </w:pPr>
      <w:r>
        <w:rPr>
          <w:spacing w:val="-5"/>
        </w:rPr>
        <w:t>而消灭。自本主险合同成立之日或复效之日起超过 </w:t>
      </w:r>
      <w:r>
        <w:rPr>
          <w:spacing w:val="-2"/>
        </w:rPr>
        <w:t>2</w:t>
      </w:r>
      <w:r>
        <w:rPr>
          <w:spacing w:val="-10"/>
        </w:rPr>
        <w:t> 年的，我们不得解除合</w:t>
      </w:r>
      <w:r>
        <w:rPr>
          <w:spacing w:val="-2"/>
        </w:rPr>
        <w:t>同；发生保险事故的，我们承担给付保险金的责任。</w:t>
      </w:r>
    </w:p>
    <w:p>
      <w:pPr>
        <w:spacing w:after="0" w:line="278" w:lineRule="auto"/>
        <w:sectPr>
          <w:type w:val="continuous"/>
          <w:pgSz w:w="11910" w:h="16840"/>
          <w:pgMar w:top="460" w:bottom="280" w:left="680" w:right="460"/>
          <w:cols w:num="2" w:equalWidth="0">
            <w:col w:w="2981" w:space="40"/>
            <w:col w:w="7749"/>
          </w:cols>
        </w:sectPr>
      </w:pPr>
    </w:p>
    <w:p>
      <w:pPr>
        <w:pStyle w:val="BodyText"/>
        <w:spacing w:before="9"/>
        <w:rPr>
          <w:sz w:val="18"/>
        </w:rPr>
      </w:pPr>
    </w:p>
    <w:p>
      <w:pPr>
        <w:pStyle w:val="ListParagraph"/>
        <w:numPr>
          <w:ilvl w:val="1"/>
          <w:numId w:val="9"/>
        </w:numPr>
        <w:tabs>
          <w:tab w:pos="1714" w:val="left" w:leader="none"/>
        </w:tabs>
        <w:spacing w:line="278" w:lineRule="auto" w:before="72" w:after="0"/>
        <w:ind w:left="3285" w:right="577" w:hanging="2711"/>
        <w:jc w:val="both"/>
        <w:rPr>
          <w:sz w:val="21"/>
        </w:rPr>
      </w:pPr>
      <w:r>
        <w:rPr>
          <w:b/>
          <w:sz w:val="21"/>
        </w:rPr>
        <w:t>年龄错误</w:t>
      </w:r>
      <w:r>
        <w:rPr>
          <w:b/>
          <w:spacing w:val="559"/>
          <w:sz w:val="21"/>
        </w:rPr>
        <w:t> </w:t>
      </w:r>
      <w:r>
        <w:rPr>
          <w:sz w:val="21"/>
        </w:rPr>
        <w:t>您在申请投保时，应将与有效身份证件相符的被保险人的出生日期在投保书</w:t>
      </w:r>
      <w:r>
        <w:rPr>
          <w:spacing w:val="-2"/>
          <w:sz w:val="21"/>
        </w:rPr>
        <w:t>上填明，如果发生错误按照下列方式办理：</w:t>
      </w:r>
    </w:p>
    <w:p>
      <w:pPr>
        <w:spacing w:line="266" w:lineRule="auto" w:before="0"/>
        <w:ind w:left="3936" w:right="578" w:hanging="651"/>
        <w:jc w:val="both"/>
        <w:rPr>
          <w:b/>
          <w:i/>
          <w:sz w:val="22"/>
        </w:rPr>
      </w:pPr>
      <w:r>
        <w:rPr>
          <w:spacing w:val="-2"/>
          <w:w w:val="95"/>
          <w:sz w:val="21"/>
        </w:rPr>
        <w:t>（一）</w:t>
      </w:r>
      <w:r>
        <w:rPr>
          <w:b/>
          <w:i/>
          <w:spacing w:val="-2"/>
          <w:w w:val="95"/>
          <w:sz w:val="22"/>
        </w:rPr>
        <w:t>您申报的被保险人年龄不真实，并且其真实年龄不符合本主险合同约</w:t>
      </w:r>
      <w:r>
        <w:rPr>
          <w:b/>
          <w:i/>
          <w:spacing w:val="-2"/>
          <w:w w:val="95"/>
          <w:sz w:val="22"/>
        </w:rPr>
        <w:t>定投保年龄限制的，我们有权解除本主险合同。我们行使合同解除权适用“我们合同解除权的限制”的规定。对于解除合同的，我们向您</w:t>
      </w:r>
      <w:r>
        <w:rPr>
          <w:b/>
          <w:i/>
          <w:spacing w:val="-2"/>
          <w:sz w:val="22"/>
        </w:rPr>
        <w:t>退</w:t>
      </w:r>
      <w:r>
        <w:rPr>
          <w:b/>
          <w:i/>
          <w:spacing w:val="-2"/>
          <w:sz w:val="22"/>
        </w:rPr>
        <w:t>还</w:t>
      </w:r>
      <w:r>
        <w:rPr>
          <w:b/>
          <w:i/>
          <w:spacing w:val="-2"/>
          <w:sz w:val="22"/>
        </w:rPr>
        <w:t>本</w:t>
      </w:r>
      <w:r>
        <w:rPr>
          <w:b/>
          <w:i/>
          <w:spacing w:val="-2"/>
          <w:sz w:val="22"/>
        </w:rPr>
        <w:t>主</w:t>
      </w:r>
      <w:r>
        <w:rPr>
          <w:b/>
          <w:i/>
          <w:spacing w:val="-2"/>
          <w:sz w:val="22"/>
        </w:rPr>
        <w:t>险</w:t>
      </w:r>
      <w:r>
        <w:rPr>
          <w:b/>
          <w:i/>
          <w:spacing w:val="-2"/>
          <w:sz w:val="22"/>
        </w:rPr>
        <w:t>合</w:t>
      </w:r>
      <w:r>
        <w:rPr>
          <w:b/>
          <w:i/>
          <w:spacing w:val="-2"/>
          <w:sz w:val="22"/>
        </w:rPr>
        <w:t>同</w:t>
      </w:r>
      <w:r>
        <w:rPr>
          <w:b/>
          <w:i/>
          <w:spacing w:val="-2"/>
          <w:sz w:val="22"/>
        </w:rPr>
        <w:t>的</w:t>
      </w:r>
      <w:r>
        <w:rPr>
          <w:b/>
          <w:i/>
          <w:spacing w:val="-2"/>
          <w:sz w:val="22"/>
        </w:rPr>
        <w:t>现金价</w:t>
      </w:r>
      <w:r>
        <w:rPr>
          <w:b/>
          <w:i/>
          <w:spacing w:val="-2"/>
          <w:sz w:val="22"/>
        </w:rPr>
        <w:t>值</w:t>
      </w:r>
      <w:r>
        <w:rPr>
          <w:b/>
          <w:i/>
          <w:spacing w:val="-2"/>
          <w:sz w:val="22"/>
        </w:rPr>
        <w:t>。</w:t>
      </w:r>
    </w:p>
    <w:p>
      <w:pPr>
        <w:spacing w:line="266" w:lineRule="auto" w:before="0"/>
        <w:ind w:left="3938" w:right="580" w:hanging="653"/>
        <w:jc w:val="both"/>
        <w:rPr>
          <w:b/>
          <w:i/>
          <w:sz w:val="22"/>
        </w:rPr>
      </w:pPr>
      <w:r>
        <w:rPr>
          <w:spacing w:val="-2"/>
          <w:w w:val="95"/>
          <w:sz w:val="21"/>
        </w:rPr>
        <w:t>（二）</w:t>
      </w:r>
      <w:r>
        <w:rPr>
          <w:b/>
          <w:i/>
          <w:spacing w:val="-2"/>
          <w:w w:val="95"/>
          <w:sz w:val="22"/>
        </w:rPr>
        <w:t>您申报的被保险人年龄不真实，致使您支付的保险费少于应交保险费的，我们有权更正并要求您补交保险费。若已经发生保险事故，在给</w:t>
      </w:r>
      <w:r>
        <w:rPr>
          <w:b/>
          <w:i/>
          <w:spacing w:val="-2"/>
          <w:w w:val="95"/>
          <w:sz w:val="22"/>
        </w:rPr>
        <w:t>付保险金时按实交保险费和应交保险费的比例给付。</w:t>
      </w:r>
    </w:p>
    <w:p>
      <w:pPr>
        <w:pStyle w:val="BodyText"/>
        <w:spacing w:line="278" w:lineRule="auto"/>
        <w:ind w:left="3938" w:right="579" w:hanging="653"/>
      </w:pPr>
      <w:r>
        <w:rPr>
          <w:spacing w:val="-2"/>
        </w:rPr>
        <w:t>（三）您申报的被保险人年龄不真实，致使您支付的保险费多于应交保险费</w:t>
      </w:r>
      <w:r>
        <w:rPr>
          <w:spacing w:val="-2"/>
        </w:rPr>
        <w:t>的，我们会将多收的保险费（无息）退还给您。</w:t>
      </w:r>
    </w:p>
    <w:p>
      <w:pPr>
        <w:pStyle w:val="BodyText"/>
        <w:spacing w:before="1"/>
        <w:rPr>
          <w:sz w:val="23"/>
        </w:rPr>
      </w:pPr>
    </w:p>
    <w:p>
      <w:pPr>
        <w:pStyle w:val="ListParagraph"/>
        <w:numPr>
          <w:ilvl w:val="1"/>
          <w:numId w:val="9"/>
        </w:numPr>
        <w:tabs>
          <w:tab w:pos="1714" w:val="left" w:leader="none"/>
        </w:tabs>
        <w:spacing w:line="266" w:lineRule="auto" w:before="0" w:after="0"/>
        <w:ind w:left="3285" w:right="577" w:hanging="2711"/>
        <w:jc w:val="both"/>
        <w:rPr>
          <w:b/>
          <w:i/>
          <w:sz w:val="22"/>
        </w:rPr>
      </w:pPr>
      <w:r>
        <w:rPr>
          <w:b/>
          <w:spacing w:val="94"/>
          <w:sz w:val="21"/>
        </w:rPr>
        <w:t>未还款项 </w:t>
      </w:r>
      <w:r>
        <w:rPr>
          <w:sz w:val="21"/>
        </w:rPr>
        <w:t>我们在给付各项保险金、退还现金价值或返还保险费时，</w:t>
      </w:r>
      <w:r>
        <w:rPr>
          <w:b/>
          <w:i/>
          <w:sz w:val="22"/>
        </w:rPr>
        <w:t>如</w:t>
      </w:r>
      <w:r>
        <w:rPr>
          <w:b/>
          <w:i/>
          <w:sz w:val="22"/>
        </w:rPr>
        <w:t>果</w:t>
      </w:r>
      <w:r>
        <w:rPr>
          <w:b/>
          <w:i/>
          <w:sz w:val="22"/>
        </w:rPr>
        <w:t>您</w:t>
      </w:r>
      <w:r>
        <w:rPr>
          <w:b/>
          <w:i/>
          <w:sz w:val="22"/>
        </w:rPr>
        <w:t>有</w:t>
      </w:r>
      <w:r>
        <w:rPr>
          <w:b/>
          <w:i/>
          <w:sz w:val="22"/>
        </w:rPr>
        <w:t>欠</w:t>
      </w:r>
      <w:r>
        <w:rPr>
          <w:b/>
          <w:i/>
          <w:sz w:val="22"/>
        </w:rPr>
        <w:t>交</w:t>
      </w:r>
      <w:r>
        <w:rPr>
          <w:b/>
          <w:i/>
          <w:sz w:val="22"/>
        </w:rPr>
        <w:t>的</w:t>
      </w:r>
      <w:r>
        <w:rPr>
          <w:b/>
          <w:i/>
          <w:sz w:val="22"/>
        </w:rPr>
        <w:t>保</w:t>
      </w:r>
      <w:r>
        <w:rPr>
          <w:b/>
          <w:i/>
          <w:spacing w:val="-2"/>
          <w:w w:val="95"/>
          <w:sz w:val="22"/>
        </w:rPr>
        <w:t>险费或其他未还清款项，我们会在扣除上述欠款后给付。</w:t>
      </w:r>
    </w:p>
    <w:p>
      <w:pPr>
        <w:pStyle w:val="BodyText"/>
        <w:rPr>
          <w:b/>
          <w:i/>
          <w:sz w:val="25"/>
        </w:rPr>
      </w:pPr>
    </w:p>
    <w:p>
      <w:pPr>
        <w:pStyle w:val="ListParagraph"/>
        <w:numPr>
          <w:ilvl w:val="1"/>
          <w:numId w:val="9"/>
        </w:numPr>
        <w:tabs>
          <w:tab w:pos="1713" w:val="left" w:leader="none"/>
          <w:tab w:pos="1714" w:val="left" w:leader="none"/>
          <w:tab w:pos="3285" w:val="left" w:leader="none"/>
        </w:tabs>
        <w:spacing w:line="240" w:lineRule="auto" w:before="0" w:after="0"/>
        <w:ind w:left="1713" w:right="0" w:hanging="1139"/>
        <w:jc w:val="left"/>
        <w:rPr>
          <w:sz w:val="21"/>
        </w:rPr>
      </w:pPr>
      <w:r>
        <w:rPr>
          <w:b/>
          <w:sz w:val="21"/>
        </w:rPr>
        <w:t>合同内容变</w:t>
      </w:r>
      <w:r>
        <w:rPr>
          <w:b/>
          <w:spacing w:val="-10"/>
          <w:sz w:val="21"/>
        </w:rPr>
        <w:t>更</w:t>
      </w:r>
      <w:r>
        <w:rPr>
          <w:b/>
          <w:sz w:val="21"/>
        </w:rPr>
        <w:tab/>
      </w:r>
      <w:r>
        <w:rPr>
          <w:spacing w:val="-2"/>
          <w:sz w:val="21"/>
        </w:rPr>
        <w:t>在</w:t>
      </w:r>
      <w:r>
        <w:rPr>
          <w:spacing w:val="-2"/>
          <w:sz w:val="21"/>
        </w:rPr>
        <w:t>本</w:t>
      </w:r>
      <w:r>
        <w:rPr>
          <w:spacing w:val="-2"/>
          <w:sz w:val="21"/>
        </w:rPr>
        <w:t>主险合同保险期间内</w:t>
      </w:r>
      <w:r>
        <w:rPr>
          <w:spacing w:val="-2"/>
          <w:sz w:val="21"/>
        </w:rPr>
        <w:t>且</w:t>
      </w:r>
      <w:r>
        <w:rPr>
          <w:spacing w:val="-2"/>
          <w:sz w:val="21"/>
        </w:rPr>
        <w:t>在</w:t>
      </w:r>
      <w:r>
        <w:rPr>
          <w:spacing w:val="-2"/>
          <w:sz w:val="21"/>
        </w:rPr>
        <w:t>本主险合同有效期内，</w:t>
      </w:r>
      <w:r>
        <w:rPr>
          <w:spacing w:val="-2"/>
          <w:sz w:val="21"/>
        </w:rPr>
        <w:t>经</w:t>
      </w:r>
      <w:r>
        <w:rPr>
          <w:spacing w:val="-2"/>
          <w:sz w:val="21"/>
        </w:rPr>
        <w:t>您和我们协商一</w:t>
      </w:r>
      <w:r>
        <w:rPr>
          <w:spacing w:val="-2"/>
          <w:sz w:val="21"/>
        </w:rPr>
        <w:t>致</w:t>
      </w:r>
      <w:r>
        <w:rPr>
          <w:spacing w:val="-10"/>
          <w:sz w:val="21"/>
        </w:rPr>
        <w:t>，</w:t>
      </w:r>
    </w:p>
    <w:p>
      <w:pPr>
        <w:spacing w:after="0" w:line="240" w:lineRule="auto"/>
        <w:jc w:val="left"/>
        <w:rPr>
          <w:sz w:val="21"/>
        </w:rPr>
        <w:sectPr>
          <w:type w:val="continuous"/>
          <w:pgSz w:w="11910" w:h="16840"/>
          <w:pgMar w:top="460" w:bottom="280" w:left="680" w:right="460"/>
        </w:sectPr>
      </w:pPr>
    </w:p>
    <w:p>
      <w:pPr>
        <w:pStyle w:val="BodyText"/>
        <w:spacing w:line="278" w:lineRule="auto" w:before="52"/>
        <w:ind w:left="3285" w:right="579"/>
      </w:pPr>
      <w:r>
        <w:rPr>
          <w:spacing w:val="-2"/>
        </w:rPr>
        <w:t>可以变更本主险合同的有关内容。变更本主险合同的，由我们对保险合同批</w:t>
      </w:r>
      <w:r>
        <w:rPr>
          <w:spacing w:val="-2"/>
        </w:rPr>
        <w:t>注或者附贴批单，或者由您与我们订立书面的变更协议。</w:t>
      </w:r>
    </w:p>
    <w:p>
      <w:pPr>
        <w:pStyle w:val="BodyText"/>
        <w:spacing w:before="5"/>
        <w:rPr>
          <w:sz w:val="24"/>
        </w:rPr>
      </w:pPr>
    </w:p>
    <w:p>
      <w:pPr>
        <w:pStyle w:val="ListParagraph"/>
        <w:numPr>
          <w:ilvl w:val="1"/>
          <w:numId w:val="9"/>
        </w:numPr>
        <w:tabs>
          <w:tab w:pos="1714" w:val="left" w:leader="none"/>
        </w:tabs>
        <w:spacing w:line="278" w:lineRule="auto" w:before="0" w:after="0"/>
        <w:ind w:left="3285" w:right="577" w:hanging="2711"/>
        <w:jc w:val="both"/>
        <w:rPr>
          <w:sz w:val="21"/>
        </w:rPr>
      </w:pPr>
      <w:r>
        <w:rPr>
          <w:b/>
          <w:sz w:val="21"/>
        </w:rPr>
        <w:t>联系方式变更 </w:t>
      </w:r>
      <w:r>
        <w:rPr>
          <w:sz w:val="21"/>
        </w:rPr>
        <w:t>为了保障您的合法权益，您的住所、通讯地址或电话等联系方式变更时，请</w:t>
      </w:r>
      <w:r>
        <w:rPr>
          <w:spacing w:val="-2"/>
          <w:sz w:val="21"/>
        </w:rPr>
        <w:t>及时以书面形式或双方认可的其他形式通知我们。若您未以书面形式或双方</w:t>
      </w:r>
      <w:r>
        <w:rPr>
          <w:spacing w:val="-2"/>
          <w:sz w:val="21"/>
        </w:rPr>
        <w:t>认可的其他形式通知我们，我们按本主险合同载明的最后住所或联系地址发</w:t>
      </w:r>
      <w:r>
        <w:rPr>
          <w:spacing w:val="-2"/>
          <w:sz w:val="21"/>
        </w:rPr>
        <w:t>送的有关通知，均视为已送达给您。</w:t>
      </w:r>
    </w:p>
    <w:p>
      <w:pPr>
        <w:pStyle w:val="BodyText"/>
        <w:spacing w:before="4"/>
        <w:rPr>
          <w:sz w:val="24"/>
        </w:rPr>
      </w:pPr>
    </w:p>
    <w:p>
      <w:pPr>
        <w:pStyle w:val="ListParagraph"/>
        <w:numPr>
          <w:ilvl w:val="1"/>
          <w:numId w:val="9"/>
        </w:numPr>
        <w:tabs>
          <w:tab w:pos="1713" w:val="left" w:leader="none"/>
          <w:tab w:pos="1714" w:val="left" w:leader="none"/>
          <w:tab w:pos="3285" w:val="left" w:leader="none"/>
        </w:tabs>
        <w:spacing w:line="278" w:lineRule="auto" w:before="0" w:after="0"/>
        <w:ind w:left="3285" w:right="577" w:hanging="2711"/>
        <w:jc w:val="left"/>
        <w:rPr>
          <w:sz w:val="21"/>
        </w:rPr>
      </w:pPr>
      <w:r>
        <w:rPr>
          <w:b/>
          <w:spacing w:val="-2"/>
          <w:sz w:val="21"/>
        </w:rPr>
        <w:t>全</w:t>
      </w:r>
      <w:r>
        <w:rPr>
          <w:b/>
          <w:spacing w:val="-2"/>
          <w:sz w:val="21"/>
        </w:rPr>
        <w:t>残</w:t>
      </w:r>
      <w:r>
        <w:rPr>
          <w:b/>
          <w:spacing w:val="-2"/>
          <w:sz w:val="21"/>
        </w:rPr>
        <w:t>的</w:t>
      </w:r>
      <w:r>
        <w:rPr>
          <w:b/>
          <w:spacing w:val="-2"/>
          <w:sz w:val="21"/>
        </w:rPr>
        <w:t>鉴</w:t>
      </w:r>
      <w:r>
        <w:rPr>
          <w:b/>
          <w:spacing w:val="-2"/>
          <w:sz w:val="21"/>
        </w:rPr>
        <w:t>定</w:t>
      </w:r>
      <w:r>
        <w:rPr>
          <w:b/>
          <w:sz w:val="21"/>
        </w:rPr>
        <w:tab/>
      </w:r>
      <w:r>
        <w:rPr>
          <w:spacing w:val="-2"/>
          <w:sz w:val="21"/>
        </w:rPr>
        <w:t>若</w:t>
      </w:r>
      <w:r>
        <w:rPr>
          <w:spacing w:val="-2"/>
          <w:sz w:val="21"/>
        </w:rPr>
        <w:t>被</w:t>
      </w:r>
      <w:r>
        <w:rPr>
          <w:spacing w:val="-2"/>
          <w:sz w:val="21"/>
        </w:rPr>
        <w:t>保险人全残，在治疗</w:t>
      </w:r>
      <w:r>
        <w:rPr>
          <w:spacing w:val="-2"/>
          <w:sz w:val="21"/>
        </w:rPr>
        <w:t>结</w:t>
      </w:r>
      <w:r>
        <w:rPr>
          <w:spacing w:val="-2"/>
          <w:sz w:val="21"/>
        </w:rPr>
        <w:t>束</w:t>
      </w:r>
      <w:r>
        <w:rPr>
          <w:spacing w:val="-2"/>
          <w:sz w:val="21"/>
        </w:rPr>
        <w:t>后，由国家机关认可</w:t>
      </w:r>
      <w:r>
        <w:rPr>
          <w:spacing w:val="-2"/>
          <w:sz w:val="21"/>
        </w:rPr>
        <w:t>的</w:t>
      </w:r>
      <w:r>
        <w:rPr>
          <w:spacing w:val="-2"/>
          <w:sz w:val="21"/>
        </w:rPr>
        <w:t>具</w:t>
      </w:r>
      <w:r>
        <w:rPr>
          <w:spacing w:val="-2"/>
          <w:sz w:val="21"/>
        </w:rPr>
        <w:t>有合法资质的伤</w:t>
      </w:r>
      <w:r>
        <w:rPr>
          <w:spacing w:val="-2"/>
          <w:sz w:val="21"/>
        </w:rPr>
        <w:t>残</w:t>
      </w:r>
      <w:r>
        <w:rPr>
          <w:spacing w:val="-2"/>
          <w:sz w:val="21"/>
        </w:rPr>
        <w:t>鉴</w:t>
      </w:r>
      <w:r>
        <w:rPr>
          <w:spacing w:val="-2"/>
          <w:sz w:val="21"/>
        </w:rPr>
        <w:t>定</w:t>
      </w:r>
      <w:r>
        <w:rPr>
          <w:spacing w:val="-2"/>
          <w:sz w:val="21"/>
        </w:rPr>
        <w:t>机</w:t>
      </w:r>
      <w:r>
        <w:rPr>
          <w:spacing w:val="-2"/>
          <w:sz w:val="21"/>
        </w:rPr>
        <w:t>构进行鉴定。如果被</w:t>
      </w:r>
      <w:r>
        <w:rPr>
          <w:spacing w:val="-2"/>
          <w:sz w:val="21"/>
        </w:rPr>
        <w:t>保</w:t>
      </w:r>
      <w:r>
        <w:rPr>
          <w:spacing w:val="-2"/>
          <w:sz w:val="21"/>
        </w:rPr>
        <w:t>险</w:t>
      </w:r>
      <w:r>
        <w:rPr>
          <w:spacing w:val="-2"/>
          <w:sz w:val="21"/>
        </w:rPr>
        <w:t>人自遭受意外伤害事</w:t>
      </w:r>
      <w:r>
        <w:rPr>
          <w:spacing w:val="-2"/>
          <w:sz w:val="21"/>
        </w:rPr>
        <w:t>故</w:t>
      </w:r>
      <w:r>
        <w:rPr>
          <w:spacing w:val="-2"/>
          <w:sz w:val="21"/>
        </w:rPr>
        <w:t>或</w:t>
      </w:r>
      <w:r>
        <w:rPr>
          <w:spacing w:val="-2"/>
          <w:sz w:val="21"/>
        </w:rPr>
        <w:t>被初次诊断患有</w:t>
      </w:r>
      <w:r>
        <w:rPr>
          <w:spacing w:val="-2"/>
          <w:sz w:val="21"/>
        </w:rPr>
        <w:t>疾</w:t>
      </w:r>
      <w:r>
        <w:rPr>
          <w:spacing w:val="-2"/>
          <w:sz w:val="21"/>
        </w:rPr>
        <w:t>病</w:t>
      </w:r>
      <w:r>
        <w:rPr>
          <w:spacing w:val="-2"/>
          <w:sz w:val="21"/>
        </w:rPr>
        <w:t>之</w:t>
      </w:r>
      <w:r>
        <w:rPr>
          <w:spacing w:val="-2"/>
          <w:sz w:val="21"/>
        </w:rPr>
        <w:t>日</w:t>
      </w:r>
      <w:r>
        <w:rPr>
          <w:spacing w:val="-2"/>
          <w:sz w:val="21"/>
        </w:rPr>
        <w:t>起满180日（含）治疗</w:t>
      </w:r>
      <w:r>
        <w:rPr>
          <w:spacing w:val="-2"/>
          <w:sz w:val="21"/>
        </w:rPr>
        <w:t>仍</w:t>
      </w:r>
      <w:r>
        <w:rPr>
          <w:spacing w:val="-2"/>
          <w:sz w:val="21"/>
        </w:rPr>
        <w:t>未</w:t>
      </w:r>
      <w:r>
        <w:rPr>
          <w:spacing w:val="-2"/>
          <w:sz w:val="21"/>
        </w:rPr>
        <w:t>结束，按被保险人遭</w:t>
      </w:r>
      <w:r>
        <w:rPr>
          <w:spacing w:val="-2"/>
          <w:sz w:val="21"/>
        </w:rPr>
        <w:t>受</w:t>
      </w:r>
      <w:r>
        <w:rPr>
          <w:spacing w:val="-2"/>
          <w:sz w:val="21"/>
        </w:rPr>
        <w:t>意</w:t>
      </w:r>
      <w:r>
        <w:rPr>
          <w:spacing w:val="-2"/>
          <w:sz w:val="21"/>
        </w:rPr>
        <w:t>外伤害事故或被初</w:t>
      </w:r>
      <w:r>
        <w:rPr>
          <w:spacing w:val="-2"/>
          <w:sz w:val="21"/>
        </w:rPr>
        <w:t>次</w:t>
      </w:r>
      <w:r>
        <w:rPr>
          <w:spacing w:val="-2"/>
          <w:sz w:val="21"/>
        </w:rPr>
        <w:t>诊</w:t>
      </w:r>
      <w:r>
        <w:rPr>
          <w:spacing w:val="-2"/>
          <w:sz w:val="21"/>
        </w:rPr>
        <w:t>断患有疾病之日</w:t>
      </w:r>
      <w:r>
        <w:rPr>
          <w:spacing w:val="-2"/>
          <w:sz w:val="21"/>
        </w:rPr>
        <w:t>第</w:t>
      </w:r>
      <w:r>
        <w:rPr>
          <w:spacing w:val="-2"/>
          <w:sz w:val="21"/>
        </w:rPr>
        <w:t>180</w:t>
      </w:r>
      <w:r>
        <w:rPr>
          <w:spacing w:val="-2"/>
          <w:sz w:val="21"/>
        </w:rPr>
        <w:t>日</w:t>
      </w:r>
      <w:r>
        <w:rPr>
          <w:spacing w:val="-2"/>
          <w:sz w:val="21"/>
        </w:rPr>
        <w:t>的</w:t>
      </w:r>
      <w:r>
        <w:rPr>
          <w:spacing w:val="-2"/>
          <w:sz w:val="21"/>
        </w:rPr>
        <w:t>身体情况进行鉴</w:t>
      </w:r>
      <w:r>
        <w:rPr>
          <w:spacing w:val="-2"/>
          <w:sz w:val="21"/>
        </w:rPr>
        <w:t>定</w:t>
      </w:r>
      <w:r>
        <w:rPr>
          <w:spacing w:val="-2"/>
          <w:sz w:val="21"/>
        </w:rPr>
        <w:t>。</w:t>
      </w:r>
    </w:p>
    <w:p>
      <w:pPr>
        <w:pStyle w:val="BodyText"/>
        <w:spacing w:before="4"/>
        <w:rPr>
          <w:sz w:val="24"/>
        </w:rPr>
      </w:pPr>
    </w:p>
    <w:p>
      <w:pPr>
        <w:pStyle w:val="ListParagraph"/>
        <w:numPr>
          <w:ilvl w:val="1"/>
          <w:numId w:val="9"/>
        </w:numPr>
        <w:tabs>
          <w:tab w:pos="1713" w:val="left" w:leader="none"/>
          <w:tab w:pos="1714" w:val="left" w:leader="none"/>
          <w:tab w:pos="3285" w:val="left" w:leader="none"/>
        </w:tabs>
        <w:spacing w:line="240" w:lineRule="auto" w:before="0" w:after="0"/>
        <w:ind w:left="1713" w:right="0" w:hanging="1139"/>
        <w:jc w:val="left"/>
        <w:rPr>
          <w:sz w:val="21"/>
        </w:rPr>
      </w:pPr>
      <w:r>
        <w:rPr>
          <w:b/>
          <w:sz w:val="21"/>
        </w:rPr>
        <w:t>效力终</w:t>
      </w:r>
      <w:r>
        <w:rPr>
          <w:b/>
          <w:spacing w:val="-10"/>
          <w:sz w:val="21"/>
        </w:rPr>
        <w:t>止</w:t>
      </w:r>
      <w:r>
        <w:rPr>
          <w:b/>
          <w:sz w:val="21"/>
        </w:rPr>
        <w:tab/>
      </w:r>
      <w:r>
        <w:rPr>
          <w:spacing w:val="-2"/>
          <w:sz w:val="21"/>
        </w:rPr>
        <w:t>发</w:t>
      </w:r>
      <w:r>
        <w:rPr>
          <w:spacing w:val="-2"/>
          <w:sz w:val="21"/>
        </w:rPr>
        <w:t>生</w:t>
      </w:r>
      <w:r>
        <w:rPr>
          <w:spacing w:val="-2"/>
          <w:sz w:val="21"/>
        </w:rPr>
        <w:t>下列情况之一时，本</w:t>
      </w:r>
      <w:r>
        <w:rPr>
          <w:spacing w:val="-2"/>
          <w:sz w:val="21"/>
        </w:rPr>
        <w:t>主</w:t>
      </w:r>
      <w:r>
        <w:rPr>
          <w:spacing w:val="-2"/>
          <w:sz w:val="21"/>
        </w:rPr>
        <w:t>险</w:t>
      </w:r>
      <w:r>
        <w:rPr>
          <w:spacing w:val="-2"/>
          <w:sz w:val="21"/>
        </w:rPr>
        <w:t>合同效力终</w:t>
      </w:r>
      <w:r>
        <w:rPr>
          <w:spacing w:val="-2"/>
          <w:sz w:val="21"/>
        </w:rPr>
        <w:t>止</w:t>
      </w:r>
      <w:r>
        <w:rPr>
          <w:spacing w:val="-10"/>
          <w:sz w:val="21"/>
        </w:rPr>
        <w:t>：</w:t>
      </w:r>
    </w:p>
    <w:p>
      <w:pPr>
        <w:pStyle w:val="BodyText"/>
        <w:spacing w:line="278" w:lineRule="auto" w:before="43"/>
        <w:ind w:left="3285" w:right="4709"/>
      </w:pPr>
      <w:r>
        <w:rPr>
          <w:spacing w:val="-9"/>
        </w:rPr>
        <w:t>(一) 您申请解除本主险合同；</w:t>
      </w:r>
      <w:r>
        <w:rPr/>
        <w:t> </w:t>
      </w:r>
      <w:r>
        <w:rPr>
          <w:spacing w:val="-9"/>
        </w:rPr>
        <w:t>(二) 被保险人身故或全残；</w:t>
      </w:r>
    </w:p>
    <w:p>
      <w:pPr>
        <w:pStyle w:val="BodyText"/>
        <w:spacing w:line="278" w:lineRule="auto"/>
        <w:ind w:left="3285" w:right="4504"/>
      </w:pPr>
      <w:r>
        <w:rPr>
          <w:spacing w:val="-9"/>
        </w:rPr>
        <w:t>(三) 被保险人达到疾病终末期；</w:t>
      </w:r>
      <w:r>
        <w:rPr/>
        <w:t> </w:t>
      </w:r>
      <w:r>
        <w:rPr>
          <w:spacing w:val="-9"/>
        </w:rPr>
        <w:t>(四) 全部保险责任终止；</w:t>
      </w:r>
    </w:p>
    <w:p>
      <w:pPr>
        <w:pStyle w:val="BodyText"/>
        <w:spacing w:line="278" w:lineRule="auto"/>
        <w:ind w:left="3285" w:right="1561"/>
      </w:pPr>
      <w:r>
        <w:rPr>
          <w:spacing w:val="-12"/>
        </w:rPr>
        <w:t>(五) 自本主险合同效力中止之日起满 </w:t>
      </w:r>
      <w:r>
        <w:rPr/>
        <w:t>2</w:t>
      </w:r>
      <w:r>
        <w:rPr>
          <w:spacing w:val="-8"/>
        </w:rPr>
        <w:t> 年双方未达成复效协议；</w:t>
      </w:r>
      <w:r>
        <w:rPr/>
        <w:t> </w:t>
      </w:r>
      <w:r>
        <w:rPr>
          <w:spacing w:val="-9"/>
        </w:rPr>
        <w:t>(六) 其他导致本主险合同效力终止的情形。</w:t>
      </w:r>
    </w:p>
    <w:p>
      <w:pPr>
        <w:pStyle w:val="BodyText"/>
        <w:spacing w:before="4"/>
        <w:rPr>
          <w:sz w:val="24"/>
        </w:rPr>
      </w:pPr>
    </w:p>
    <w:p>
      <w:pPr>
        <w:pStyle w:val="ListParagraph"/>
        <w:numPr>
          <w:ilvl w:val="1"/>
          <w:numId w:val="9"/>
        </w:numPr>
        <w:tabs>
          <w:tab w:pos="1713" w:val="left" w:leader="none"/>
          <w:tab w:pos="1714" w:val="left" w:leader="none"/>
          <w:tab w:pos="3285" w:val="left" w:leader="none"/>
        </w:tabs>
        <w:spacing w:line="278" w:lineRule="auto" w:before="0" w:after="0"/>
        <w:ind w:left="3285" w:right="579" w:hanging="2711"/>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主</w:t>
      </w:r>
      <w:r>
        <w:rPr>
          <w:spacing w:val="-2"/>
          <w:sz w:val="21"/>
        </w:rPr>
        <w:t>险合同履行过程中，</w:t>
      </w:r>
      <w:r>
        <w:rPr>
          <w:spacing w:val="-2"/>
          <w:sz w:val="21"/>
        </w:rPr>
        <w:t>双</w:t>
      </w:r>
      <w:r>
        <w:rPr>
          <w:spacing w:val="-2"/>
          <w:sz w:val="21"/>
        </w:rPr>
        <w:t>方</w:t>
      </w:r>
      <w:r>
        <w:rPr>
          <w:spacing w:val="-2"/>
          <w:sz w:val="21"/>
        </w:rPr>
        <w:t>发生争议不能协商解决的，依法向具有管辖权</w:t>
      </w:r>
      <w:r>
        <w:rPr>
          <w:spacing w:val="-2"/>
          <w:sz w:val="21"/>
        </w:rPr>
        <w:t>的</w:t>
      </w:r>
      <w:r>
        <w:rPr>
          <w:spacing w:val="-2"/>
          <w:sz w:val="21"/>
        </w:rPr>
        <w:t>人</w:t>
      </w:r>
      <w:r>
        <w:rPr>
          <w:spacing w:val="-2"/>
          <w:sz w:val="21"/>
        </w:rPr>
        <w:t>民法院提起诉讼。</w:t>
      </w:r>
    </w:p>
    <w:p>
      <w:pPr>
        <w:pStyle w:val="BodyText"/>
        <w:spacing w:before="8"/>
        <w:rPr>
          <w:sz w:val="17"/>
        </w:rPr>
      </w:pPr>
    </w:p>
    <w:p>
      <w:pPr>
        <w:tabs>
          <w:tab w:pos="1713" w:val="left" w:leader="none"/>
        </w:tabs>
        <w:spacing w:before="98"/>
        <w:ind w:left="575" w:right="0" w:firstLine="0"/>
        <w:jc w:val="left"/>
        <w:rPr>
          <w:b/>
          <w:sz w:val="28"/>
        </w:rPr>
      </w:pPr>
      <w:r>
        <w:rPr/>
        <w:drawing>
          <wp:anchor distT="0" distB="0" distL="0" distR="0" allowOverlap="1" layoutInCell="1" locked="0" behindDoc="0" simplePos="0" relativeHeight="12">
            <wp:simplePos x="0" y="0"/>
            <wp:positionH relativeFrom="page">
              <wp:posOffset>728776</wp:posOffset>
            </wp:positionH>
            <wp:positionV relativeFrom="paragraph">
              <wp:posOffset>436686</wp:posOffset>
            </wp:positionV>
            <wp:extent cx="6229677" cy="6096"/>
            <wp:effectExtent l="0" t="0" r="0" b="0"/>
            <wp:wrapTopAndBottom/>
            <wp:docPr id="25" name="image7.png"/>
            <wp:cNvGraphicFramePr>
              <a:graphicFrameLocks noChangeAspect="1"/>
            </wp:cNvGraphicFramePr>
            <a:graphic>
              <a:graphicData uri="http://schemas.openxmlformats.org/drawingml/2006/picture">
                <pic:pic>
                  <pic:nvPicPr>
                    <pic:cNvPr id="26" name="image7.png"/>
                    <pic:cNvPicPr/>
                  </pic:nvPicPr>
                  <pic:blipFill>
                    <a:blip r:embed="rId11" cstate="print"/>
                    <a:stretch>
                      <a:fillRect/>
                    </a:stretch>
                  </pic:blipFill>
                  <pic:spPr>
                    <a:xfrm>
                      <a:off x="0" y="0"/>
                      <a:ext cx="6229677" cy="6096"/>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b/>
          <w:w w:val="95"/>
          <w:sz w:val="28"/>
        </w:rPr>
        <w:t>释</w:t>
      </w:r>
      <w:r>
        <w:rPr>
          <w:b/>
          <w:spacing w:val="-10"/>
          <w:sz w:val="28"/>
        </w:rPr>
        <w:t>义</w:t>
      </w:r>
    </w:p>
    <w:p>
      <w:pPr>
        <w:pStyle w:val="ListParagraph"/>
        <w:numPr>
          <w:ilvl w:val="1"/>
          <w:numId w:val="10"/>
        </w:numPr>
        <w:tabs>
          <w:tab w:pos="1713" w:val="left" w:leader="none"/>
          <w:tab w:pos="1714" w:val="left" w:leader="none"/>
          <w:tab w:pos="3285" w:val="left" w:leader="none"/>
        </w:tabs>
        <w:spacing w:line="278" w:lineRule="auto" w:before="335" w:after="0"/>
        <w:ind w:left="3285" w:right="541" w:hanging="2711"/>
        <w:jc w:val="left"/>
        <w:rPr>
          <w:sz w:val="21"/>
        </w:rPr>
      </w:pPr>
      <w:r>
        <w:rPr>
          <w:b/>
          <w:spacing w:val="-6"/>
          <w:sz w:val="21"/>
        </w:rPr>
        <w:t>周</w:t>
      </w:r>
      <w:r>
        <w:rPr>
          <w:b/>
          <w:spacing w:val="-6"/>
          <w:sz w:val="21"/>
        </w:rPr>
        <w:t>岁</w:t>
      </w:r>
      <w:r>
        <w:rPr>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w:t>
      </w:r>
      <w:r>
        <w:rPr>
          <w:spacing w:val="-2"/>
          <w:sz w:val="21"/>
        </w:rPr>
        <w:t>岁</w:t>
      </w:r>
      <w:r>
        <w:rPr>
          <w:spacing w:val="-2"/>
          <w:sz w:val="21"/>
        </w:rPr>
        <w:t>，</w:t>
      </w:r>
      <w:r>
        <w:rPr>
          <w:spacing w:val="-2"/>
          <w:sz w:val="21"/>
        </w:rPr>
        <w:t>每</w:t>
      </w:r>
      <w:r>
        <w:rPr>
          <w:spacing w:val="-2"/>
          <w:sz w:val="21"/>
        </w:rPr>
        <w:t>经</w:t>
      </w:r>
      <w:r>
        <w:rPr>
          <w:spacing w:val="-2"/>
          <w:sz w:val="21"/>
        </w:rPr>
        <w:t>过一年增加一岁，不</w:t>
      </w:r>
      <w:r>
        <w:rPr>
          <w:spacing w:val="-2"/>
          <w:sz w:val="21"/>
        </w:rPr>
        <w:t>足</w:t>
      </w:r>
      <w:r>
        <w:rPr>
          <w:spacing w:val="-2"/>
          <w:sz w:val="21"/>
        </w:rPr>
        <w:t>一</w:t>
      </w:r>
      <w:r>
        <w:rPr>
          <w:spacing w:val="-2"/>
          <w:sz w:val="21"/>
        </w:rPr>
        <w:t>年的不</w:t>
      </w:r>
      <w:r>
        <w:rPr>
          <w:spacing w:val="-2"/>
          <w:sz w:val="21"/>
        </w:rPr>
        <w:t>计</w:t>
      </w:r>
      <w:r>
        <w:rPr>
          <w:spacing w:val="-2"/>
          <w:sz w:val="21"/>
        </w:rPr>
        <w:t>。</w:t>
      </w:r>
    </w:p>
    <w:p>
      <w:pPr>
        <w:pStyle w:val="BodyText"/>
        <w:spacing w:before="4"/>
        <w:rPr>
          <w:sz w:val="24"/>
        </w:rPr>
      </w:pPr>
    </w:p>
    <w:p>
      <w:pPr>
        <w:pStyle w:val="ListParagraph"/>
        <w:numPr>
          <w:ilvl w:val="1"/>
          <w:numId w:val="10"/>
        </w:numPr>
        <w:tabs>
          <w:tab w:pos="1713" w:val="left" w:leader="none"/>
          <w:tab w:pos="1714" w:val="left" w:leader="none"/>
          <w:tab w:pos="3285" w:val="left" w:leader="none"/>
        </w:tabs>
        <w:spacing w:line="278" w:lineRule="auto" w:before="0" w:after="0"/>
        <w:ind w:left="3285" w:right="474" w:hanging="2711"/>
        <w:jc w:val="left"/>
        <w:rPr>
          <w:sz w:val="21"/>
        </w:rPr>
      </w:pPr>
      <w:r>
        <w:rPr>
          <w:b/>
          <w:spacing w:val="-2"/>
          <w:sz w:val="21"/>
        </w:rPr>
        <w:t>有</w:t>
      </w:r>
      <w:r>
        <w:rPr>
          <w:b/>
          <w:spacing w:val="-2"/>
          <w:sz w:val="21"/>
        </w:rPr>
        <w:t>效</w:t>
      </w:r>
      <w:r>
        <w:rPr>
          <w:b/>
          <w:spacing w:val="-2"/>
          <w:sz w:val="21"/>
        </w:rPr>
        <w:t>身</w:t>
      </w:r>
      <w:r>
        <w:rPr>
          <w:b/>
          <w:spacing w:val="-2"/>
          <w:sz w:val="21"/>
        </w:rPr>
        <w:t>份</w:t>
      </w:r>
      <w:r>
        <w:rPr>
          <w:b/>
          <w:spacing w:val="-2"/>
          <w:sz w:val="21"/>
        </w:rPr>
        <w:t>证</w:t>
      </w:r>
      <w:r>
        <w:rPr>
          <w:b/>
          <w:spacing w:val="-2"/>
          <w:sz w:val="21"/>
        </w:rPr>
        <w:t>件</w:t>
      </w:r>
      <w:r>
        <w:rPr>
          <w:b/>
          <w:sz w:val="21"/>
        </w:rPr>
        <w:tab/>
      </w:r>
      <w:r>
        <w:rPr>
          <w:spacing w:val="-6"/>
          <w:sz w:val="21"/>
        </w:rPr>
        <w:t>指</w:t>
      </w:r>
      <w:r>
        <w:rPr>
          <w:spacing w:val="-6"/>
          <w:sz w:val="21"/>
        </w:rPr>
        <w:t>证</w:t>
      </w:r>
      <w:r>
        <w:rPr>
          <w:spacing w:val="-6"/>
          <w:sz w:val="21"/>
        </w:rPr>
        <w:t>明其身份的证件，如：</w:t>
      </w:r>
      <w:r>
        <w:rPr>
          <w:spacing w:val="-6"/>
          <w:sz w:val="21"/>
        </w:rPr>
        <w:t>居</w:t>
      </w:r>
      <w:r>
        <w:rPr>
          <w:spacing w:val="-6"/>
          <w:sz w:val="21"/>
        </w:rPr>
        <w:t>民</w:t>
      </w:r>
      <w:r>
        <w:rPr>
          <w:spacing w:val="-6"/>
          <w:sz w:val="21"/>
        </w:rPr>
        <w:t>身份证、按规定可使</w:t>
      </w:r>
      <w:r>
        <w:rPr>
          <w:spacing w:val="-6"/>
          <w:sz w:val="21"/>
        </w:rPr>
        <w:t>用</w:t>
      </w:r>
      <w:r>
        <w:rPr>
          <w:spacing w:val="-6"/>
          <w:sz w:val="21"/>
        </w:rPr>
        <w:t>的</w:t>
      </w:r>
      <w:r>
        <w:rPr>
          <w:spacing w:val="-6"/>
          <w:sz w:val="21"/>
        </w:rPr>
        <w:t>有效护照、军官</w:t>
      </w:r>
      <w:r>
        <w:rPr>
          <w:spacing w:val="-6"/>
          <w:sz w:val="21"/>
        </w:rPr>
        <w:t>证</w:t>
      </w:r>
      <w:r>
        <w:rPr>
          <w:spacing w:val="-6"/>
          <w:sz w:val="21"/>
        </w:rPr>
        <w:t>、</w:t>
      </w:r>
      <w:r>
        <w:rPr>
          <w:spacing w:val="-2"/>
          <w:sz w:val="21"/>
        </w:rPr>
        <w:t>警</w:t>
      </w:r>
      <w:r>
        <w:rPr>
          <w:spacing w:val="-2"/>
          <w:sz w:val="21"/>
        </w:rPr>
        <w:t>官</w:t>
      </w:r>
      <w:r>
        <w:rPr>
          <w:spacing w:val="-2"/>
          <w:sz w:val="21"/>
        </w:rPr>
        <w:t>证、士兵证、居民户</w:t>
      </w:r>
      <w:r>
        <w:rPr>
          <w:spacing w:val="-2"/>
          <w:sz w:val="21"/>
        </w:rPr>
        <w:t>口</w:t>
      </w:r>
      <w:r>
        <w:rPr>
          <w:spacing w:val="-2"/>
          <w:sz w:val="21"/>
        </w:rPr>
        <w:t>簿</w:t>
      </w:r>
      <w:r>
        <w:rPr>
          <w:spacing w:val="-2"/>
          <w:sz w:val="21"/>
        </w:rPr>
        <w:t>（仅限未成年人）等</w:t>
      </w:r>
      <w:r>
        <w:rPr>
          <w:spacing w:val="-2"/>
          <w:sz w:val="21"/>
        </w:rPr>
        <w:t>证</w:t>
      </w:r>
      <w:r>
        <w:rPr>
          <w:spacing w:val="-2"/>
          <w:sz w:val="21"/>
        </w:rPr>
        <w:t>件</w:t>
      </w:r>
      <w:r>
        <w:rPr>
          <w:spacing w:val="-2"/>
          <w:sz w:val="21"/>
        </w:rPr>
        <w:t>。</w:t>
      </w:r>
    </w:p>
    <w:p>
      <w:pPr>
        <w:pStyle w:val="BodyText"/>
        <w:spacing w:before="4"/>
        <w:rPr>
          <w:sz w:val="24"/>
        </w:rPr>
      </w:pPr>
    </w:p>
    <w:p>
      <w:pPr>
        <w:pStyle w:val="ListParagraph"/>
        <w:numPr>
          <w:ilvl w:val="1"/>
          <w:numId w:val="10"/>
        </w:numPr>
        <w:tabs>
          <w:tab w:pos="1713" w:val="left" w:leader="none"/>
          <w:tab w:pos="1714" w:val="left" w:leader="none"/>
          <w:tab w:pos="3285" w:val="left" w:leader="none"/>
        </w:tabs>
        <w:spacing w:line="278" w:lineRule="auto" w:before="0" w:after="0"/>
        <w:ind w:left="3285" w:right="541" w:hanging="2711"/>
        <w:jc w:val="left"/>
        <w:rPr>
          <w:sz w:val="21"/>
        </w:rPr>
      </w:pPr>
      <w:r>
        <w:rPr>
          <w:b/>
          <w:spacing w:val="-4"/>
          <w:sz w:val="21"/>
        </w:rPr>
        <w:t>意</w:t>
      </w:r>
      <w:r>
        <w:rPr>
          <w:b/>
          <w:spacing w:val="-4"/>
          <w:sz w:val="21"/>
        </w:rPr>
        <w:t>外</w:t>
      </w:r>
      <w:r>
        <w:rPr>
          <w:b/>
          <w:spacing w:val="-4"/>
          <w:sz w:val="21"/>
        </w:rPr>
        <w:t>伤</w:t>
      </w:r>
      <w:r>
        <w:rPr>
          <w:b/>
          <w:spacing w:val="-4"/>
          <w:sz w:val="21"/>
        </w:rPr>
        <w:t>害</w:t>
      </w:r>
      <w:r>
        <w:rPr>
          <w:b/>
          <w:sz w:val="21"/>
        </w:rPr>
        <w:tab/>
      </w:r>
      <w:r>
        <w:rPr>
          <w:spacing w:val="-2"/>
          <w:sz w:val="21"/>
        </w:rPr>
        <w:t>指</w:t>
      </w:r>
      <w:r>
        <w:rPr>
          <w:spacing w:val="-2"/>
          <w:sz w:val="21"/>
        </w:rPr>
        <w:t>遭</w:t>
      </w:r>
      <w:r>
        <w:rPr>
          <w:spacing w:val="-2"/>
          <w:sz w:val="21"/>
        </w:rPr>
        <w:t>受外来的、突发的、</w:t>
      </w:r>
      <w:r>
        <w:rPr>
          <w:spacing w:val="-2"/>
          <w:sz w:val="21"/>
        </w:rPr>
        <w:t>非</w:t>
      </w:r>
      <w:r>
        <w:rPr>
          <w:spacing w:val="-2"/>
          <w:sz w:val="21"/>
        </w:rPr>
        <w:t>本</w:t>
      </w:r>
      <w:r>
        <w:rPr>
          <w:spacing w:val="-2"/>
          <w:sz w:val="21"/>
        </w:rPr>
        <w:t>意的、非疾病的使身</w:t>
      </w:r>
      <w:r>
        <w:rPr>
          <w:spacing w:val="-2"/>
          <w:sz w:val="21"/>
        </w:rPr>
        <w:t>体</w:t>
      </w:r>
      <w:r>
        <w:rPr>
          <w:spacing w:val="-2"/>
          <w:sz w:val="21"/>
        </w:rPr>
        <w:t>受</w:t>
      </w:r>
      <w:r>
        <w:rPr>
          <w:spacing w:val="-2"/>
          <w:sz w:val="21"/>
        </w:rPr>
        <w:t>到伤害的客观事</w:t>
      </w:r>
      <w:r>
        <w:rPr>
          <w:spacing w:val="-2"/>
          <w:sz w:val="21"/>
        </w:rPr>
        <w:t>件</w:t>
      </w:r>
      <w:r>
        <w:rPr>
          <w:spacing w:val="-2"/>
          <w:sz w:val="21"/>
        </w:rPr>
        <w:t>，</w:t>
      </w:r>
      <w:r>
        <w:rPr>
          <w:spacing w:val="-2"/>
          <w:sz w:val="21"/>
        </w:rPr>
        <w:t>并</w:t>
      </w:r>
      <w:r>
        <w:rPr>
          <w:spacing w:val="-2"/>
          <w:sz w:val="21"/>
        </w:rPr>
        <w:t>以</w:t>
      </w:r>
      <w:r>
        <w:rPr>
          <w:spacing w:val="-2"/>
          <w:sz w:val="21"/>
        </w:rPr>
        <w:t>此客观事件为直接且</w:t>
      </w:r>
      <w:r>
        <w:rPr>
          <w:spacing w:val="-2"/>
          <w:sz w:val="21"/>
        </w:rPr>
        <w:t>单</w:t>
      </w:r>
      <w:r>
        <w:rPr>
          <w:spacing w:val="-2"/>
          <w:sz w:val="21"/>
        </w:rPr>
        <w:t>独</w:t>
      </w:r>
      <w:r>
        <w:rPr>
          <w:spacing w:val="-2"/>
          <w:sz w:val="21"/>
        </w:rPr>
        <w:t>原因导致被保险人身</w:t>
      </w:r>
      <w:r>
        <w:rPr>
          <w:spacing w:val="-2"/>
          <w:sz w:val="21"/>
        </w:rPr>
        <w:t>体</w:t>
      </w:r>
      <w:r>
        <w:rPr>
          <w:spacing w:val="-2"/>
          <w:sz w:val="21"/>
        </w:rPr>
        <w:t>蒙</w:t>
      </w:r>
      <w:r>
        <w:rPr>
          <w:spacing w:val="-2"/>
          <w:sz w:val="21"/>
        </w:rPr>
        <w:t>受伤害或者身故。</w:t>
      </w:r>
    </w:p>
    <w:p>
      <w:pPr>
        <w:pStyle w:val="BodyText"/>
        <w:spacing w:before="5"/>
        <w:rPr>
          <w:sz w:val="24"/>
        </w:rPr>
      </w:pPr>
    </w:p>
    <w:p>
      <w:pPr>
        <w:pStyle w:val="ListParagraph"/>
        <w:numPr>
          <w:ilvl w:val="1"/>
          <w:numId w:val="10"/>
        </w:numPr>
        <w:tabs>
          <w:tab w:pos="1713" w:val="left" w:leader="none"/>
          <w:tab w:pos="1714" w:val="left" w:leader="none"/>
          <w:tab w:pos="3285" w:val="left" w:leader="none"/>
        </w:tabs>
        <w:spacing w:line="240" w:lineRule="auto" w:before="0" w:after="0"/>
        <w:ind w:left="1713" w:right="0" w:hanging="1139"/>
        <w:jc w:val="left"/>
        <w:rPr>
          <w:sz w:val="21"/>
        </w:rPr>
      </w:pPr>
      <w:r>
        <w:rPr>
          <w:b/>
          <w:sz w:val="21"/>
        </w:rPr>
        <w:t>专科医</w:t>
      </w:r>
      <w:r>
        <w:rPr>
          <w:b/>
          <w:spacing w:val="-10"/>
          <w:sz w:val="21"/>
        </w:rPr>
        <w:t>生</w:t>
      </w:r>
      <w:r>
        <w:rPr>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2"/>
          <w:numId w:val="10"/>
        </w:numPr>
        <w:tabs>
          <w:tab w:pos="3815" w:val="left" w:leader="none"/>
        </w:tabs>
        <w:spacing w:line="240" w:lineRule="auto" w:before="43" w:after="0"/>
        <w:ind w:left="3814" w:right="0" w:hanging="530"/>
        <w:jc w:val="left"/>
        <w:rPr>
          <w:sz w:val="21"/>
        </w:rPr>
      </w:pPr>
      <w:r>
        <w:rPr>
          <w:spacing w:val="-3"/>
          <w:sz w:val="21"/>
        </w:rPr>
        <w:t>具有有效的中华人民共和国《医师资格证书》；</w:t>
      </w:r>
    </w:p>
    <w:p>
      <w:pPr>
        <w:pStyle w:val="ListParagraph"/>
        <w:numPr>
          <w:ilvl w:val="2"/>
          <w:numId w:val="10"/>
        </w:numPr>
        <w:tabs>
          <w:tab w:pos="3815" w:val="left" w:leader="none"/>
        </w:tabs>
        <w:spacing w:line="278" w:lineRule="auto" w:before="43" w:after="0"/>
        <w:ind w:left="3811" w:right="649" w:hanging="526"/>
        <w:jc w:val="left"/>
        <w:rPr>
          <w:sz w:val="21"/>
        </w:rPr>
      </w:pPr>
      <w:r>
        <w:rPr>
          <w:spacing w:val="-2"/>
          <w:sz w:val="21"/>
        </w:rPr>
        <w:t>具有有效的中华人民共和国《医师执业证书》，并按期到相关部门登</w:t>
      </w:r>
      <w:r>
        <w:rPr>
          <w:spacing w:val="-4"/>
          <w:sz w:val="21"/>
        </w:rPr>
        <w:t>记注册；</w:t>
      </w:r>
    </w:p>
    <w:p>
      <w:pPr>
        <w:pStyle w:val="ListParagraph"/>
        <w:numPr>
          <w:ilvl w:val="2"/>
          <w:numId w:val="10"/>
        </w:numPr>
        <w:tabs>
          <w:tab w:pos="3815" w:val="left" w:leader="none"/>
        </w:tabs>
        <w:spacing w:line="278" w:lineRule="auto" w:before="0" w:after="0"/>
        <w:ind w:left="3811" w:right="649" w:hanging="526"/>
        <w:jc w:val="left"/>
        <w:rPr>
          <w:sz w:val="21"/>
        </w:rPr>
      </w:pPr>
      <w:r>
        <w:rPr>
          <w:spacing w:val="-2"/>
          <w:sz w:val="21"/>
        </w:rPr>
        <w:t>具有有效的中华人民共和国主治医师或主治医师以上职称的《医师职</w:t>
      </w:r>
      <w:r>
        <w:rPr>
          <w:spacing w:val="-2"/>
          <w:sz w:val="21"/>
        </w:rPr>
        <w:t>称证书》；</w:t>
      </w:r>
    </w:p>
    <w:p>
      <w:pPr>
        <w:pStyle w:val="ListParagraph"/>
        <w:numPr>
          <w:ilvl w:val="2"/>
          <w:numId w:val="10"/>
        </w:numPr>
        <w:tabs>
          <w:tab w:pos="3815" w:val="left" w:leader="none"/>
        </w:tabs>
        <w:spacing w:line="278" w:lineRule="auto" w:before="0" w:after="0"/>
        <w:ind w:left="3811" w:right="649" w:hanging="526"/>
        <w:jc w:val="left"/>
        <w:rPr>
          <w:sz w:val="21"/>
        </w:rPr>
      </w:pPr>
      <w:r>
        <w:rPr>
          <w:spacing w:val="-2"/>
          <w:sz w:val="21"/>
        </w:rPr>
        <w:t>在国家《医院分级管理标准》二级或二级以上医院的相应科室从事临</w:t>
      </w:r>
      <w:r>
        <w:rPr>
          <w:spacing w:val="-2"/>
          <w:sz w:val="21"/>
        </w:rPr>
        <w:t>床工作三年以上。</w:t>
      </w:r>
    </w:p>
    <w:p>
      <w:pPr>
        <w:pStyle w:val="BodyText"/>
        <w:spacing w:before="3"/>
        <w:rPr>
          <w:sz w:val="24"/>
        </w:rPr>
      </w:pPr>
    </w:p>
    <w:p>
      <w:pPr>
        <w:pStyle w:val="ListParagraph"/>
        <w:numPr>
          <w:ilvl w:val="1"/>
          <w:numId w:val="10"/>
        </w:numPr>
        <w:tabs>
          <w:tab w:pos="1713" w:val="left" w:leader="none"/>
          <w:tab w:pos="1714" w:val="left" w:leader="none"/>
          <w:tab w:pos="3285" w:val="left" w:leader="none"/>
        </w:tabs>
        <w:spacing w:line="240" w:lineRule="auto" w:before="1" w:after="0"/>
        <w:ind w:left="1713" w:right="0" w:hanging="1139"/>
        <w:jc w:val="left"/>
        <w:rPr>
          <w:sz w:val="21"/>
        </w:rPr>
      </w:pPr>
      <w:r>
        <w:rPr>
          <w:b/>
          <w:sz w:val="21"/>
        </w:rPr>
        <w:t>初次</w:t>
      </w:r>
      <w:r>
        <w:rPr>
          <w:b/>
          <w:spacing w:val="-10"/>
          <w:sz w:val="21"/>
        </w:rPr>
        <w:t>患</w:t>
      </w:r>
      <w:r>
        <w:rPr>
          <w:b/>
          <w:sz w:val="21"/>
        </w:rPr>
        <w:tab/>
      </w:r>
      <w:r>
        <w:rPr>
          <w:spacing w:val="-2"/>
          <w:sz w:val="21"/>
        </w:rPr>
        <w:t>指</w:t>
      </w:r>
      <w:r>
        <w:rPr>
          <w:spacing w:val="-2"/>
          <w:sz w:val="21"/>
        </w:rPr>
        <w:t>被</w:t>
      </w:r>
      <w:r>
        <w:rPr>
          <w:spacing w:val="-2"/>
          <w:sz w:val="21"/>
        </w:rPr>
        <w:t>保险人自出生后第一</w:t>
      </w:r>
      <w:r>
        <w:rPr>
          <w:spacing w:val="-2"/>
          <w:sz w:val="21"/>
        </w:rPr>
        <w:t>次</w:t>
      </w:r>
      <w:r>
        <w:rPr>
          <w:spacing w:val="-2"/>
          <w:sz w:val="21"/>
        </w:rPr>
        <w:t>患</w:t>
      </w:r>
      <w:r>
        <w:rPr>
          <w:spacing w:val="-2"/>
          <w:sz w:val="21"/>
        </w:rPr>
        <w:t>本主险合同约定的疾</w:t>
      </w:r>
      <w:r>
        <w:rPr>
          <w:spacing w:val="-2"/>
          <w:sz w:val="21"/>
        </w:rPr>
        <w:t>病</w:t>
      </w:r>
      <w:r>
        <w:rPr>
          <w:spacing w:val="-10"/>
          <w:sz w:val="21"/>
        </w:rPr>
        <w:t>。</w:t>
      </w:r>
    </w:p>
    <w:p>
      <w:pPr>
        <w:spacing w:after="0" w:line="240" w:lineRule="auto"/>
        <w:jc w:val="left"/>
        <w:rPr>
          <w:sz w:val="21"/>
        </w:rPr>
        <w:sectPr>
          <w:pgSz w:w="11910" w:h="16840"/>
          <w:pgMar w:top="1200" w:bottom="280"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3"/>
        <w:gridCol w:w="1725"/>
        <w:gridCol w:w="7208"/>
      </w:tblGrid>
      <w:tr>
        <w:trPr>
          <w:trHeight w:val="417" w:hRule="atLeast"/>
        </w:trPr>
        <w:tc>
          <w:tcPr>
            <w:tcW w:w="883" w:type="dxa"/>
          </w:tcPr>
          <w:p>
            <w:pPr>
              <w:pStyle w:val="TableParagraph"/>
              <w:spacing w:line="241" w:lineRule="exact"/>
              <w:ind w:left="50"/>
              <w:rPr>
                <w:b/>
                <w:sz w:val="21"/>
              </w:rPr>
            </w:pPr>
            <w:r>
              <w:rPr>
                <w:b/>
                <w:spacing w:val="-5"/>
                <w:sz w:val="21"/>
              </w:rPr>
              <w:t>9.6</w:t>
            </w:r>
          </w:p>
        </w:tc>
        <w:tc>
          <w:tcPr>
            <w:tcW w:w="1725" w:type="dxa"/>
          </w:tcPr>
          <w:p>
            <w:pPr>
              <w:pStyle w:val="TableParagraph"/>
              <w:spacing w:line="241" w:lineRule="exact"/>
              <w:ind w:left="304"/>
              <w:rPr>
                <w:b/>
                <w:sz w:val="21"/>
              </w:rPr>
            </w:pPr>
            <w:r>
              <w:rPr>
                <w:b/>
                <w:spacing w:val="-3"/>
                <w:sz w:val="21"/>
              </w:rPr>
              <w:t>轻度疾病</w:t>
            </w:r>
          </w:p>
        </w:tc>
        <w:tc>
          <w:tcPr>
            <w:tcW w:w="7208" w:type="dxa"/>
          </w:tcPr>
          <w:p>
            <w:pPr>
              <w:pStyle w:val="TableParagraph"/>
              <w:spacing w:line="241" w:lineRule="exact"/>
              <w:ind w:left="152"/>
              <w:rPr>
                <w:sz w:val="21"/>
              </w:rPr>
            </w:pPr>
            <w:r>
              <w:rPr>
                <w:spacing w:val="-10"/>
                <w:sz w:val="21"/>
              </w:rPr>
              <w:t>指下面列出的 </w:t>
            </w:r>
            <w:r>
              <w:rPr>
                <w:spacing w:val="-2"/>
                <w:sz w:val="21"/>
              </w:rPr>
              <w:t>40</w:t>
            </w:r>
            <w:r>
              <w:rPr>
                <w:spacing w:val="-12"/>
                <w:sz w:val="21"/>
              </w:rPr>
              <w:t> 种轻度疾病</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178"/>
              <w:ind w:left="152"/>
              <w:rPr>
                <w:sz w:val="21"/>
              </w:rPr>
            </w:pPr>
            <w:r>
              <w:rPr>
                <w:spacing w:val="-20"/>
                <w:sz w:val="21"/>
              </w:rPr>
              <w:t>以下 </w:t>
            </w:r>
            <w:r>
              <w:rPr>
                <w:spacing w:val="-2"/>
                <w:sz w:val="21"/>
              </w:rPr>
              <w:t>9.6.1</w:t>
            </w:r>
            <w:r>
              <w:rPr>
                <w:spacing w:val="-37"/>
                <w:sz w:val="21"/>
              </w:rPr>
              <w:t> 至 </w:t>
            </w:r>
            <w:r>
              <w:rPr>
                <w:spacing w:val="-2"/>
                <w:sz w:val="21"/>
              </w:rPr>
              <w:t>9.6.3</w:t>
            </w:r>
            <w:r>
              <w:rPr>
                <w:spacing w:val="-10"/>
                <w:sz w:val="21"/>
              </w:rPr>
              <w:t> 所列轻度疾病定义根据中国保险行业协会公布的《重大</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2"/>
                <w:sz w:val="21"/>
              </w:rPr>
              <w:t>疾病保险的疾病定义使用规范（2020</w:t>
            </w:r>
            <w:r>
              <w:rPr>
                <w:spacing w:val="-9"/>
                <w:sz w:val="21"/>
              </w:rPr>
              <w:t> 年修订版</w:t>
            </w:r>
            <w:r>
              <w:rPr>
                <w:spacing w:val="-106"/>
                <w:sz w:val="21"/>
              </w:rPr>
              <w:t>）</w:t>
            </w:r>
            <w:r>
              <w:rPr>
                <w:spacing w:val="-3"/>
                <w:sz w:val="21"/>
              </w:rPr>
              <w:t>》作出，其他轻度疾病由本</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3"/>
                <w:sz w:val="21"/>
              </w:rPr>
              <w:t>公司增加，其定义根据通行的医学标准制定。</w:t>
            </w:r>
          </w:p>
        </w:tc>
      </w:tr>
      <w:tr>
        <w:trPr>
          <w:trHeight w:val="468" w:hRule="atLeast"/>
        </w:trPr>
        <w:tc>
          <w:tcPr>
            <w:tcW w:w="883" w:type="dxa"/>
          </w:tcPr>
          <w:p>
            <w:pPr>
              <w:pStyle w:val="TableParagraph"/>
              <w:spacing w:before="178"/>
              <w:ind w:left="50"/>
              <w:rPr>
                <w:b/>
                <w:sz w:val="21"/>
              </w:rPr>
            </w:pPr>
            <w:r>
              <w:rPr>
                <w:b/>
                <w:spacing w:val="-2"/>
                <w:sz w:val="21"/>
              </w:rPr>
              <w:t>9.6.1</w:t>
            </w:r>
          </w:p>
        </w:tc>
        <w:tc>
          <w:tcPr>
            <w:tcW w:w="1725" w:type="dxa"/>
          </w:tcPr>
          <w:p>
            <w:pPr>
              <w:pStyle w:val="TableParagraph"/>
              <w:spacing w:before="178"/>
              <w:ind w:left="304"/>
              <w:rPr>
                <w:rFonts w:ascii="楷体" w:hAnsi="楷体" w:eastAsia="楷体" w:hint="eastAsia"/>
                <w:b/>
                <w:sz w:val="21"/>
              </w:rPr>
            </w:pPr>
            <w:r>
              <w:rPr>
                <w:rFonts w:ascii="楷体" w:hAnsi="楷体" w:eastAsia="楷体" w:hint="eastAsia"/>
                <w:b/>
                <w:spacing w:val="-2"/>
                <w:sz w:val="21"/>
              </w:rPr>
              <w:t>恶性肿瘤——</w:t>
            </w:r>
          </w:p>
        </w:tc>
        <w:tc>
          <w:tcPr>
            <w:tcW w:w="7208" w:type="dxa"/>
          </w:tcPr>
          <w:p>
            <w:pPr>
              <w:pStyle w:val="TableParagraph"/>
              <w:spacing w:before="178"/>
              <w:ind w:left="152"/>
              <w:rPr>
                <w:sz w:val="21"/>
              </w:rPr>
            </w:pPr>
            <w:r>
              <w:rPr>
                <w:spacing w:val="-5"/>
                <w:sz w:val="21"/>
              </w:rPr>
              <w:t>指恶性细胞不受控制的进行性增长和扩散，浸润和破坏周围正常组织，可以</w:t>
            </w:r>
          </w:p>
        </w:tc>
      </w:tr>
      <w:tr>
        <w:trPr>
          <w:trHeight w:val="311" w:hRule="atLeast"/>
        </w:trPr>
        <w:tc>
          <w:tcPr>
            <w:tcW w:w="883" w:type="dxa"/>
          </w:tcPr>
          <w:p>
            <w:pPr>
              <w:pStyle w:val="TableParagraph"/>
              <w:rPr>
                <w:rFonts w:ascii="Times New Roman"/>
                <w:sz w:val="20"/>
              </w:rPr>
            </w:pPr>
          </w:p>
        </w:tc>
        <w:tc>
          <w:tcPr>
            <w:tcW w:w="1725" w:type="dxa"/>
          </w:tcPr>
          <w:p>
            <w:pPr>
              <w:pStyle w:val="TableParagraph"/>
              <w:spacing w:before="22"/>
              <w:ind w:left="304"/>
              <w:rPr>
                <w:rFonts w:ascii="楷体" w:eastAsia="楷体" w:hint="eastAsia"/>
                <w:b/>
                <w:sz w:val="21"/>
              </w:rPr>
            </w:pPr>
            <w:r>
              <w:rPr>
                <w:rFonts w:ascii="楷体" w:eastAsia="楷体" w:hint="eastAsia"/>
                <w:b/>
                <w:spacing w:val="-5"/>
                <w:sz w:val="21"/>
              </w:rPr>
              <w:t>轻度</w:t>
            </w:r>
          </w:p>
        </w:tc>
        <w:tc>
          <w:tcPr>
            <w:tcW w:w="7208" w:type="dxa"/>
          </w:tcPr>
          <w:p>
            <w:pPr>
              <w:pStyle w:val="TableParagraph"/>
              <w:spacing w:before="22"/>
              <w:ind w:left="152"/>
              <w:rPr>
                <w:sz w:val="21"/>
              </w:rPr>
            </w:pPr>
            <w:r>
              <w:rPr>
                <w:spacing w:val="-18"/>
                <w:sz w:val="21"/>
              </w:rPr>
              <w:t>经血管、淋巴管和体腔扩散转移到身体其他部位，病灶经组织病理学检查</w:t>
            </w:r>
            <w:r>
              <w:rPr>
                <w:spacing w:val="-2"/>
                <w:sz w:val="21"/>
              </w:rPr>
              <w:t>（</w:t>
            </w:r>
            <w:r>
              <w:rPr>
                <w:spacing w:val="-10"/>
                <w:sz w:val="21"/>
              </w:rPr>
              <w:t>见</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12"/>
                <w:sz w:val="21"/>
              </w:rPr>
              <w:t>9.26</w:t>
            </w:r>
            <w:r>
              <w:rPr>
                <w:spacing w:val="-96"/>
                <w:sz w:val="21"/>
              </w:rPr>
              <w:t>）</w:t>
            </w:r>
            <w:r>
              <w:rPr>
                <w:spacing w:val="12"/>
                <w:sz w:val="21"/>
              </w:rPr>
              <w:t>（</w:t>
            </w:r>
            <w:r>
              <w:rPr>
                <w:spacing w:val="-6"/>
                <w:sz w:val="21"/>
              </w:rPr>
              <w:t>涵盖骨髓病理学检查）</w:t>
            </w:r>
            <w:r>
              <w:rPr>
                <w:spacing w:val="-7"/>
                <w:sz w:val="21"/>
              </w:rPr>
              <w:t>结果明确诊断，临床诊断属于世界卫生组织</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4"/>
                <w:sz w:val="21"/>
              </w:rPr>
              <w:t>（WHO，World</w:t>
            </w:r>
            <w:r>
              <w:rPr>
                <w:spacing w:val="11"/>
                <w:sz w:val="21"/>
              </w:rPr>
              <w:t> </w:t>
            </w:r>
            <w:r>
              <w:rPr>
                <w:spacing w:val="-4"/>
                <w:sz w:val="21"/>
              </w:rPr>
              <w:t>Health</w:t>
            </w:r>
            <w:r>
              <w:rPr>
                <w:spacing w:val="13"/>
                <w:sz w:val="21"/>
              </w:rPr>
              <w:t> </w:t>
            </w:r>
            <w:r>
              <w:rPr>
                <w:spacing w:val="5"/>
                <w:sz w:val="21"/>
              </w:rPr>
              <w:t>O</w:t>
            </w:r>
            <w:r>
              <w:rPr>
                <w:spacing w:val="2"/>
                <w:sz w:val="21"/>
              </w:rPr>
              <w:t>rg</w:t>
            </w:r>
            <w:r>
              <w:rPr>
                <w:spacing w:val="5"/>
                <w:sz w:val="21"/>
              </w:rPr>
              <w:t>aniza</w:t>
            </w:r>
            <w:r>
              <w:rPr>
                <w:spacing w:val="2"/>
                <w:sz w:val="21"/>
              </w:rPr>
              <w:t>t</w:t>
            </w:r>
            <w:r>
              <w:rPr>
                <w:spacing w:val="5"/>
                <w:sz w:val="21"/>
              </w:rPr>
              <w:t>io</w:t>
            </w:r>
            <w:r>
              <w:rPr>
                <w:spacing w:val="4"/>
                <w:sz w:val="21"/>
              </w:rPr>
              <w:t>n</w:t>
            </w:r>
            <w:r>
              <w:rPr>
                <w:spacing w:val="-103"/>
                <w:sz w:val="21"/>
              </w:rPr>
              <w:t>）</w:t>
            </w:r>
            <w:r>
              <w:rPr>
                <w:spacing w:val="-5"/>
                <w:sz w:val="21"/>
              </w:rPr>
              <w:t>《疾病和有关健康问题的国际统计分</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6"/>
                <w:sz w:val="21"/>
              </w:rPr>
              <w:t>类》第十次修订版（ICD-10）</w:t>
            </w:r>
            <w:r>
              <w:rPr>
                <w:spacing w:val="-7"/>
                <w:sz w:val="21"/>
              </w:rPr>
              <w:t>的恶性肿瘤类别及《国际疾病分类肿瘤学专辑》</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4"/>
                <w:sz w:val="21"/>
              </w:rPr>
              <w:t>第三版（ICD-O-</w:t>
            </w:r>
            <w:r>
              <w:rPr>
                <w:spacing w:val="32"/>
                <w:sz w:val="21"/>
              </w:rPr>
              <w:t>3</w:t>
            </w:r>
            <w:r>
              <w:rPr>
                <w:spacing w:val="-74"/>
                <w:sz w:val="21"/>
              </w:rPr>
              <w:t>）</w:t>
            </w:r>
            <w:r>
              <w:rPr>
                <w:spacing w:val="29"/>
                <w:sz w:val="21"/>
              </w:rPr>
              <w:t>（</w:t>
            </w:r>
            <w:r>
              <w:rPr>
                <w:spacing w:val="-30"/>
                <w:sz w:val="21"/>
              </w:rPr>
              <w:t>见 </w:t>
            </w:r>
            <w:r>
              <w:rPr>
                <w:spacing w:val="-4"/>
                <w:sz w:val="21"/>
              </w:rPr>
              <w:t>9.27）</w:t>
            </w:r>
            <w:r>
              <w:rPr>
                <w:spacing w:val="-9"/>
                <w:sz w:val="21"/>
              </w:rPr>
              <w:t>的肿瘤形态学编码属于 </w:t>
            </w:r>
            <w:r>
              <w:rPr>
                <w:spacing w:val="-4"/>
                <w:sz w:val="21"/>
              </w:rPr>
              <w:t>3、6、9（恶性肿瘤</w:t>
            </w:r>
            <w:r>
              <w:rPr>
                <w:spacing w:val="-10"/>
                <w:sz w:val="21"/>
              </w:rPr>
              <w:t>）</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7"/>
                <w:sz w:val="21"/>
              </w:rPr>
              <w:t>范畴，但不在“恶性肿瘤——重度”保障范围的疾病。且特指下列六项之一：</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2"/>
                <w:sz w:val="21"/>
              </w:rPr>
              <w:t>（1）TNM</w:t>
            </w:r>
            <w:r>
              <w:rPr>
                <w:spacing w:val="-18"/>
                <w:sz w:val="21"/>
              </w:rPr>
              <w:t> 分期</w:t>
            </w:r>
            <w:r>
              <w:rPr>
                <w:spacing w:val="-2"/>
                <w:sz w:val="21"/>
              </w:rPr>
              <w:t>（</w:t>
            </w:r>
            <w:r>
              <w:rPr>
                <w:spacing w:val="-21"/>
                <w:sz w:val="21"/>
              </w:rPr>
              <w:t>见 </w:t>
            </w:r>
            <w:r>
              <w:rPr>
                <w:spacing w:val="-2"/>
                <w:sz w:val="21"/>
              </w:rPr>
              <w:t>9.28）</w:t>
            </w:r>
            <w:r>
              <w:rPr>
                <w:spacing w:val="-3"/>
                <w:sz w:val="21"/>
              </w:rPr>
              <w:t>为Ⅰ期的甲状腺癌；</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1"/>
              <w:ind w:left="152"/>
              <w:rPr>
                <w:sz w:val="21"/>
              </w:rPr>
            </w:pPr>
            <w:r>
              <w:rPr>
                <w:spacing w:val="-2"/>
                <w:position w:val="1"/>
                <w:sz w:val="21"/>
              </w:rPr>
              <w:t>（2）TNM</w:t>
            </w:r>
            <w:r>
              <w:rPr>
                <w:spacing w:val="-20"/>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4"/>
                <w:sz w:val="11"/>
              </w:rPr>
              <w:t> </w:t>
            </w:r>
            <w:r>
              <w:rPr>
                <w:spacing w:val="-4"/>
                <w:position w:val="1"/>
                <w:sz w:val="21"/>
              </w:rPr>
              <w:t>期的前列腺癌；</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2"/>
                <w:sz w:val="21"/>
              </w:rPr>
              <w:t>（3）</w:t>
            </w:r>
            <w:r>
              <w:rPr>
                <w:spacing w:val="-3"/>
                <w:sz w:val="21"/>
              </w:rPr>
              <w:t>黑色素瘤以外的未发生淋巴结和远处转移的皮肤恶性肿瘤；</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2"/>
                <w:sz w:val="21"/>
              </w:rPr>
              <w:t>（4）</w:t>
            </w:r>
            <w:r>
              <w:rPr>
                <w:spacing w:val="-14"/>
                <w:sz w:val="21"/>
              </w:rPr>
              <w:t>相当于 </w:t>
            </w:r>
            <w:r>
              <w:rPr>
                <w:spacing w:val="-2"/>
                <w:sz w:val="21"/>
              </w:rPr>
              <w:t>Binet</w:t>
            </w:r>
            <w:r>
              <w:rPr>
                <w:spacing w:val="-18"/>
                <w:sz w:val="21"/>
              </w:rPr>
              <w:t> 分期方案 </w:t>
            </w:r>
            <w:r>
              <w:rPr>
                <w:spacing w:val="-2"/>
                <w:sz w:val="21"/>
              </w:rPr>
              <w:t>A</w:t>
            </w:r>
            <w:r>
              <w:rPr>
                <w:spacing w:val="-10"/>
                <w:sz w:val="21"/>
              </w:rPr>
              <w:t> 期程度的慢性淋巴细胞白血病；</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2"/>
                <w:sz w:val="21"/>
              </w:rPr>
              <w:t>（5）</w:t>
            </w:r>
            <w:r>
              <w:rPr>
                <w:spacing w:val="-14"/>
                <w:sz w:val="21"/>
              </w:rPr>
              <w:t>相当于 </w:t>
            </w:r>
            <w:r>
              <w:rPr>
                <w:spacing w:val="-2"/>
                <w:sz w:val="21"/>
              </w:rPr>
              <w:t>Ann</w:t>
            </w:r>
            <w:r>
              <w:rPr>
                <w:spacing w:val="13"/>
                <w:sz w:val="21"/>
              </w:rPr>
              <w:t> </w:t>
            </w:r>
            <w:r>
              <w:rPr>
                <w:spacing w:val="-2"/>
                <w:sz w:val="21"/>
              </w:rPr>
              <w:t>Arbor</w:t>
            </w:r>
            <w:r>
              <w:rPr>
                <w:spacing w:val="-10"/>
                <w:sz w:val="21"/>
              </w:rPr>
              <w:t> 分期方案Ⅰ期程度的何杰金氏病；</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2"/>
                <w:sz w:val="21"/>
              </w:rPr>
              <w:t>（6）</w:t>
            </w:r>
            <w:r>
              <w:rPr>
                <w:spacing w:val="-6"/>
                <w:sz w:val="21"/>
              </w:rPr>
              <w:t>未发生淋巴结和远处转移且 </w:t>
            </w:r>
            <w:r>
              <w:rPr>
                <w:spacing w:val="-2"/>
                <w:sz w:val="21"/>
              </w:rPr>
              <w:t>WHO</w:t>
            </w:r>
            <w:r>
              <w:rPr>
                <w:spacing w:val="-21"/>
                <w:sz w:val="21"/>
              </w:rPr>
              <w:t> 分级为 </w:t>
            </w:r>
            <w:r>
              <w:rPr>
                <w:spacing w:val="-2"/>
                <w:sz w:val="21"/>
              </w:rPr>
              <w:t>G1</w:t>
            </w:r>
            <w:r>
              <w:rPr>
                <w:spacing w:val="-18"/>
                <w:sz w:val="21"/>
              </w:rPr>
              <w:t> 级别</w:t>
            </w:r>
            <w:r>
              <w:rPr>
                <w:spacing w:val="-2"/>
                <w:sz w:val="21"/>
              </w:rPr>
              <w:t>（核分裂像&lt;10/50</w:t>
            </w:r>
            <w:r>
              <w:rPr>
                <w:spacing w:val="-28"/>
                <w:sz w:val="21"/>
              </w:rPr>
              <w:t> </w:t>
            </w:r>
            <w:r>
              <w:rPr>
                <w:spacing w:val="-5"/>
                <w:sz w:val="21"/>
              </w:rPr>
              <w:t>HPF</w:t>
            </w:r>
          </w:p>
        </w:tc>
      </w:tr>
      <w:tr>
        <w:trPr>
          <w:trHeight w:val="234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20"/>
                <w:sz w:val="21"/>
              </w:rPr>
              <w:t>和 </w:t>
            </w:r>
            <w:r>
              <w:rPr>
                <w:spacing w:val="-2"/>
                <w:sz w:val="21"/>
              </w:rPr>
              <w:t>ki-67≤2%）</w:t>
            </w:r>
            <w:r>
              <w:rPr>
                <w:spacing w:val="-3"/>
                <w:sz w:val="21"/>
              </w:rPr>
              <w:t>的神经内分泌肿瘤。</w:t>
            </w:r>
          </w:p>
          <w:p>
            <w:pPr>
              <w:pStyle w:val="TableParagraph"/>
              <w:spacing w:before="33"/>
              <w:ind w:left="152"/>
              <w:rPr>
                <w:b/>
                <w:i/>
                <w:sz w:val="22"/>
              </w:rPr>
            </w:pPr>
            <w:r>
              <w:rPr>
                <w:b/>
                <w:i/>
                <w:spacing w:val="-10"/>
                <w:w w:val="95"/>
                <w:sz w:val="22"/>
              </w:rPr>
              <w:t>下列疾病不属于“恶性肿瘤——轻度”，不在保障范围内：</w:t>
            </w:r>
          </w:p>
          <w:p>
            <w:pPr>
              <w:pStyle w:val="TableParagraph"/>
              <w:spacing w:line="266" w:lineRule="auto" w:before="30"/>
              <w:ind w:left="152" w:right="190"/>
              <w:rPr>
                <w:b/>
                <w:i/>
                <w:sz w:val="22"/>
              </w:rPr>
            </w:pPr>
            <w:r>
              <w:rPr>
                <w:b/>
                <w:i/>
                <w:w w:val="95"/>
                <w:sz w:val="22"/>
              </w:rPr>
              <w:t>ICD-O-3</w:t>
            </w:r>
            <w:r>
              <w:rPr>
                <w:b/>
                <w:i/>
                <w:spacing w:val="-51"/>
                <w:w w:val="95"/>
                <w:sz w:val="22"/>
              </w:rPr>
              <w:t> </w:t>
            </w:r>
            <w:r>
              <w:rPr>
                <w:b/>
                <w:i/>
                <w:spacing w:val="-5"/>
                <w:w w:val="95"/>
                <w:sz w:val="22"/>
              </w:rPr>
              <w:t>肿瘤形态学编码属于 </w:t>
            </w:r>
            <w:r>
              <w:rPr>
                <w:b/>
                <w:i/>
                <w:w w:val="95"/>
                <w:sz w:val="22"/>
              </w:rPr>
              <w:t>0（良性肿瘤</w:t>
            </w:r>
            <w:r>
              <w:rPr>
                <w:b/>
                <w:i/>
                <w:spacing w:val="-106"/>
                <w:w w:val="95"/>
                <w:sz w:val="22"/>
              </w:rPr>
              <w:t>）</w:t>
            </w:r>
            <w:r>
              <w:rPr>
                <w:b/>
                <w:i/>
                <w:w w:val="95"/>
                <w:sz w:val="22"/>
              </w:rPr>
              <w:t>、1（动态未定性肿瘤</w:t>
            </w:r>
            <w:r>
              <w:rPr>
                <w:b/>
                <w:i/>
                <w:spacing w:val="-106"/>
                <w:w w:val="95"/>
                <w:sz w:val="22"/>
              </w:rPr>
              <w:t>）</w:t>
            </w:r>
            <w:r>
              <w:rPr>
                <w:b/>
                <w:i/>
                <w:w w:val="95"/>
                <w:sz w:val="22"/>
              </w:rPr>
              <w:t>、2（</w:t>
            </w:r>
            <w:r>
              <w:rPr>
                <w:b/>
                <w:i/>
                <w:w w:val="95"/>
                <w:sz w:val="22"/>
              </w:rPr>
              <w:t>原</w:t>
            </w:r>
            <w:r>
              <w:rPr>
                <w:b/>
                <w:i/>
                <w:spacing w:val="-2"/>
                <w:sz w:val="22"/>
              </w:rPr>
              <w:t>位</w:t>
            </w:r>
            <w:r>
              <w:rPr>
                <w:b/>
                <w:i/>
                <w:spacing w:val="-2"/>
                <w:sz w:val="22"/>
              </w:rPr>
              <w:t>癌</w:t>
            </w:r>
            <w:r>
              <w:rPr>
                <w:b/>
                <w:i/>
                <w:spacing w:val="-2"/>
                <w:sz w:val="22"/>
              </w:rPr>
              <w:t>和</w:t>
            </w:r>
            <w:r>
              <w:rPr>
                <w:b/>
                <w:i/>
                <w:spacing w:val="-2"/>
                <w:sz w:val="22"/>
              </w:rPr>
              <w:t>非</w:t>
            </w:r>
            <w:r>
              <w:rPr>
                <w:b/>
                <w:i/>
                <w:spacing w:val="-2"/>
                <w:sz w:val="22"/>
              </w:rPr>
              <w:t>侵</w:t>
            </w:r>
            <w:r>
              <w:rPr>
                <w:b/>
                <w:i/>
                <w:spacing w:val="-2"/>
                <w:sz w:val="22"/>
              </w:rPr>
              <w:t>袭</w:t>
            </w:r>
            <w:r>
              <w:rPr>
                <w:b/>
                <w:i/>
                <w:spacing w:val="-2"/>
                <w:sz w:val="22"/>
              </w:rPr>
              <w:t>性</w:t>
            </w:r>
            <w:r>
              <w:rPr>
                <w:b/>
                <w:i/>
                <w:spacing w:val="-2"/>
                <w:sz w:val="22"/>
              </w:rPr>
              <w:t>癌</w:t>
            </w:r>
            <w:r>
              <w:rPr>
                <w:b/>
                <w:i/>
                <w:spacing w:val="-2"/>
                <w:sz w:val="22"/>
              </w:rPr>
              <w:t>）范畴</w:t>
            </w:r>
            <w:r>
              <w:rPr>
                <w:b/>
                <w:i/>
                <w:spacing w:val="-2"/>
                <w:sz w:val="22"/>
              </w:rPr>
              <w:t>的</w:t>
            </w:r>
            <w:r>
              <w:rPr>
                <w:b/>
                <w:i/>
                <w:spacing w:val="-2"/>
                <w:sz w:val="22"/>
              </w:rPr>
              <w:t>疾</w:t>
            </w:r>
            <w:r>
              <w:rPr>
                <w:b/>
                <w:i/>
                <w:spacing w:val="-2"/>
                <w:sz w:val="22"/>
              </w:rPr>
              <w:t>病</w:t>
            </w:r>
            <w:r>
              <w:rPr>
                <w:b/>
                <w:i/>
                <w:spacing w:val="-2"/>
                <w:sz w:val="22"/>
              </w:rPr>
              <w:t>，</w:t>
            </w:r>
            <w:r>
              <w:rPr>
                <w:b/>
                <w:i/>
                <w:spacing w:val="-2"/>
                <w:sz w:val="22"/>
              </w:rPr>
              <w:t>如</w:t>
            </w:r>
            <w:r>
              <w:rPr>
                <w:b/>
                <w:i/>
                <w:spacing w:val="-2"/>
                <w:sz w:val="22"/>
              </w:rPr>
              <w:t>：</w:t>
            </w:r>
          </w:p>
          <w:p>
            <w:pPr>
              <w:pStyle w:val="TableParagraph"/>
              <w:numPr>
                <w:ilvl w:val="0"/>
                <w:numId w:val="11"/>
              </w:numPr>
              <w:tabs>
                <w:tab w:pos="365" w:val="left" w:leader="none"/>
              </w:tabs>
              <w:spacing w:line="266" w:lineRule="auto" w:before="0" w:after="0"/>
              <w:ind w:left="152" w:right="93" w:firstLine="0"/>
              <w:jc w:val="left"/>
              <w:rPr>
                <w:b/>
                <w:i/>
                <w:sz w:val="22"/>
              </w:rPr>
            </w:pPr>
            <w:r>
              <w:rPr>
                <w:b/>
                <w:i/>
                <w:spacing w:val="-2"/>
                <w:w w:val="95"/>
                <w:sz w:val="22"/>
              </w:rPr>
              <w:t>原位癌，癌前病变，非浸润性癌，非侵袭性癌，肿瘤细胞未侵犯基底层，</w:t>
            </w:r>
            <w:r>
              <w:rPr>
                <w:b/>
                <w:i/>
                <w:spacing w:val="-2"/>
                <w:sz w:val="22"/>
              </w:rPr>
              <w:t>上</w:t>
            </w:r>
            <w:r>
              <w:rPr>
                <w:b/>
                <w:i/>
                <w:spacing w:val="-2"/>
                <w:sz w:val="22"/>
              </w:rPr>
              <w:t>皮</w:t>
            </w:r>
            <w:r>
              <w:rPr>
                <w:b/>
                <w:i/>
                <w:spacing w:val="-2"/>
                <w:sz w:val="22"/>
              </w:rPr>
              <w:t>内</w:t>
            </w:r>
            <w:r>
              <w:rPr>
                <w:b/>
                <w:i/>
                <w:spacing w:val="-2"/>
                <w:sz w:val="22"/>
              </w:rPr>
              <w:t>瘤</w:t>
            </w:r>
            <w:r>
              <w:rPr>
                <w:b/>
                <w:i/>
                <w:spacing w:val="-2"/>
                <w:sz w:val="22"/>
              </w:rPr>
              <w:t>变</w:t>
            </w:r>
            <w:r>
              <w:rPr>
                <w:b/>
                <w:i/>
                <w:spacing w:val="-2"/>
                <w:sz w:val="22"/>
              </w:rPr>
              <w:t>，</w:t>
            </w:r>
            <w:r>
              <w:rPr>
                <w:b/>
                <w:i/>
                <w:spacing w:val="-2"/>
                <w:sz w:val="22"/>
              </w:rPr>
              <w:t>细</w:t>
            </w:r>
            <w:r>
              <w:rPr>
                <w:b/>
                <w:i/>
                <w:spacing w:val="-2"/>
                <w:sz w:val="22"/>
              </w:rPr>
              <w:t>胞</w:t>
            </w:r>
            <w:r>
              <w:rPr>
                <w:b/>
                <w:i/>
                <w:spacing w:val="-2"/>
                <w:sz w:val="22"/>
              </w:rPr>
              <w:t>不典型</w:t>
            </w:r>
            <w:r>
              <w:rPr>
                <w:b/>
                <w:i/>
                <w:spacing w:val="-2"/>
                <w:sz w:val="22"/>
              </w:rPr>
              <w:t>性</w:t>
            </w:r>
            <w:r>
              <w:rPr>
                <w:b/>
                <w:i/>
                <w:spacing w:val="-2"/>
                <w:sz w:val="22"/>
              </w:rPr>
              <w:t>增</w:t>
            </w:r>
            <w:r>
              <w:rPr>
                <w:b/>
                <w:i/>
                <w:spacing w:val="-2"/>
                <w:sz w:val="22"/>
              </w:rPr>
              <w:t>生</w:t>
            </w:r>
            <w:r>
              <w:rPr>
                <w:b/>
                <w:i/>
                <w:spacing w:val="-2"/>
                <w:sz w:val="22"/>
              </w:rPr>
              <w:t>等</w:t>
            </w:r>
            <w:r>
              <w:rPr>
                <w:b/>
                <w:i/>
                <w:spacing w:val="-2"/>
                <w:sz w:val="22"/>
              </w:rPr>
              <w:t>；</w:t>
            </w:r>
          </w:p>
          <w:p>
            <w:pPr>
              <w:pStyle w:val="TableParagraph"/>
              <w:numPr>
                <w:ilvl w:val="0"/>
                <w:numId w:val="11"/>
              </w:numPr>
              <w:tabs>
                <w:tab w:pos="365" w:val="left" w:leader="none"/>
              </w:tabs>
              <w:spacing w:line="280" w:lineRule="exact" w:before="0" w:after="0"/>
              <w:ind w:left="364" w:right="0" w:hanging="213"/>
              <w:jc w:val="left"/>
              <w:rPr>
                <w:b/>
                <w:i/>
                <w:sz w:val="22"/>
              </w:rPr>
            </w:pPr>
            <w:r>
              <w:rPr>
                <w:b/>
                <w:i/>
                <w:spacing w:val="-3"/>
                <w:w w:val="95"/>
                <w:sz w:val="22"/>
              </w:rPr>
              <w:t>交界性肿瘤，交界恶性肿瘤，肿瘤低度恶性潜能，潜在低度恶性肿瘤等。</w:t>
            </w:r>
          </w:p>
        </w:tc>
      </w:tr>
      <w:tr>
        <w:trPr>
          <w:trHeight w:val="467" w:hRule="atLeast"/>
        </w:trPr>
        <w:tc>
          <w:tcPr>
            <w:tcW w:w="883" w:type="dxa"/>
          </w:tcPr>
          <w:p>
            <w:pPr>
              <w:pStyle w:val="TableParagraph"/>
              <w:spacing w:before="177"/>
              <w:ind w:left="50"/>
              <w:rPr>
                <w:b/>
                <w:sz w:val="21"/>
              </w:rPr>
            </w:pPr>
            <w:r>
              <w:rPr>
                <w:b/>
                <w:spacing w:val="-2"/>
                <w:sz w:val="21"/>
              </w:rPr>
              <w:t>9.6.2</w:t>
            </w:r>
          </w:p>
        </w:tc>
        <w:tc>
          <w:tcPr>
            <w:tcW w:w="1725" w:type="dxa"/>
          </w:tcPr>
          <w:p>
            <w:pPr>
              <w:pStyle w:val="TableParagraph"/>
              <w:spacing w:before="177"/>
              <w:ind w:left="304"/>
              <w:rPr>
                <w:rFonts w:ascii="楷体" w:eastAsia="楷体" w:hint="eastAsia"/>
                <w:b/>
                <w:sz w:val="21"/>
              </w:rPr>
            </w:pPr>
            <w:r>
              <w:rPr>
                <w:rFonts w:ascii="楷体" w:eastAsia="楷体" w:hint="eastAsia"/>
                <w:b/>
                <w:spacing w:val="-2"/>
                <w:sz w:val="21"/>
              </w:rPr>
              <w:t>较轻急性心肌</w:t>
            </w:r>
          </w:p>
        </w:tc>
        <w:tc>
          <w:tcPr>
            <w:tcW w:w="7208" w:type="dxa"/>
          </w:tcPr>
          <w:p>
            <w:pPr>
              <w:pStyle w:val="TableParagraph"/>
              <w:spacing w:before="177"/>
              <w:ind w:left="152"/>
              <w:rPr>
                <w:sz w:val="21"/>
              </w:rPr>
            </w:pPr>
            <w:r>
              <w:rPr>
                <w:spacing w:val="-3"/>
                <w:sz w:val="21"/>
              </w:rPr>
              <w:t>急性心肌梗死指由于冠状动脉闭塞或梗阻引起部分心肌严重的持久性缺血</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before="22"/>
              <w:ind w:left="304"/>
              <w:rPr>
                <w:rFonts w:ascii="楷体" w:eastAsia="楷体" w:hint="eastAsia"/>
                <w:b/>
                <w:sz w:val="21"/>
              </w:rPr>
            </w:pPr>
            <w:r>
              <w:rPr>
                <w:rFonts w:ascii="楷体" w:eastAsia="楷体" w:hint="eastAsia"/>
                <w:b/>
                <w:spacing w:val="-5"/>
                <w:sz w:val="21"/>
              </w:rPr>
              <w:t>梗死</w:t>
            </w:r>
          </w:p>
        </w:tc>
        <w:tc>
          <w:tcPr>
            <w:tcW w:w="7208" w:type="dxa"/>
          </w:tcPr>
          <w:p>
            <w:pPr>
              <w:pStyle w:val="TableParagraph"/>
              <w:spacing w:before="22"/>
              <w:ind w:left="152"/>
              <w:rPr>
                <w:sz w:val="21"/>
              </w:rPr>
            </w:pPr>
            <w:r>
              <w:rPr>
                <w:spacing w:val="-5"/>
                <w:sz w:val="21"/>
              </w:rPr>
              <w:t>造成急性心肌坏死。急性心肌梗死的诊断必须依据国际国内诊断标准，符合</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4"/>
                <w:sz w:val="21"/>
              </w:rPr>
              <w:t>（1）检测到肌酸激酶同工酶（CK-MB）或肌钙蛋白（cTn）</w:t>
            </w:r>
            <w:r>
              <w:rPr>
                <w:spacing w:val="-5"/>
                <w:sz w:val="21"/>
              </w:rPr>
              <w:t>升高和/或降低的</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10"/>
                <w:sz w:val="21"/>
              </w:rPr>
              <w:t>动态变化，至少一次达到或超过心肌梗死的临床诊断标准；</w:t>
            </w:r>
            <w:r>
              <w:rPr>
                <w:spacing w:val="27"/>
                <w:sz w:val="21"/>
              </w:rPr>
              <w:t>（</w:t>
            </w:r>
            <w:r>
              <w:rPr>
                <w:spacing w:val="24"/>
                <w:sz w:val="21"/>
              </w:rPr>
              <w:t>2</w:t>
            </w:r>
            <w:r>
              <w:rPr>
                <w:spacing w:val="14"/>
                <w:sz w:val="21"/>
              </w:rPr>
              <w:t>）</w:t>
            </w:r>
            <w:r>
              <w:rPr>
                <w:spacing w:val="-7"/>
                <w:sz w:val="21"/>
              </w:rPr>
              <w:t>同时存在下</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5"/>
                <w:sz w:val="21"/>
              </w:rPr>
              <w:t>列之一的证据，包括：缺血性胸痛症状、新发生的缺血性心电图改变、新生</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9"/>
                <w:sz w:val="21"/>
              </w:rPr>
              <w:t>成的病理性 </w:t>
            </w:r>
            <w:r>
              <w:rPr>
                <w:spacing w:val="-4"/>
                <w:sz w:val="21"/>
              </w:rPr>
              <w:t>Q</w:t>
            </w:r>
            <w:r>
              <w:rPr>
                <w:spacing w:val="-10"/>
                <w:sz w:val="21"/>
              </w:rPr>
              <w:t> 波、影像学证据显示有新出现的心肌活性丧失或新出现局部室</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3"/>
                <w:sz w:val="21"/>
              </w:rPr>
              <w:t>壁运动异常、冠脉造影证实存在冠状动脉血栓。</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3"/>
                <w:sz w:val="21"/>
              </w:rPr>
              <w:t>较轻急性心肌梗死指依照上述标准被明确诊断为急性心肌梗死，但未达到</w:t>
            </w:r>
          </w:p>
        </w:tc>
      </w:tr>
      <w:tr>
        <w:trPr>
          <w:trHeight w:val="78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3"/>
                <w:sz w:val="21"/>
              </w:rPr>
              <w:t>“较重急性心肌梗死”的给付标准。</w:t>
            </w:r>
          </w:p>
          <w:p>
            <w:pPr>
              <w:pStyle w:val="TableParagraph"/>
              <w:spacing w:before="33"/>
              <w:ind w:left="152"/>
              <w:rPr>
                <w:b/>
                <w:i/>
                <w:sz w:val="22"/>
              </w:rPr>
            </w:pPr>
            <w:r>
              <w:rPr>
                <w:b/>
                <w:i/>
                <w:spacing w:val="-2"/>
                <w:w w:val="95"/>
                <w:sz w:val="22"/>
              </w:rPr>
              <w:t>其他非冠状动脉阻塞性疾病引起的肌钙蛋白（cTn）</w:t>
            </w:r>
            <w:r>
              <w:rPr>
                <w:b/>
                <w:i/>
                <w:spacing w:val="-3"/>
                <w:w w:val="95"/>
                <w:sz w:val="22"/>
              </w:rPr>
              <w:t>升高不在保障范围内。</w:t>
            </w:r>
          </w:p>
        </w:tc>
      </w:tr>
      <w:tr>
        <w:trPr>
          <w:trHeight w:val="467" w:hRule="atLeast"/>
        </w:trPr>
        <w:tc>
          <w:tcPr>
            <w:tcW w:w="883" w:type="dxa"/>
          </w:tcPr>
          <w:p>
            <w:pPr>
              <w:pStyle w:val="TableParagraph"/>
              <w:spacing w:before="177"/>
              <w:ind w:left="50"/>
              <w:rPr>
                <w:b/>
                <w:sz w:val="21"/>
              </w:rPr>
            </w:pPr>
            <w:r>
              <w:rPr>
                <w:b/>
                <w:spacing w:val="-2"/>
                <w:sz w:val="21"/>
              </w:rPr>
              <w:t>9.6.3</w:t>
            </w:r>
          </w:p>
        </w:tc>
        <w:tc>
          <w:tcPr>
            <w:tcW w:w="1725" w:type="dxa"/>
          </w:tcPr>
          <w:p>
            <w:pPr>
              <w:pStyle w:val="TableParagraph"/>
              <w:spacing w:before="177"/>
              <w:ind w:left="304"/>
              <w:rPr>
                <w:rFonts w:ascii="楷体" w:eastAsia="楷体" w:hint="eastAsia"/>
                <w:b/>
                <w:sz w:val="21"/>
              </w:rPr>
            </w:pPr>
            <w:r>
              <w:rPr>
                <w:rFonts w:ascii="楷体" w:eastAsia="楷体" w:hint="eastAsia"/>
                <w:b/>
                <w:spacing w:val="-2"/>
                <w:sz w:val="21"/>
              </w:rPr>
              <w:t>轻度脑中风后</w:t>
            </w:r>
          </w:p>
        </w:tc>
        <w:tc>
          <w:tcPr>
            <w:tcW w:w="7208" w:type="dxa"/>
          </w:tcPr>
          <w:p>
            <w:pPr>
              <w:pStyle w:val="TableParagraph"/>
              <w:spacing w:before="177"/>
              <w:ind w:left="152"/>
              <w:rPr>
                <w:sz w:val="21"/>
              </w:rPr>
            </w:pPr>
            <w:r>
              <w:rPr>
                <w:spacing w:val="-3"/>
                <w:sz w:val="21"/>
              </w:rPr>
              <w:t>指因脑血管的突发病变引起脑血管出血、栓塞或梗塞，须由头颅断层扫描</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before="22"/>
              <w:ind w:left="304"/>
              <w:rPr>
                <w:rFonts w:ascii="楷体" w:eastAsia="楷体" w:hint="eastAsia"/>
                <w:b/>
                <w:sz w:val="21"/>
              </w:rPr>
            </w:pPr>
            <w:r>
              <w:rPr>
                <w:rFonts w:ascii="楷体" w:eastAsia="楷体" w:hint="eastAsia"/>
                <w:b/>
                <w:spacing w:val="-5"/>
                <w:sz w:val="21"/>
              </w:rPr>
              <w:t>遗症</w:t>
            </w:r>
          </w:p>
        </w:tc>
        <w:tc>
          <w:tcPr>
            <w:tcW w:w="7208" w:type="dxa"/>
          </w:tcPr>
          <w:p>
            <w:pPr>
              <w:pStyle w:val="TableParagraph"/>
              <w:spacing w:before="22"/>
              <w:ind w:left="152"/>
              <w:rPr>
                <w:sz w:val="21"/>
              </w:rPr>
            </w:pPr>
            <w:r>
              <w:rPr>
                <w:spacing w:val="20"/>
                <w:sz w:val="21"/>
              </w:rPr>
              <w:t>（CT</w:t>
            </w:r>
            <w:r>
              <w:rPr>
                <w:spacing w:val="-86"/>
                <w:sz w:val="21"/>
              </w:rPr>
              <w:t>）</w:t>
            </w:r>
            <w:r>
              <w:rPr>
                <w:spacing w:val="-6"/>
                <w:sz w:val="21"/>
              </w:rPr>
              <w:t>、核磁共振检查（MRI）</w:t>
            </w:r>
            <w:r>
              <w:rPr>
                <w:spacing w:val="-7"/>
                <w:sz w:val="21"/>
              </w:rPr>
              <w:t>等影像学检查证实，并导致神经系统永久性的</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5"/>
                <w:sz w:val="21"/>
              </w:rPr>
              <w:t>功能障碍，但未达到“严重脑中风后遗症”的给付标准，在疾病确诊 </w:t>
            </w:r>
            <w:r>
              <w:rPr>
                <w:spacing w:val="-4"/>
                <w:sz w:val="21"/>
              </w:rPr>
              <w:t>180</w:t>
            </w:r>
            <w:r>
              <w:rPr>
                <w:spacing w:val="-19"/>
                <w:sz w:val="21"/>
              </w:rPr>
              <w:t> 天</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3"/>
                <w:sz w:val="21"/>
              </w:rPr>
              <w:t>后，仍遗留下列至少一种障碍：</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2"/>
                <w:sz w:val="21"/>
              </w:rPr>
              <w:t>（1）一肢（含）以上肢体（</w:t>
            </w:r>
            <w:r>
              <w:rPr>
                <w:spacing w:val="-26"/>
                <w:sz w:val="21"/>
              </w:rPr>
              <w:t>见 </w:t>
            </w:r>
            <w:r>
              <w:rPr>
                <w:spacing w:val="-2"/>
                <w:sz w:val="21"/>
              </w:rPr>
              <w:t>9.29）肌力（</w:t>
            </w:r>
            <w:r>
              <w:rPr>
                <w:spacing w:val="-24"/>
                <w:sz w:val="21"/>
              </w:rPr>
              <w:t>见 </w:t>
            </w:r>
            <w:r>
              <w:rPr>
                <w:spacing w:val="-2"/>
                <w:sz w:val="21"/>
              </w:rPr>
              <w:t>9.30）</w:t>
            </w:r>
            <w:r>
              <w:rPr>
                <w:spacing w:val="-25"/>
                <w:sz w:val="21"/>
              </w:rPr>
              <w:t>为 </w:t>
            </w:r>
            <w:r>
              <w:rPr>
                <w:spacing w:val="-2"/>
                <w:sz w:val="21"/>
              </w:rPr>
              <w:t>3</w:t>
            </w:r>
            <w:r>
              <w:rPr>
                <w:spacing w:val="-20"/>
                <w:sz w:val="21"/>
              </w:rPr>
              <w:t> 级；</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8" w:type="dxa"/>
          </w:tcPr>
          <w:p>
            <w:pPr>
              <w:pStyle w:val="TableParagraph"/>
              <w:spacing w:before="22"/>
              <w:ind w:left="152"/>
              <w:rPr>
                <w:sz w:val="21"/>
              </w:rPr>
            </w:pPr>
            <w:r>
              <w:rPr>
                <w:spacing w:val="-6"/>
                <w:sz w:val="21"/>
              </w:rPr>
              <w:t>（2）</w:t>
            </w:r>
            <w:r>
              <w:rPr>
                <w:spacing w:val="-19"/>
                <w:sz w:val="21"/>
              </w:rPr>
              <w:t>自主生活能力部分丧失，无法独立完成六项基本日常生活活动</w:t>
            </w:r>
            <w:r>
              <w:rPr>
                <w:spacing w:val="-6"/>
                <w:sz w:val="21"/>
              </w:rPr>
              <w:t>（</w:t>
            </w:r>
            <w:r>
              <w:rPr>
                <w:spacing w:val="-10"/>
                <w:sz w:val="21"/>
              </w:rPr>
              <w:t>见 </w:t>
            </w:r>
            <w:r>
              <w:rPr>
                <w:spacing w:val="-6"/>
                <w:sz w:val="21"/>
              </w:rPr>
              <w:t>9.31）</w:t>
            </w:r>
          </w:p>
        </w:tc>
      </w:tr>
      <w:tr>
        <w:trPr>
          <w:trHeight w:val="261" w:hRule="atLeast"/>
        </w:trPr>
        <w:tc>
          <w:tcPr>
            <w:tcW w:w="883" w:type="dxa"/>
          </w:tcPr>
          <w:p>
            <w:pPr>
              <w:pStyle w:val="TableParagraph"/>
              <w:rPr>
                <w:rFonts w:ascii="Times New Roman"/>
                <w:sz w:val="18"/>
              </w:rPr>
            </w:pPr>
          </w:p>
        </w:tc>
        <w:tc>
          <w:tcPr>
            <w:tcW w:w="1725" w:type="dxa"/>
          </w:tcPr>
          <w:p>
            <w:pPr>
              <w:pStyle w:val="TableParagraph"/>
              <w:rPr>
                <w:rFonts w:ascii="Times New Roman"/>
                <w:sz w:val="18"/>
              </w:rPr>
            </w:pPr>
          </w:p>
        </w:tc>
        <w:tc>
          <w:tcPr>
            <w:tcW w:w="7208" w:type="dxa"/>
          </w:tcPr>
          <w:p>
            <w:pPr>
              <w:pStyle w:val="TableParagraph"/>
              <w:spacing w:line="220" w:lineRule="exact" w:before="22"/>
              <w:ind w:left="152"/>
              <w:rPr>
                <w:sz w:val="21"/>
              </w:rPr>
            </w:pPr>
            <w:r>
              <w:rPr>
                <w:spacing w:val="-4"/>
                <w:sz w:val="21"/>
              </w:rPr>
              <w:t>中的两项。</w:t>
            </w:r>
          </w:p>
        </w:tc>
      </w:tr>
    </w:tbl>
    <w:p>
      <w:pPr>
        <w:spacing w:after="0" w:line="220" w:lineRule="exact"/>
        <w:rPr>
          <w:sz w:val="21"/>
        </w:rPr>
        <w:sectPr>
          <w:pgSz w:w="11910" w:h="16840"/>
          <w:pgMar w:top="1580" w:bottom="280" w:left="680" w:right="460"/>
        </w:sectPr>
      </w:pPr>
    </w:p>
    <w:p>
      <w:pPr>
        <w:pStyle w:val="Heading2"/>
        <w:numPr>
          <w:ilvl w:val="2"/>
          <w:numId w:val="12"/>
        </w:numPr>
        <w:tabs>
          <w:tab w:pos="1713" w:val="left" w:leader="none"/>
          <w:tab w:pos="1714" w:val="left" w:leader="none"/>
        </w:tabs>
        <w:spacing w:line="278" w:lineRule="auto" w:before="44" w:after="0"/>
        <w:ind w:left="1713" w:right="0" w:hanging="1138"/>
        <w:jc w:val="left"/>
        <w:rPr>
          <w:rFonts w:ascii="楷体" w:eastAsia="楷体" w:hint="eastAsia"/>
        </w:rPr>
      </w:pPr>
      <w:r>
        <w:rPr>
          <w:rFonts w:ascii="楷体" w:eastAsia="楷体" w:hint="eastAsia"/>
          <w:spacing w:val="-2"/>
        </w:rPr>
        <w:t>激光心肌血运</w:t>
      </w:r>
      <w:r>
        <w:rPr>
          <w:rFonts w:ascii="楷体" w:eastAsia="楷体" w:hint="eastAsia"/>
          <w:spacing w:val="-4"/>
        </w:rPr>
        <w:t>重建术</w:t>
      </w:r>
    </w:p>
    <w:p>
      <w:pPr>
        <w:pStyle w:val="BodyText"/>
        <w:spacing w:line="278" w:lineRule="auto" w:before="44"/>
        <w:ind w:left="265" w:right="577"/>
        <w:jc w:val="both"/>
      </w:pPr>
      <w:r>
        <w:rPr/>
        <w:br w:type="column"/>
      </w:r>
      <w:r>
        <w:rPr>
          <w:spacing w:val="-2"/>
        </w:rPr>
        <w:t>指患有顽固性心绞痛，经持续药物治疗后无改善，冠状动脉搭桥手术及经皮</w:t>
      </w:r>
      <w:r>
        <w:rPr>
          <w:spacing w:val="-2"/>
        </w:rPr>
        <w:t>血管成形手术已失败或者被认为不适合。在医院内实际进行了开胸手术下或</w:t>
      </w:r>
      <w:r>
        <w:rPr>
          <w:spacing w:val="-2"/>
        </w:rPr>
        <w:t>者胸腔镜下的激光心肌血运重建术，并且未达到重度疾病“较重急性心肌梗</w:t>
      </w:r>
      <w:r>
        <w:rPr>
          <w:spacing w:val="-2"/>
        </w:rPr>
        <w:t>死”的给付标准。</w:t>
      </w:r>
    </w:p>
    <w:p>
      <w:pPr>
        <w:spacing w:line="266" w:lineRule="auto" w:before="0"/>
        <w:ind w:left="265" w:right="580" w:firstLine="0"/>
        <w:jc w:val="both"/>
        <w:rPr>
          <w:b/>
          <w:i/>
          <w:sz w:val="22"/>
        </w:rPr>
      </w:pPr>
      <w:r>
        <w:rPr>
          <w:b/>
          <w:i/>
          <w:spacing w:val="-17"/>
          <w:w w:val="95"/>
          <w:sz w:val="22"/>
        </w:rPr>
        <w:t>我们仅对“冠状动脉介入手术”、“较轻急性心肌梗死”和“激光心肌血运重</w:t>
      </w:r>
      <w:r>
        <w:rPr>
          <w:b/>
          <w:i/>
          <w:spacing w:val="-2"/>
          <w:w w:val="95"/>
          <w:sz w:val="22"/>
        </w:rPr>
        <w:t>建术”三种疾病中的其中一种承担保险责任，给付其中一种疾病对应的保险</w:t>
      </w:r>
      <w:r>
        <w:rPr>
          <w:b/>
          <w:i/>
          <w:spacing w:val="-2"/>
          <w:sz w:val="22"/>
        </w:rPr>
        <w:t>金</w:t>
      </w:r>
      <w:r>
        <w:rPr>
          <w:b/>
          <w:i/>
          <w:spacing w:val="-2"/>
          <w:sz w:val="22"/>
        </w:rPr>
        <w:t>后</w:t>
      </w:r>
      <w:r>
        <w:rPr>
          <w:b/>
          <w:i/>
          <w:spacing w:val="-2"/>
          <w:sz w:val="22"/>
        </w:rPr>
        <w:t>，</w:t>
      </w:r>
      <w:r>
        <w:rPr>
          <w:b/>
          <w:i/>
          <w:spacing w:val="-2"/>
          <w:sz w:val="22"/>
        </w:rPr>
        <w:t>对</w:t>
      </w:r>
      <w:r>
        <w:rPr>
          <w:b/>
          <w:i/>
          <w:spacing w:val="-2"/>
          <w:sz w:val="22"/>
        </w:rPr>
        <w:t>另</w:t>
      </w:r>
      <w:r>
        <w:rPr>
          <w:b/>
          <w:i/>
          <w:spacing w:val="-2"/>
          <w:sz w:val="22"/>
        </w:rPr>
        <w:t>外</w:t>
      </w:r>
      <w:r>
        <w:rPr>
          <w:b/>
          <w:i/>
          <w:spacing w:val="-2"/>
          <w:sz w:val="22"/>
        </w:rPr>
        <w:t>两</w:t>
      </w:r>
      <w:r>
        <w:rPr>
          <w:b/>
          <w:i/>
          <w:spacing w:val="-2"/>
          <w:sz w:val="22"/>
        </w:rPr>
        <w:t>种</w:t>
      </w:r>
      <w:r>
        <w:rPr>
          <w:b/>
          <w:i/>
          <w:spacing w:val="-2"/>
          <w:sz w:val="22"/>
        </w:rPr>
        <w:t>疾病的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p>
      <w:pPr>
        <w:spacing w:after="0" w:line="266" w:lineRule="auto"/>
        <w:jc w:val="both"/>
        <w:rPr>
          <w:sz w:val="22"/>
        </w:rPr>
        <w:sectPr>
          <w:pgSz w:w="11910" w:h="16840"/>
          <w:pgMar w:top="1520" w:bottom="280" w:left="680" w:right="460"/>
          <w:cols w:num="2" w:equalWidth="0">
            <w:col w:w="2981" w:space="40"/>
            <w:col w:w="7749"/>
          </w:cols>
        </w:sectPr>
      </w:pPr>
    </w:p>
    <w:p>
      <w:pPr>
        <w:pStyle w:val="BodyText"/>
        <w:spacing w:before="7"/>
        <w:rPr>
          <w:b/>
          <w:i/>
          <w:sz w:val="18"/>
        </w:rPr>
      </w:pPr>
    </w:p>
    <w:p>
      <w:pPr>
        <w:pStyle w:val="ListParagraph"/>
        <w:numPr>
          <w:ilvl w:val="2"/>
          <w:numId w:val="12"/>
        </w:numPr>
        <w:tabs>
          <w:tab w:pos="1713" w:val="left" w:leader="none"/>
          <w:tab w:pos="1714" w:val="left" w:leader="none"/>
          <w:tab w:pos="3285" w:val="left" w:leader="none"/>
        </w:tabs>
        <w:spacing w:line="278" w:lineRule="auto" w:before="72" w:after="0"/>
        <w:ind w:left="3285" w:right="577" w:hanging="2711"/>
        <w:jc w:val="left"/>
        <w:rPr>
          <w:sz w:val="21"/>
        </w:rPr>
      </w:pPr>
      <w:r>
        <w:rPr>
          <w:rFonts w:ascii="楷体" w:hAnsi="楷体" w:eastAsia="楷体" w:hint="eastAsia"/>
          <w:b/>
          <w:spacing w:val="-2"/>
          <w:sz w:val="21"/>
        </w:rPr>
        <w:t>单</w:t>
      </w:r>
      <w:r>
        <w:rPr>
          <w:rFonts w:ascii="楷体" w:hAnsi="楷体" w:eastAsia="楷体" w:hint="eastAsia"/>
          <w:b/>
          <w:spacing w:val="-2"/>
          <w:sz w:val="21"/>
        </w:rPr>
        <w:t>个</w:t>
      </w:r>
      <w:r>
        <w:rPr>
          <w:rFonts w:ascii="楷体" w:hAnsi="楷体" w:eastAsia="楷体" w:hint="eastAsia"/>
          <w:b/>
          <w:spacing w:val="-2"/>
          <w:sz w:val="21"/>
        </w:rPr>
        <w:t>肢</w:t>
      </w:r>
      <w:r>
        <w:rPr>
          <w:rFonts w:ascii="楷体" w:hAnsi="楷体" w:eastAsia="楷体" w:hint="eastAsia"/>
          <w:b/>
          <w:spacing w:val="-2"/>
          <w:sz w:val="21"/>
        </w:rPr>
        <w:t>体</w:t>
      </w:r>
      <w:r>
        <w:rPr>
          <w:rFonts w:ascii="楷体" w:hAnsi="楷体" w:eastAsia="楷体" w:hint="eastAsia"/>
          <w:b/>
          <w:spacing w:val="-2"/>
          <w:sz w:val="21"/>
        </w:rPr>
        <w:t>缺</w:t>
      </w:r>
      <w:r>
        <w:rPr>
          <w:rFonts w:ascii="楷体" w:hAnsi="楷体" w:eastAsia="楷体" w:hint="eastAsia"/>
          <w:b/>
          <w:spacing w:val="-2"/>
          <w:sz w:val="21"/>
        </w:rPr>
        <w:t>失</w:t>
      </w:r>
      <w:r>
        <w:rPr>
          <w:rFonts w:ascii="楷体" w:hAnsi="楷体" w:eastAsia="楷体" w:hint="eastAsia"/>
          <w:b/>
          <w:sz w:val="21"/>
        </w:rPr>
        <w:tab/>
      </w:r>
      <w:r>
        <w:rPr>
          <w:spacing w:val="-2"/>
          <w:sz w:val="21"/>
        </w:rPr>
        <w:t>指</w:t>
      </w:r>
      <w:r>
        <w:rPr>
          <w:spacing w:val="-2"/>
          <w:sz w:val="21"/>
        </w:rPr>
        <w:t>一</w:t>
      </w:r>
      <w:r>
        <w:rPr>
          <w:spacing w:val="-2"/>
          <w:sz w:val="21"/>
        </w:rPr>
        <w:t>个肢体自腕关节或踝</w:t>
      </w:r>
      <w:r>
        <w:rPr>
          <w:spacing w:val="-2"/>
          <w:sz w:val="21"/>
        </w:rPr>
        <w:t>关</w:t>
      </w:r>
      <w:r>
        <w:rPr>
          <w:spacing w:val="-2"/>
          <w:sz w:val="21"/>
        </w:rPr>
        <w:t>节</w:t>
      </w:r>
      <w:r>
        <w:rPr>
          <w:spacing w:val="-2"/>
          <w:sz w:val="21"/>
        </w:rPr>
        <w:t>近端（靠近躯干端）</w:t>
      </w:r>
      <w:r>
        <w:rPr>
          <w:spacing w:val="-2"/>
          <w:sz w:val="21"/>
        </w:rPr>
        <w:t>以</w:t>
      </w:r>
      <w:r>
        <w:rPr>
          <w:spacing w:val="-2"/>
          <w:sz w:val="21"/>
        </w:rPr>
        <w:t>上</w:t>
      </w:r>
      <w:r>
        <w:rPr>
          <w:spacing w:val="-2"/>
          <w:sz w:val="21"/>
        </w:rPr>
        <w:t>完全性断离，但</w:t>
      </w:r>
      <w:r>
        <w:rPr>
          <w:spacing w:val="-2"/>
          <w:sz w:val="21"/>
        </w:rPr>
        <w:t>未</w:t>
      </w:r>
      <w:r>
        <w:rPr>
          <w:spacing w:val="-2"/>
          <w:sz w:val="21"/>
        </w:rPr>
        <w:t>达</w:t>
      </w:r>
      <w:r>
        <w:rPr>
          <w:spacing w:val="-2"/>
          <w:sz w:val="21"/>
        </w:rPr>
        <w:t>到</w:t>
      </w:r>
      <w:r>
        <w:rPr>
          <w:spacing w:val="-2"/>
          <w:sz w:val="21"/>
        </w:rPr>
        <w:t>重</w:t>
      </w:r>
      <w:r>
        <w:rPr>
          <w:spacing w:val="-2"/>
          <w:sz w:val="21"/>
        </w:rPr>
        <w:t>度疾病“多个肢体缺</w:t>
      </w:r>
      <w:r>
        <w:rPr>
          <w:spacing w:val="-2"/>
          <w:sz w:val="21"/>
        </w:rPr>
        <w:t>失</w:t>
      </w:r>
      <w:r>
        <w:rPr>
          <w:spacing w:val="-2"/>
          <w:sz w:val="21"/>
        </w:rPr>
        <w:t>”的给付标准。</w:t>
      </w:r>
    </w:p>
    <w:p>
      <w:pPr>
        <w:spacing w:line="266" w:lineRule="auto" w:before="0"/>
        <w:ind w:left="3285" w:right="582" w:firstLine="0"/>
        <w:jc w:val="left"/>
        <w:rPr>
          <w:b/>
          <w:i/>
          <w:sz w:val="22"/>
        </w:rPr>
      </w:pPr>
      <w:r>
        <w:rPr>
          <w:b/>
          <w:i/>
          <w:spacing w:val="-2"/>
          <w:w w:val="95"/>
          <w:sz w:val="22"/>
        </w:rPr>
        <w:t>因“糖尿病导致单足截除”或者因恶性肿瘤导致肢体切除导致的单个肢体缺</w:t>
      </w:r>
      <w:r>
        <w:rPr>
          <w:b/>
          <w:i/>
          <w:spacing w:val="-2"/>
          <w:sz w:val="22"/>
        </w:rPr>
        <w:t>失</w:t>
      </w:r>
      <w:r>
        <w:rPr>
          <w:b/>
          <w:i/>
          <w:spacing w:val="-2"/>
          <w:sz w:val="22"/>
        </w:rPr>
        <w:t>不</w:t>
      </w:r>
      <w:r>
        <w:rPr>
          <w:b/>
          <w:i/>
          <w:spacing w:val="-2"/>
          <w:sz w:val="22"/>
        </w:rPr>
        <w:t>在</w:t>
      </w:r>
      <w:r>
        <w:rPr>
          <w:b/>
          <w:i/>
          <w:spacing w:val="-2"/>
          <w:sz w:val="22"/>
        </w:rPr>
        <w:t>保</w:t>
      </w:r>
      <w:r>
        <w:rPr>
          <w:b/>
          <w:i/>
          <w:spacing w:val="-2"/>
          <w:sz w:val="22"/>
        </w:rPr>
        <w:t>障</w:t>
      </w:r>
      <w:r>
        <w:rPr>
          <w:b/>
          <w:i/>
          <w:spacing w:val="-2"/>
          <w:sz w:val="22"/>
        </w:rPr>
        <w:t>范</w:t>
      </w:r>
      <w:r>
        <w:rPr>
          <w:b/>
          <w:i/>
          <w:spacing w:val="-2"/>
          <w:sz w:val="22"/>
        </w:rPr>
        <w:t>围</w:t>
      </w:r>
      <w:r>
        <w:rPr>
          <w:b/>
          <w:i/>
          <w:spacing w:val="-2"/>
          <w:sz w:val="22"/>
        </w:rPr>
        <w:t>内</w:t>
      </w:r>
      <w:r>
        <w:rPr>
          <w:b/>
          <w:i/>
          <w:spacing w:val="-2"/>
          <w:sz w:val="22"/>
        </w:rPr>
        <w:t>。</w:t>
      </w:r>
    </w:p>
    <w:p>
      <w:pPr>
        <w:pStyle w:val="BodyText"/>
        <w:spacing w:before="8"/>
        <w:rPr>
          <w:b/>
          <w:i/>
          <w:sz w:val="18"/>
        </w:rPr>
      </w:pPr>
    </w:p>
    <w:p>
      <w:pPr>
        <w:spacing w:after="0"/>
        <w:rPr>
          <w:sz w:val="18"/>
        </w:rPr>
        <w:sectPr>
          <w:type w:val="continuous"/>
          <w:pgSz w:w="11910" w:h="16840"/>
          <w:pgMar w:top="460" w:bottom="280" w:left="680" w:right="460"/>
        </w:sectPr>
      </w:pPr>
    </w:p>
    <w:p>
      <w:pPr>
        <w:pStyle w:val="Heading2"/>
        <w:numPr>
          <w:ilvl w:val="2"/>
          <w:numId w:val="12"/>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病毒性肝炎导</w:t>
      </w:r>
      <w:r>
        <w:rPr>
          <w:rFonts w:ascii="楷体" w:eastAsia="楷体" w:hint="eastAsia"/>
          <w:spacing w:val="-2"/>
        </w:rPr>
        <w:t>致的肝硬化</w:t>
      </w:r>
    </w:p>
    <w:p>
      <w:pPr>
        <w:pStyle w:val="BodyText"/>
        <w:spacing w:line="278" w:lineRule="auto" w:before="72"/>
        <w:ind w:left="265" w:right="579"/>
        <w:jc w:val="both"/>
      </w:pPr>
      <w:r>
        <w:rPr/>
        <w:br w:type="column"/>
      </w:r>
      <w:r>
        <w:rPr>
          <w:spacing w:val="-2"/>
        </w:rPr>
        <w:t>因肝炎病毒感染的肝脏慢性炎症并发展为肝硬化，且未达到重度疾病“恶性</w:t>
      </w:r>
      <w:r>
        <w:rPr>
          <w:spacing w:val="-2"/>
        </w:rPr>
        <w:t>肿瘤——重度”或“严重慢性肝衰竭”的给付标准。理赔时须满足下列全部</w:t>
      </w:r>
      <w:r>
        <w:rPr>
          <w:spacing w:val="-4"/>
        </w:rPr>
        <w:t>条件：</w:t>
      </w:r>
    </w:p>
    <w:p>
      <w:pPr>
        <w:pStyle w:val="ListParagraph"/>
        <w:numPr>
          <w:ilvl w:val="0"/>
          <w:numId w:val="13"/>
        </w:numPr>
        <w:tabs>
          <w:tab w:pos="795" w:val="left" w:leader="none"/>
        </w:tabs>
        <w:spacing w:line="269" w:lineRule="exact" w:before="0" w:after="0"/>
        <w:ind w:left="794" w:right="0" w:hanging="530"/>
        <w:jc w:val="left"/>
        <w:rPr>
          <w:sz w:val="21"/>
        </w:rPr>
      </w:pPr>
      <w:r>
        <w:rPr>
          <w:spacing w:val="-3"/>
          <w:sz w:val="21"/>
        </w:rPr>
        <w:t>被保险人有感染慢性肝炎病毒的血清学及实验室检查报告等临床证据；</w:t>
      </w:r>
    </w:p>
    <w:p>
      <w:pPr>
        <w:pStyle w:val="ListParagraph"/>
        <w:numPr>
          <w:ilvl w:val="0"/>
          <w:numId w:val="13"/>
        </w:numPr>
        <w:tabs>
          <w:tab w:pos="795" w:val="left" w:leader="none"/>
        </w:tabs>
        <w:spacing w:line="278" w:lineRule="auto" w:before="43" w:after="0"/>
        <w:ind w:left="265" w:right="649" w:firstLine="0"/>
        <w:jc w:val="left"/>
        <w:rPr>
          <w:sz w:val="21"/>
        </w:rPr>
      </w:pPr>
      <w:r>
        <w:rPr>
          <w:spacing w:val="-2"/>
          <w:sz w:val="21"/>
        </w:rPr>
        <w:t>必须由医院的消化科专科医生基于肝脏组织病理学检查报告、临床表</w:t>
      </w:r>
      <w:r>
        <w:rPr>
          <w:spacing w:val="-2"/>
          <w:sz w:val="21"/>
        </w:rPr>
        <w:t>现及病史对肝炎病毒感染导致肝硬化作出明确诊断；</w:t>
      </w:r>
    </w:p>
    <w:p>
      <w:pPr>
        <w:pStyle w:val="ListParagraph"/>
        <w:numPr>
          <w:ilvl w:val="0"/>
          <w:numId w:val="13"/>
        </w:numPr>
        <w:tabs>
          <w:tab w:pos="795" w:val="left" w:leader="none"/>
        </w:tabs>
        <w:spacing w:line="278" w:lineRule="auto" w:before="0" w:after="0"/>
        <w:ind w:left="265" w:right="577" w:firstLine="0"/>
        <w:jc w:val="left"/>
        <w:rPr>
          <w:sz w:val="21"/>
        </w:rPr>
      </w:pPr>
      <w:r>
        <w:rPr>
          <w:spacing w:val="2"/>
          <w:sz w:val="21"/>
        </w:rPr>
        <w:t>病理学检查报告证明肝脏病变按</w:t>
      </w:r>
      <w:r>
        <w:rPr>
          <w:sz w:val="21"/>
        </w:rPr>
        <w:t>Metavir</w:t>
      </w:r>
      <w:r>
        <w:rPr>
          <w:spacing w:val="-5"/>
          <w:sz w:val="21"/>
        </w:rPr>
        <w:t> 分级表中属</w:t>
      </w:r>
      <w:r>
        <w:rPr>
          <w:sz w:val="21"/>
        </w:rPr>
        <w:t>F4</w:t>
      </w:r>
      <w:r>
        <w:rPr>
          <w:spacing w:val="-14"/>
          <w:sz w:val="21"/>
        </w:rPr>
        <w:t> 阶段或</w:t>
      </w:r>
      <w:r>
        <w:rPr>
          <w:sz w:val="21"/>
        </w:rPr>
        <w:t> Knodell</w:t>
      </w:r>
      <w:r>
        <w:rPr>
          <w:spacing w:val="-3"/>
          <w:sz w:val="21"/>
        </w:rPr>
        <w:t>肝纤维化标准达到 </w:t>
      </w:r>
      <w:r>
        <w:rPr>
          <w:sz w:val="21"/>
        </w:rPr>
        <w:t>4</w:t>
      </w:r>
      <w:r>
        <w:rPr>
          <w:spacing w:val="-9"/>
          <w:sz w:val="21"/>
        </w:rPr>
        <w:t> 分。</w:t>
      </w:r>
    </w:p>
    <w:p>
      <w:pPr>
        <w:spacing w:line="272" w:lineRule="exact" w:before="0"/>
        <w:ind w:left="265" w:right="0" w:firstLine="0"/>
        <w:jc w:val="left"/>
        <w:rPr>
          <w:b/>
          <w:i/>
          <w:sz w:val="22"/>
        </w:rPr>
      </w:pPr>
      <w:r>
        <w:rPr>
          <w:b/>
          <w:i/>
          <w:spacing w:val="-3"/>
          <w:w w:val="95"/>
          <w:sz w:val="22"/>
        </w:rPr>
        <w:t>由酒精或药物滥用而引起的本疾病不在保障范围内。</w:t>
      </w:r>
    </w:p>
    <w:p>
      <w:pPr>
        <w:spacing w:line="266" w:lineRule="auto" w:before="30"/>
        <w:ind w:left="265" w:right="580" w:firstLine="0"/>
        <w:jc w:val="both"/>
        <w:rPr>
          <w:b/>
          <w:i/>
          <w:sz w:val="22"/>
        </w:rPr>
      </w:pPr>
      <w:r>
        <w:rPr>
          <w:b/>
          <w:i/>
          <w:spacing w:val="-2"/>
          <w:w w:val="95"/>
          <w:sz w:val="22"/>
        </w:rPr>
        <w:t>我们仅对“病毒性肝炎导致的肝硬化”和“慢性肝功能衰竭”两种疾病中的</w:t>
      </w:r>
      <w:r>
        <w:rPr>
          <w:b/>
          <w:i/>
          <w:spacing w:val="-2"/>
          <w:w w:val="95"/>
          <w:sz w:val="22"/>
        </w:rPr>
        <w:t>其中一种承担保险责任，给付其中一种疾病对应的保险金后，对另外一种疾</w:t>
      </w:r>
      <w:r>
        <w:rPr>
          <w:b/>
          <w:i/>
          <w:spacing w:val="-2"/>
          <w:sz w:val="22"/>
        </w:rPr>
        <w:t>病</w:t>
      </w:r>
      <w:r>
        <w:rPr>
          <w:b/>
          <w:i/>
          <w:spacing w:val="-2"/>
          <w:sz w:val="22"/>
        </w:rPr>
        <w:t>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p>
      <w:pPr>
        <w:spacing w:after="0" w:line="266" w:lineRule="auto"/>
        <w:jc w:val="both"/>
        <w:rPr>
          <w:sz w:val="22"/>
        </w:rPr>
        <w:sectPr>
          <w:type w:val="continuous"/>
          <w:pgSz w:w="11910" w:h="16840"/>
          <w:pgMar w:top="460" w:bottom="280" w:left="680" w:right="460"/>
          <w:cols w:num="2" w:equalWidth="0">
            <w:col w:w="2981" w:space="40"/>
            <w:col w:w="7749"/>
          </w:cols>
        </w:sectPr>
      </w:pPr>
    </w:p>
    <w:p>
      <w:pPr>
        <w:pStyle w:val="BodyText"/>
        <w:spacing w:before="4"/>
        <w:rPr>
          <w:b/>
          <w:i/>
          <w:sz w:val="19"/>
        </w:rPr>
      </w:pPr>
    </w:p>
    <w:p>
      <w:pPr>
        <w:spacing w:after="0"/>
        <w:rPr>
          <w:sz w:val="19"/>
        </w:rPr>
        <w:sectPr>
          <w:type w:val="continuous"/>
          <w:pgSz w:w="11910" w:h="16840"/>
          <w:pgMar w:top="460" w:bottom="280" w:left="680" w:right="460"/>
        </w:sectPr>
      </w:pPr>
    </w:p>
    <w:p>
      <w:pPr>
        <w:pStyle w:val="Heading2"/>
        <w:numPr>
          <w:ilvl w:val="2"/>
          <w:numId w:val="12"/>
        </w:numPr>
        <w:tabs>
          <w:tab w:pos="1714" w:val="left" w:leader="none"/>
        </w:tabs>
        <w:spacing w:line="278" w:lineRule="auto" w:before="72" w:after="0"/>
        <w:ind w:left="1713" w:right="0" w:hanging="1138"/>
        <w:jc w:val="both"/>
        <w:rPr>
          <w:rFonts w:ascii="楷体" w:eastAsia="楷体" w:hint="eastAsia"/>
        </w:rPr>
      </w:pPr>
      <w:r>
        <w:rPr>
          <w:rFonts w:ascii="楷体" w:eastAsia="楷体" w:hint="eastAsia"/>
          <w:spacing w:val="-2"/>
        </w:rPr>
        <w:t>脑垂体瘤、脑</w:t>
      </w:r>
      <w:r>
        <w:rPr>
          <w:rFonts w:ascii="楷体" w:eastAsia="楷体" w:hint="eastAsia"/>
          <w:spacing w:val="-2"/>
        </w:rPr>
        <w:t>囊肿、脑动脉</w:t>
      </w:r>
      <w:r>
        <w:rPr>
          <w:rFonts w:ascii="楷体" w:eastAsia="楷体" w:hint="eastAsia"/>
          <w:spacing w:val="-2"/>
        </w:rPr>
        <w:t>瘤及脑血管瘤</w:t>
      </w:r>
    </w:p>
    <w:p>
      <w:pPr>
        <w:pStyle w:val="BodyText"/>
        <w:spacing w:line="278" w:lineRule="auto" w:before="72"/>
        <w:ind w:left="265" w:right="577"/>
        <w:jc w:val="both"/>
      </w:pPr>
      <w:r>
        <w:rPr/>
        <w:br w:type="column"/>
      </w:r>
      <w:r>
        <w:rPr>
          <w:spacing w:val="-4"/>
        </w:rPr>
        <w:t>指经头颅断层扫描</w:t>
      </w:r>
      <w:r>
        <w:rPr>
          <w:spacing w:val="23"/>
        </w:rPr>
        <w:t>（</w:t>
      </w:r>
      <w:r>
        <w:rPr>
          <w:spacing w:val="20"/>
        </w:rPr>
        <w:t>C</w:t>
      </w:r>
      <w:r>
        <w:rPr>
          <w:spacing w:val="23"/>
        </w:rPr>
        <w:t>T</w:t>
      </w:r>
      <w:r>
        <w:rPr>
          <w:spacing w:val="-83"/>
        </w:rPr>
        <w:t>）</w:t>
      </w:r>
      <w:r>
        <w:rPr>
          <w:spacing w:val="-4"/>
        </w:rPr>
        <w:t>、核磁共振检查（MRI）或者其他影像学检查被确诊</w:t>
      </w:r>
      <w:r>
        <w:rPr>
          <w:spacing w:val="-2"/>
        </w:rPr>
        <w:t>为下列病变，并实际接受了手术或者放射治疗，且未达到重度疾病“颅脑手</w:t>
      </w:r>
      <w:r>
        <w:rPr>
          <w:spacing w:val="-2"/>
        </w:rPr>
        <w:t>术”的给付标准。</w:t>
      </w:r>
    </w:p>
    <w:p>
      <w:pPr>
        <w:pStyle w:val="ListParagraph"/>
        <w:numPr>
          <w:ilvl w:val="0"/>
          <w:numId w:val="14"/>
        </w:numPr>
        <w:tabs>
          <w:tab w:pos="795" w:val="left" w:leader="none"/>
        </w:tabs>
        <w:spacing w:line="269" w:lineRule="exact" w:before="0" w:after="0"/>
        <w:ind w:left="794" w:right="0" w:hanging="530"/>
        <w:jc w:val="left"/>
        <w:rPr>
          <w:sz w:val="21"/>
        </w:rPr>
      </w:pPr>
      <w:r>
        <w:rPr>
          <w:spacing w:val="-4"/>
          <w:sz w:val="21"/>
        </w:rPr>
        <w:t>脑垂体瘤；</w:t>
      </w:r>
    </w:p>
    <w:p>
      <w:pPr>
        <w:pStyle w:val="ListParagraph"/>
        <w:numPr>
          <w:ilvl w:val="0"/>
          <w:numId w:val="14"/>
        </w:numPr>
        <w:tabs>
          <w:tab w:pos="795" w:val="left" w:leader="none"/>
        </w:tabs>
        <w:spacing w:line="240" w:lineRule="auto" w:before="43" w:after="0"/>
        <w:ind w:left="794" w:right="0" w:hanging="530"/>
        <w:jc w:val="left"/>
        <w:rPr>
          <w:sz w:val="21"/>
        </w:rPr>
      </w:pPr>
      <w:r>
        <w:rPr>
          <w:spacing w:val="-4"/>
          <w:sz w:val="21"/>
        </w:rPr>
        <w:t>脑囊肿；</w:t>
      </w:r>
    </w:p>
    <w:p>
      <w:pPr>
        <w:pStyle w:val="ListParagraph"/>
        <w:numPr>
          <w:ilvl w:val="0"/>
          <w:numId w:val="14"/>
        </w:numPr>
        <w:tabs>
          <w:tab w:pos="795" w:val="left" w:leader="none"/>
        </w:tabs>
        <w:spacing w:line="240" w:lineRule="auto" w:before="43" w:after="0"/>
        <w:ind w:left="794" w:right="0" w:hanging="530"/>
        <w:jc w:val="left"/>
        <w:rPr>
          <w:sz w:val="21"/>
        </w:rPr>
      </w:pPr>
      <w:r>
        <w:rPr>
          <w:spacing w:val="-3"/>
          <w:sz w:val="21"/>
        </w:rPr>
        <w:t>脑动脉瘤、脑血管瘤。</w:t>
      </w:r>
    </w:p>
    <w:p>
      <w:pPr>
        <w:spacing w:line="266" w:lineRule="auto" w:before="33"/>
        <w:ind w:left="265" w:right="578" w:firstLine="0"/>
        <w:jc w:val="both"/>
        <w:rPr>
          <w:b/>
          <w:i/>
          <w:sz w:val="22"/>
        </w:rPr>
      </w:pPr>
      <w:r>
        <w:rPr>
          <w:b/>
          <w:i/>
          <w:spacing w:val="-26"/>
          <w:w w:val="95"/>
          <w:sz w:val="22"/>
        </w:rPr>
        <w:t>我们仅对“轻度脑中风后遗症”、“微创颅脑手术”、“脑垂体瘤、脑囊肿、脑</w:t>
      </w:r>
      <w:r>
        <w:rPr>
          <w:b/>
          <w:i/>
          <w:spacing w:val="-25"/>
          <w:w w:val="95"/>
          <w:sz w:val="22"/>
        </w:rPr>
        <w:t>动脉瘤及脑血管瘤”、“植入大脑内分流器”、“硬脑膜下血肿手术”五种疾病</w:t>
      </w:r>
      <w:r>
        <w:rPr>
          <w:b/>
          <w:i/>
          <w:spacing w:val="-2"/>
          <w:w w:val="95"/>
          <w:sz w:val="22"/>
        </w:rPr>
        <w:t>中的其中一种承担保险责任，给付其中一种疾病对应的保险金后，对另外四</w:t>
      </w:r>
      <w:r>
        <w:rPr>
          <w:b/>
          <w:i/>
          <w:spacing w:val="-2"/>
          <w:sz w:val="22"/>
        </w:rPr>
        <w:t>种</w:t>
      </w:r>
      <w:r>
        <w:rPr>
          <w:b/>
          <w:i/>
          <w:spacing w:val="-2"/>
          <w:sz w:val="22"/>
        </w:rPr>
        <w:t>疾</w:t>
      </w:r>
      <w:r>
        <w:rPr>
          <w:b/>
          <w:i/>
          <w:spacing w:val="-2"/>
          <w:sz w:val="22"/>
        </w:rPr>
        <w:t>病</w:t>
      </w:r>
      <w:r>
        <w:rPr>
          <w:b/>
          <w:i/>
          <w:spacing w:val="-2"/>
          <w:sz w:val="22"/>
        </w:rPr>
        <w:t>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同时终</w:t>
      </w:r>
      <w:r>
        <w:rPr>
          <w:b/>
          <w:i/>
          <w:spacing w:val="-2"/>
          <w:sz w:val="22"/>
        </w:rPr>
        <w:t>止</w:t>
      </w:r>
      <w:r>
        <w:rPr>
          <w:b/>
          <w:i/>
          <w:spacing w:val="-2"/>
          <w:sz w:val="22"/>
        </w:rPr>
        <w:t>。</w:t>
      </w:r>
    </w:p>
    <w:p>
      <w:pPr>
        <w:spacing w:after="0" w:line="266" w:lineRule="auto"/>
        <w:jc w:val="both"/>
        <w:rPr>
          <w:sz w:val="22"/>
        </w:rPr>
        <w:sectPr>
          <w:type w:val="continuous"/>
          <w:pgSz w:w="11910" w:h="16840"/>
          <w:pgMar w:top="460" w:bottom="280" w:left="680" w:right="460"/>
          <w:cols w:num="2" w:equalWidth="0">
            <w:col w:w="2981" w:space="40"/>
            <w:col w:w="7749"/>
          </w:cols>
        </w:sectPr>
      </w:pPr>
    </w:p>
    <w:p>
      <w:pPr>
        <w:pStyle w:val="BodyText"/>
        <w:spacing w:before="4"/>
        <w:rPr>
          <w:b/>
          <w:i/>
          <w:sz w:val="19"/>
        </w:rPr>
      </w:pPr>
    </w:p>
    <w:p>
      <w:pPr>
        <w:spacing w:after="0"/>
        <w:rPr>
          <w:sz w:val="19"/>
        </w:rPr>
        <w:sectPr>
          <w:type w:val="continuous"/>
          <w:pgSz w:w="11910" w:h="16840"/>
          <w:pgMar w:top="460" w:bottom="280" w:left="680" w:right="460"/>
        </w:sectPr>
      </w:pPr>
    </w:p>
    <w:p>
      <w:pPr>
        <w:pStyle w:val="Heading2"/>
        <w:numPr>
          <w:ilvl w:val="2"/>
          <w:numId w:val="12"/>
        </w:numPr>
        <w:tabs>
          <w:tab w:pos="1713" w:val="left" w:leader="none"/>
          <w:tab w:pos="1714" w:val="left" w:leader="none"/>
        </w:tabs>
        <w:spacing w:line="278" w:lineRule="auto" w:before="71" w:after="0"/>
        <w:ind w:left="1713" w:right="0" w:hanging="1138"/>
        <w:jc w:val="left"/>
        <w:rPr>
          <w:rFonts w:ascii="楷体" w:eastAsia="楷体" w:hint="eastAsia"/>
        </w:rPr>
      </w:pPr>
      <w:r>
        <w:rPr>
          <w:rFonts w:ascii="楷体" w:eastAsia="楷体" w:hint="eastAsia"/>
          <w:spacing w:val="-2"/>
        </w:rPr>
        <w:t>轻度进行性核</w:t>
      </w:r>
      <w:r>
        <w:rPr>
          <w:rFonts w:ascii="楷体" w:eastAsia="楷体" w:hint="eastAsia"/>
          <w:spacing w:val="-4"/>
        </w:rPr>
        <w:t>上性麻痹</w:t>
      </w:r>
    </w:p>
    <w:p>
      <w:pPr>
        <w:pStyle w:val="BodyText"/>
        <w:spacing w:line="278" w:lineRule="auto" w:before="71"/>
        <w:ind w:left="265" w:right="577"/>
        <w:jc w:val="both"/>
      </w:pPr>
      <w:r>
        <w:rPr/>
        <w:br w:type="column"/>
      </w:r>
      <w:r>
        <w:rPr>
          <w:spacing w:val="-2"/>
        </w:rPr>
        <w:t>指一种少见的神经系统变性疾病，以假球麻痹、垂直性核上性眼肌麻痹、锥</w:t>
      </w:r>
      <w:r>
        <w:rPr>
          <w:spacing w:val="-2"/>
        </w:rPr>
        <w:t>体外系肌僵直、步态共济失调和轻度痴呆为主要临床特征。须满足自主生活</w:t>
      </w:r>
      <w:r>
        <w:rPr>
          <w:spacing w:val="-2"/>
        </w:rPr>
        <w:t>能力部分丧失，无法独立完成六项基本日常生活活动中的两项，但未达到重</w:t>
      </w:r>
      <w:r>
        <w:rPr>
          <w:spacing w:val="-2"/>
        </w:rPr>
        <w:t>度疾病“进行性核上性麻痹”或“瘫痪”的给付标准。本疾病须经专科医生</w:t>
      </w:r>
      <w:r>
        <w:rPr>
          <w:spacing w:val="-2"/>
        </w:rPr>
        <w:t>明确诊断。</w:t>
      </w:r>
    </w:p>
    <w:p>
      <w:pPr>
        <w:spacing w:after="0" w:line="278" w:lineRule="auto"/>
        <w:jc w:val="both"/>
        <w:sectPr>
          <w:type w:val="continuous"/>
          <w:pgSz w:w="11910" w:h="16840"/>
          <w:pgMar w:top="460" w:bottom="280" w:left="680" w:right="460"/>
          <w:cols w:num="2" w:equalWidth="0">
            <w:col w:w="2981" w:space="40"/>
            <w:col w:w="7749"/>
          </w:cols>
        </w:sectPr>
      </w:pPr>
    </w:p>
    <w:p>
      <w:pPr>
        <w:pStyle w:val="BodyText"/>
        <w:spacing w:before="9"/>
        <w:rPr>
          <w:sz w:val="18"/>
        </w:rPr>
      </w:pPr>
    </w:p>
    <w:p>
      <w:pPr>
        <w:pStyle w:val="ListParagraph"/>
        <w:numPr>
          <w:ilvl w:val="2"/>
          <w:numId w:val="12"/>
        </w:numPr>
        <w:tabs>
          <w:tab w:pos="1713" w:val="left" w:leader="none"/>
          <w:tab w:pos="1714" w:val="left" w:leader="none"/>
          <w:tab w:pos="3285" w:val="left" w:leader="none"/>
        </w:tabs>
        <w:spacing w:line="278" w:lineRule="auto" w:before="72" w:after="0"/>
        <w:ind w:left="3285" w:right="961" w:hanging="2711"/>
        <w:jc w:val="left"/>
        <w:rPr>
          <w:sz w:val="21"/>
        </w:rPr>
      </w:pPr>
      <w:r>
        <w:rPr>
          <w:rFonts w:ascii="楷体" w:eastAsia="楷体" w:hint="eastAsia"/>
          <w:b/>
          <w:spacing w:val="-4"/>
          <w:sz w:val="21"/>
        </w:rPr>
        <w:t>角</w:t>
      </w:r>
      <w:r>
        <w:rPr>
          <w:rFonts w:ascii="楷体" w:eastAsia="楷体" w:hint="eastAsia"/>
          <w:b/>
          <w:spacing w:val="-4"/>
          <w:sz w:val="21"/>
        </w:rPr>
        <w:t>膜</w:t>
      </w:r>
      <w:r>
        <w:rPr>
          <w:rFonts w:ascii="楷体" w:eastAsia="楷体" w:hint="eastAsia"/>
          <w:b/>
          <w:spacing w:val="-4"/>
          <w:sz w:val="21"/>
        </w:rPr>
        <w:t>移</w:t>
      </w:r>
      <w:r>
        <w:rPr>
          <w:rFonts w:ascii="楷体" w:eastAsia="楷体" w:hint="eastAsia"/>
          <w:b/>
          <w:spacing w:val="-4"/>
          <w:sz w:val="21"/>
        </w:rPr>
        <w:t>植</w:t>
      </w:r>
      <w:r>
        <w:rPr>
          <w:rFonts w:ascii="楷体" w:eastAsia="楷体" w:hint="eastAsia"/>
          <w:b/>
          <w:sz w:val="21"/>
        </w:rPr>
        <w:tab/>
      </w:r>
      <w:r>
        <w:rPr>
          <w:spacing w:val="-2"/>
          <w:sz w:val="21"/>
        </w:rPr>
        <w:t>指</w:t>
      </w:r>
      <w:r>
        <w:rPr>
          <w:spacing w:val="-2"/>
          <w:sz w:val="21"/>
        </w:rPr>
        <w:t>为</w:t>
      </w:r>
      <w:r>
        <w:rPr>
          <w:spacing w:val="-2"/>
          <w:sz w:val="21"/>
        </w:rPr>
        <w:t>增进视力或治疗某些</w:t>
      </w:r>
      <w:r>
        <w:rPr>
          <w:spacing w:val="-2"/>
          <w:sz w:val="21"/>
        </w:rPr>
        <w:t>角</w:t>
      </w:r>
      <w:r>
        <w:rPr>
          <w:spacing w:val="-2"/>
          <w:sz w:val="21"/>
        </w:rPr>
        <w:t>膜</w:t>
      </w:r>
      <w:r>
        <w:rPr>
          <w:spacing w:val="-2"/>
          <w:sz w:val="21"/>
        </w:rPr>
        <w:t>疾患，已经实施了异</w:t>
      </w:r>
      <w:r>
        <w:rPr>
          <w:spacing w:val="-2"/>
          <w:sz w:val="21"/>
        </w:rPr>
        <w:t>体</w:t>
      </w:r>
      <w:r>
        <w:rPr>
          <w:spacing w:val="-2"/>
          <w:sz w:val="21"/>
        </w:rPr>
        <w:t>的</w:t>
      </w:r>
      <w:r>
        <w:rPr>
          <w:spacing w:val="-2"/>
          <w:sz w:val="21"/>
        </w:rPr>
        <w:t>角膜移植手</w:t>
      </w:r>
      <w:r>
        <w:rPr>
          <w:spacing w:val="-2"/>
          <w:sz w:val="21"/>
        </w:rPr>
        <w:t>术</w:t>
      </w:r>
      <w:r>
        <w:rPr>
          <w:spacing w:val="-2"/>
          <w:sz w:val="21"/>
        </w:rPr>
        <w:t>。</w:t>
      </w:r>
      <w:r>
        <w:rPr>
          <w:spacing w:val="-2"/>
          <w:sz w:val="21"/>
        </w:rPr>
        <w:t>此</w:t>
      </w:r>
      <w:r>
        <w:rPr>
          <w:spacing w:val="-2"/>
          <w:sz w:val="21"/>
        </w:rPr>
        <w:t>手</w:t>
      </w:r>
      <w:r>
        <w:rPr>
          <w:spacing w:val="-2"/>
          <w:sz w:val="21"/>
        </w:rPr>
        <w:t>术必须在医院内由专</w:t>
      </w:r>
      <w:r>
        <w:rPr>
          <w:spacing w:val="-2"/>
          <w:sz w:val="21"/>
        </w:rPr>
        <w:t>科</w:t>
      </w:r>
      <w:r>
        <w:rPr>
          <w:spacing w:val="-2"/>
          <w:sz w:val="21"/>
        </w:rPr>
        <w:t>医</w:t>
      </w:r>
      <w:r>
        <w:rPr>
          <w:spacing w:val="-2"/>
          <w:sz w:val="21"/>
        </w:rPr>
        <w:t>生认为是医疗必须的</w:t>
      </w:r>
      <w:r>
        <w:rPr>
          <w:spacing w:val="-2"/>
          <w:sz w:val="21"/>
        </w:rPr>
        <w:t>情</w:t>
      </w:r>
      <w:r>
        <w:rPr>
          <w:spacing w:val="-2"/>
          <w:sz w:val="21"/>
        </w:rPr>
        <w:t>况</w:t>
      </w:r>
      <w:r>
        <w:rPr>
          <w:spacing w:val="-2"/>
          <w:sz w:val="21"/>
        </w:rPr>
        <w:t>下进行。</w:t>
      </w:r>
    </w:p>
    <w:p>
      <w:pPr>
        <w:spacing w:after="0" w:line="278" w:lineRule="auto"/>
        <w:jc w:val="left"/>
        <w:rPr>
          <w:sz w:val="21"/>
        </w:rPr>
        <w:sectPr>
          <w:type w:val="continuous"/>
          <w:pgSz w:w="11910" w:h="16840"/>
          <w:pgMar w:top="460" w:bottom="280" w:left="680" w:right="460"/>
        </w:sectPr>
      </w:pPr>
    </w:p>
    <w:p>
      <w:pPr>
        <w:spacing w:line="266" w:lineRule="auto" w:before="42"/>
        <w:ind w:left="3285" w:right="580" w:firstLine="0"/>
        <w:jc w:val="both"/>
        <w:rPr>
          <w:b/>
          <w:i/>
          <w:sz w:val="22"/>
        </w:rPr>
      </w:pPr>
      <w:r>
        <w:rPr>
          <w:b/>
          <w:i/>
          <w:spacing w:val="-17"/>
          <w:w w:val="95"/>
          <w:sz w:val="22"/>
        </w:rPr>
        <w:t>我们仅对“视力严重受损”、“单目失明”和“角膜移植”三种疾病中的其中</w:t>
      </w:r>
      <w:r>
        <w:rPr>
          <w:b/>
          <w:i/>
          <w:spacing w:val="-2"/>
          <w:w w:val="95"/>
          <w:sz w:val="22"/>
        </w:rPr>
        <w:t>一种承担保险责任，给付其中一种疾病对应的保险金后，对另外两种疾病的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p>
      <w:pPr>
        <w:pStyle w:val="BodyText"/>
        <w:spacing w:before="12"/>
        <w:rPr>
          <w:b/>
          <w:i/>
          <w:sz w:val="24"/>
        </w:rPr>
      </w:pPr>
    </w:p>
    <w:p>
      <w:pPr>
        <w:pStyle w:val="ListParagraph"/>
        <w:numPr>
          <w:ilvl w:val="2"/>
          <w:numId w:val="12"/>
        </w:numPr>
        <w:tabs>
          <w:tab w:pos="1713" w:val="left" w:leader="none"/>
          <w:tab w:pos="1714" w:val="left" w:leader="none"/>
          <w:tab w:pos="3285" w:val="left" w:leader="none"/>
        </w:tabs>
        <w:spacing w:line="278" w:lineRule="auto" w:before="0" w:after="0"/>
        <w:ind w:left="3285" w:right="577" w:hanging="2711"/>
        <w:jc w:val="left"/>
        <w:rPr>
          <w:sz w:val="21"/>
        </w:rPr>
      </w:pPr>
      <w:r>
        <w:rPr>
          <w:rFonts w:ascii="楷体" w:hAnsi="楷体" w:eastAsia="楷体" w:hint="eastAsia"/>
          <w:b/>
          <w:spacing w:val="-4"/>
          <w:sz w:val="21"/>
        </w:rPr>
        <w:t>单</w:t>
      </w:r>
      <w:r>
        <w:rPr>
          <w:rFonts w:ascii="楷体" w:hAnsi="楷体" w:eastAsia="楷体" w:hint="eastAsia"/>
          <w:b/>
          <w:spacing w:val="-4"/>
          <w:sz w:val="21"/>
        </w:rPr>
        <w:t>目</w:t>
      </w:r>
      <w:r>
        <w:rPr>
          <w:rFonts w:ascii="楷体" w:hAnsi="楷体" w:eastAsia="楷体" w:hint="eastAsia"/>
          <w:b/>
          <w:spacing w:val="-4"/>
          <w:sz w:val="21"/>
        </w:rPr>
        <w:t>失</w:t>
      </w:r>
      <w:r>
        <w:rPr>
          <w:rFonts w:ascii="楷体" w:hAnsi="楷体" w:eastAsia="楷体" w:hint="eastAsia"/>
          <w:b/>
          <w:spacing w:val="-4"/>
          <w:sz w:val="21"/>
        </w:rPr>
        <w:t>明</w:t>
      </w:r>
      <w:r>
        <w:rPr>
          <w:rFonts w:ascii="楷体" w:hAnsi="楷体" w:eastAsia="楷体" w:hint="eastAsia"/>
          <w:b/>
          <w:sz w:val="21"/>
        </w:rPr>
        <w:tab/>
      </w:r>
      <w:r>
        <w:rPr>
          <w:spacing w:val="-4"/>
          <w:sz w:val="21"/>
        </w:rPr>
        <w:t>指</w:t>
      </w:r>
      <w:r>
        <w:rPr>
          <w:spacing w:val="-4"/>
          <w:sz w:val="21"/>
        </w:rPr>
        <w:t>因</w:t>
      </w:r>
      <w:r>
        <w:rPr>
          <w:spacing w:val="-4"/>
          <w:sz w:val="21"/>
        </w:rPr>
        <w:t>疾病或意外伤害导致</w:t>
      </w:r>
      <w:r>
        <w:rPr>
          <w:spacing w:val="-4"/>
          <w:sz w:val="21"/>
        </w:rPr>
        <w:t>单</w:t>
      </w:r>
      <w:r>
        <w:rPr>
          <w:spacing w:val="-4"/>
          <w:sz w:val="21"/>
        </w:rPr>
        <w:t>眼</w:t>
      </w:r>
      <w:r>
        <w:rPr>
          <w:spacing w:val="-4"/>
          <w:sz w:val="21"/>
        </w:rPr>
        <w:t>视力永久不可逆（见</w:t>
      </w:r>
      <w:r>
        <w:rPr>
          <w:spacing w:val="-42"/>
          <w:sz w:val="21"/>
        </w:rPr>
        <w:t> </w:t>
      </w:r>
      <w:r>
        <w:rPr>
          <w:spacing w:val="-4"/>
          <w:sz w:val="21"/>
        </w:rPr>
        <w:t>9.32）性丧失，但未</w:t>
      </w:r>
      <w:r>
        <w:rPr>
          <w:spacing w:val="-4"/>
          <w:sz w:val="21"/>
        </w:rPr>
        <w:t>达</w:t>
      </w:r>
      <w:r>
        <w:rPr>
          <w:spacing w:val="-4"/>
          <w:sz w:val="21"/>
        </w:rPr>
        <w:t>到</w:t>
      </w:r>
      <w:r>
        <w:rPr>
          <w:spacing w:val="-2"/>
          <w:sz w:val="21"/>
        </w:rPr>
        <w:t>重</w:t>
      </w:r>
      <w:r>
        <w:rPr>
          <w:spacing w:val="-2"/>
          <w:sz w:val="21"/>
        </w:rPr>
        <w:t>度</w:t>
      </w:r>
      <w:r>
        <w:rPr>
          <w:spacing w:val="-2"/>
          <w:sz w:val="21"/>
        </w:rPr>
        <w:t>疾病“双目失明”的</w:t>
      </w:r>
      <w:r>
        <w:rPr>
          <w:spacing w:val="-2"/>
          <w:sz w:val="21"/>
        </w:rPr>
        <w:t>给</w:t>
      </w:r>
      <w:r>
        <w:rPr>
          <w:spacing w:val="-2"/>
          <w:sz w:val="21"/>
        </w:rPr>
        <w:t>付</w:t>
      </w:r>
      <w:r>
        <w:rPr>
          <w:spacing w:val="-2"/>
          <w:sz w:val="21"/>
        </w:rPr>
        <w:t>标准，但患眼须满足</w:t>
      </w:r>
      <w:r>
        <w:rPr>
          <w:spacing w:val="-2"/>
          <w:sz w:val="21"/>
        </w:rPr>
        <w:t>下</w:t>
      </w:r>
      <w:r>
        <w:rPr>
          <w:spacing w:val="-2"/>
          <w:sz w:val="21"/>
        </w:rPr>
        <w:t>列</w:t>
      </w:r>
      <w:r>
        <w:rPr>
          <w:spacing w:val="-2"/>
          <w:sz w:val="21"/>
        </w:rPr>
        <w:t>至少一项条</w:t>
      </w:r>
      <w:r>
        <w:rPr>
          <w:spacing w:val="-2"/>
          <w:sz w:val="21"/>
        </w:rPr>
        <w:t>件</w:t>
      </w:r>
      <w:r>
        <w:rPr>
          <w:spacing w:val="-2"/>
          <w:sz w:val="21"/>
        </w:rPr>
        <w:t>：</w:t>
      </w:r>
    </w:p>
    <w:p>
      <w:pPr>
        <w:pStyle w:val="ListParagraph"/>
        <w:numPr>
          <w:ilvl w:val="3"/>
          <w:numId w:val="12"/>
        </w:numPr>
        <w:tabs>
          <w:tab w:pos="3815" w:val="left" w:leader="none"/>
        </w:tabs>
        <w:spacing w:line="269" w:lineRule="exact" w:before="0" w:after="0"/>
        <w:ind w:left="3814" w:right="0" w:hanging="530"/>
        <w:jc w:val="left"/>
        <w:rPr>
          <w:sz w:val="21"/>
        </w:rPr>
      </w:pPr>
      <w:r>
        <w:rPr>
          <w:spacing w:val="-4"/>
          <w:sz w:val="21"/>
        </w:rPr>
        <w:t>眼球缺失或摘除；</w:t>
      </w:r>
    </w:p>
    <w:p>
      <w:pPr>
        <w:pStyle w:val="ListParagraph"/>
        <w:numPr>
          <w:ilvl w:val="3"/>
          <w:numId w:val="12"/>
        </w:numPr>
        <w:tabs>
          <w:tab w:pos="3815" w:val="left" w:leader="none"/>
        </w:tabs>
        <w:spacing w:line="278" w:lineRule="auto" w:before="43" w:after="0"/>
        <w:ind w:left="3285" w:right="594" w:firstLine="0"/>
        <w:jc w:val="left"/>
        <w:rPr>
          <w:sz w:val="21"/>
        </w:rPr>
      </w:pPr>
      <w:r>
        <w:rPr>
          <w:spacing w:val="-8"/>
          <w:sz w:val="21"/>
        </w:rPr>
        <w:t>矫正视力低于 </w:t>
      </w:r>
      <w:r>
        <w:rPr>
          <w:sz w:val="21"/>
        </w:rPr>
        <w:t>0.02（采用国际标准视力表，如果使用其它视力表应进</w:t>
      </w:r>
      <w:r>
        <w:rPr>
          <w:spacing w:val="-4"/>
          <w:sz w:val="21"/>
        </w:rPr>
        <w:t>行换算</w:t>
      </w:r>
      <w:r>
        <w:rPr>
          <w:spacing w:val="-106"/>
          <w:sz w:val="21"/>
        </w:rPr>
        <w:t>）</w:t>
      </w:r>
      <w:r>
        <w:rPr>
          <w:sz w:val="21"/>
        </w:rPr>
        <w:t>；</w:t>
      </w:r>
    </w:p>
    <w:p>
      <w:pPr>
        <w:pStyle w:val="ListParagraph"/>
        <w:numPr>
          <w:ilvl w:val="3"/>
          <w:numId w:val="12"/>
        </w:numPr>
        <w:tabs>
          <w:tab w:pos="3815" w:val="left" w:leader="none"/>
        </w:tabs>
        <w:spacing w:line="269" w:lineRule="exact" w:before="0" w:after="0"/>
        <w:ind w:left="3814" w:right="0" w:hanging="530"/>
        <w:jc w:val="left"/>
        <w:rPr>
          <w:sz w:val="21"/>
        </w:rPr>
      </w:pPr>
      <w:r>
        <w:rPr>
          <w:spacing w:val="-10"/>
          <w:sz w:val="21"/>
        </w:rPr>
        <w:t>视野半径小于 </w:t>
      </w:r>
      <w:r>
        <w:rPr>
          <w:spacing w:val="-2"/>
          <w:sz w:val="21"/>
        </w:rPr>
        <w:t>5</w:t>
      </w:r>
      <w:r>
        <w:rPr>
          <w:spacing w:val="-21"/>
          <w:sz w:val="21"/>
        </w:rPr>
        <w:t> 度。</w:t>
      </w:r>
    </w:p>
    <w:p>
      <w:pPr>
        <w:pStyle w:val="BodyText"/>
        <w:spacing w:before="43"/>
        <w:ind w:left="3285"/>
      </w:pPr>
      <w:r>
        <w:rPr>
          <w:spacing w:val="-3"/>
        </w:rPr>
        <w:t>诊断须在医院内由眼科专科医生确认。</w:t>
      </w:r>
    </w:p>
    <w:p>
      <w:pPr>
        <w:spacing w:line="266" w:lineRule="auto" w:before="33"/>
        <w:ind w:left="3285" w:right="582" w:firstLine="0"/>
        <w:jc w:val="both"/>
        <w:rPr>
          <w:b/>
          <w:i/>
          <w:sz w:val="22"/>
        </w:rPr>
      </w:pPr>
      <w:r>
        <w:rPr>
          <w:b/>
          <w:i/>
          <w:spacing w:val="-4"/>
          <w:w w:val="95"/>
          <w:sz w:val="22"/>
        </w:rPr>
        <w:t>被保险人申请理赔时年龄必须在 </w:t>
      </w:r>
      <w:r>
        <w:rPr>
          <w:b/>
          <w:i/>
          <w:spacing w:val="-2"/>
          <w:w w:val="95"/>
          <w:sz w:val="22"/>
        </w:rPr>
        <w:t>3</w:t>
      </w:r>
      <w:r>
        <w:rPr>
          <w:b/>
          <w:i/>
          <w:spacing w:val="-20"/>
          <w:w w:val="95"/>
          <w:sz w:val="22"/>
        </w:rPr>
        <w:t> </w:t>
      </w:r>
      <w:r>
        <w:rPr>
          <w:b/>
          <w:i/>
          <w:spacing w:val="-10"/>
          <w:w w:val="95"/>
          <w:sz w:val="22"/>
        </w:rPr>
        <w:t>周岁以上，并且须提供理赔当时的视力丧</w:t>
      </w:r>
      <w:r>
        <w:rPr>
          <w:b/>
          <w:i/>
          <w:spacing w:val="-2"/>
          <w:sz w:val="22"/>
        </w:rPr>
        <w:t>失</w:t>
      </w:r>
      <w:r>
        <w:rPr>
          <w:b/>
          <w:i/>
          <w:spacing w:val="-2"/>
          <w:sz w:val="22"/>
        </w:rPr>
        <w:t>诊</w:t>
      </w:r>
      <w:r>
        <w:rPr>
          <w:b/>
          <w:i/>
          <w:spacing w:val="-2"/>
          <w:sz w:val="22"/>
        </w:rPr>
        <w:t>断</w:t>
      </w:r>
      <w:r>
        <w:rPr>
          <w:b/>
          <w:i/>
          <w:spacing w:val="-2"/>
          <w:sz w:val="22"/>
        </w:rPr>
        <w:t>及</w:t>
      </w:r>
      <w:r>
        <w:rPr>
          <w:b/>
          <w:i/>
          <w:spacing w:val="-2"/>
          <w:sz w:val="22"/>
        </w:rPr>
        <w:t>检</w:t>
      </w:r>
      <w:r>
        <w:rPr>
          <w:b/>
          <w:i/>
          <w:spacing w:val="-2"/>
          <w:sz w:val="22"/>
        </w:rPr>
        <w:t>查</w:t>
      </w:r>
      <w:r>
        <w:rPr>
          <w:b/>
          <w:i/>
          <w:spacing w:val="-2"/>
          <w:sz w:val="22"/>
        </w:rPr>
        <w:t>证</w:t>
      </w:r>
      <w:r>
        <w:rPr>
          <w:b/>
          <w:i/>
          <w:spacing w:val="-2"/>
          <w:sz w:val="22"/>
        </w:rPr>
        <w:t>据</w:t>
      </w:r>
      <w:r>
        <w:rPr>
          <w:b/>
          <w:i/>
          <w:spacing w:val="-2"/>
          <w:sz w:val="22"/>
        </w:rPr>
        <w:t>。</w:t>
      </w:r>
    </w:p>
    <w:p>
      <w:pPr>
        <w:spacing w:line="266" w:lineRule="auto" w:before="0"/>
        <w:ind w:left="3285" w:right="580" w:firstLine="0"/>
        <w:jc w:val="both"/>
        <w:rPr>
          <w:b/>
          <w:i/>
          <w:sz w:val="22"/>
        </w:rPr>
      </w:pPr>
      <w:r>
        <w:rPr>
          <w:b/>
          <w:i/>
          <w:spacing w:val="-17"/>
          <w:w w:val="95"/>
          <w:sz w:val="22"/>
        </w:rPr>
        <w:t>我们仅对“视力严重受损”、“单目失明”和“角膜移植”三种疾病中的其中</w:t>
      </w:r>
      <w:r>
        <w:rPr>
          <w:b/>
          <w:i/>
          <w:spacing w:val="-2"/>
          <w:w w:val="95"/>
          <w:sz w:val="22"/>
        </w:rPr>
        <w:t>一种承担保险责任，给付其中一种疾病对应的保险金后，对另外两种疾病的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p>
      <w:pPr>
        <w:pStyle w:val="BodyText"/>
        <w:spacing w:before="3"/>
        <w:rPr>
          <w:b/>
          <w:i/>
          <w:sz w:val="19"/>
        </w:rPr>
      </w:pPr>
    </w:p>
    <w:p>
      <w:pPr>
        <w:spacing w:after="0"/>
        <w:rPr>
          <w:sz w:val="19"/>
        </w:rPr>
        <w:sectPr>
          <w:pgSz w:w="11910" w:h="16840"/>
          <w:pgMar w:top="1200" w:bottom="280" w:left="680" w:right="460"/>
        </w:sectPr>
      </w:pPr>
    </w:p>
    <w:p>
      <w:pPr>
        <w:pStyle w:val="Heading2"/>
        <w:numPr>
          <w:ilvl w:val="2"/>
          <w:numId w:val="12"/>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严重甲型及乙</w:t>
      </w:r>
      <w:r>
        <w:rPr>
          <w:rFonts w:ascii="楷体" w:eastAsia="楷体" w:hint="eastAsia"/>
          <w:spacing w:val="-4"/>
        </w:rPr>
        <w:t>型血友病</w:t>
      </w:r>
    </w:p>
    <w:p>
      <w:pPr>
        <w:pStyle w:val="BodyText"/>
        <w:spacing w:line="278" w:lineRule="auto" w:before="72"/>
        <w:ind w:left="265" w:right="579"/>
      </w:pPr>
      <w:r>
        <w:rPr/>
        <w:br w:type="column"/>
      </w:r>
      <w:r>
        <w:rPr/>
        <w:t>被保险人必须是患上严重甲型血友病（</w:t>
      </w:r>
      <w:r>
        <w:rPr>
          <w:spacing w:val="-11"/>
        </w:rPr>
        <w:t>缺乏 </w:t>
      </w:r>
      <w:r>
        <w:rPr/>
        <w:t>VIII</w:t>
      </w:r>
      <w:r>
        <w:rPr>
          <w:spacing w:val="-8"/>
        </w:rPr>
        <w:t> 凝血因子</w:t>
      </w:r>
      <w:r>
        <w:rPr/>
        <w:t>）或严重乙型血</w:t>
      </w:r>
      <w:r>
        <w:rPr>
          <w:spacing w:val="-2"/>
        </w:rPr>
        <w:t>友病（</w:t>
      </w:r>
      <w:r>
        <w:rPr>
          <w:spacing w:val="-18"/>
        </w:rPr>
        <w:t>缺乏 </w:t>
      </w:r>
      <w:r>
        <w:rPr>
          <w:spacing w:val="-2"/>
        </w:rPr>
        <w:t>IX</w:t>
      </w:r>
      <w:r>
        <w:rPr>
          <w:spacing w:val="-12"/>
        </w:rPr>
        <w:t> 凝血因子</w:t>
      </w:r>
      <w:r>
        <w:rPr>
          <w:spacing w:val="-63"/>
        </w:rPr>
        <w:t>）</w:t>
      </w:r>
      <w:r>
        <w:rPr>
          <w:spacing w:val="-19"/>
        </w:rPr>
        <w:t>，而凝血因子 </w:t>
      </w:r>
      <w:r>
        <w:rPr>
          <w:spacing w:val="-2"/>
        </w:rPr>
        <w:t>VIII</w:t>
      </w:r>
      <w:r>
        <w:rPr>
          <w:spacing w:val="-17"/>
        </w:rPr>
        <w:t> 或凝血因子 </w:t>
      </w:r>
      <w:r>
        <w:rPr>
          <w:spacing w:val="-2"/>
        </w:rPr>
        <w:t>IX</w:t>
      </w:r>
      <w:r>
        <w:rPr>
          <w:spacing w:val="-9"/>
        </w:rPr>
        <w:t> 的活性水平少于</w:t>
      </w:r>
      <w:r>
        <w:rPr>
          <w:spacing w:val="-2"/>
        </w:rPr>
        <w:t>百分之一。诊断必须由医院的血液病专科医生确认。</w:t>
      </w:r>
    </w:p>
    <w:p>
      <w:pPr>
        <w:pStyle w:val="BodyText"/>
        <w:spacing w:line="278" w:lineRule="auto"/>
        <w:ind w:left="265" w:right="579"/>
      </w:pPr>
      <w:r>
        <w:rPr>
          <w:spacing w:val="-2"/>
        </w:rPr>
        <w:t>我们承担本项疾病责任不受本合同“责任免除”中“遗传性疾病、先天性畸</w:t>
      </w:r>
      <w:r>
        <w:rPr>
          <w:spacing w:val="-2"/>
        </w:rPr>
        <w:t>形、变形或染色体异常”的限制。</w:t>
      </w:r>
    </w:p>
    <w:p>
      <w:pPr>
        <w:spacing w:after="0" w:line="278" w:lineRule="auto"/>
        <w:sectPr>
          <w:type w:val="continuous"/>
          <w:pgSz w:w="11910" w:h="16840"/>
          <w:pgMar w:top="460" w:bottom="280" w:left="680" w:right="460"/>
          <w:cols w:num="2" w:equalWidth="0">
            <w:col w:w="2981" w:space="40"/>
            <w:col w:w="7749"/>
          </w:cols>
        </w:sectPr>
      </w:pP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2"/>
          <w:numId w:val="12"/>
        </w:numPr>
        <w:tabs>
          <w:tab w:pos="1713" w:val="left" w:leader="none"/>
          <w:tab w:pos="1714" w:val="left" w:leader="none"/>
        </w:tabs>
        <w:spacing w:line="240" w:lineRule="auto" w:before="72" w:after="0"/>
        <w:ind w:left="1713" w:right="0" w:hanging="1139"/>
        <w:jc w:val="left"/>
        <w:rPr>
          <w:rFonts w:ascii="楷体" w:eastAsia="楷体" w:hint="eastAsia"/>
        </w:rPr>
      </w:pPr>
      <w:r>
        <w:rPr>
          <w:rFonts w:ascii="楷体" w:eastAsia="楷体" w:hint="eastAsia"/>
          <w:spacing w:val="-2"/>
        </w:rPr>
        <w:t>主动脉内手术</w:t>
      </w:r>
    </w:p>
    <w:p>
      <w:pPr>
        <w:spacing w:line="278" w:lineRule="auto" w:before="43"/>
        <w:ind w:left="1713" w:right="0" w:firstLine="0"/>
        <w:jc w:val="left"/>
        <w:rPr>
          <w:rFonts w:ascii="楷体" w:eastAsia="楷体" w:hint="eastAsia"/>
          <w:b/>
          <w:sz w:val="21"/>
        </w:rPr>
      </w:pPr>
      <w:r>
        <w:rPr>
          <w:rFonts w:ascii="楷体" w:eastAsia="楷体" w:hint="eastAsia"/>
          <w:b/>
          <w:spacing w:val="-2"/>
          <w:sz w:val="21"/>
        </w:rPr>
        <w:t>（非开胸或开</w:t>
      </w:r>
      <w:r>
        <w:rPr>
          <w:rFonts w:ascii="楷体" w:eastAsia="楷体" w:hint="eastAsia"/>
          <w:b/>
          <w:spacing w:val="-4"/>
          <w:sz w:val="21"/>
        </w:rPr>
        <w:t>腹手术）</w:t>
      </w:r>
    </w:p>
    <w:p>
      <w:pPr>
        <w:spacing w:line="271" w:lineRule="auto" w:before="72"/>
        <w:ind w:left="265" w:right="577" w:firstLine="0"/>
        <w:jc w:val="both"/>
        <w:rPr>
          <w:b/>
          <w:i/>
          <w:sz w:val="22"/>
        </w:rPr>
      </w:pPr>
      <w:r>
        <w:rPr/>
        <w:br w:type="column"/>
      </w:r>
      <w:r>
        <w:rPr>
          <w:spacing w:val="-5"/>
          <w:w w:val="100"/>
          <w:sz w:val="21"/>
        </w:rPr>
        <w:t>为了治疗主动脉疾病实际实施了经皮经导管进行的主动脉内手术，且未达到</w:t>
      </w:r>
      <w:r>
        <w:rPr>
          <w:spacing w:val="-9"/>
          <w:w w:val="100"/>
          <w:sz w:val="21"/>
        </w:rPr>
        <w:t>重度疾病“主动脉手术”的给付标准。主动脉指升主动脉、主动脉弓和降主动脉</w:t>
      </w:r>
      <w:r>
        <w:rPr>
          <w:spacing w:val="-3"/>
          <w:w w:val="100"/>
          <w:sz w:val="21"/>
        </w:rPr>
        <w:t>（含胸主动脉和腹主动脉</w:t>
      </w:r>
      <w:r>
        <w:rPr>
          <w:spacing w:val="-108"/>
          <w:w w:val="100"/>
          <w:sz w:val="21"/>
        </w:rPr>
        <w:t>）</w:t>
      </w:r>
      <w:r>
        <w:rPr>
          <w:spacing w:val="-3"/>
          <w:w w:val="100"/>
          <w:sz w:val="21"/>
        </w:rPr>
        <w:t>，</w:t>
      </w:r>
      <w:r>
        <w:rPr>
          <w:b/>
          <w:i/>
          <w:spacing w:val="-2"/>
          <w:w w:val="95"/>
          <w:sz w:val="22"/>
        </w:rPr>
        <w:t>不包括升主动脉、主动脉弓和降主动脉的分支血管。</w:t>
      </w:r>
    </w:p>
    <w:p>
      <w:pPr>
        <w:spacing w:after="0" w:line="271" w:lineRule="auto"/>
        <w:jc w:val="both"/>
        <w:rPr>
          <w:sz w:val="22"/>
        </w:rPr>
        <w:sectPr>
          <w:type w:val="continuous"/>
          <w:pgSz w:w="11910" w:h="16840"/>
          <w:pgMar w:top="460" w:bottom="280" w:left="680" w:right="460"/>
          <w:cols w:num="2" w:equalWidth="0">
            <w:col w:w="2981" w:space="40"/>
            <w:col w:w="7749"/>
          </w:cols>
        </w:sectPr>
      </w:pPr>
    </w:p>
    <w:p>
      <w:pPr>
        <w:pStyle w:val="BodyText"/>
        <w:rPr>
          <w:b/>
          <w:i/>
          <w:sz w:val="19"/>
        </w:rPr>
      </w:pPr>
    </w:p>
    <w:p>
      <w:pPr>
        <w:spacing w:after="0"/>
        <w:rPr>
          <w:sz w:val="19"/>
        </w:rPr>
        <w:sectPr>
          <w:type w:val="continuous"/>
          <w:pgSz w:w="11910" w:h="16840"/>
          <w:pgMar w:top="460" w:bottom="280" w:left="680" w:right="460"/>
        </w:sectPr>
      </w:pPr>
    </w:p>
    <w:p>
      <w:pPr>
        <w:pStyle w:val="Heading2"/>
        <w:numPr>
          <w:ilvl w:val="2"/>
          <w:numId w:val="12"/>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糖尿病导致单</w:t>
      </w:r>
      <w:r>
        <w:rPr>
          <w:rFonts w:ascii="楷体" w:eastAsia="楷体" w:hint="eastAsia"/>
          <w:spacing w:val="-4"/>
        </w:rPr>
        <w:t>足截除</w:t>
      </w:r>
    </w:p>
    <w:p>
      <w:pPr>
        <w:pStyle w:val="BodyText"/>
        <w:spacing w:line="278" w:lineRule="auto" w:before="72"/>
        <w:ind w:left="265" w:right="577"/>
      </w:pPr>
      <w:r>
        <w:rPr/>
        <w:br w:type="column"/>
      </w:r>
      <w:r>
        <w:rPr>
          <w:spacing w:val="-2"/>
        </w:rPr>
        <w:t>因糖尿病引起的神经及血管病变累及足部，为了维持生命在医院内已经进行</w:t>
      </w:r>
      <w:r>
        <w:rPr>
          <w:spacing w:val="-2"/>
        </w:rPr>
        <w:t>了医疗必须的由足踝或以上位置的单足截除手术。</w:t>
      </w:r>
    </w:p>
    <w:p>
      <w:pPr>
        <w:spacing w:line="272" w:lineRule="exact" w:before="0"/>
        <w:ind w:left="265" w:right="0" w:firstLine="0"/>
        <w:jc w:val="left"/>
        <w:rPr>
          <w:b/>
          <w:i/>
          <w:sz w:val="22"/>
        </w:rPr>
      </w:pPr>
      <w:r>
        <w:rPr>
          <w:b/>
          <w:i/>
          <w:spacing w:val="-3"/>
          <w:w w:val="95"/>
          <w:sz w:val="22"/>
        </w:rPr>
        <w:t>切除多只脚趾或因任何其他原因引起的截除术不在保障范围内。</w:t>
      </w:r>
    </w:p>
    <w:p>
      <w:pPr>
        <w:spacing w:line="266" w:lineRule="auto" w:before="30"/>
        <w:ind w:left="265" w:right="578" w:firstLine="0"/>
        <w:jc w:val="both"/>
        <w:rPr>
          <w:b/>
          <w:i/>
          <w:sz w:val="22"/>
        </w:rPr>
      </w:pPr>
      <w:r>
        <w:rPr>
          <w:b/>
          <w:i/>
          <w:spacing w:val="-9"/>
          <w:w w:val="95"/>
          <w:sz w:val="22"/>
        </w:rPr>
        <w:t>我们仅对“糖尿病导致单足截除”</w:t>
      </w:r>
      <w:r>
        <w:rPr>
          <w:b/>
          <w:i/>
          <w:spacing w:val="-14"/>
          <w:w w:val="95"/>
          <w:sz w:val="22"/>
        </w:rPr>
        <w:t>、“单个肢体缺失”两种疾病中的其中一种</w:t>
      </w:r>
      <w:r>
        <w:rPr>
          <w:b/>
          <w:i/>
          <w:spacing w:val="-2"/>
          <w:w w:val="95"/>
          <w:sz w:val="22"/>
        </w:rPr>
        <w:t>承担保险责任，给付其中一种疾病对应的保险金后，对另外一种疾病的保险</w:t>
      </w:r>
      <w:r>
        <w:rPr>
          <w:b/>
          <w:i/>
          <w:spacing w:val="-2"/>
          <w:sz w:val="22"/>
        </w:rPr>
        <w:t>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p>
      <w:pPr>
        <w:spacing w:line="266" w:lineRule="auto" w:before="0"/>
        <w:ind w:left="265" w:right="580" w:firstLine="0"/>
        <w:jc w:val="both"/>
        <w:rPr>
          <w:b/>
          <w:i/>
          <w:sz w:val="22"/>
        </w:rPr>
      </w:pPr>
      <w:r>
        <w:rPr>
          <w:b/>
          <w:i/>
          <w:spacing w:val="-9"/>
          <w:w w:val="95"/>
          <w:sz w:val="22"/>
        </w:rPr>
        <w:t>我们仅对“糖尿病导致单足截除”</w:t>
      </w:r>
      <w:r>
        <w:rPr>
          <w:b/>
          <w:i/>
          <w:spacing w:val="-14"/>
          <w:w w:val="95"/>
          <w:sz w:val="22"/>
        </w:rPr>
        <w:t>、“糖尿病肾病”两种疾病中的其中一种承</w:t>
      </w:r>
      <w:r>
        <w:rPr>
          <w:b/>
          <w:i/>
          <w:spacing w:val="-2"/>
          <w:w w:val="95"/>
          <w:sz w:val="22"/>
        </w:rPr>
        <w:t>担保险责任，给付其中一种疾病对应的保险金后，对另外一种疾病的保险责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p>
      <w:pPr>
        <w:spacing w:after="0" w:line="266" w:lineRule="auto"/>
        <w:jc w:val="both"/>
        <w:rPr>
          <w:sz w:val="22"/>
        </w:rPr>
        <w:sectPr>
          <w:type w:val="continuous"/>
          <w:pgSz w:w="11910" w:h="16840"/>
          <w:pgMar w:top="460" w:bottom="280" w:left="680" w:right="460"/>
          <w:cols w:num="2" w:equalWidth="0">
            <w:col w:w="2981" w:space="40"/>
            <w:col w:w="7749"/>
          </w:cols>
        </w:sectPr>
      </w:pPr>
    </w:p>
    <w:p>
      <w:pPr>
        <w:pStyle w:val="BodyText"/>
        <w:spacing w:before="2"/>
        <w:rPr>
          <w:b/>
          <w:i/>
          <w:sz w:val="19"/>
        </w:rPr>
      </w:pPr>
    </w:p>
    <w:p>
      <w:pPr>
        <w:spacing w:after="0"/>
        <w:rPr>
          <w:sz w:val="19"/>
        </w:rPr>
        <w:sectPr>
          <w:type w:val="continuous"/>
          <w:pgSz w:w="11910" w:h="16840"/>
          <w:pgMar w:top="460" w:bottom="280" w:left="680" w:right="460"/>
        </w:sectPr>
      </w:pPr>
    </w:p>
    <w:p>
      <w:pPr>
        <w:pStyle w:val="Heading2"/>
        <w:numPr>
          <w:ilvl w:val="2"/>
          <w:numId w:val="12"/>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植入心脏起搏</w:t>
      </w:r>
      <w:r>
        <w:rPr>
          <w:rFonts w:ascii="楷体" w:eastAsia="楷体" w:hint="eastAsia"/>
          <w:spacing w:val="-10"/>
        </w:rPr>
        <w:t>器</w:t>
      </w:r>
    </w:p>
    <w:p>
      <w:pPr>
        <w:pStyle w:val="BodyText"/>
        <w:spacing w:line="278" w:lineRule="auto" w:before="72"/>
        <w:ind w:left="265" w:right="577"/>
        <w:jc w:val="both"/>
      </w:pPr>
      <w:r>
        <w:rPr/>
        <w:br w:type="column"/>
      </w:r>
      <w:r>
        <w:rPr>
          <w:spacing w:val="-2"/>
        </w:rPr>
        <w:t>因严重心律失常而确实已经实施永久性心脏起搏器的植入手术。理赔时须提</w:t>
      </w:r>
      <w:r>
        <w:rPr>
          <w:spacing w:val="-2"/>
        </w:rPr>
        <w:t>供完整病历资料及手术记录，诊断及治疗均须在医院专科医生认为是医疗必</w:t>
      </w:r>
      <w:r>
        <w:rPr>
          <w:spacing w:val="-2"/>
        </w:rPr>
        <w:t>须的情况下进行。</w:t>
      </w:r>
    </w:p>
    <w:p>
      <w:pPr>
        <w:spacing w:line="272" w:lineRule="exact" w:before="0"/>
        <w:ind w:left="265" w:right="0" w:firstLine="0"/>
        <w:jc w:val="left"/>
        <w:rPr>
          <w:b/>
          <w:i/>
          <w:sz w:val="22"/>
        </w:rPr>
      </w:pPr>
      <w:r>
        <w:rPr>
          <w:b/>
          <w:i/>
          <w:spacing w:val="-3"/>
          <w:w w:val="95"/>
          <w:sz w:val="22"/>
        </w:rPr>
        <w:t>因“Ⅲ度房室传导阻滞”植入心脏起搏器不在保障范围内。</w:t>
      </w:r>
    </w:p>
    <w:p>
      <w:pPr>
        <w:spacing w:after="0" w:line="272" w:lineRule="exact"/>
        <w:jc w:val="left"/>
        <w:rPr>
          <w:sz w:val="22"/>
        </w:rPr>
        <w:sectPr>
          <w:type w:val="continuous"/>
          <w:pgSz w:w="11910" w:h="16840"/>
          <w:pgMar w:top="460" w:bottom="280" w:left="680" w:right="460"/>
          <w:cols w:num="2" w:equalWidth="0">
            <w:col w:w="2981" w:space="40"/>
            <w:col w:w="7749"/>
          </w:cols>
        </w:sectPr>
      </w:pPr>
    </w:p>
    <w:p>
      <w:pPr>
        <w:pStyle w:val="BodyText"/>
        <w:spacing w:before="11"/>
        <w:rPr>
          <w:b/>
          <w:i/>
        </w:rPr>
      </w:pPr>
    </w:p>
    <w:p>
      <w:pPr>
        <w:pStyle w:val="ListParagraph"/>
        <w:numPr>
          <w:ilvl w:val="2"/>
          <w:numId w:val="12"/>
        </w:numPr>
        <w:tabs>
          <w:tab w:pos="1713" w:val="left" w:leader="none"/>
          <w:tab w:pos="1714" w:val="left" w:leader="none"/>
          <w:tab w:pos="3285" w:val="left" w:leader="none"/>
        </w:tabs>
        <w:spacing w:line="278" w:lineRule="auto" w:before="72" w:after="0"/>
        <w:ind w:left="3285" w:right="646" w:hanging="2711"/>
        <w:jc w:val="left"/>
        <w:rPr>
          <w:sz w:val="21"/>
        </w:rPr>
      </w:pPr>
      <w:r>
        <w:rPr>
          <w:rFonts w:ascii="楷体" w:hAnsi="楷体" w:eastAsia="楷体" w:hint="eastAsia"/>
          <w:b/>
          <w:spacing w:val="-2"/>
          <w:sz w:val="21"/>
        </w:rPr>
        <w:t>轻</w:t>
      </w:r>
      <w:r>
        <w:rPr>
          <w:rFonts w:ascii="楷体" w:hAnsi="楷体" w:eastAsia="楷体" w:hint="eastAsia"/>
          <w:b/>
          <w:spacing w:val="-2"/>
          <w:sz w:val="21"/>
        </w:rPr>
        <w:t>度</w:t>
      </w:r>
      <w:r>
        <w:rPr>
          <w:rFonts w:ascii="楷体" w:hAnsi="楷体" w:eastAsia="楷体" w:hint="eastAsia"/>
          <w:b/>
          <w:spacing w:val="-2"/>
          <w:sz w:val="21"/>
        </w:rPr>
        <w:t>面</w:t>
      </w:r>
      <w:r>
        <w:rPr>
          <w:rFonts w:ascii="楷体" w:hAnsi="楷体" w:eastAsia="楷体" w:hint="eastAsia"/>
          <w:b/>
          <w:spacing w:val="-2"/>
          <w:sz w:val="21"/>
        </w:rPr>
        <w:t>部</w:t>
      </w:r>
      <w:r>
        <w:rPr>
          <w:rFonts w:ascii="楷体" w:hAnsi="楷体" w:eastAsia="楷体" w:hint="eastAsia"/>
          <w:b/>
          <w:spacing w:val="-2"/>
          <w:sz w:val="21"/>
        </w:rPr>
        <w:t>烧</w:t>
      </w:r>
      <w:r>
        <w:rPr>
          <w:rFonts w:ascii="楷体" w:hAnsi="楷体" w:eastAsia="楷体" w:hint="eastAsia"/>
          <w:b/>
          <w:spacing w:val="-2"/>
          <w:sz w:val="21"/>
        </w:rPr>
        <w:t>伤</w:t>
      </w:r>
      <w:r>
        <w:rPr>
          <w:rFonts w:ascii="楷体" w:hAnsi="楷体" w:eastAsia="楷体" w:hint="eastAsia"/>
          <w:b/>
          <w:sz w:val="21"/>
        </w:rPr>
        <w:tab/>
      </w:r>
      <w:r>
        <w:rPr>
          <w:sz w:val="21"/>
        </w:rPr>
        <w:t>指烧伤程度为Ⅲ度，且Ⅲ</w:t>
      </w:r>
      <w:r>
        <w:rPr>
          <w:sz w:val="21"/>
        </w:rPr>
        <w:t>度烧伤的面积达到面部表面积的</w:t>
      </w:r>
      <w:r>
        <w:rPr>
          <w:spacing w:val="-53"/>
          <w:sz w:val="21"/>
        </w:rPr>
        <w:t> </w:t>
      </w:r>
      <w:r>
        <w:rPr>
          <w:sz w:val="21"/>
        </w:rPr>
        <w:t>30％或者</w:t>
      </w:r>
      <w:r>
        <w:rPr>
          <w:spacing w:val="-52"/>
          <w:sz w:val="21"/>
        </w:rPr>
        <w:t> </w:t>
      </w:r>
      <w:r>
        <w:rPr>
          <w:sz w:val="21"/>
        </w:rPr>
        <w:t>30％以上，但未达到面部表面积的</w:t>
      </w:r>
      <w:r>
        <w:rPr>
          <w:spacing w:val="-42"/>
          <w:sz w:val="21"/>
        </w:rPr>
        <w:t> </w:t>
      </w:r>
      <w:r>
        <w:rPr>
          <w:sz w:val="21"/>
        </w:rPr>
        <w:t>80%。</w:t>
      </w:r>
    </w:p>
    <w:p>
      <w:pPr>
        <w:spacing w:line="272" w:lineRule="exact" w:before="0"/>
        <w:ind w:left="3285" w:right="0" w:firstLine="0"/>
        <w:jc w:val="left"/>
        <w:rPr>
          <w:b/>
          <w:i/>
          <w:sz w:val="22"/>
        </w:rPr>
      </w:pPr>
      <w:r>
        <w:rPr>
          <w:b/>
          <w:i/>
          <w:spacing w:val="-17"/>
          <w:w w:val="95"/>
          <w:sz w:val="22"/>
        </w:rPr>
        <w:t>我们仅对“轻度面部烧伤”、“全身较小面积Ⅲ度烧伤”和“因意外毁容而施</w:t>
      </w:r>
    </w:p>
    <w:p>
      <w:pPr>
        <w:spacing w:after="0" w:line="272" w:lineRule="exact"/>
        <w:jc w:val="left"/>
        <w:rPr>
          <w:sz w:val="22"/>
        </w:rPr>
        <w:sectPr>
          <w:type w:val="continuous"/>
          <w:pgSz w:w="11910" w:h="16840"/>
          <w:pgMar w:top="460" w:bottom="280"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08"/>
      </w:tblGrid>
      <w:tr>
        <w:trPr>
          <w:trHeight w:val="740" w:hRule="atLeast"/>
        </w:trPr>
        <w:tc>
          <w:tcPr>
            <w:tcW w:w="2608" w:type="dxa"/>
            <w:gridSpan w:val="2"/>
          </w:tcPr>
          <w:p>
            <w:pPr>
              <w:pStyle w:val="TableParagraph"/>
              <w:rPr>
                <w:rFonts w:ascii="Times New Roman"/>
                <w:sz w:val="20"/>
              </w:rPr>
            </w:pPr>
          </w:p>
        </w:tc>
        <w:tc>
          <w:tcPr>
            <w:tcW w:w="7208" w:type="dxa"/>
          </w:tcPr>
          <w:p>
            <w:pPr>
              <w:pStyle w:val="TableParagraph"/>
              <w:spacing w:line="244" w:lineRule="exact"/>
              <w:ind w:left="152"/>
              <w:rPr>
                <w:b/>
                <w:i/>
                <w:sz w:val="22"/>
              </w:rPr>
            </w:pPr>
            <w:r>
              <w:rPr>
                <w:b/>
                <w:i/>
                <w:spacing w:val="-5"/>
                <w:w w:val="95"/>
                <w:sz w:val="22"/>
              </w:rPr>
              <w:t>行的面部整形手术”三种疾病中的其中一种承担保险责任，给付其中一种疾</w:t>
            </w:r>
          </w:p>
          <w:p>
            <w:pPr>
              <w:pStyle w:val="TableParagraph"/>
              <w:spacing w:before="30"/>
              <w:ind w:left="152"/>
              <w:rPr>
                <w:b/>
                <w:i/>
                <w:sz w:val="22"/>
              </w:rPr>
            </w:pPr>
            <w:r>
              <w:rPr>
                <w:b/>
                <w:i/>
                <w:spacing w:val="-3"/>
                <w:w w:val="95"/>
                <w:sz w:val="22"/>
              </w:rPr>
              <w:t>病对应的保险金后，对另外两种疾病的保险责任同时终止。</w:t>
            </w:r>
          </w:p>
        </w:tc>
      </w:tr>
      <w:tr>
        <w:trPr>
          <w:trHeight w:val="467" w:hRule="atLeast"/>
        </w:trPr>
        <w:tc>
          <w:tcPr>
            <w:tcW w:w="937" w:type="dxa"/>
          </w:tcPr>
          <w:p>
            <w:pPr>
              <w:pStyle w:val="TableParagraph"/>
              <w:spacing w:before="168"/>
              <w:ind w:left="50"/>
              <w:rPr>
                <w:b/>
                <w:sz w:val="21"/>
              </w:rPr>
            </w:pPr>
            <w:r>
              <w:rPr>
                <w:b/>
                <w:spacing w:val="-2"/>
                <w:sz w:val="21"/>
              </w:rPr>
              <w:t>9.6.16</w:t>
            </w:r>
          </w:p>
        </w:tc>
        <w:tc>
          <w:tcPr>
            <w:tcW w:w="1671" w:type="dxa"/>
          </w:tcPr>
          <w:p>
            <w:pPr>
              <w:pStyle w:val="TableParagraph"/>
              <w:spacing w:before="168"/>
              <w:ind w:left="250"/>
              <w:rPr>
                <w:rFonts w:ascii="楷体" w:eastAsia="楷体" w:hint="eastAsia"/>
                <w:b/>
                <w:sz w:val="21"/>
              </w:rPr>
            </w:pPr>
            <w:r>
              <w:rPr>
                <w:rFonts w:ascii="楷体" w:eastAsia="楷体" w:hint="eastAsia"/>
                <w:b/>
                <w:spacing w:val="-2"/>
                <w:sz w:val="21"/>
              </w:rPr>
              <w:t>因肾上腺皮质</w:t>
            </w:r>
          </w:p>
        </w:tc>
        <w:tc>
          <w:tcPr>
            <w:tcW w:w="7208" w:type="dxa"/>
          </w:tcPr>
          <w:p>
            <w:pPr>
              <w:pStyle w:val="TableParagraph"/>
              <w:spacing w:before="168"/>
              <w:ind w:left="152"/>
              <w:rPr>
                <w:sz w:val="21"/>
              </w:rPr>
            </w:pPr>
            <w:r>
              <w:rPr>
                <w:spacing w:val="-3"/>
                <w:sz w:val="21"/>
              </w:rPr>
              <w:t>因肾上腺皮质腺瘤所导致的醛固酮分泌过多而产生的继发性恶性高血压而</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13"/>
              <w:ind w:left="250"/>
              <w:rPr>
                <w:rFonts w:ascii="楷体" w:eastAsia="楷体" w:hint="eastAsia"/>
                <w:b/>
                <w:sz w:val="21"/>
              </w:rPr>
            </w:pPr>
            <w:r>
              <w:rPr>
                <w:rFonts w:ascii="楷体" w:eastAsia="楷体" w:hint="eastAsia"/>
                <w:b/>
                <w:spacing w:val="-2"/>
                <w:sz w:val="21"/>
              </w:rPr>
              <w:t>腺瘤切除肾上</w:t>
            </w:r>
          </w:p>
        </w:tc>
        <w:tc>
          <w:tcPr>
            <w:tcW w:w="7208" w:type="dxa"/>
          </w:tcPr>
          <w:p>
            <w:pPr>
              <w:pStyle w:val="TableParagraph"/>
              <w:spacing w:before="13"/>
              <w:ind w:left="152"/>
              <w:rPr>
                <w:sz w:val="21"/>
              </w:rPr>
            </w:pPr>
            <w:r>
              <w:rPr>
                <w:spacing w:val="-3"/>
                <w:sz w:val="21"/>
              </w:rPr>
              <w:t>实际接受了肾上腺切除术治疗。</w:t>
            </w:r>
          </w:p>
        </w:tc>
      </w:tr>
      <w:tr>
        <w:trPr>
          <w:trHeight w:val="463" w:hRule="atLeast"/>
        </w:trPr>
        <w:tc>
          <w:tcPr>
            <w:tcW w:w="937" w:type="dxa"/>
          </w:tcPr>
          <w:p>
            <w:pPr>
              <w:pStyle w:val="TableParagraph"/>
              <w:rPr>
                <w:rFonts w:ascii="Times New Roman"/>
                <w:sz w:val="20"/>
              </w:rPr>
            </w:pPr>
          </w:p>
        </w:tc>
        <w:tc>
          <w:tcPr>
            <w:tcW w:w="1671" w:type="dxa"/>
          </w:tcPr>
          <w:p>
            <w:pPr>
              <w:pStyle w:val="TableParagraph"/>
              <w:spacing w:before="13"/>
              <w:ind w:left="250"/>
              <w:rPr>
                <w:rFonts w:ascii="楷体" w:eastAsia="楷体" w:hint="eastAsia"/>
                <w:b/>
                <w:sz w:val="21"/>
              </w:rPr>
            </w:pPr>
            <w:r>
              <w:rPr>
                <w:rFonts w:ascii="楷体" w:eastAsia="楷体" w:hint="eastAsia"/>
                <w:b/>
                <w:w w:val="100"/>
                <w:sz w:val="21"/>
              </w:rPr>
              <w:t>腺</w:t>
            </w:r>
          </w:p>
        </w:tc>
        <w:tc>
          <w:tcPr>
            <w:tcW w:w="7208" w:type="dxa"/>
          </w:tcPr>
          <w:p>
            <w:pPr>
              <w:pStyle w:val="TableParagraph"/>
              <w:spacing w:before="13"/>
              <w:ind w:left="152"/>
              <w:rPr>
                <w:sz w:val="21"/>
              </w:rPr>
            </w:pPr>
            <w:r>
              <w:rPr>
                <w:spacing w:val="-3"/>
                <w:sz w:val="21"/>
              </w:rPr>
              <w:t>此诊断及治疗均须在医院内由专科医生认为是医疗必须的情况下进行。</w:t>
            </w:r>
          </w:p>
        </w:tc>
      </w:tr>
      <w:tr>
        <w:trPr>
          <w:trHeight w:val="2190" w:hRule="atLeast"/>
        </w:trPr>
        <w:tc>
          <w:tcPr>
            <w:tcW w:w="937" w:type="dxa"/>
          </w:tcPr>
          <w:p>
            <w:pPr>
              <w:pStyle w:val="TableParagraph"/>
              <w:spacing w:before="174"/>
              <w:ind w:left="50"/>
              <w:rPr>
                <w:b/>
                <w:sz w:val="21"/>
              </w:rPr>
            </w:pPr>
            <w:r>
              <w:rPr>
                <w:b/>
                <w:spacing w:val="-2"/>
                <w:sz w:val="21"/>
              </w:rPr>
              <w:t>9.6.17</w:t>
            </w:r>
          </w:p>
        </w:tc>
        <w:tc>
          <w:tcPr>
            <w:tcW w:w="1671" w:type="dxa"/>
          </w:tcPr>
          <w:p>
            <w:pPr>
              <w:pStyle w:val="TableParagraph"/>
              <w:spacing w:before="174"/>
              <w:ind w:left="250"/>
              <w:rPr>
                <w:rFonts w:ascii="楷体" w:eastAsia="楷体" w:hint="eastAsia"/>
                <w:b/>
                <w:sz w:val="21"/>
              </w:rPr>
            </w:pPr>
            <w:r>
              <w:rPr>
                <w:rFonts w:ascii="楷体" w:eastAsia="楷体" w:hint="eastAsia"/>
                <w:b/>
                <w:spacing w:val="-2"/>
                <w:sz w:val="21"/>
              </w:rPr>
              <w:t>微创颅脑手术</w:t>
            </w:r>
          </w:p>
        </w:tc>
        <w:tc>
          <w:tcPr>
            <w:tcW w:w="7208" w:type="dxa"/>
          </w:tcPr>
          <w:p>
            <w:pPr>
              <w:pStyle w:val="TableParagraph"/>
              <w:spacing w:line="266" w:lineRule="auto" w:before="164"/>
              <w:ind w:left="152" w:right="154"/>
              <w:rPr>
                <w:b/>
                <w:i/>
                <w:sz w:val="22"/>
              </w:rPr>
            </w:pPr>
            <w:r>
              <w:rPr>
                <w:spacing w:val="-2"/>
                <w:sz w:val="21"/>
              </w:rPr>
              <w:t>因疾病被保险人确已实施全麻下的颅骨钻孔手术或者经鼻蝶窦入颅手术。</w:t>
            </w:r>
            <w:r>
              <w:rPr>
                <w:b/>
                <w:i/>
                <w:spacing w:val="-2"/>
                <w:sz w:val="22"/>
              </w:rPr>
              <w:t>因</w:t>
            </w:r>
            <w:r>
              <w:rPr>
                <w:b/>
                <w:i/>
                <w:spacing w:val="-2"/>
                <w:w w:val="95"/>
                <w:sz w:val="22"/>
              </w:rPr>
              <w:t>意外伤害而实施的脑外科手术不在保障范围内。</w:t>
            </w:r>
          </w:p>
          <w:p>
            <w:pPr>
              <w:pStyle w:val="TableParagraph"/>
              <w:spacing w:line="266" w:lineRule="auto"/>
              <w:ind w:left="152" w:right="153"/>
              <w:jc w:val="both"/>
              <w:rPr>
                <w:b/>
                <w:i/>
                <w:sz w:val="22"/>
              </w:rPr>
            </w:pPr>
            <w:r>
              <w:rPr>
                <w:b/>
                <w:i/>
                <w:spacing w:val="-26"/>
                <w:w w:val="95"/>
                <w:sz w:val="22"/>
              </w:rPr>
              <w:t>我们仅对“轻度脑中风后遗症”、“微创颅脑手术”、“脑垂体瘤、脑囊肿、脑</w:t>
            </w:r>
            <w:r>
              <w:rPr>
                <w:b/>
                <w:i/>
                <w:spacing w:val="-25"/>
                <w:w w:val="95"/>
                <w:sz w:val="22"/>
              </w:rPr>
              <w:t>动脉瘤及脑血管瘤”、“植入大脑内分流器”、“硬脑膜下血肿手术”五种疾病</w:t>
            </w:r>
            <w:r>
              <w:rPr>
                <w:b/>
                <w:i/>
                <w:spacing w:val="-2"/>
                <w:w w:val="95"/>
                <w:sz w:val="22"/>
              </w:rPr>
              <w:t>中的其中一种承担保险责任，给付其中一种疾病对应的保险金后，对另外四</w:t>
            </w:r>
            <w:r>
              <w:rPr>
                <w:b/>
                <w:i/>
                <w:spacing w:val="-2"/>
                <w:sz w:val="22"/>
              </w:rPr>
              <w:t>种</w:t>
            </w:r>
            <w:r>
              <w:rPr>
                <w:b/>
                <w:i/>
                <w:spacing w:val="-2"/>
                <w:sz w:val="22"/>
              </w:rPr>
              <w:t>疾</w:t>
            </w:r>
            <w:r>
              <w:rPr>
                <w:b/>
                <w:i/>
                <w:spacing w:val="-2"/>
                <w:sz w:val="22"/>
              </w:rPr>
              <w:t>病</w:t>
            </w:r>
            <w:r>
              <w:rPr>
                <w:b/>
                <w:i/>
                <w:spacing w:val="-2"/>
                <w:sz w:val="22"/>
              </w:rPr>
              <w:t>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同时终</w:t>
            </w:r>
            <w:r>
              <w:rPr>
                <w:b/>
                <w:i/>
                <w:spacing w:val="-2"/>
                <w:sz w:val="22"/>
              </w:rPr>
              <w:t>止</w:t>
            </w:r>
            <w:r>
              <w:rPr>
                <w:b/>
                <w:i/>
                <w:spacing w:val="-2"/>
                <w:sz w:val="22"/>
              </w:rPr>
              <w:t>。</w:t>
            </w:r>
          </w:p>
        </w:tc>
      </w:tr>
      <w:tr>
        <w:trPr>
          <w:trHeight w:val="467" w:hRule="atLeast"/>
        </w:trPr>
        <w:tc>
          <w:tcPr>
            <w:tcW w:w="937" w:type="dxa"/>
          </w:tcPr>
          <w:p>
            <w:pPr>
              <w:pStyle w:val="TableParagraph"/>
              <w:spacing w:before="168"/>
              <w:ind w:left="50"/>
              <w:rPr>
                <w:b/>
                <w:sz w:val="21"/>
              </w:rPr>
            </w:pPr>
            <w:r>
              <w:rPr>
                <w:b/>
                <w:spacing w:val="-2"/>
                <w:sz w:val="21"/>
              </w:rPr>
              <w:t>9.6.18</w:t>
            </w:r>
          </w:p>
        </w:tc>
        <w:tc>
          <w:tcPr>
            <w:tcW w:w="1671" w:type="dxa"/>
          </w:tcPr>
          <w:p>
            <w:pPr>
              <w:pStyle w:val="TableParagraph"/>
              <w:spacing w:before="168"/>
              <w:ind w:left="250"/>
              <w:rPr>
                <w:rFonts w:ascii="楷体" w:eastAsia="楷体" w:hint="eastAsia"/>
                <w:b/>
                <w:sz w:val="21"/>
              </w:rPr>
            </w:pPr>
            <w:r>
              <w:rPr>
                <w:rFonts w:ascii="楷体" w:eastAsia="楷体" w:hint="eastAsia"/>
                <w:b/>
                <w:spacing w:val="-2"/>
                <w:sz w:val="21"/>
              </w:rPr>
              <w:t>特定的系统性</w:t>
            </w:r>
          </w:p>
        </w:tc>
        <w:tc>
          <w:tcPr>
            <w:tcW w:w="7208" w:type="dxa"/>
          </w:tcPr>
          <w:p>
            <w:pPr>
              <w:pStyle w:val="TableParagraph"/>
              <w:spacing w:before="168"/>
              <w:ind w:left="152"/>
              <w:rPr>
                <w:sz w:val="21"/>
              </w:rPr>
            </w:pPr>
            <w:r>
              <w:rPr>
                <w:spacing w:val="-5"/>
                <w:sz w:val="21"/>
              </w:rPr>
              <w:t>本保障所指的系统性红斑狼疮必须符合下列所有理赔条件，并且未达到重度</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13"/>
              <w:ind w:left="250"/>
              <w:rPr>
                <w:rFonts w:ascii="楷体" w:eastAsia="楷体" w:hint="eastAsia"/>
                <w:b/>
                <w:sz w:val="21"/>
              </w:rPr>
            </w:pPr>
            <w:r>
              <w:rPr>
                <w:rFonts w:ascii="楷体" w:eastAsia="楷体" w:hint="eastAsia"/>
                <w:b/>
                <w:spacing w:val="-3"/>
                <w:sz w:val="21"/>
              </w:rPr>
              <w:t>红斑狼疮</w:t>
            </w:r>
          </w:p>
        </w:tc>
        <w:tc>
          <w:tcPr>
            <w:tcW w:w="7208" w:type="dxa"/>
          </w:tcPr>
          <w:p>
            <w:pPr>
              <w:pStyle w:val="TableParagraph"/>
              <w:spacing w:before="13"/>
              <w:ind w:left="152"/>
              <w:rPr>
                <w:sz w:val="21"/>
              </w:rPr>
            </w:pPr>
            <w:r>
              <w:rPr>
                <w:spacing w:val="-2"/>
                <w:sz w:val="21"/>
              </w:rPr>
              <w:t>疾病“系统性红斑狼疮 －（并发）</w:t>
            </w:r>
            <w:r>
              <w:rPr>
                <w:spacing w:val="-3"/>
                <w:sz w:val="21"/>
              </w:rPr>
              <w:t>Ⅲ型或以上狼疮性肾炎”或“严重慢性</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3"/>
                <w:sz w:val="21"/>
              </w:rPr>
              <w:t>肾衰竭”的给付标准：</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（1）</w:t>
            </w:r>
            <w:r>
              <w:rPr>
                <w:spacing w:val="-14"/>
                <w:sz w:val="21"/>
              </w:rPr>
              <w:t>在下列 </w:t>
            </w:r>
            <w:r>
              <w:rPr>
                <w:spacing w:val="-2"/>
                <w:sz w:val="21"/>
              </w:rPr>
              <w:t>5</w:t>
            </w:r>
            <w:r>
              <w:rPr>
                <w:spacing w:val="-14"/>
                <w:sz w:val="21"/>
              </w:rPr>
              <w:t> 项情况中出现最少 </w:t>
            </w:r>
            <w:r>
              <w:rPr>
                <w:spacing w:val="-2"/>
                <w:sz w:val="21"/>
              </w:rPr>
              <w:t>3</w:t>
            </w:r>
            <w:r>
              <w:rPr>
                <w:spacing w:val="-14"/>
                <w:sz w:val="21"/>
              </w:rPr>
              <w:t> 项，且必须包含 </w:t>
            </w:r>
            <w:r>
              <w:rPr>
                <w:spacing w:val="-2"/>
                <w:sz w:val="21"/>
              </w:rPr>
              <w:t>1.3</w:t>
            </w:r>
            <w:r>
              <w:rPr>
                <w:spacing w:val="-11"/>
                <w:sz w:val="21"/>
              </w:rPr>
              <w:t> 狼疮性肾炎：</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1.1</w:t>
            </w:r>
            <w:r>
              <w:rPr>
                <w:spacing w:val="-9"/>
                <w:sz w:val="21"/>
              </w:rPr>
              <w:t> 关节炎：非磨损性关节炎，需涉及两个或以上关节；</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1.2</w:t>
            </w:r>
            <w:r>
              <w:rPr>
                <w:spacing w:val="-10"/>
                <w:sz w:val="21"/>
              </w:rPr>
              <w:t> 浆膜炎：胸膜炎或心包炎；</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1.3</w:t>
            </w:r>
            <w:r>
              <w:rPr>
                <w:spacing w:val="-14"/>
                <w:sz w:val="21"/>
              </w:rPr>
              <w:t> 狼疮性肾炎：符合 </w:t>
            </w:r>
            <w:r>
              <w:rPr>
                <w:spacing w:val="-2"/>
                <w:sz w:val="21"/>
              </w:rPr>
              <w:t>WHO</w:t>
            </w:r>
            <w:r>
              <w:rPr>
                <w:spacing w:val="-12"/>
                <w:sz w:val="21"/>
              </w:rPr>
              <w:t> 诊断标准定义的狼疮性肾炎 </w:t>
            </w:r>
            <w:r>
              <w:rPr>
                <w:spacing w:val="-2"/>
                <w:sz w:val="21"/>
              </w:rPr>
              <w:t>I</w:t>
            </w:r>
            <w:r>
              <w:rPr>
                <w:spacing w:val="-26"/>
                <w:sz w:val="21"/>
              </w:rPr>
              <w:t> 型或 </w:t>
            </w:r>
            <w:r>
              <w:rPr>
                <w:spacing w:val="-2"/>
                <w:sz w:val="21"/>
              </w:rPr>
              <w:t>II</w:t>
            </w:r>
            <w:r>
              <w:rPr>
                <w:spacing w:val="-21"/>
                <w:sz w:val="21"/>
              </w:rPr>
              <w:t> 型；</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世界卫生组织（WHO）</w:t>
            </w:r>
            <w:r>
              <w:rPr>
                <w:spacing w:val="-4"/>
                <w:sz w:val="21"/>
              </w:rPr>
              <w:t>狼疮性肾炎分型：</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I</w:t>
            </w:r>
            <w:r>
              <w:rPr>
                <w:spacing w:val="-22"/>
                <w:sz w:val="21"/>
              </w:rPr>
              <w:t> 型</w:t>
            </w:r>
            <w:r>
              <w:rPr>
                <w:spacing w:val="-2"/>
                <w:sz w:val="21"/>
              </w:rPr>
              <w:t>（微小病变型）</w:t>
            </w:r>
            <w:r>
              <w:rPr>
                <w:spacing w:val="-3"/>
                <w:sz w:val="21"/>
              </w:rPr>
              <w:t>镜下阴性，尿液正常</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II</w:t>
            </w:r>
            <w:r>
              <w:rPr>
                <w:spacing w:val="-22"/>
                <w:sz w:val="21"/>
              </w:rPr>
              <w:t> 型</w:t>
            </w:r>
            <w:r>
              <w:rPr>
                <w:spacing w:val="-2"/>
                <w:sz w:val="21"/>
              </w:rPr>
              <w:t>（系膜病变型）</w:t>
            </w:r>
            <w:r>
              <w:rPr>
                <w:spacing w:val="-3"/>
                <w:sz w:val="21"/>
              </w:rPr>
              <w:t>中度蛋白尿，偶有尿沉渣改变</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1.4</w:t>
            </w:r>
            <w:r>
              <w:rPr>
                <w:spacing w:val="-9"/>
                <w:sz w:val="21"/>
              </w:rPr>
              <w:t> 血液学异常：溶血性贫血、白细胞减少、或血小板减少；</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z w:val="21"/>
              </w:rPr>
              <w:t>1.5</w:t>
            </w:r>
            <w:r>
              <w:rPr>
                <w:spacing w:val="-6"/>
                <w:sz w:val="21"/>
              </w:rPr>
              <w:t> 抗核抗体阳性、或抗</w:t>
            </w:r>
            <w:r>
              <w:rPr>
                <w:sz w:val="21"/>
              </w:rPr>
              <w:t>dsDNA</w:t>
            </w:r>
            <w:r>
              <w:rPr>
                <w:spacing w:val="-16"/>
                <w:sz w:val="21"/>
              </w:rPr>
              <w:t> 阳性，或抗 </w:t>
            </w:r>
            <w:r>
              <w:rPr>
                <w:sz w:val="21"/>
              </w:rPr>
              <w:t>Smith</w:t>
            </w:r>
            <w:r>
              <w:rPr>
                <w:spacing w:val="-12"/>
                <w:sz w:val="21"/>
              </w:rPr>
              <w:t> 抗体阳性。</w:t>
            </w:r>
          </w:p>
        </w:tc>
      </w:tr>
      <w:tr>
        <w:trPr>
          <w:trHeight w:val="1404"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line="266" w:lineRule="auto" w:before="13"/>
              <w:ind w:left="152" w:right="49"/>
              <w:rPr>
                <w:b/>
                <w:i/>
                <w:sz w:val="22"/>
              </w:rPr>
            </w:pPr>
            <w:r>
              <w:rPr>
                <w:spacing w:val="-2"/>
                <w:sz w:val="21"/>
              </w:rPr>
              <w:t>（2）系统性红斑狼疮的诊断必须由医院的风湿科或免疫系统专科医生确定。</w:t>
            </w:r>
            <w:r>
              <w:rPr>
                <w:b/>
                <w:i/>
                <w:spacing w:val="-9"/>
                <w:w w:val="95"/>
                <w:sz w:val="22"/>
              </w:rPr>
              <w:t>我们仅对“特定的系统性红斑狼疮”</w:t>
            </w:r>
            <w:r>
              <w:rPr>
                <w:b/>
                <w:i/>
                <w:spacing w:val="-14"/>
                <w:w w:val="95"/>
                <w:sz w:val="22"/>
              </w:rPr>
              <w:t>、“慢性肾功能障碍”两种疾病中的其中</w:t>
            </w:r>
            <w:r>
              <w:rPr>
                <w:b/>
                <w:i/>
                <w:spacing w:val="-2"/>
                <w:w w:val="95"/>
                <w:sz w:val="22"/>
              </w:rPr>
              <w:t>一种承担保险责任，给付其中一种疾病对应的保险金后，对另外一种疾病的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tc>
      </w:tr>
      <w:tr>
        <w:trPr>
          <w:trHeight w:val="467" w:hRule="atLeast"/>
        </w:trPr>
        <w:tc>
          <w:tcPr>
            <w:tcW w:w="937" w:type="dxa"/>
          </w:tcPr>
          <w:p>
            <w:pPr>
              <w:pStyle w:val="TableParagraph"/>
              <w:spacing w:before="168"/>
              <w:ind w:left="50"/>
              <w:rPr>
                <w:b/>
                <w:sz w:val="21"/>
              </w:rPr>
            </w:pPr>
            <w:r>
              <w:rPr>
                <w:b/>
                <w:spacing w:val="-2"/>
                <w:sz w:val="21"/>
              </w:rPr>
              <w:t>9.6.19</w:t>
            </w:r>
          </w:p>
        </w:tc>
        <w:tc>
          <w:tcPr>
            <w:tcW w:w="1671" w:type="dxa"/>
          </w:tcPr>
          <w:p>
            <w:pPr>
              <w:pStyle w:val="TableParagraph"/>
              <w:spacing w:before="168"/>
              <w:ind w:left="250"/>
              <w:rPr>
                <w:rFonts w:ascii="楷体" w:eastAsia="楷体" w:hint="eastAsia"/>
                <w:b/>
                <w:sz w:val="21"/>
              </w:rPr>
            </w:pPr>
            <w:r>
              <w:rPr>
                <w:rFonts w:ascii="楷体" w:eastAsia="楷体" w:hint="eastAsia"/>
                <w:b/>
                <w:spacing w:val="-2"/>
                <w:sz w:val="21"/>
              </w:rPr>
              <w:t>视力严重受损</w:t>
            </w:r>
          </w:p>
        </w:tc>
        <w:tc>
          <w:tcPr>
            <w:tcW w:w="7208" w:type="dxa"/>
          </w:tcPr>
          <w:p>
            <w:pPr>
              <w:pStyle w:val="TableParagraph"/>
              <w:spacing w:before="168"/>
              <w:ind w:left="152"/>
              <w:rPr>
                <w:sz w:val="21"/>
              </w:rPr>
            </w:pPr>
            <w:r>
              <w:rPr>
                <w:spacing w:val="-3"/>
                <w:sz w:val="21"/>
              </w:rPr>
              <w:t>指因疾病或意外伤害导致双目视力永久不可逆性丧失，但未达到重度疾病</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3"/>
                <w:sz w:val="21"/>
              </w:rPr>
              <w:t>“双目失明”的给付标准，但满足下列全部条件：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4"/>
                <w:sz w:val="21"/>
              </w:rPr>
              <w:t>（1）</w:t>
            </w:r>
            <w:r>
              <w:rPr>
                <w:spacing w:val="-8"/>
                <w:sz w:val="21"/>
              </w:rPr>
              <w:t>双眼中较好眼矫正视力低于 </w:t>
            </w:r>
            <w:r>
              <w:rPr>
                <w:spacing w:val="-4"/>
                <w:sz w:val="21"/>
              </w:rPr>
              <w:t>0.1（</w:t>
            </w:r>
            <w:r>
              <w:rPr>
                <w:spacing w:val="-5"/>
                <w:sz w:val="21"/>
              </w:rPr>
              <w:t>采用国际标准视力表，如果使用其他</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视力表应进行换算</w:t>
            </w:r>
            <w:r>
              <w:rPr>
                <w:spacing w:val="-113"/>
                <w:sz w:val="21"/>
              </w:rPr>
              <w:t>）</w:t>
            </w:r>
            <w:r>
              <w:rPr>
                <w:spacing w:val="-5"/>
                <w:sz w:val="21"/>
              </w:rPr>
              <w:t>；</w:t>
            </w:r>
          </w:p>
        </w:tc>
      </w:tr>
      <w:tr>
        <w:trPr>
          <w:trHeight w:val="2029"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jc w:val="both"/>
              <w:rPr>
                <w:sz w:val="21"/>
              </w:rPr>
            </w:pPr>
            <w:r>
              <w:rPr>
                <w:spacing w:val="-2"/>
                <w:sz w:val="21"/>
              </w:rPr>
              <w:t>（2）</w:t>
            </w:r>
            <w:r>
              <w:rPr>
                <w:spacing w:val="-6"/>
                <w:sz w:val="21"/>
              </w:rPr>
              <w:t>双眼中较好眼视野半径小于 </w:t>
            </w:r>
            <w:r>
              <w:rPr>
                <w:spacing w:val="-2"/>
                <w:sz w:val="21"/>
              </w:rPr>
              <w:t>20</w:t>
            </w:r>
            <w:r>
              <w:rPr>
                <w:spacing w:val="-20"/>
                <w:sz w:val="21"/>
              </w:rPr>
              <w:t> 度。</w:t>
            </w:r>
          </w:p>
          <w:p>
            <w:pPr>
              <w:pStyle w:val="TableParagraph"/>
              <w:spacing w:line="266" w:lineRule="auto" w:before="33"/>
              <w:ind w:left="152" w:right="157"/>
              <w:jc w:val="both"/>
              <w:rPr>
                <w:b/>
                <w:i/>
                <w:sz w:val="22"/>
              </w:rPr>
            </w:pPr>
            <w:r>
              <w:rPr>
                <w:b/>
                <w:i/>
                <w:spacing w:val="-4"/>
                <w:w w:val="95"/>
                <w:sz w:val="22"/>
              </w:rPr>
              <w:t>被保险人申请理赔时年龄必须在 </w:t>
            </w:r>
            <w:r>
              <w:rPr>
                <w:b/>
                <w:i/>
                <w:spacing w:val="-2"/>
                <w:w w:val="95"/>
                <w:sz w:val="22"/>
              </w:rPr>
              <w:t>3</w:t>
            </w:r>
            <w:r>
              <w:rPr>
                <w:b/>
                <w:i/>
                <w:spacing w:val="-20"/>
                <w:w w:val="95"/>
                <w:sz w:val="22"/>
              </w:rPr>
              <w:t> </w:t>
            </w:r>
            <w:r>
              <w:rPr>
                <w:b/>
                <w:i/>
                <w:spacing w:val="-10"/>
                <w:w w:val="95"/>
                <w:sz w:val="22"/>
              </w:rPr>
              <w:t>周岁以上，并且须提供理赔当时的视力丧</w:t>
            </w:r>
            <w:r>
              <w:rPr>
                <w:b/>
                <w:i/>
                <w:spacing w:val="-2"/>
                <w:sz w:val="22"/>
              </w:rPr>
              <w:t>失</w:t>
            </w:r>
            <w:r>
              <w:rPr>
                <w:b/>
                <w:i/>
                <w:spacing w:val="-2"/>
                <w:sz w:val="22"/>
              </w:rPr>
              <w:t>诊</w:t>
            </w:r>
            <w:r>
              <w:rPr>
                <w:b/>
                <w:i/>
                <w:spacing w:val="-2"/>
                <w:sz w:val="22"/>
              </w:rPr>
              <w:t>断</w:t>
            </w:r>
            <w:r>
              <w:rPr>
                <w:b/>
                <w:i/>
                <w:spacing w:val="-2"/>
                <w:sz w:val="22"/>
              </w:rPr>
              <w:t>及</w:t>
            </w:r>
            <w:r>
              <w:rPr>
                <w:b/>
                <w:i/>
                <w:spacing w:val="-2"/>
                <w:sz w:val="22"/>
              </w:rPr>
              <w:t>检</w:t>
            </w:r>
            <w:r>
              <w:rPr>
                <w:b/>
                <w:i/>
                <w:spacing w:val="-2"/>
                <w:sz w:val="22"/>
              </w:rPr>
              <w:t>查</w:t>
            </w:r>
            <w:r>
              <w:rPr>
                <w:b/>
                <w:i/>
                <w:spacing w:val="-2"/>
                <w:sz w:val="22"/>
              </w:rPr>
              <w:t>证</w:t>
            </w:r>
            <w:r>
              <w:rPr>
                <w:b/>
                <w:i/>
                <w:spacing w:val="-2"/>
                <w:sz w:val="22"/>
              </w:rPr>
              <w:t>据</w:t>
            </w:r>
            <w:r>
              <w:rPr>
                <w:b/>
                <w:i/>
                <w:spacing w:val="-2"/>
                <w:sz w:val="22"/>
              </w:rPr>
              <w:t>。</w:t>
            </w:r>
          </w:p>
          <w:p>
            <w:pPr>
              <w:pStyle w:val="TableParagraph"/>
              <w:spacing w:line="266" w:lineRule="auto"/>
              <w:ind w:left="152" w:right="156"/>
              <w:jc w:val="both"/>
              <w:rPr>
                <w:b/>
                <w:i/>
                <w:sz w:val="22"/>
              </w:rPr>
            </w:pPr>
            <w:r>
              <w:rPr>
                <w:b/>
                <w:i/>
                <w:spacing w:val="-17"/>
                <w:w w:val="95"/>
                <w:sz w:val="22"/>
              </w:rPr>
              <w:t>我们仅对“视力严重受损”、“单目失明”和“角膜移植”三种疾病中的其中</w:t>
            </w:r>
            <w:r>
              <w:rPr>
                <w:b/>
                <w:i/>
                <w:spacing w:val="-2"/>
                <w:w w:val="95"/>
                <w:sz w:val="22"/>
              </w:rPr>
              <w:t>一种承担保险责任，给付其中一种疾病对应的保险金后，对另外两种疾病的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tc>
      </w:tr>
      <w:tr>
        <w:trPr>
          <w:trHeight w:val="467" w:hRule="atLeast"/>
        </w:trPr>
        <w:tc>
          <w:tcPr>
            <w:tcW w:w="937" w:type="dxa"/>
          </w:tcPr>
          <w:p>
            <w:pPr>
              <w:pStyle w:val="TableParagraph"/>
              <w:spacing w:before="168"/>
              <w:ind w:left="50"/>
              <w:rPr>
                <w:b/>
                <w:sz w:val="21"/>
              </w:rPr>
            </w:pPr>
            <w:r>
              <w:rPr>
                <w:b/>
                <w:spacing w:val="-2"/>
                <w:sz w:val="21"/>
              </w:rPr>
              <w:t>9.6.20</w:t>
            </w:r>
          </w:p>
        </w:tc>
        <w:tc>
          <w:tcPr>
            <w:tcW w:w="1671" w:type="dxa"/>
          </w:tcPr>
          <w:p>
            <w:pPr>
              <w:pStyle w:val="TableParagraph"/>
              <w:spacing w:before="168"/>
              <w:ind w:left="250"/>
              <w:rPr>
                <w:rFonts w:ascii="楷体" w:eastAsia="楷体" w:hint="eastAsia"/>
                <w:b/>
                <w:sz w:val="21"/>
              </w:rPr>
            </w:pPr>
            <w:r>
              <w:rPr>
                <w:rFonts w:ascii="楷体" w:eastAsia="楷体" w:hint="eastAsia"/>
                <w:b/>
                <w:spacing w:val="-2"/>
                <w:sz w:val="21"/>
              </w:rPr>
              <w:t>慢性肝功能衰</w:t>
            </w:r>
          </w:p>
        </w:tc>
        <w:tc>
          <w:tcPr>
            <w:tcW w:w="7208" w:type="dxa"/>
          </w:tcPr>
          <w:p>
            <w:pPr>
              <w:pStyle w:val="TableParagraph"/>
              <w:spacing w:before="168"/>
              <w:ind w:left="152"/>
              <w:rPr>
                <w:sz w:val="21"/>
              </w:rPr>
            </w:pPr>
            <w:r>
              <w:rPr>
                <w:spacing w:val="-3"/>
                <w:sz w:val="21"/>
              </w:rPr>
              <w:t>指因慢性肝脏疾病导致肝功能衰竭，且未达到重度疾病“严重慢性肝衰竭”</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13"/>
              <w:ind w:left="250"/>
              <w:rPr>
                <w:rFonts w:ascii="楷体" w:eastAsia="楷体" w:hint="eastAsia"/>
                <w:b/>
                <w:sz w:val="21"/>
              </w:rPr>
            </w:pPr>
            <w:r>
              <w:rPr>
                <w:rFonts w:ascii="楷体" w:eastAsia="楷体" w:hint="eastAsia"/>
                <w:b/>
                <w:w w:val="100"/>
                <w:sz w:val="21"/>
              </w:rPr>
              <w:t>竭</w:t>
            </w:r>
          </w:p>
        </w:tc>
        <w:tc>
          <w:tcPr>
            <w:tcW w:w="7208" w:type="dxa"/>
          </w:tcPr>
          <w:p>
            <w:pPr>
              <w:pStyle w:val="TableParagraph"/>
              <w:spacing w:before="13"/>
              <w:ind w:left="152"/>
              <w:rPr>
                <w:sz w:val="21"/>
              </w:rPr>
            </w:pPr>
            <w:r>
              <w:rPr>
                <w:spacing w:val="-3"/>
                <w:sz w:val="21"/>
              </w:rPr>
              <w:t>的给付标准。须满足下列任意三个条件：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8" w:type="dxa"/>
          </w:tcPr>
          <w:p>
            <w:pPr>
              <w:pStyle w:val="TableParagraph"/>
              <w:spacing w:before="13"/>
              <w:ind w:left="152"/>
              <w:rPr>
                <w:sz w:val="21"/>
              </w:rPr>
            </w:pPr>
            <w:r>
              <w:rPr>
                <w:spacing w:val="-2"/>
                <w:sz w:val="21"/>
              </w:rPr>
              <w:t>（1）</w:t>
            </w:r>
            <w:r>
              <w:rPr>
                <w:spacing w:val="-4"/>
                <w:sz w:val="21"/>
              </w:rPr>
              <w:t>持续性黄疸；</w:t>
            </w:r>
          </w:p>
        </w:tc>
      </w:tr>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208" w:type="dxa"/>
          </w:tcPr>
          <w:p>
            <w:pPr>
              <w:pStyle w:val="TableParagraph"/>
              <w:spacing w:line="229" w:lineRule="exact" w:before="13"/>
              <w:ind w:left="152"/>
              <w:rPr>
                <w:sz w:val="21"/>
              </w:rPr>
            </w:pPr>
            <w:r>
              <w:rPr>
                <w:spacing w:val="-2"/>
                <w:sz w:val="21"/>
              </w:rPr>
              <w:t>（2）</w:t>
            </w:r>
            <w:r>
              <w:rPr>
                <w:spacing w:val="-5"/>
                <w:sz w:val="21"/>
              </w:rPr>
              <w:t>腹水；</w:t>
            </w:r>
          </w:p>
        </w:tc>
      </w:tr>
    </w:tbl>
    <w:p>
      <w:pPr>
        <w:spacing w:after="0" w:line="229" w:lineRule="exact"/>
        <w:rPr>
          <w:sz w:val="21"/>
        </w:rPr>
        <w:sectPr>
          <w:pgSz w:w="11910" w:h="16840"/>
          <w:pgMar w:top="1280" w:bottom="1022"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07"/>
      </w:tblGrid>
      <w:tr>
        <w:trPr>
          <w:trHeight w:val="569"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numPr>
                <w:ilvl w:val="0"/>
                <w:numId w:val="15"/>
              </w:numPr>
              <w:tabs>
                <w:tab w:pos="682" w:val="left" w:leader="none"/>
              </w:tabs>
              <w:spacing w:line="241" w:lineRule="exact" w:before="0" w:after="0"/>
              <w:ind w:left="681" w:right="0" w:hanging="530"/>
              <w:jc w:val="left"/>
              <w:rPr>
                <w:sz w:val="21"/>
              </w:rPr>
            </w:pPr>
            <w:r>
              <w:rPr>
                <w:spacing w:val="-4"/>
                <w:sz w:val="21"/>
              </w:rPr>
              <w:t>肝性脑病；</w:t>
            </w:r>
          </w:p>
          <w:p>
            <w:pPr>
              <w:pStyle w:val="TableParagraph"/>
              <w:numPr>
                <w:ilvl w:val="0"/>
                <w:numId w:val="15"/>
              </w:numPr>
              <w:tabs>
                <w:tab w:pos="682" w:val="left" w:leader="none"/>
              </w:tabs>
              <w:spacing w:line="265" w:lineRule="exact" w:before="43" w:after="0"/>
              <w:ind w:left="681" w:right="0" w:hanging="530"/>
              <w:jc w:val="left"/>
              <w:rPr>
                <w:sz w:val="21"/>
              </w:rPr>
            </w:pPr>
            <w:r>
              <w:rPr>
                <w:spacing w:val="-3"/>
                <w:sz w:val="21"/>
              </w:rPr>
              <w:t>充血性脾肿大伴脾功能亢进或食管胃底静脉曲张。</w:t>
            </w:r>
          </w:p>
        </w:tc>
      </w:tr>
      <w:tr>
        <w:trPr>
          <w:trHeight w:val="1409"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17"/>
              <w:ind w:left="152"/>
              <w:rPr>
                <w:b/>
                <w:i/>
                <w:sz w:val="22"/>
              </w:rPr>
            </w:pPr>
            <w:r>
              <w:rPr>
                <w:b/>
                <w:i/>
                <w:spacing w:val="-3"/>
                <w:w w:val="95"/>
                <w:sz w:val="22"/>
              </w:rPr>
              <w:t>因酗酒或药物滥用导致的肝功能衰竭不在保障范围内。</w:t>
            </w:r>
          </w:p>
          <w:p>
            <w:pPr>
              <w:pStyle w:val="TableParagraph"/>
              <w:spacing w:line="266" w:lineRule="auto" w:before="30"/>
              <w:ind w:left="152" w:right="154"/>
              <w:jc w:val="both"/>
              <w:rPr>
                <w:b/>
                <w:i/>
                <w:sz w:val="22"/>
              </w:rPr>
            </w:pPr>
            <w:r>
              <w:rPr>
                <w:b/>
                <w:i/>
                <w:spacing w:val="-2"/>
                <w:w w:val="95"/>
                <w:sz w:val="22"/>
              </w:rPr>
              <w:t>我们仅对“病毒性肝炎导致的肝硬化”和“慢性肝功能衰竭”两种疾病中的</w:t>
            </w:r>
            <w:r>
              <w:rPr>
                <w:b/>
                <w:i/>
                <w:spacing w:val="-2"/>
                <w:w w:val="95"/>
                <w:sz w:val="22"/>
              </w:rPr>
              <w:t>其中一种承担保险责任，给付其中一种疾病对应的保险金后，对另外一种疾</w:t>
            </w:r>
            <w:r>
              <w:rPr>
                <w:b/>
                <w:i/>
                <w:spacing w:val="-2"/>
                <w:sz w:val="22"/>
              </w:rPr>
              <w:t>病</w:t>
            </w:r>
            <w:r>
              <w:rPr>
                <w:b/>
                <w:i/>
                <w:spacing w:val="-2"/>
                <w:sz w:val="22"/>
              </w:rPr>
              <w:t>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tc>
      </w:tr>
      <w:tr>
        <w:trPr>
          <w:trHeight w:val="467" w:hRule="atLeast"/>
        </w:trPr>
        <w:tc>
          <w:tcPr>
            <w:tcW w:w="937" w:type="dxa"/>
          </w:tcPr>
          <w:p>
            <w:pPr>
              <w:pStyle w:val="TableParagraph"/>
              <w:spacing w:before="177"/>
              <w:ind w:left="50"/>
              <w:rPr>
                <w:b/>
                <w:sz w:val="21"/>
              </w:rPr>
            </w:pPr>
            <w:r>
              <w:rPr>
                <w:b/>
                <w:spacing w:val="-2"/>
                <w:sz w:val="21"/>
              </w:rPr>
              <w:t>9.6.21</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轻度肠道并发</w:t>
            </w:r>
          </w:p>
        </w:tc>
        <w:tc>
          <w:tcPr>
            <w:tcW w:w="7207" w:type="dxa"/>
          </w:tcPr>
          <w:p>
            <w:pPr>
              <w:pStyle w:val="TableParagraph"/>
              <w:spacing w:before="177"/>
              <w:ind w:left="152"/>
              <w:rPr>
                <w:sz w:val="21"/>
              </w:rPr>
            </w:pPr>
            <w:r>
              <w:rPr>
                <w:spacing w:val="-5"/>
                <w:sz w:val="21"/>
              </w:rPr>
              <w:t>严重肠道疾病或意外伤害导致小肠损害并发症，本疾病须满足以下所有条件</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w w:val="100"/>
                <w:sz w:val="21"/>
              </w:rPr>
              <w:t>症</w:t>
            </w:r>
          </w:p>
        </w:tc>
        <w:tc>
          <w:tcPr>
            <w:tcW w:w="7207" w:type="dxa"/>
          </w:tcPr>
          <w:p>
            <w:pPr>
              <w:pStyle w:val="TableParagraph"/>
              <w:spacing w:before="22"/>
              <w:ind w:left="152"/>
              <w:rPr>
                <w:sz w:val="21"/>
              </w:rPr>
            </w:pPr>
            <w:r>
              <w:rPr>
                <w:spacing w:val="-10"/>
                <w:sz w:val="21"/>
              </w:rPr>
              <w:t>且未达到中度疾病“中度严重克罗恩病”、重度疾病“严重肠道疾病并发症”</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3"/>
                <w:sz w:val="21"/>
              </w:rPr>
              <w:t>或“严重克罗恩病”的给付标准：</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2"/>
                <w:sz w:val="21"/>
              </w:rPr>
              <w:t>（1）</w:t>
            </w:r>
            <w:r>
              <w:rPr>
                <w:spacing w:val="-3"/>
                <w:sz w:val="21"/>
              </w:rPr>
              <w:t>至少切除了二分之一小肠；</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2"/>
                <w:sz w:val="21"/>
              </w:rPr>
              <w:t>（2）</w:t>
            </w:r>
            <w:r>
              <w:rPr>
                <w:spacing w:val="-3"/>
                <w:sz w:val="21"/>
              </w:rPr>
              <w:t>完全肠外营养支持二个月以上。</w:t>
            </w:r>
          </w:p>
        </w:tc>
      </w:tr>
      <w:tr>
        <w:trPr>
          <w:trHeight w:val="468" w:hRule="atLeast"/>
        </w:trPr>
        <w:tc>
          <w:tcPr>
            <w:tcW w:w="937" w:type="dxa"/>
          </w:tcPr>
          <w:p>
            <w:pPr>
              <w:pStyle w:val="TableParagraph"/>
              <w:spacing w:before="178"/>
              <w:ind w:left="50"/>
              <w:rPr>
                <w:b/>
                <w:sz w:val="21"/>
              </w:rPr>
            </w:pPr>
            <w:r>
              <w:rPr>
                <w:b/>
                <w:spacing w:val="-2"/>
                <w:sz w:val="21"/>
              </w:rPr>
              <w:t>9.6.22</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轻度阿尔茨海</w:t>
            </w:r>
          </w:p>
        </w:tc>
        <w:tc>
          <w:tcPr>
            <w:tcW w:w="7207" w:type="dxa"/>
          </w:tcPr>
          <w:p>
            <w:pPr>
              <w:pStyle w:val="TableParagraph"/>
              <w:spacing w:before="178"/>
              <w:ind w:left="152"/>
              <w:rPr>
                <w:sz w:val="21"/>
              </w:rPr>
            </w:pPr>
            <w:r>
              <w:rPr>
                <w:spacing w:val="-5"/>
                <w:sz w:val="21"/>
              </w:rPr>
              <w:t>指因大脑进行性、不可逆性改变导致智能严重衰退或丧失，临床表现为明显</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5"/>
                <w:sz w:val="21"/>
              </w:rPr>
              <w:t>默病</w:t>
            </w:r>
          </w:p>
        </w:tc>
        <w:tc>
          <w:tcPr>
            <w:tcW w:w="7207" w:type="dxa"/>
          </w:tcPr>
          <w:p>
            <w:pPr>
              <w:pStyle w:val="TableParagraph"/>
              <w:spacing w:before="22"/>
              <w:ind w:left="152"/>
              <w:rPr>
                <w:sz w:val="21"/>
              </w:rPr>
            </w:pPr>
            <w:r>
              <w:rPr>
                <w:spacing w:val="-5"/>
                <w:sz w:val="21"/>
              </w:rPr>
              <w:t>的认知能力障碍、行为异常和社交能力减退，其日常生活必须持续受到他人</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2"/>
                <w:sz w:val="21"/>
              </w:rPr>
              <w:t>监护。须由头颅断层扫描(CT)、核磁共振检查（MRI）</w:t>
            </w:r>
            <w:r>
              <w:rPr>
                <w:spacing w:val="-3"/>
                <w:sz w:val="21"/>
              </w:rPr>
              <w:t>或正电子发射断层扫</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2"/>
                <w:sz w:val="21"/>
              </w:rPr>
              <w:t>描（PET）</w:t>
            </w:r>
            <w:r>
              <w:rPr>
                <w:spacing w:val="-3"/>
                <w:sz w:val="21"/>
              </w:rPr>
              <w:t>等影像学检查证实，并且自主生活能力部分丧失，经鉴定无法独</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5"/>
                <w:sz w:val="21"/>
              </w:rPr>
              <w:t>立完成六项基本日常生活活动中的两项，但未达到重度疾病“严重阿尔茨海</w:t>
            </w:r>
          </w:p>
        </w:tc>
      </w:tr>
      <w:tr>
        <w:trPr>
          <w:trHeight w:val="171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3"/>
                <w:sz w:val="21"/>
              </w:rPr>
              <w:t>默病”或“瘫痪”的给付标准。</w:t>
            </w:r>
          </w:p>
          <w:p>
            <w:pPr>
              <w:pStyle w:val="TableParagraph"/>
              <w:spacing w:before="33"/>
              <w:ind w:left="152"/>
              <w:rPr>
                <w:b/>
                <w:i/>
                <w:sz w:val="22"/>
              </w:rPr>
            </w:pPr>
            <w:r>
              <w:rPr>
                <w:b/>
                <w:i/>
                <w:spacing w:val="-3"/>
                <w:w w:val="95"/>
                <w:sz w:val="22"/>
              </w:rPr>
              <w:t>以下情况不在保障范围内：</w:t>
            </w:r>
          </w:p>
          <w:p>
            <w:pPr>
              <w:pStyle w:val="TableParagraph"/>
              <w:numPr>
                <w:ilvl w:val="0"/>
                <w:numId w:val="16"/>
              </w:numPr>
              <w:tabs>
                <w:tab w:pos="682" w:val="left" w:leader="none"/>
              </w:tabs>
              <w:spacing w:line="266" w:lineRule="auto" w:before="30" w:after="0"/>
              <w:ind w:left="152" w:right="197" w:firstLine="0"/>
              <w:jc w:val="left"/>
              <w:rPr>
                <w:b/>
                <w:i/>
                <w:sz w:val="22"/>
              </w:rPr>
            </w:pPr>
            <w:r>
              <w:rPr>
                <w:b/>
                <w:i/>
                <w:spacing w:val="-2"/>
                <w:w w:val="95"/>
                <w:sz w:val="22"/>
              </w:rPr>
              <w:t>存在酒精滥用、药物滥用或获得性免疫缺陷综合征（AIDS）情况下的</w:t>
            </w:r>
            <w:r>
              <w:rPr>
                <w:b/>
                <w:i/>
                <w:spacing w:val="-4"/>
                <w:sz w:val="22"/>
              </w:rPr>
              <w:t>痴</w:t>
            </w:r>
            <w:r>
              <w:rPr>
                <w:b/>
                <w:i/>
                <w:spacing w:val="-4"/>
                <w:sz w:val="22"/>
              </w:rPr>
              <w:t>呆</w:t>
            </w:r>
            <w:r>
              <w:rPr>
                <w:b/>
                <w:i/>
                <w:spacing w:val="-4"/>
                <w:sz w:val="22"/>
              </w:rPr>
              <w:t>；</w:t>
            </w:r>
          </w:p>
          <w:p>
            <w:pPr>
              <w:pStyle w:val="TableParagraph"/>
              <w:numPr>
                <w:ilvl w:val="0"/>
                <w:numId w:val="16"/>
              </w:numPr>
              <w:tabs>
                <w:tab w:pos="682" w:val="left" w:leader="none"/>
              </w:tabs>
              <w:spacing w:line="280" w:lineRule="exact" w:before="0" w:after="0"/>
              <w:ind w:left="681" w:right="0" w:hanging="530"/>
              <w:jc w:val="left"/>
              <w:rPr>
                <w:b/>
                <w:i/>
                <w:sz w:val="22"/>
              </w:rPr>
            </w:pPr>
            <w:r>
              <w:rPr>
                <w:b/>
                <w:i/>
                <w:spacing w:val="-3"/>
                <w:w w:val="95"/>
                <w:sz w:val="22"/>
              </w:rPr>
              <w:t>神经官能症和精神疾病。</w:t>
            </w:r>
          </w:p>
        </w:tc>
      </w:tr>
      <w:tr>
        <w:trPr>
          <w:trHeight w:val="467" w:hRule="atLeast"/>
        </w:trPr>
        <w:tc>
          <w:tcPr>
            <w:tcW w:w="937" w:type="dxa"/>
          </w:tcPr>
          <w:p>
            <w:pPr>
              <w:pStyle w:val="TableParagraph"/>
              <w:spacing w:before="177"/>
              <w:ind w:left="50"/>
              <w:rPr>
                <w:b/>
                <w:sz w:val="21"/>
              </w:rPr>
            </w:pPr>
            <w:r>
              <w:rPr>
                <w:b/>
                <w:spacing w:val="-2"/>
                <w:sz w:val="21"/>
              </w:rPr>
              <w:t>9.6.23</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轻度原发性帕</w:t>
            </w:r>
          </w:p>
        </w:tc>
        <w:tc>
          <w:tcPr>
            <w:tcW w:w="7207" w:type="dxa"/>
          </w:tcPr>
          <w:p>
            <w:pPr>
              <w:pStyle w:val="TableParagraph"/>
              <w:spacing w:before="177"/>
              <w:ind w:left="152"/>
              <w:rPr>
                <w:sz w:val="21"/>
              </w:rPr>
            </w:pPr>
            <w:r>
              <w:rPr>
                <w:spacing w:val="-5"/>
                <w:sz w:val="21"/>
              </w:rPr>
              <w:t>是一种中枢神经系统的退行性疾病，临床表现为震颤麻痹、共济失调等。须</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3"/>
                <w:sz w:val="21"/>
              </w:rPr>
              <w:t>金森氏病</w:t>
            </w:r>
          </w:p>
        </w:tc>
        <w:tc>
          <w:tcPr>
            <w:tcW w:w="7207" w:type="dxa"/>
          </w:tcPr>
          <w:p>
            <w:pPr>
              <w:pStyle w:val="TableParagraph"/>
              <w:spacing w:before="22"/>
              <w:ind w:left="152"/>
              <w:rPr>
                <w:sz w:val="21"/>
              </w:rPr>
            </w:pPr>
            <w:r>
              <w:rPr>
                <w:spacing w:val="-5"/>
                <w:sz w:val="21"/>
              </w:rPr>
              <w:t>同时符合下列所有条件，且未达到重度疾病“严重原发性帕金森病”或“瘫</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4"/>
                <w:sz w:val="21"/>
              </w:rPr>
              <w:t>痪”的给付标准：</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2"/>
                <w:sz w:val="21"/>
              </w:rPr>
              <w:t>（1）</w:t>
            </w:r>
            <w:r>
              <w:rPr>
                <w:spacing w:val="-3"/>
                <w:sz w:val="21"/>
              </w:rPr>
              <w:t>无法通过药物控制；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2"/>
                <w:sz w:val="21"/>
              </w:rPr>
              <w:t>（2）</w:t>
            </w:r>
            <w:r>
              <w:rPr>
                <w:spacing w:val="-3"/>
                <w:sz w:val="21"/>
              </w:rPr>
              <w:t>出现逐步退化客观征状；</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4"/>
                <w:sz w:val="21"/>
              </w:rPr>
              <w:t>（3）</w:t>
            </w:r>
            <w:r>
              <w:rPr>
                <w:spacing w:val="-7"/>
                <w:sz w:val="21"/>
              </w:rPr>
              <w:t>经鉴定至少持续 </w:t>
            </w:r>
            <w:r>
              <w:rPr>
                <w:spacing w:val="-4"/>
                <w:sz w:val="21"/>
              </w:rPr>
              <w:t>180</w:t>
            </w:r>
            <w:r>
              <w:rPr>
                <w:spacing w:val="-10"/>
                <w:sz w:val="21"/>
              </w:rPr>
              <w:t> 天无法独立完成六项基本日常生活活动中的两项。</w:t>
            </w:r>
          </w:p>
          <w:p>
            <w:pPr>
              <w:pStyle w:val="TableParagraph"/>
              <w:spacing w:before="33"/>
              <w:ind w:left="152"/>
              <w:rPr>
                <w:b/>
                <w:i/>
                <w:sz w:val="22"/>
              </w:rPr>
            </w:pPr>
            <w:r>
              <w:rPr>
                <w:b/>
                <w:i/>
                <w:spacing w:val="-3"/>
                <w:w w:val="95"/>
                <w:sz w:val="22"/>
              </w:rPr>
              <w:t>继发性帕金森综合征不在保障范围内。</w:t>
            </w:r>
          </w:p>
        </w:tc>
      </w:tr>
      <w:tr>
        <w:trPr>
          <w:trHeight w:val="467" w:hRule="atLeast"/>
        </w:trPr>
        <w:tc>
          <w:tcPr>
            <w:tcW w:w="937" w:type="dxa"/>
          </w:tcPr>
          <w:p>
            <w:pPr>
              <w:pStyle w:val="TableParagraph"/>
              <w:spacing w:before="177"/>
              <w:ind w:left="50"/>
              <w:rPr>
                <w:b/>
                <w:sz w:val="21"/>
              </w:rPr>
            </w:pPr>
            <w:r>
              <w:rPr>
                <w:b/>
                <w:spacing w:val="-2"/>
                <w:sz w:val="21"/>
              </w:rPr>
              <w:t>9.6.24</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全身较小面积</w:t>
            </w:r>
          </w:p>
        </w:tc>
        <w:tc>
          <w:tcPr>
            <w:tcW w:w="7207" w:type="dxa"/>
          </w:tcPr>
          <w:p>
            <w:pPr>
              <w:pStyle w:val="TableParagraph"/>
              <w:spacing w:before="177"/>
              <w:ind w:left="152"/>
              <w:rPr>
                <w:sz w:val="21"/>
              </w:rPr>
            </w:pPr>
            <w:r>
              <w:rPr>
                <w:spacing w:val="-4"/>
                <w:sz w:val="21"/>
              </w:rPr>
              <w:t>指烧伤程度为Ⅲ度，且Ⅲ度烧伤面积为全身体表面积的 </w:t>
            </w:r>
            <w:r>
              <w:rPr>
                <w:spacing w:val="-2"/>
                <w:sz w:val="21"/>
              </w:rPr>
              <w:t>10</w:t>
            </w:r>
            <w:r>
              <w:rPr>
                <w:spacing w:val="-12"/>
                <w:sz w:val="21"/>
              </w:rPr>
              <w:t>%或者 </w:t>
            </w:r>
            <w:r>
              <w:rPr>
                <w:spacing w:val="-2"/>
                <w:sz w:val="21"/>
              </w:rPr>
              <w:t>10</w:t>
            </w:r>
            <w:r>
              <w:rPr>
                <w:spacing w:val="-4"/>
                <w:sz w:val="21"/>
              </w:rPr>
              <w:t>%以上，</w:t>
            </w:r>
          </w:p>
        </w:tc>
      </w:tr>
      <w:tr>
        <w:trPr>
          <w:trHeight w:val="1405"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hAnsi="楷体" w:eastAsia="楷体" w:hint="eastAsia"/>
                <w:b/>
                <w:sz w:val="21"/>
              </w:rPr>
            </w:pPr>
            <w:r>
              <w:rPr>
                <w:rFonts w:ascii="楷体" w:hAnsi="楷体" w:eastAsia="楷体" w:hint="eastAsia"/>
                <w:b/>
                <w:spacing w:val="-3"/>
                <w:sz w:val="21"/>
              </w:rPr>
              <w:t>Ⅲ度烧伤</w:t>
            </w:r>
          </w:p>
        </w:tc>
        <w:tc>
          <w:tcPr>
            <w:tcW w:w="7207" w:type="dxa"/>
          </w:tcPr>
          <w:p>
            <w:pPr>
              <w:pStyle w:val="TableParagraph"/>
              <w:spacing w:before="22"/>
              <w:ind w:left="152"/>
              <w:jc w:val="both"/>
              <w:rPr>
                <w:sz w:val="21"/>
              </w:rPr>
            </w:pPr>
            <w:r>
              <w:rPr>
                <w:spacing w:val="-8"/>
                <w:sz w:val="21"/>
              </w:rPr>
              <w:t>但尚未达到 </w:t>
            </w:r>
            <w:r>
              <w:rPr>
                <w:spacing w:val="-2"/>
                <w:sz w:val="21"/>
              </w:rPr>
              <w:t>20</w:t>
            </w:r>
            <w:r>
              <w:rPr>
                <w:spacing w:val="-3"/>
                <w:sz w:val="21"/>
              </w:rPr>
              <w:t>%。体表面积根据《中国新九分法》计算。</w:t>
            </w:r>
          </w:p>
          <w:p>
            <w:pPr>
              <w:pStyle w:val="TableParagraph"/>
              <w:spacing w:line="266" w:lineRule="auto" w:before="33"/>
              <w:ind w:left="152" w:right="151"/>
              <w:jc w:val="both"/>
              <w:rPr>
                <w:b/>
                <w:i/>
                <w:sz w:val="22"/>
              </w:rPr>
            </w:pPr>
            <w:r>
              <w:rPr>
                <w:b/>
                <w:i/>
                <w:spacing w:val="-17"/>
                <w:w w:val="95"/>
                <w:sz w:val="22"/>
              </w:rPr>
              <w:t>我们仅对“轻度面部烧伤”、“全身较小面积Ⅲ度烧伤”和“因意外毁容而施</w:t>
            </w:r>
            <w:r>
              <w:rPr>
                <w:b/>
                <w:i/>
                <w:spacing w:val="-2"/>
                <w:w w:val="95"/>
                <w:sz w:val="22"/>
              </w:rPr>
              <w:t>行的面部整形手术”三种疾病中的其中一种承担保险责任，给付其中一种疾</w:t>
            </w:r>
            <w:r>
              <w:rPr>
                <w:b/>
                <w:i/>
                <w:spacing w:val="-2"/>
                <w:w w:val="95"/>
                <w:sz w:val="22"/>
              </w:rPr>
              <w:t>病对应的保险金后，对另外两种疾病的保险责任同时终止。</w:t>
            </w:r>
          </w:p>
        </w:tc>
      </w:tr>
      <w:tr>
        <w:trPr>
          <w:trHeight w:val="467" w:hRule="atLeast"/>
        </w:trPr>
        <w:tc>
          <w:tcPr>
            <w:tcW w:w="937" w:type="dxa"/>
          </w:tcPr>
          <w:p>
            <w:pPr>
              <w:pStyle w:val="TableParagraph"/>
              <w:spacing w:before="177"/>
              <w:ind w:left="50"/>
              <w:rPr>
                <w:b/>
                <w:sz w:val="21"/>
              </w:rPr>
            </w:pPr>
            <w:r>
              <w:rPr>
                <w:b/>
                <w:spacing w:val="-2"/>
                <w:sz w:val="21"/>
              </w:rPr>
              <w:t>9.6.25</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冠状动脉介入</w:t>
            </w:r>
          </w:p>
        </w:tc>
        <w:tc>
          <w:tcPr>
            <w:tcW w:w="7207" w:type="dxa"/>
          </w:tcPr>
          <w:p>
            <w:pPr>
              <w:pStyle w:val="TableParagraph"/>
              <w:spacing w:before="177"/>
              <w:ind w:left="152"/>
              <w:rPr>
                <w:sz w:val="21"/>
              </w:rPr>
            </w:pPr>
            <w:r>
              <w:rPr>
                <w:spacing w:val="-5"/>
                <w:sz w:val="21"/>
              </w:rPr>
              <w:t>为了治疗明显的冠状动脉狭窄性疾病，首次实际实施了冠状动脉球囊扩张成</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5"/>
                <w:sz w:val="21"/>
              </w:rPr>
              <w:t>手术</w:t>
            </w:r>
          </w:p>
        </w:tc>
        <w:tc>
          <w:tcPr>
            <w:tcW w:w="7207" w:type="dxa"/>
          </w:tcPr>
          <w:p>
            <w:pPr>
              <w:pStyle w:val="TableParagraph"/>
              <w:spacing w:before="22"/>
              <w:ind w:left="152"/>
              <w:rPr>
                <w:sz w:val="21"/>
              </w:rPr>
            </w:pPr>
            <w:r>
              <w:rPr>
                <w:spacing w:val="-5"/>
                <w:sz w:val="21"/>
              </w:rPr>
              <w:t>形术、冠状动脉支架植入术、冠状动脉粥样斑块切除术或激光冠状动脉成形</w:t>
            </w:r>
          </w:p>
        </w:tc>
      </w:tr>
      <w:tr>
        <w:trPr>
          <w:trHeight w:val="1404"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07" w:type="dxa"/>
          </w:tcPr>
          <w:p>
            <w:pPr>
              <w:pStyle w:val="TableParagraph"/>
              <w:spacing w:before="22"/>
              <w:ind w:left="152"/>
              <w:rPr>
                <w:sz w:val="21"/>
              </w:rPr>
            </w:pPr>
            <w:r>
              <w:rPr>
                <w:spacing w:val="-3"/>
                <w:sz w:val="21"/>
              </w:rPr>
              <w:t>术，并且未达到重度疾病“较重急性心肌梗死”的给付标准。</w:t>
            </w:r>
          </w:p>
          <w:p>
            <w:pPr>
              <w:pStyle w:val="TableParagraph"/>
              <w:spacing w:line="266" w:lineRule="auto" w:before="33"/>
              <w:ind w:left="152" w:right="154"/>
              <w:jc w:val="both"/>
              <w:rPr>
                <w:sz w:val="21"/>
              </w:rPr>
            </w:pPr>
            <w:r>
              <w:rPr>
                <w:b/>
                <w:i/>
                <w:spacing w:val="-17"/>
                <w:w w:val="95"/>
                <w:sz w:val="22"/>
              </w:rPr>
              <w:t>我们仅对“冠状动脉介入手术”、“较轻急性心肌梗死”和“激光心肌血运重</w:t>
            </w:r>
            <w:r>
              <w:rPr>
                <w:b/>
                <w:i/>
                <w:spacing w:val="-2"/>
                <w:w w:val="95"/>
                <w:sz w:val="22"/>
              </w:rPr>
              <w:t>建术”三种疾病中的其中一种承担保险责任，给付其中一种疾病对应的保险</w:t>
            </w:r>
            <w:r>
              <w:rPr>
                <w:b/>
                <w:i/>
                <w:spacing w:val="-2"/>
                <w:sz w:val="22"/>
              </w:rPr>
              <w:t>金</w:t>
            </w:r>
            <w:r>
              <w:rPr>
                <w:b/>
                <w:i/>
                <w:spacing w:val="-2"/>
                <w:sz w:val="22"/>
              </w:rPr>
              <w:t>后</w:t>
            </w:r>
            <w:r>
              <w:rPr>
                <w:b/>
                <w:i/>
                <w:spacing w:val="-2"/>
                <w:sz w:val="22"/>
              </w:rPr>
              <w:t>，</w:t>
            </w:r>
            <w:r>
              <w:rPr>
                <w:b/>
                <w:i/>
                <w:spacing w:val="-2"/>
                <w:sz w:val="22"/>
              </w:rPr>
              <w:t>对</w:t>
            </w:r>
            <w:r>
              <w:rPr>
                <w:b/>
                <w:i/>
                <w:spacing w:val="-2"/>
                <w:sz w:val="22"/>
              </w:rPr>
              <w:t>另</w:t>
            </w:r>
            <w:r>
              <w:rPr>
                <w:b/>
                <w:i/>
                <w:spacing w:val="-2"/>
                <w:sz w:val="22"/>
              </w:rPr>
              <w:t>外</w:t>
            </w:r>
            <w:r>
              <w:rPr>
                <w:b/>
                <w:i/>
                <w:spacing w:val="-2"/>
                <w:sz w:val="22"/>
              </w:rPr>
              <w:t>两</w:t>
            </w:r>
            <w:r>
              <w:rPr>
                <w:b/>
                <w:i/>
                <w:spacing w:val="-2"/>
                <w:sz w:val="22"/>
              </w:rPr>
              <w:t>种</w:t>
            </w:r>
            <w:r>
              <w:rPr>
                <w:b/>
                <w:i/>
                <w:spacing w:val="-2"/>
                <w:sz w:val="22"/>
              </w:rPr>
              <w:t>疾病的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spacing w:val="-2"/>
                <w:sz w:val="21"/>
              </w:rPr>
              <w:t>。</w:t>
            </w:r>
          </w:p>
        </w:tc>
      </w:tr>
      <w:tr>
        <w:trPr>
          <w:trHeight w:val="416" w:hRule="atLeast"/>
        </w:trPr>
        <w:tc>
          <w:tcPr>
            <w:tcW w:w="937" w:type="dxa"/>
          </w:tcPr>
          <w:p>
            <w:pPr>
              <w:pStyle w:val="TableParagraph"/>
              <w:spacing w:line="220" w:lineRule="exact" w:before="177"/>
              <w:ind w:left="50"/>
              <w:rPr>
                <w:b/>
                <w:sz w:val="21"/>
              </w:rPr>
            </w:pPr>
            <w:r>
              <w:rPr>
                <w:b/>
                <w:spacing w:val="-2"/>
                <w:sz w:val="21"/>
              </w:rPr>
              <w:t>9.6.26</w:t>
            </w:r>
          </w:p>
        </w:tc>
        <w:tc>
          <w:tcPr>
            <w:tcW w:w="1671" w:type="dxa"/>
          </w:tcPr>
          <w:p>
            <w:pPr>
              <w:pStyle w:val="TableParagraph"/>
              <w:spacing w:line="220" w:lineRule="exact" w:before="177"/>
              <w:ind w:left="250"/>
              <w:rPr>
                <w:rFonts w:ascii="楷体" w:eastAsia="楷体" w:hint="eastAsia"/>
                <w:b/>
                <w:sz w:val="21"/>
              </w:rPr>
            </w:pPr>
            <w:r>
              <w:rPr>
                <w:rFonts w:ascii="楷体" w:eastAsia="楷体" w:hint="eastAsia"/>
                <w:b/>
                <w:spacing w:val="-2"/>
                <w:sz w:val="21"/>
              </w:rPr>
              <w:t>硬脑膜下血肿</w:t>
            </w:r>
          </w:p>
        </w:tc>
        <w:tc>
          <w:tcPr>
            <w:tcW w:w="7207" w:type="dxa"/>
          </w:tcPr>
          <w:p>
            <w:pPr>
              <w:pStyle w:val="TableParagraph"/>
              <w:spacing w:line="220" w:lineRule="exact" w:before="177"/>
              <w:ind w:left="152"/>
              <w:rPr>
                <w:sz w:val="21"/>
              </w:rPr>
            </w:pPr>
            <w:r>
              <w:rPr>
                <w:spacing w:val="-3"/>
                <w:sz w:val="21"/>
              </w:rPr>
              <w:t>为清除或引流因意外导致的血肿，需于头部进行开颅或钻孔手术。</w:t>
            </w:r>
          </w:p>
        </w:tc>
      </w:tr>
    </w:tbl>
    <w:p>
      <w:pPr>
        <w:spacing w:after="0" w:line="220" w:lineRule="exact"/>
        <w:rPr>
          <w:sz w:val="21"/>
        </w:rPr>
        <w:sectPr>
          <w:type w:val="continuous"/>
          <w:pgSz w:w="11910" w:h="16840"/>
          <w:pgMar w:top="1280" w:bottom="280" w:left="680" w:right="460"/>
        </w:sectPr>
      </w:pPr>
    </w:p>
    <w:p>
      <w:pPr>
        <w:tabs>
          <w:tab w:pos="3285" w:val="left" w:leader="none"/>
        </w:tabs>
        <w:spacing w:line="266" w:lineRule="auto" w:before="52"/>
        <w:ind w:left="3285" w:right="578" w:hanging="1573"/>
        <w:jc w:val="left"/>
        <w:rPr>
          <w:b/>
          <w:i/>
          <w:sz w:val="22"/>
        </w:rPr>
      </w:pPr>
      <w:r>
        <w:rPr>
          <w:rFonts w:ascii="楷体" w:hAnsi="楷体" w:eastAsia="楷体" w:hint="eastAsia"/>
          <w:b/>
          <w:w w:val="100"/>
          <w:sz w:val="21"/>
        </w:rPr>
        <w:t>手术</w:t>
      </w:r>
      <w:r>
        <w:rPr>
          <w:rFonts w:ascii="楷体" w:hAnsi="楷体" w:eastAsia="楷体" w:hint="eastAsia"/>
          <w:b/>
          <w:sz w:val="21"/>
        </w:rPr>
        <w:tab/>
      </w:r>
      <w:r>
        <w:rPr>
          <w:w w:val="100"/>
          <w:sz w:val="21"/>
        </w:rPr>
        <w:t>开颅</w:t>
      </w:r>
      <w:r>
        <w:rPr>
          <w:spacing w:val="-3"/>
          <w:w w:val="100"/>
          <w:sz w:val="21"/>
        </w:rPr>
        <w:t>或</w:t>
      </w:r>
      <w:r>
        <w:rPr>
          <w:w w:val="100"/>
          <w:sz w:val="21"/>
        </w:rPr>
        <w:t>钻</w:t>
      </w:r>
      <w:r>
        <w:rPr>
          <w:spacing w:val="-3"/>
          <w:w w:val="100"/>
          <w:sz w:val="21"/>
        </w:rPr>
        <w:t>孔</w:t>
      </w:r>
      <w:r>
        <w:rPr>
          <w:w w:val="100"/>
          <w:sz w:val="21"/>
        </w:rPr>
        <w:t>手</w:t>
      </w:r>
      <w:r>
        <w:rPr>
          <w:spacing w:val="-3"/>
          <w:w w:val="100"/>
          <w:sz w:val="21"/>
        </w:rPr>
        <w:t>术</w:t>
      </w:r>
      <w:r>
        <w:rPr>
          <w:w w:val="100"/>
          <w:sz w:val="21"/>
        </w:rPr>
        <w:t>必</w:t>
      </w:r>
      <w:r>
        <w:rPr>
          <w:spacing w:val="-3"/>
          <w:w w:val="100"/>
          <w:sz w:val="21"/>
        </w:rPr>
        <w:t>须</w:t>
      </w:r>
      <w:r>
        <w:rPr>
          <w:w w:val="100"/>
          <w:sz w:val="21"/>
        </w:rPr>
        <w:t>在</w:t>
      </w:r>
      <w:r>
        <w:rPr>
          <w:spacing w:val="-3"/>
          <w:w w:val="100"/>
          <w:sz w:val="21"/>
        </w:rPr>
        <w:t>医</w:t>
      </w:r>
      <w:r>
        <w:rPr>
          <w:w w:val="100"/>
          <w:sz w:val="21"/>
        </w:rPr>
        <w:t>院内</w:t>
      </w:r>
      <w:r>
        <w:rPr>
          <w:spacing w:val="-3"/>
          <w:w w:val="100"/>
          <w:sz w:val="21"/>
        </w:rPr>
        <w:t>由</w:t>
      </w:r>
      <w:r>
        <w:rPr>
          <w:w w:val="100"/>
          <w:sz w:val="21"/>
        </w:rPr>
        <w:t>专</w:t>
      </w:r>
      <w:r>
        <w:rPr>
          <w:spacing w:val="-3"/>
          <w:w w:val="100"/>
          <w:sz w:val="21"/>
        </w:rPr>
        <w:t>科</w:t>
      </w:r>
      <w:r>
        <w:rPr>
          <w:w w:val="100"/>
          <w:sz w:val="21"/>
        </w:rPr>
        <w:t>医</w:t>
      </w:r>
      <w:r>
        <w:rPr>
          <w:spacing w:val="-3"/>
          <w:w w:val="100"/>
          <w:sz w:val="21"/>
        </w:rPr>
        <w:t>生</w:t>
      </w:r>
      <w:r>
        <w:rPr>
          <w:w w:val="100"/>
          <w:sz w:val="21"/>
        </w:rPr>
        <w:t>认</w:t>
      </w:r>
      <w:r>
        <w:rPr>
          <w:spacing w:val="-3"/>
          <w:w w:val="100"/>
          <w:sz w:val="21"/>
        </w:rPr>
        <w:t>为</w:t>
      </w:r>
      <w:r>
        <w:rPr>
          <w:w w:val="100"/>
          <w:sz w:val="21"/>
        </w:rPr>
        <w:t>是</w:t>
      </w:r>
      <w:r>
        <w:rPr>
          <w:spacing w:val="-3"/>
          <w:w w:val="100"/>
          <w:sz w:val="21"/>
        </w:rPr>
        <w:t>医</w:t>
      </w:r>
      <w:r>
        <w:rPr>
          <w:w w:val="100"/>
          <w:sz w:val="21"/>
        </w:rPr>
        <w:t>疗必</w:t>
      </w:r>
      <w:r>
        <w:rPr>
          <w:spacing w:val="-3"/>
          <w:w w:val="100"/>
          <w:sz w:val="21"/>
        </w:rPr>
        <w:t>须</w:t>
      </w:r>
      <w:r>
        <w:rPr>
          <w:w w:val="100"/>
          <w:sz w:val="21"/>
        </w:rPr>
        <w:t>的</w:t>
      </w:r>
      <w:r>
        <w:rPr>
          <w:spacing w:val="-3"/>
          <w:w w:val="100"/>
          <w:sz w:val="21"/>
        </w:rPr>
        <w:t>情</w:t>
      </w:r>
      <w:r>
        <w:rPr>
          <w:w w:val="100"/>
          <w:sz w:val="21"/>
        </w:rPr>
        <w:t>况</w:t>
      </w:r>
      <w:r>
        <w:rPr>
          <w:spacing w:val="-3"/>
          <w:w w:val="100"/>
          <w:sz w:val="21"/>
        </w:rPr>
        <w:t>下</w:t>
      </w:r>
      <w:r>
        <w:rPr>
          <w:w w:val="100"/>
          <w:sz w:val="21"/>
        </w:rPr>
        <w:t>进</w:t>
      </w:r>
      <w:r>
        <w:rPr>
          <w:spacing w:val="-3"/>
          <w:w w:val="100"/>
          <w:sz w:val="21"/>
        </w:rPr>
        <w:t>行</w:t>
      </w:r>
      <w:r>
        <w:rPr>
          <w:w w:val="100"/>
          <w:sz w:val="21"/>
        </w:rPr>
        <w:t>。</w:t>
      </w:r>
      <w:r>
        <w:rPr>
          <w:b/>
          <w:i/>
          <w:w w:val="95"/>
          <w:sz w:val="22"/>
        </w:rPr>
        <w:t>我们仅</w:t>
      </w:r>
      <w:r>
        <w:rPr>
          <w:b/>
          <w:i/>
          <w:spacing w:val="-13"/>
          <w:w w:val="95"/>
          <w:sz w:val="22"/>
        </w:rPr>
        <w:t>对</w:t>
      </w:r>
      <w:r>
        <w:rPr>
          <w:b/>
          <w:i/>
          <w:w w:val="95"/>
          <w:sz w:val="22"/>
        </w:rPr>
        <w:t>“轻度</w:t>
      </w:r>
      <w:r>
        <w:rPr>
          <w:b/>
          <w:i/>
          <w:spacing w:val="-3"/>
          <w:w w:val="95"/>
          <w:sz w:val="22"/>
        </w:rPr>
        <w:t>脑</w:t>
      </w:r>
      <w:r>
        <w:rPr>
          <w:b/>
          <w:i/>
          <w:w w:val="95"/>
          <w:sz w:val="22"/>
        </w:rPr>
        <w:t>中风</w:t>
      </w:r>
      <w:r>
        <w:rPr>
          <w:b/>
          <w:i/>
          <w:spacing w:val="-3"/>
          <w:w w:val="95"/>
          <w:sz w:val="22"/>
        </w:rPr>
        <w:t>后</w:t>
      </w:r>
      <w:r>
        <w:rPr>
          <w:b/>
          <w:i/>
          <w:w w:val="95"/>
          <w:sz w:val="22"/>
        </w:rPr>
        <w:t>遗症</w:t>
      </w:r>
      <w:r>
        <w:rPr>
          <w:b/>
          <w:i/>
          <w:spacing w:val="-106"/>
          <w:w w:val="95"/>
          <w:sz w:val="22"/>
        </w:rPr>
        <w:t>”</w:t>
      </w:r>
      <w:r>
        <w:rPr>
          <w:b/>
          <w:i/>
          <w:spacing w:val="-118"/>
          <w:w w:val="95"/>
          <w:sz w:val="22"/>
        </w:rPr>
        <w:t>、</w:t>
      </w:r>
      <w:r>
        <w:rPr>
          <w:b/>
          <w:i/>
          <w:w w:val="95"/>
          <w:sz w:val="22"/>
        </w:rPr>
        <w:t>“微创颅</w:t>
      </w:r>
      <w:r>
        <w:rPr>
          <w:b/>
          <w:i/>
          <w:spacing w:val="-3"/>
          <w:w w:val="95"/>
          <w:sz w:val="22"/>
        </w:rPr>
        <w:t>脑</w:t>
      </w:r>
      <w:r>
        <w:rPr>
          <w:b/>
          <w:i/>
          <w:w w:val="95"/>
          <w:sz w:val="22"/>
        </w:rPr>
        <w:t>手术</w:t>
      </w:r>
      <w:r>
        <w:rPr>
          <w:b/>
          <w:i/>
          <w:spacing w:val="-106"/>
          <w:w w:val="95"/>
          <w:sz w:val="22"/>
        </w:rPr>
        <w:t>”</w:t>
      </w:r>
      <w:r>
        <w:rPr>
          <w:b/>
          <w:i/>
          <w:spacing w:val="-120"/>
          <w:w w:val="95"/>
          <w:sz w:val="22"/>
        </w:rPr>
        <w:t>、</w:t>
      </w:r>
      <w:r>
        <w:rPr>
          <w:b/>
          <w:i/>
          <w:w w:val="95"/>
          <w:sz w:val="22"/>
        </w:rPr>
        <w:t>“脑垂体瘤</w:t>
      </w:r>
      <w:r>
        <w:rPr>
          <w:b/>
          <w:i/>
          <w:spacing w:val="-13"/>
          <w:w w:val="95"/>
          <w:sz w:val="22"/>
        </w:rPr>
        <w:t>、</w:t>
      </w:r>
      <w:r>
        <w:rPr>
          <w:b/>
          <w:i/>
          <w:spacing w:val="-3"/>
          <w:w w:val="95"/>
          <w:sz w:val="22"/>
        </w:rPr>
        <w:t>脑</w:t>
      </w:r>
      <w:r>
        <w:rPr>
          <w:b/>
          <w:i/>
          <w:w w:val="95"/>
          <w:sz w:val="22"/>
        </w:rPr>
        <w:t>囊肿</w:t>
      </w:r>
      <w:r>
        <w:rPr>
          <w:b/>
          <w:i/>
          <w:spacing w:val="-13"/>
          <w:w w:val="95"/>
          <w:sz w:val="22"/>
        </w:rPr>
        <w:t>、</w:t>
      </w:r>
      <w:r>
        <w:rPr>
          <w:b/>
          <w:i/>
          <w:w w:val="95"/>
          <w:sz w:val="22"/>
        </w:rPr>
        <w:t>脑动脉瘤及脑血管瘤</w:t>
      </w:r>
      <w:r>
        <w:rPr>
          <w:b/>
          <w:i/>
          <w:spacing w:val="-106"/>
          <w:w w:val="95"/>
          <w:sz w:val="22"/>
        </w:rPr>
        <w:t>”</w:t>
      </w:r>
      <w:r>
        <w:rPr>
          <w:b/>
          <w:i/>
          <w:spacing w:val="-128"/>
          <w:w w:val="95"/>
          <w:sz w:val="22"/>
        </w:rPr>
        <w:t>、</w:t>
      </w:r>
      <w:r>
        <w:rPr>
          <w:b/>
          <w:i/>
          <w:w w:val="95"/>
          <w:sz w:val="22"/>
        </w:rPr>
        <w:t>“</w:t>
      </w:r>
      <w:r>
        <w:rPr>
          <w:b/>
          <w:i/>
          <w:spacing w:val="-3"/>
          <w:w w:val="95"/>
          <w:sz w:val="22"/>
        </w:rPr>
        <w:t>植</w:t>
      </w:r>
      <w:r>
        <w:rPr>
          <w:b/>
          <w:i/>
          <w:w w:val="95"/>
          <w:sz w:val="22"/>
        </w:rPr>
        <w:t>入大脑内分流器</w:t>
      </w:r>
      <w:r>
        <w:rPr>
          <w:b/>
          <w:i/>
          <w:spacing w:val="-106"/>
          <w:w w:val="95"/>
          <w:sz w:val="22"/>
        </w:rPr>
        <w:t>”</w:t>
      </w:r>
      <w:r>
        <w:rPr>
          <w:b/>
          <w:i/>
          <w:spacing w:val="-128"/>
          <w:w w:val="95"/>
          <w:sz w:val="22"/>
        </w:rPr>
        <w:t>、</w:t>
      </w:r>
      <w:r>
        <w:rPr>
          <w:b/>
          <w:i/>
          <w:w w:val="95"/>
          <w:sz w:val="22"/>
        </w:rPr>
        <w:t>“硬</w:t>
      </w:r>
      <w:r>
        <w:rPr>
          <w:b/>
          <w:i/>
          <w:spacing w:val="-3"/>
          <w:w w:val="95"/>
          <w:sz w:val="22"/>
        </w:rPr>
        <w:t>脑</w:t>
      </w:r>
      <w:r>
        <w:rPr>
          <w:b/>
          <w:i/>
          <w:w w:val="95"/>
          <w:sz w:val="22"/>
        </w:rPr>
        <w:t>膜下血肿手术</w:t>
      </w:r>
      <w:r>
        <w:rPr>
          <w:b/>
          <w:i/>
          <w:spacing w:val="-22"/>
          <w:w w:val="95"/>
          <w:sz w:val="22"/>
        </w:rPr>
        <w:t>”</w:t>
      </w:r>
      <w:r>
        <w:rPr>
          <w:b/>
          <w:i/>
          <w:w w:val="95"/>
          <w:sz w:val="22"/>
        </w:rPr>
        <w:t>五种疾</w:t>
      </w:r>
      <w:r>
        <w:rPr>
          <w:b/>
          <w:i/>
          <w:spacing w:val="-13"/>
          <w:w w:val="95"/>
          <w:sz w:val="22"/>
        </w:rPr>
        <w:t>病</w:t>
      </w:r>
      <w:r>
        <w:rPr>
          <w:b/>
          <w:i/>
          <w:w w:val="95"/>
          <w:sz w:val="22"/>
        </w:rPr>
        <w:t>中的其中一种承担</w:t>
      </w:r>
      <w:r>
        <w:rPr>
          <w:b/>
          <w:i/>
          <w:spacing w:val="-3"/>
          <w:w w:val="95"/>
          <w:sz w:val="22"/>
        </w:rPr>
        <w:t>保</w:t>
      </w:r>
      <w:r>
        <w:rPr>
          <w:b/>
          <w:i/>
          <w:w w:val="95"/>
          <w:sz w:val="22"/>
        </w:rPr>
        <w:t>险</w:t>
      </w:r>
      <w:r>
        <w:rPr>
          <w:b/>
          <w:i/>
          <w:spacing w:val="-3"/>
          <w:w w:val="95"/>
          <w:sz w:val="22"/>
        </w:rPr>
        <w:t>责</w:t>
      </w:r>
      <w:r>
        <w:rPr>
          <w:b/>
          <w:i/>
          <w:w w:val="95"/>
          <w:sz w:val="22"/>
        </w:rPr>
        <w:t>任</w:t>
      </w:r>
      <w:r>
        <w:rPr>
          <w:b/>
          <w:i/>
          <w:spacing w:val="-32"/>
          <w:w w:val="95"/>
          <w:sz w:val="22"/>
        </w:rPr>
        <w:t>，</w:t>
      </w:r>
      <w:r>
        <w:rPr>
          <w:b/>
          <w:i/>
          <w:w w:val="95"/>
          <w:sz w:val="22"/>
        </w:rPr>
        <w:t>给付其中一种疾</w:t>
      </w:r>
      <w:r>
        <w:rPr>
          <w:b/>
          <w:i/>
          <w:spacing w:val="-3"/>
          <w:w w:val="95"/>
          <w:sz w:val="22"/>
        </w:rPr>
        <w:t>病对</w:t>
      </w:r>
      <w:r>
        <w:rPr>
          <w:b/>
          <w:i/>
          <w:w w:val="95"/>
          <w:sz w:val="22"/>
        </w:rPr>
        <w:t>应的保险金后</w:t>
      </w:r>
      <w:r>
        <w:rPr>
          <w:b/>
          <w:i/>
          <w:spacing w:val="-32"/>
          <w:w w:val="95"/>
          <w:sz w:val="22"/>
        </w:rPr>
        <w:t>，</w:t>
      </w:r>
      <w:r>
        <w:rPr>
          <w:b/>
          <w:i/>
          <w:w w:val="95"/>
          <w:sz w:val="22"/>
        </w:rPr>
        <w:t>对另</w:t>
      </w:r>
      <w:r>
        <w:rPr>
          <w:b/>
          <w:i/>
          <w:spacing w:val="-3"/>
          <w:w w:val="95"/>
          <w:sz w:val="22"/>
        </w:rPr>
        <w:t>外</w:t>
      </w:r>
      <w:r>
        <w:rPr>
          <w:b/>
          <w:i/>
          <w:w w:val="95"/>
          <w:sz w:val="22"/>
        </w:rPr>
        <w:t>四种疾病的保险责任</w:t>
      </w:r>
      <w:r>
        <w:rPr>
          <w:b/>
          <w:i/>
          <w:spacing w:val="-3"/>
          <w:w w:val="95"/>
          <w:sz w:val="22"/>
        </w:rPr>
        <w:t>同</w:t>
      </w:r>
      <w:r>
        <w:rPr>
          <w:b/>
          <w:i/>
          <w:w w:val="95"/>
          <w:sz w:val="22"/>
        </w:rPr>
        <w:t>时</w:t>
      </w:r>
      <w:r>
        <w:rPr>
          <w:b/>
          <w:i/>
          <w:spacing w:val="-3"/>
          <w:w w:val="95"/>
          <w:sz w:val="22"/>
        </w:rPr>
        <w:t>终</w:t>
      </w:r>
      <w:r>
        <w:rPr>
          <w:b/>
          <w:i/>
          <w:w w:val="95"/>
          <w:sz w:val="22"/>
        </w:rPr>
        <w:t>止。</w:t>
      </w:r>
    </w:p>
    <w:p>
      <w:pPr>
        <w:pStyle w:val="BodyText"/>
        <w:spacing w:before="7"/>
        <w:rPr>
          <w:b/>
          <w:i/>
          <w:sz w:val="19"/>
        </w:rPr>
      </w:pPr>
    </w:p>
    <w:p>
      <w:pPr>
        <w:spacing w:after="0"/>
        <w:rPr>
          <w:sz w:val="19"/>
        </w:rPr>
        <w:sectPr>
          <w:pgSz w:w="11910" w:h="16840"/>
          <w:pgMar w:top="1200" w:bottom="280" w:left="680" w:right="460"/>
        </w:sectPr>
      </w:pPr>
    </w:p>
    <w:p>
      <w:pPr>
        <w:pStyle w:val="Heading2"/>
        <w:numPr>
          <w:ilvl w:val="2"/>
          <w:numId w:val="17"/>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植入大脑内分</w:t>
      </w:r>
      <w:r>
        <w:rPr>
          <w:rFonts w:ascii="楷体" w:eastAsia="楷体" w:hint="eastAsia"/>
          <w:spacing w:val="-6"/>
        </w:rPr>
        <w:t>流器</w:t>
      </w:r>
    </w:p>
    <w:p>
      <w:pPr>
        <w:pStyle w:val="BodyText"/>
        <w:spacing w:before="72"/>
        <w:ind w:left="265"/>
      </w:pPr>
      <w:r>
        <w:rPr/>
        <w:br w:type="column"/>
      </w:r>
      <w:r>
        <w:rPr>
          <w:spacing w:val="-3"/>
        </w:rPr>
        <w:t>为缓解已升高的脑脊液压力而确实已在脑室进行分流器植入手术。</w:t>
      </w:r>
    </w:p>
    <w:p>
      <w:pPr>
        <w:pStyle w:val="BodyText"/>
        <w:spacing w:line="278" w:lineRule="auto" w:before="43"/>
        <w:ind w:left="265" w:right="752"/>
      </w:pPr>
      <w:r>
        <w:rPr>
          <w:spacing w:val="-2"/>
        </w:rPr>
        <w:t>诊断及治疗均须在医院内由脑神经科专科医生认为是医疗必须的情况下进</w:t>
      </w:r>
      <w:r>
        <w:rPr>
          <w:spacing w:val="-6"/>
        </w:rPr>
        <w:t>行。</w:t>
      </w:r>
    </w:p>
    <w:p>
      <w:pPr>
        <w:spacing w:line="266" w:lineRule="auto" w:before="0"/>
        <w:ind w:left="265" w:right="578" w:firstLine="0"/>
        <w:jc w:val="both"/>
        <w:rPr>
          <w:b/>
          <w:i/>
          <w:sz w:val="22"/>
        </w:rPr>
      </w:pPr>
      <w:r>
        <w:rPr>
          <w:b/>
          <w:i/>
          <w:spacing w:val="-26"/>
          <w:w w:val="95"/>
          <w:sz w:val="22"/>
        </w:rPr>
        <w:t>我们仅对“轻度脑中风后遗症”、“微创颅脑手术”、“脑垂体瘤、脑囊肿、脑</w:t>
      </w:r>
      <w:r>
        <w:rPr>
          <w:b/>
          <w:i/>
          <w:spacing w:val="-25"/>
          <w:w w:val="95"/>
          <w:sz w:val="22"/>
        </w:rPr>
        <w:t>动脉瘤及脑血管瘤”、“植入大脑内分流器”、“硬脑膜下血肿手术”五种疾病</w:t>
      </w:r>
      <w:r>
        <w:rPr>
          <w:b/>
          <w:i/>
          <w:spacing w:val="-2"/>
          <w:w w:val="95"/>
          <w:sz w:val="22"/>
        </w:rPr>
        <w:t>中的其中一种承担保险责任，给付其中一种疾病对应的保险金后，对另外四</w:t>
      </w:r>
      <w:r>
        <w:rPr>
          <w:b/>
          <w:i/>
          <w:spacing w:val="-2"/>
          <w:sz w:val="22"/>
        </w:rPr>
        <w:t>种</w:t>
      </w:r>
      <w:r>
        <w:rPr>
          <w:b/>
          <w:i/>
          <w:spacing w:val="-2"/>
          <w:sz w:val="22"/>
        </w:rPr>
        <w:t>疾</w:t>
      </w:r>
      <w:r>
        <w:rPr>
          <w:b/>
          <w:i/>
          <w:spacing w:val="-2"/>
          <w:sz w:val="22"/>
        </w:rPr>
        <w:t>病</w:t>
      </w:r>
      <w:r>
        <w:rPr>
          <w:b/>
          <w:i/>
          <w:spacing w:val="-2"/>
          <w:sz w:val="22"/>
        </w:rPr>
        <w:t>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同时终</w:t>
      </w:r>
      <w:r>
        <w:rPr>
          <w:b/>
          <w:i/>
          <w:spacing w:val="-2"/>
          <w:sz w:val="22"/>
        </w:rPr>
        <w:t>止</w:t>
      </w:r>
      <w:r>
        <w:rPr>
          <w:b/>
          <w:i/>
          <w:spacing w:val="-2"/>
          <w:sz w:val="22"/>
        </w:rPr>
        <w:t>。</w:t>
      </w:r>
    </w:p>
    <w:p>
      <w:pPr>
        <w:spacing w:after="0" w:line="266" w:lineRule="auto"/>
        <w:jc w:val="both"/>
        <w:rPr>
          <w:sz w:val="22"/>
        </w:rPr>
        <w:sectPr>
          <w:type w:val="continuous"/>
          <w:pgSz w:w="11910" w:h="16840"/>
          <w:pgMar w:top="460" w:bottom="280" w:left="680" w:right="460"/>
          <w:cols w:num="2" w:equalWidth="0">
            <w:col w:w="2981" w:space="40"/>
            <w:col w:w="7749"/>
          </w:cols>
        </w:sectPr>
      </w:pPr>
    </w:p>
    <w:p>
      <w:pPr>
        <w:pStyle w:val="BodyText"/>
        <w:spacing w:before="6"/>
        <w:rPr>
          <w:b/>
          <w:i/>
          <w:sz w:val="18"/>
        </w:rPr>
      </w:pPr>
    </w:p>
    <w:p>
      <w:pPr>
        <w:spacing w:after="0"/>
        <w:rPr>
          <w:sz w:val="18"/>
        </w:rPr>
        <w:sectPr>
          <w:type w:val="continuous"/>
          <w:pgSz w:w="11910" w:h="16840"/>
          <w:pgMar w:top="460" w:bottom="280" w:left="680" w:right="460"/>
        </w:sectPr>
      </w:pPr>
    </w:p>
    <w:p>
      <w:pPr>
        <w:pStyle w:val="Heading2"/>
        <w:numPr>
          <w:ilvl w:val="2"/>
          <w:numId w:val="17"/>
        </w:numPr>
        <w:tabs>
          <w:tab w:pos="1714" w:val="left" w:leader="none"/>
        </w:tabs>
        <w:spacing w:line="278" w:lineRule="auto" w:before="72" w:after="0"/>
        <w:ind w:left="1713" w:right="0" w:hanging="1138"/>
        <w:jc w:val="both"/>
        <w:rPr>
          <w:rFonts w:ascii="楷体" w:eastAsia="楷体" w:hint="eastAsia"/>
        </w:rPr>
      </w:pPr>
      <w:r>
        <w:rPr>
          <w:rFonts w:ascii="楷体" w:eastAsia="楷体" w:hint="eastAsia"/>
          <w:spacing w:val="-2"/>
        </w:rPr>
        <w:t>因意外毁容而</w:t>
      </w:r>
      <w:r>
        <w:rPr>
          <w:rFonts w:ascii="楷体" w:eastAsia="楷体" w:hint="eastAsia"/>
          <w:spacing w:val="-2"/>
        </w:rPr>
        <w:t>施行的面部整</w:t>
      </w:r>
      <w:r>
        <w:rPr>
          <w:rFonts w:ascii="楷体" w:eastAsia="楷体" w:hint="eastAsia"/>
          <w:spacing w:val="-4"/>
        </w:rPr>
        <w:t>形手术</w:t>
      </w:r>
    </w:p>
    <w:p>
      <w:pPr>
        <w:pStyle w:val="BodyText"/>
        <w:spacing w:line="278" w:lineRule="auto" w:before="72"/>
        <w:ind w:left="265" w:right="543"/>
        <w:jc w:val="both"/>
      </w:pPr>
      <w:r>
        <w:rPr/>
        <w:br w:type="column"/>
      </w:r>
      <w:r>
        <w:rPr>
          <w:spacing w:val="-2"/>
        </w:rPr>
        <w:t>指为修复意外伤害或暴力袭击造成的面部毁损，实际接受了在全身麻醉的情</w:t>
      </w:r>
      <w:r>
        <w:rPr>
          <w:spacing w:val="-2"/>
        </w:rPr>
        <w:t>况下，由整形外科医生实施的对严重损害或变形的面部形态和结构进行修复</w:t>
      </w:r>
      <w:r>
        <w:rPr>
          <w:spacing w:val="-2"/>
        </w:rPr>
        <w:t>或重建的面部整形手术，但未达到重度疾病“严重面部烧伤”的给付标准。</w:t>
      </w:r>
      <w:r>
        <w:rPr>
          <w:spacing w:val="-2"/>
        </w:rPr>
        <w:t>面部整形手术必须在意外伤害后的 </w:t>
      </w:r>
      <w:r>
        <w:rPr/>
        <w:t>180</w:t>
      </w:r>
      <w:r>
        <w:rPr>
          <w:spacing w:val="-5"/>
        </w:rPr>
        <w:t> 天内实施。</w:t>
      </w:r>
    </w:p>
    <w:p>
      <w:pPr>
        <w:spacing w:line="271" w:lineRule="exact" w:before="0"/>
        <w:ind w:left="265" w:right="0" w:firstLine="0"/>
        <w:jc w:val="left"/>
        <w:rPr>
          <w:b/>
          <w:i/>
          <w:sz w:val="22"/>
        </w:rPr>
      </w:pPr>
      <w:r>
        <w:rPr>
          <w:b/>
          <w:i/>
          <w:spacing w:val="-3"/>
          <w:w w:val="95"/>
          <w:sz w:val="22"/>
        </w:rPr>
        <w:t>因面部外伤后遗留的线条状瘢痕及色素沉着而施行的手术不在保障范围内。</w:t>
      </w:r>
    </w:p>
    <w:p>
      <w:pPr>
        <w:pStyle w:val="BodyText"/>
        <w:spacing w:before="40"/>
        <w:ind w:left="265"/>
      </w:pPr>
      <w:r>
        <w:rPr>
          <w:spacing w:val="-3"/>
        </w:rPr>
        <w:t>意外伤害必须满足下列全部条件：</w:t>
      </w:r>
    </w:p>
    <w:p>
      <w:pPr>
        <w:pStyle w:val="ListParagraph"/>
        <w:numPr>
          <w:ilvl w:val="0"/>
          <w:numId w:val="18"/>
        </w:numPr>
        <w:tabs>
          <w:tab w:pos="795" w:val="left" w:leader="none"/>
        </w:tabs>
        <w:spacing w:line="278" w:lineRule="auto" w:before="43" w:after="0"/>
        <w:ind w:left="265" w:right="649" w:firstLine="0"/>
        <w:jc w:val="left"/>
        <w:rPr>
          <w:sz w:val="21"/>
        </w:rPr>
      </w:pPr>
      <w:r>
        <w:rPr>
          <w:spacing w:val="-2"/>
          <w:sz w:val="21"/>
        </w:rPr>
        <w:t>由外在暴力引起并且造成表面可视性伤口和面部骨结构损害的，或面</w:t>
      </w:r>
      <w:r>
        <w:rPr>
          <w:spacing w:val="-2"/>
          <w:sz w:val="21"/>
        </w:rPr>
        <w:t>部皮肤Ⅲ度或全层意外烧伤；</w:t>
      </w:r>
    </w:p>
    <w:p>
      <w:pPr>
        <w:pStyle w:val="ListParagraph"/>
        <w:numPr>
          <w:ilvl w:val="0"/>
          <w:numId w:val="18"/>
        </w:numPr>
        <w:tabs>
          <w:tab w:pos="795" w:val="left" w:leader="none"/>
        </w:tabs>
        <w:spacing w:line="269" w:lineRule="exact" w:before="0" w:after="0"/>
        <w:ind w:left="794" w:right="0" w:hanging="530"/>
        <w:jc w:val="left"/>
        <w:rPr>
          <w:sz w:val="21"/>
        </w:rPr>
      </w:pPr>
      <w:r>
        <w:rPr>
          <w:spacing w:val="-3"/>
          <w:sz w:val="21"/>
        </w:rPr>
        <w:t>是造成面部毁损的直接和独立的原因。</w:t>
      </w:r>
    </w:p>
    <w:p>
      <w:pPr>
        <w:spacing w:line="266" w:lineRule="auto" w:before="33"/>
        <w:ind w:left="265" w:right="578" w:firstLine="0"/>
        <w:jc w:val="both"/>
        <w:rPr>
          <w:b/>
          <w:i/>
          <w:sz w:val="22"/>
        </w:rPr>
      </w:pPr>
      <w:r>
        <w:rPr>
          <w:b/>
          <w:i/>
          <w:spacing w:val="-17"/>
          <w:w w:val="95"/>
          <w:sz w:val="22"/>
        </w:rPr>
        <w:t>我们仅对“轻度面部烧伤”、“全身较小面积Ⅲ度烧伤”和“因意外毁容而施</w:t>
      </w:r>
      <w:r>
        <w:rPr>
          <w:b/>
          <w:i/>
          <w:spacing w:val="-2"/>
          <w:w w:val="95"/>
          <w:sz w:val="22"/>
        </w:rPr>
        <w:t>行的面部整形手术”三种疾病中的其中一种承担保险责任，给付其中一种疾</w:t>
      </w:r>
      <w:r>
        <w:rPr>
          <w:b/>
          <w:i/>
          <w:spacing w:val="-2"/>
          <w:w w:val="95"/>
          <w:sz w:val="22"/>
        </w:rPr>
        <w:t>病对应的保险金后，对另外两种疾病的保险责任同时终止。</w:t>
      </w:r>
    </w:p>
    <w:p>
      <w:pPr>
        <w:spacing w:after="0" w:line="266" w:lineRule="auto"/>
        <w:jc w:val="both"/>
        <w:rPr>
          <w:sz w:val="22"/>
        </w:rPr>
        <w:sectPr>
          <w:type w:val="continuous"/>
          <w:pgSz w:w="11910" w:h="16840"/>
          <w:pgMar w:top="460" w:bottom="280" w:left="680" w:right="460"/>
          <w:cols w:num="2" w:equalWidth="0">
            <w:col w:w="2981" w:space="40"/>
            <w:col w:w="7749"/>
          </w:cols>
        </w:sectPr>
      </w:pPr>
    </w:p>
    <w:p>
      <w:pPr>
        <w:pStyle w:val="BodyText"/>
        <w:spacing w:before="5"/>
        <w:rPr>
          <w:b/>
          <w:i/>
          <w:sz w:val="19"/>
        </w:rPr>
      </w:pPr>
    </w:p>
    <w:p>
      <w:pPr>
        <w:spacing w:after="0"/>
        <w:rPr>
          <w:sz w:val="19"/>
        </w:rPr>
        <w:sectPr>
          <w:type w:val="continuous"/>
          <w:pgSz w:w="11910" w:h="16840"/>
          <w:pgMar w:top="460" w:bottom="280" w:left="680" w:right="460"/>
        </w:sectPr>
      </w:pPr>
    </w:p>
    <w:p>
      <w:pPr>
        <w:pStyle w:val="Heading2"/>
        <w:numPr>
          <w:ilvl w:val="2"/>
          <w:numId w:val="17"/>
        </w:numPr>
        <w:tabs>
          <w:tab w:pos="1714" w:val="left" w:leader="none"/>
        </w:tabs>
        <w:spacing w:line="278" w:lineRule="auto" w:before="71" w:after="0"/>
        <w:ind w:left="1713" w:right="0" w:hanging="1138"/>
        <w:jc w:val="both"/>
        <w:rPr>
          <w:rFonts w:ascii="楷体" w:eastAsia="楷体" w:hint="eastAsia"/>
        </w:rPr>
      </w:pPr>
      <w:r>
        <w:rPr>
          <w:rFonts w:ascii="楷体" w:eastAsia="楷体" w:hint="eastAsia"/>
          <w:spacing w:val="-2"/>
        </w:rPr>
        <w:t>无颅内压增高</w:t>
      </w:r>
      <w:r>
        <w:rPr>
          <w:rFonts w:ascii="楷体" w:eastAsia="楷体" w:hint="eastAsia"/>
          <w:spacing w:val="-2"/>
        </w:rPr>
        <w:t>的微小良性脑</w:t>
      </w:r>
      <w:r>
        <w:rPr>
          <w:rFonts w:ascii="楷体" w:eastAsia="楷体" w:hint="eastAsia"/>
          <w:spacing w:val="-6"/>
        </w:rPr>
        <w:t>肿瘤</w:t>
      </w:r>
    </w:p>
    <w:p>
      <w:pPr>
        <w:pStyle w:val="BodyText"/>
        <w:spacing w:line="278" w:lineRule="auto" w:before="71"/>
        <w:ind w:left="265" w:right="579"/>
        <w:jc w:val="both"/>
      </w:pPr>
      <w:r>
        <w:rPr/>
        <w:br w:type="column"/>
      </w:r>
      <w:r>
        <w:rPr>
          <w:spacing w:val="-7"/>
        </w:rPr>
        <w:t>指直径小于 </w:t>
      </w:r>
      <w:r>
        <w:rPr>
          <w:spacing w:val="-4"/>
        </w:rPr>
        <w:t>2cm</w:t>
      </w:r>
      <w:r>
        <w:rPr>
          <w:spacing w:val="-8"/>
        </w:rPr>
        <w:t> 的脑的微小良性肿瘤，临床上无颅内压升高表现，无危及生</w:t>
      </w:r>
      <w:r>
        <w:rPr>
          <w:spacing w:val="-2"/>
        </w:rPr>
        <w:t>命征象，且未达到重度疾病“严重非恶性颅内肿瘤”的给付标准。微小良性</w:t>
      </w:r>
      <w:r>
        <w:rPr>
          <w:spacing w:val="-6"/>
        </w:rPr>
        <w:t>脑肿瘤由头颅断层扫描</w:t>
      </w:r>
      <w:r>
        <w:rPr>
          <w:spacing w:val="21"/>
        </w:rPr>
        <w:t>（</w:t>
      </w:r>
      <w:r>
        <w:rPr>
          <w:spacing w:val="18"/>
        </w:rPr>
        <w:t>C</w:t>
      </w:r>
      <w:r>
        <w:rPr>
          <w:spacing w:val="21"/>
        </w:rPr>
        <w:t>T</w:t>
      </w:r>
      <w:r>
        <w:rPr>
          <w:spacing w:val="-85"/>
        </w:rPr>
        <w:t>）</w:t>
      </w:r>
      <w:r>
        <w:rPr>
          <w:spacing w:val="-6"/>
        </w:rPr>
        <w:t>、核磁共振检查（MRI）</w:t>
      </w:r>
      <w:r>
        <w:rPr>
          <w:spacing w:val="-7"/>
        </w:rPr>
        <w:t>或正电子发射断层扫描</w:t>
      </w:r>
    </w:p>
    <w:p>
      <w:pPr>
        <w:pStyle w:val="BodyText"/>
        <w:spacing w:line="278" w:lineRule="auto"/>
        <w:ind w:left="265" w:right="649"/>
      </w:pPr>
      <w:r>
        <w:rPr>
          <w:spacing w:val="-2"/>
        </w:rPr>
        <w:t>（PET）等影像学检查证实，未实施开颅或微创切除肿瘤的手术治疗，仅接</w:t>
      </w:r>
      <w:r>
        <w:rPr>
          <w:spacing w:val="-2"/>
        </w:rPr>
        <w:t>受了针对该脑肿瘤的放射治疗。</w:t>
      </w:r>
    </w:p>
    <w:p>
      <w:pPr>
        <w:spacing w:line="272" w:lineRule="exact" w:before="0"/>
        <w:ind w:left="265" w:right="0" w:firstLine="0"/>
        <w:jc w:val="left"/>
        <w:rPr>
          <w:b/>
          <w:i/>
          <w:sz w:val="22"/>
        </w:rPr>
      </w:pPr>
      <w:r>
        <w:rPr>
          <w:b/>
          <w:i/>
          <w:spacing w:val="-3"/>
          <w:w w:val="95"/>
          <w:sz w:val="22"/>
        </w:rPr>
        <w:t>脑垂体瘤、脑囊肿、脑动脉瘤及脑血管瘤不在保障范围内。</w:t>
      </w:r>
    </w:p>
    <w:p>
      <w:pPr>
        <w:spacing w:after="0" w:line="272" w:lineRule="exact"/>
        <w:jc w:val="left"/>
        <w:rPr>
          <w:sz w:val="22"/>
        </w:rPr>
        <w:sectPr>
          <w:type w:val="continuous"/>
          <w:pgSz w:w="11910" w:h="16840"/>
          <w:pgMar w:top="460" w:bottom="280" w:left="680" w:right="460"/>
          <w:cols w:num="2" w:equalWidth="0">
            <w:col w:w="2981" w:space="40"/>
            <w:col w:w="7749"/>
          </w:cols>
        </w:sectPr>
      </w:pPr>
    </w:p>
    <w:p>
      <w:pPr>
        <w:pStyle w:val="BodyText"/>
        <w:spacing w:before="11"/>
        <w:rPr>
          <w:b/>
          <w:i/>
        </w:rPr>
      </w:pPr>
    </w:p>
    <w:p>
      <w:pPr>
        <w:spacing w:after="0"/>
        <w:sectPr>
          <w:type w:val="continuous"/>
          <w:pgSz w:w="11910" w:h="16840"/>
          <w:pgMar w:top="460" w:bottom="280" w:left="680" w:right="460"/>
        </w:sectPr>
      </w:pPr>
    </w:p>
    <w:p>
      <w:pPr>
        <w:pStyle w:val="Heading2"/>
        <w:numPr>
          <w:ilvl w:val="2"/>
          <w:numId w:val="17"/>
        </w:numPr>
        <w:tabs>
          <w:tab w:pos="1714" w:val="left" w:leader="none"/>
        </w:tabs>
        <w:spacing w:line="278" w:lineRule="auto" w:before="72" w:after="0"/>
        <w:ind w:left="1713" w:right="0" w:hanging="1138"/>
        <w:jc w:val="both"/>
        <w:rPr>
          <w:rFonts w:ascii="楷体" w:eastAsia="楷体" w:hint="eastAsia"/>
        </w:rPr>
      </w:pPr>
      <w:r>
        <w:rPr>
          <w:rFonts w:ascii="楷体" w:eastAsia="楷体" w:hint="eastAsia"/>
          <w:spacing w:val="-2"/>
        </w:rPr>
        <w:t>急性坏死性胰</w:t>
      </w:r>
      <w:r>
        <w:rPr>
          <w:rFonts w:ascii="楷体" w:eastAsia="楷体" w:hint="eastAsia"/>
          <w:spacing w:val="-2"/>
        </w:rPr>
        <w:t>腺炎腹腔镜手</w:t>
      </w:r>
      <w:r>
        <w:rPr>
          <w:rFonts w:ascii="楷体" w:eastAsia="楷体" w:hint="eastAsia"/>
          <w:spacing w:val="-10"/>
        </w:rPr>
        <w:t>术</w:t>
      </w:r>
    </w:p>
    <w:p>
      <w:pPr>
        <w:pStyle w:val="BodyText"/>
        <w:spacing w:line="278" w:lineRule="auto" w:before="72"/>
        <w:ind w:left="265" w:right="577"/>
        <w:jc w:val="both"/>
      </w:pPr>
      <w:r>
        <w:rPr/>
        <w:br w:type="column"/>
      </w:r>
      <w:r>
        <w:rPr>
          <w:spacing w:val="-2"/>
        </w:rPr>
        <w:t>指被保险人被确诊为急性坏死性胰腺炎，并实际接受了腹腔镜手术治疗，以</w:t>
      </w:r>
      <w:r>
        <w:rPr>
          <w:spacing w:val="-2"/>
        </w:rPr>
        <w:t>进行坏死组织清除、坏死病灶切除或胰腺切除，且未达到重度疾病“急性坏</w:t>
      </w:r>
      <w:r>
        <w:rPr>
          <w:spacing w:val="-2"/>
        </w:rPr>
        <w:t>死性胰腺炎开腹手术”或“慢性复发性胰腺炎”的给付标准。</w:t>
      </w:r>
    </w:p>
    <w:p>
      <w:pPr>
        <w:spacing w:line="272" w:lineRule="exact" w:before="0"/>
        <w:ind w:left="265" w:right="0" w:firstLine="0"/>
        <w:jc w:val="left"/>
        <w:rPr>
          <w:b/>
          <w:i/>
          <w:sz w:val="22"/>
        </w:rPr>
      </w:pPr>
      <w:r>
        <w:rPr>
          <w:b/>
          <w:i/>
          <w:spacing w:val="-3"/>
          <w:w w:val="95"/>
          <w:sz w:val="22"/>
        </w:rPr>
        <w:t>因酗酒或饮酒过量所致的急性坏死性胰腺炎不在保障范围内。</w:t>
      </w:r>
    </w:p>
    <w:p>
      <w:pPr>
        <w:spacing w:after="0" w:line="272" w:lineRule="exact"/>
        <w:jc w:val="left"/>
        <w:rPr>
          <w:sz w:val="22"/>
        </w:rPr>
        <w:sectPr>
          <w:type w:val="continuous"/>
          <w:pgSz w:w="11910" w:h="16840"/>
          <w:pgMar w:top="460" w:bottom="280" w:left="680" w:right="460"/>
          <w:cols w:num="2" w:equalWidth="0">
            <w:col w:w="2981" w:space="40"/>
            <w:col w:w="7749"/>
          </w:cols>
        </w:sectPr>
      </w:pPr>
    </w:p>
    <w:p>
      <w:pPr>
        <w:pStyle w:val="BodyText"/>
        <w:spacing w:before="11"/>
        <w:rPr>
          <w:b/>
          <w:i/>
        </w:rPr>
      </w:pPr>
    </w:p>
    <w:p>
      <w:pPr>
        <w:spacing w:after="0"/>
        <w:sectPr>
          <w:type w:val="continuous"/>
          <w:pgSz w:w="11910" w:h="16840"/>
          <w:pgMar w:top="460" w:bottom="280" w:left="680" w:right="460"/>
        </w:sectPr>
      </w:pPr>
    </w:p>
    <w:p>
      <w:pPr>
        <w:pStyle w:val="Heading2"/>
        <w:numPr>
          <w:ilvl w:val="2"/>
          <w:numId w:val="17"/>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风湿热导致的</w:t>
      </w:r>
      <w:r>
        <w:rPr>
          <w:rFonts w:ascii="楷体" w:eastAsia="楷体" w:hint="eastAsia"/>
          <w:spacing w:val="-2"/>
        </w:rPr>
        <w:t>心脏瓣膜疾病</w:t>
      </w:r>
    </w:p>
    <w:p>
      <w:pPr>
        <w:pStyle w:val="BodyText"/>
        <w:spacing w:before="72"/>
        <w:ind w:left="265"/>
      </w:pPr>
      <w:r>
        <w:rPr/>
        <w:br w:type="column"/>
      </w:r>
      <w:r>
        <w:rPr>
          <w:spacing w:val="-3"/>
        </w:rPr>
        <w:t>本保障须满足下列所有条件：</w:t>
      </w:r>
    </w:p>
    <w:p>
      <w:pPr>
        <w:pStyle w:val="ListParagraph"/>
        <w:numPr>
          <w:ilvl w:val="0"/>
          <w:numId w:val="19"/>
        </w:numPr>
        <w:tabs>
          <w:tab w:pos="795" w:val="left" w:leader="none"/>
        </w:tabs>
        <w:spacing w:line="240" w:lineRule="auto" w:before="43" w:after="0"/>
        <w:ind w:left="794" w:right="0" w:hanging="530"/>
        <w:jc w:val="left"/>
        <w:rPr>
          <w:sz w:val="21"/>
        </w:rPr>
      </w:pPr>
      <w:r>
        <w:rPr>
          <w:spacing w:val="-5"/>
          <w:sz w:val="21"/>
        </w:rPr>
        <w:t>经由儿科专科医生根据已修订的 </w:t>
      </w:r>
      <w:r>
        <w:rPr>
          <w:spacing w:val="-2"/>
          <w:sz w:val="21"/>
        </w:rPr>
        <w:t>Jones</w:t>
      </w:r>
      <w:r>
        <w:rPr>
          <w:spacing w:val="-10"/>
          <w:sz w:val="21"/>
        </w:rPr>
        <w:t> 标准诊断证实罹患急性风湿热。</w:t>
      </w:r>
    </w:p>
    <w:p>
      <w:pPr>
        <w:pStyle w:val="ListParagraph"/>
        <w:numPr>
          <w:ilvl w:val="0"/>
          <w:numId w:val="19"/>
        </w:numPr>
        <w:tabs>
          <w:tab w:pos="795" w:val="left" w:leader="none"/>
        </w:tabs>
        <w:spacing w:line="268" w:lineRule="auto" w:before="43" w:after="0"/>
        <w:ind w:left="265" w:right="543" w:firstLine="0"/>
        <w:jc w:val="left"/>
        <w:rPr>
          <w:b/>
          <w:i/>
          <w:sz w:val="22"/>
        </w:rPr>
      </w:pPr>
      <w:r>
        <w:rPr>
          <w:spacing w:val="-2"/>
          <w:sz w:val="21"/>
        </w:rPr>
        <w:t>因风湿热所导致一个或以上最少轻度心脏瓣膜关闭不全或狭窄的心瓣</w:t>
      </w:r>
      <w:r>
        <w:rPr>
          <w:spacing w:val="-2"/>
          <w:sz w:val="21"/>
        </w:rPr>
        <w:t>损伤。有关诊断必须由医院的心脏专科医生根据心瓣功能的定量检查证实。</w:t>
      </w:r>
      <w:r>
        <w:rPr>
          <w:b/>
          <w:i/>
          <w:spacing w:val="-10"/>
          <w:w w:val="95"/>
          <w:sz w:val="22"/>
        </w:rPr>
        <w:t>我们仅对“心脏瓣膜介入手术”</w:t>
      </w:r>
      <w:r>
        <w:rPr>
          <w:b/>
          <w:i/>
          <w:spacing w:val="-14"/>
          <w:w w:val="95"/>
          <w:sz w:val="22"/>
        </w:rPr>
        <w:t>、“风湿热导致的心脏瓣膜疾病”两种疾病中</w:t>
      </w:r>
      <w:r>
        <w:rPr>
          <w:b/>
          <w:i/>
          <w:spacing w:val="-2"/>
          <w:w w:val="95"/>
          <w:sz w:val="22"/>
        </w:rPr>
        <w:t>的其中一种承担保险责任，给付其中一种疾病对应的保险金后，对另外一种</w:t>
      </w:r>
      <w:r>
        <w:rPr>
          <w:b/>
          <w:i/>
          <w:spacing w:val="-2"/>
          <w:sz w:val="22"/>
        </w:rPr>
        <w:t>疾</w:t>
      </w:r>
      <w:r>
        <w:rPr>
          <w:b/>
          <w:i/>
          <w:spacing w:val="-2"/>
          <w:sz w:val="22"/>
        </w:rPr>
        <w:t>病</w:t>
      </w:r>
      <w:r>
        <w:rPr>
          <w:b/>
          <w:i/>
          <w:spacing w:val="-2"/>
          <w:sz w:val="22"/>
        </w:rPr>
        <w:t>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时终止。</w:t>
      </w:r>
    </w:p>
    <w:p>
      <w:pPr>
        <w:spacing w:after="0" w:line="268" w:lineRule="auto"/>
        <w:jc w:val="left"/>
        <w:rPr>
          <w:sz w:val="22"/>
        </w:rPr>
        <w:sectPr>
          <w:type w:val="continuous"/>
          <w:pgSz w:w="11910" w:h="16840"/>
          <w:pgMar w:top="460" w:bottom="280" w:left="680" w:right="460"/>
          <w:cols w:num="2" w:equalWidth="0">
            <w:col w:w="2981" w:space="40"/>
            <w:col w:w="7749"/>
          </w:cols>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164"/>
      </w:tblGrid>
      <w:tr>
        <w:trPr>
          <w:trHeight w:val="261" w:hRule="atLeast"/>
        </w:trPr>
        <w:tc>
          <w:tcPr>
            <w:tcW w:w="937" w:type="dxa"/>
          </w:tcPr>
          <w:p>
            <w:pPr>
              <w:pStyle w:val="TableParagraph"/>
              <w:spacing w:line="241" w:lineRule="exact"/>
              <w:ind w:left="50"/>
              <w:rPr>
                <w:b/>
                <w:sz w:val="21"/>
              </w:rPr>
            </w:pPr>
            <w:r>
              <w:rPr>
                <w:b/>
                <w:spacing w:val="-2"/>
                <w:sz w:val="21"/>
              </w:rPr>
              <w:t>9.6.32</w:t>
            </w:r>
          </w:p>
        </w:tc>
        <w:tc>
          <w:tcPr>
            <w:tcW w:w="1716" w:type="dxa"/>
          </w:tcPr>
          <w:p>
            <w:pPr>
              <w:pStyle w:val="TableParagraph"/>
              <w:spacing w:line="241" w:lineRule="exact"/>
              <w:ind w:left="250"/>
              <w:rPr>
                <w:rFonts w:ascii="楷体" w:eastAsia="楷体" w:hint="eastAsia"/>
                <w:b/>
                <w:sz w:val="21"/>
              </w:rPr>
            </w:pPr>
            <w:r>
              <w:rPr>
                <w:rFonts w:ascii="楷体" w:eastAsia="楷体" w:hint="eastAsia"/>
                <w:b/>
                <w:spacing w:val="-2"/>
                <w:sz w:val="21"/>
              </w:rPr>
              <w:t>糖尿病肾病</w:t>
            </w:r>
          </w:p>
        </w:tc>
        <w:tc>
          <w:tcPr>
            <w:tcW w:w="7164" w:type="dxa"/>
          </w:tcPr>
          <w:p>
            <w:pPr>
              <w:pStyle w:val="TableParagraph"/>
              <w:spacing w:line="241" w:lineRule="exact"/>
              <w:ind w:left="107"/>
              <w:rPr>
                <w:sz w:val="21"/>
              </w:rPr>
            </w:pPr>
            <w:r>
              <w:rPr>
                <w:spacing w:val="-5"/>
                <w:sz w:val="21"/>
              </w:rPr>
              <w:t>指被保险人被确诊为糖尿病，且因该病导致糖尿病肾病，必须满足下列全部</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3"/>
                <w:sz w:val="21"/>
              </w:rPr>
              <w:t>条件，且未达到重度疾病“严重慢性肾衰竭”的给付标准：</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2"/>
                <w:sz w:val="21"/>
              </w:rPr>
              <w:t>（1）肾小球滤过率（</w:t>
            </w:r>
            <w:r>
              <w:rPr>
                <w:spacing w:val="-20"/>
                <w:sz w:val="21"/>
              </w:rPr>
              <w:t>使用 </w:t>
            </w:r>
            <w:r>
              <w:rPr>
                <w:spacing w:val="-2"/>
                <w:sz w:val="21"/>
              </w:rPr>
              <w:t>MDRD</w:t>
            </w:r>
            <w:r>
              <w:rPr>
                <w:spacing w:val="-23"/>
                <w:sz w:val="21"/>
              </w:rPr>
              <w:t> 公式或 </w:t>
            </w:r>
            <w:r>
              <w:rPr>
                <w:spacing w:val="-2"/>
                <w:sz w:val="21"/>
              </w:rPr>
              <w:t>Cockcroft-Gault</w:t>
            </w:r>
            <w:r>
              <w:rPr>
                <w:spacing w:val="-10"/>
                <w:sz w:val="21"/>
              </w:rPr>
              <w:t> 公式计算的结果</w:t>
            </w:r>
            <w:r>
              <w:rPr>
                <w:spacing w:val="-111"/>
                <w:sz w:val="21"/>
              </w:rPr>
              <w:t>）</w:t>
            </w:r>
            <w:r>
              <w:rPr>
                <w:spacing w:val="-5"/>
                <w:sz w:val="21"/>
              </w:rPr>
              <w:t>，</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18"/>
                <w:sz w:val="21"/>
              </w:rPr>
              <w:t>低于 </w:t>
            </w:r>
            <w:r>
              <w:rPr>
                <w:spacing w:val="-2"/>
                <w:sz w:val="21"/>
              </w:rPr>
              <w:t>25mL/min/1.73</w:t>
            </w:r>
            <w:r>
              <w:rPr>
                <w:spacing w:val="-12"/>
                <w:sz w:val="21"/>
              </w:rPr>
              <w:t> 平方米，且此状态须持续至少 </w:t>
            </w:r>
            <w:r>
              <w:rPr>
                <w:spacing w:val="-2"/>
                <w:sz w:val="21"/>
              </w:rPr>
              <w:t>90</w:t>
            </w:r>
            <w:r>
              <w:rPr>
                <w:spacing w:val="-20"/>
                <w:sz w:val="21"/>
              </w:rPr>
              <w:t> 天；</w:t>
            </w:r>
          </w:p>
        </w:tc>
      </w:tr>
      <w:tr>
        <w:trPr>
          <w:trHeight w:val="234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2"/>
                <w:sz w:val="21"/>
              </w:rPr>
              <w:t>（2）</w:t>
            </w:r>
            <w:r>
              <w:rPr>
                <w:spacing w:val="-3"/>
                <w:sz w:val="21"/>
              </w:rPr>
              <w:t>慢性肾功能障碍的诊断必须由泌尿科或肾脏科专科医生确认。</w:t>
            </w:r>
          </w:p>
          <w:p>
            <w:pPr>
              <w:pStyle w:val="TableParagraph"/>
              <w:spacing w:line="266" w:lineRule="auto" w:before="33"/>
              <w:ind w:left="107" w:right="157"/>
              <w:jc w:val="both"/>
              <w:rPr>
                <w:b/>
                <w:i/>
                <w:sz w:val="22"/>
              </w:rPr>
            </w:pPr>
            <w:r>
              <w:rPr>
                <w:b/>
                <w:i/>
                <w:spacing w:val="-18"/>
                <w:w w:val="95"/>
                <w:sz w:val="22"/>
              </w:rPr>
              <w:t>我们仅对“糖尿病肾病”、“慢性肾功能障碍”两种疾病中的其中一种承担保</w:t>
            </w:r>
            <w:r>
              <w:rPr>
                <w:b/>
                <w:i/>
                <w:spacing w:val="-2"/>
                <w:w w:val="95"/>
                <w:sz w:val="22"/>
              </w:rPr>
              <w:t>险责任，给付其中一种疾病对应的保险金后，对另外一种疾病的保险责任同</w:t>
            </w:r>
            <w:r>
              <w:rPr>
                <w:b/>
                <w:i/>
                <w:spacing w:val="-4"/>
                <w:sz w:val="22"/>
              </w:rPr>
              <w:t>时</w:t>
            </w:r>
            <w:r>
              <w:rPr>
                <w:b/>
                <w:i/>
                <w:spacing w:val="-4"/>
                <w:sz w:val="22"/>
              </w:rPr>
              <w:t>终</w:t>
            </w:r>
            <w:r>
              <w:rPr>
                <w:b/>
                <w:i/>
                <w:spacing w:val="-4"/>
                <w:sz w:val="22"/>
              </w:rPr>
              <w:t>止</w:t>
            </w:r>
            <w:r>
              <w:rPr>
                <w:b/>
                <w:i/>
                <w:spacing w:val="-4"/>
                <w:sz w:val="22"/>
              </w:rPr>
              <w:t>。</w:t>
            </w:r>
          </w:p>
          <w:p>
            <w:pPr>
              <w:pStyle w:val="TableParagraph"/>
              <w:spacing w:line="266" w:lineRule="auto"/>
              <w:ind w:left="107" w:right="157"/>
              <w:jc w:val="both"/>
              <w:rPr>
                <w:b/>
                <w:i/>
                <w:sz w:val="22"/>
              </w:rPr>
            </w:pPr>
            <w:r>
              <w:rPr>
                <w:b/>
                <w:i/>
                <w:spacing w:val="-9"/>
                <w:w w:val="95"/>
                <w:sz w:val="22"/>
              </w:rPr>
              <w:t>我们仅对“糖尿病导致单足截除”</w:t>
            </w:r>
            <w:r>
              <w:rPr>
                <w:b/>
                <w:i/>
                <w:spacing w:val="-14"/>
                <w:w w:val="95"/>
                <w:sz w:val="22"/>
              </w:rPr>
              <w:t>、“糖尿病肾病”两种疾病中的其中一种承</w:t>
            </w:r>
            <w:r>
              <w:rPr>
                <w:b/>
                <w:i/>
                <w:spacing w:val="-2"/>
                <w:w w:val="95"/>
                <w:sz w:val="22"/>
              </w:rPr>
              <w:t>担保险责任，给付其中一种疾病对应的保险金后，对另外一种疾病的保险责</w:t>
            </w:r>
            <w:r>
              <w:rPr>
                <w:b/>
                <w:i/>
                <w:spacing w:val="-2"/>
                <w:sz w:val="22"/>
              </w:rPr>
              <w:t>任</w:t>
            </w:r>
            <w:r>
              <w:rPr>
                <w:b/>
                <w:i/>
                <w:spacing w:val="-2"/>
                <w:sz w:val="22"/>
              </w:rPr>
              <w:t>同</w:t>
            </w:r>
            <w:r>
              <w:rPr>
                <w:b/>
                <w:i/>
                <w:spacing w:val="-2"/>
                <w:sz w:val="22"/>
              </w:rPr>
              <w:t>时</w:t>
            </w:r>
            <w:r>
              <w:rPr>
                <w:b/>
                <w:i/>
                <w:spacing w:val="-2"/>
                <w:sz w:val="22"/>
              </w:rPr>
              <w:t>终</w:t>
            </w:r>
            <w:r>
              <w:rPr>
                <w:b/>
                <w:i/>
                <w:spacing w:val="-2"/>
                <w:sz w:val="22"/>
              </w:rPr>
              <w:t>止</w:t>
            </w:r>
            <w:r>
              <w:rPr>
                <w:b/>
                <w:i/>
                <w:spacing w:val="-2"/>
                <w:sz w:val="22"/>
              </w:rPr>
              <w:t>。</w:t>
            </w:r>
          </w:p>
        </w:tc>
      </w:tr>
      <w:tr>
        <w:trPr>
          <w:trHeight w:val="467" w:hRule="atLeast"/>
        </w:trPr>
        <w:tc>
          <w:tcPr>
            <w:tcW w:w="937" w:type="dxa"/>
          </w:tcPr>
          <w:p>
            <w:pPr>
              <w:pStyle w:val="TableParagraph"/>
              <w:spacing w:before="177"/>
              <w:ind w:left="50"/>
              <w:rPr>
                <w:b/>
                <w:sz w:val="21"/>
              </w:rPr>
            </w:pPr>
            <w:r>
              <w:rPr>
                <w:b/>
                <w:spacing w:val="-2"/>
                <w:sz w:val="21"/>
              </w:rPr>
              <w:t>9.6.33</w:t>
            </w:r>
          </w:p>
        </w:tc>
        <w:tc>
          <w:tcPr>
            <w:tcW w:w="1716" w:type="dxa"/>
          </w:tcPr>
          <w:p>
            <w:pPr>
              <w:pStyle w:val="TableParagraph"/>
              <w:spacing w:before="177"/>
              <w:ind w:left="250"/>
              <w:rPr>
                <w:rFonts w:ascii="楷体" w:eastAsia="楷体" w:hint="eastAsia"/>
                <w:b/>
                <w:sz w:val="21"/>
              </w:rPr>
            </w:pPr>
            <w:r>
              <w:rPr>
                <w:rFonts w:ascii="楷体" w:eastAsia="楷体" w:hint="eastAsia"/>
                <w:b/>
                <w:spacing w:val="-2"/>
                <w:sz w:val="21"/>
              </w:rPr>
              <w:t>头臂动脉型大</w:t>
            </w:r>
          </w:p>
        </w:tc>
        <w:tc>
          <w:tcPr>
            <w:tcW w:w="7164" w:type="dxa"/>
          </w:tcPr>
          <w:p>
            <w:pPr>
              <w:pStyle w:val="TableParagraph"/>
              <w:spacing w:before="177"/>
              <w:ind w:left="107"/>
              <w:rPr>
                <w:sz w:val="21"/>
              </w:rPr>
            </w:pPr>
            <w:r>
              <w:rPr>
                <w:spacing w:val="-4"/>
                <w:sz w:val="21"/>
              </w:rPr>
              <w:t>多发性大动脉炎（高安氏动脉炎）</w:t>
            </w:r>
            <w:r>
              <w:rPr>
                <w:spacing w:val="-5"/>
                <w:sz w:val="21"/>
              </w:rPr>
              <w:t>是一种发生在主动脉和其主要分支的慢性</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2"/>
                <w:sz w:val="21"/>
              </w:rPr>
              <w:t>动脉炎非开胸</w:t>
            </w:r>
          </w:p>
        </w:tc>
        <w:tc>
          <w:tcPr>
            <w:tcW w:w="7164" w:type="dxa"/>
          </w:tcPr>
          <w:p>
            <w:pPr>
              <w:pStyle w:val="TableParagraph"/>
              <w:spacing w:before="22"/>
              <w:ind w:left="107"/>
              <w:rPr>
                <w:sz w:val="21"/>
              </w:rPr>
            </w:pPr>
            <w:r>
              <w:rPr>
                <w:spacing w:val="-5"/>
                <w:sz w:val="21"/>
              </w:rPr>
              <w:t>炎症性动脉疾病，表现为受累动脉狭窄或闭塞。头臂动脉型多发性大动脉炎</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2"/>
                <w:sz w:val="21"/>
              </w:rPr>
              <w:t>旁路移植手术</w:t>
            </w:r>
          </w:p>
        </w:tc>
        <w:tc>
          <w:tcPr>
            <w:tcW w:w="7164" w:type="dxa"/>
          </w:tcPr>
          <w:p>
            <w:pPr>
              <w:pStyle w:val="TableParagraph"/>
              <w:spacing w:before="22"/>
              <w:ind w:left="107"/>
              <w:rPr>
                <w:sz w:val="21"/>
              </w:rPr>
            </w:pPr>
            <w:r>
              <w:rPr>
                <w:spacing w:val="-4"/>
                <w:sz w:val="21"/>
              </w:rPr>
              <w:t>是指多发性大动脉炎头臂动脉型（I</w:t>
            </w:r>
            <w:r>
              <w:rPr>
                <w:spacing w:val="-18"/>
                <w:sz w:val="21"/>
              </w:rPr>
              <w:t> 型</w:t>
            </w:r>
            <w:r>
              <w:rPr>
                <w:spacing w:val="-69"/>
                <w:sz w:val="21"/>
              </w:rPr>
              <w:t>）</w:t>
            </w:r>
            <w:r>
              <w:rPr>
                <w:spacing w:val="-13"/>
                <w:sz w:val="21"/>
              </w:rPr>
              <w:t>，又称为无脉症。被保险人被明确诊</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2"/>
                <w:sz w:val="21"/>
              </w:rPr>
              <w:t>断为头臂动脉型多发性大动脉炎并且实际接受了非开胸的无名动脉（</w:t>
            </w:r>
            <w:r>
              <w:rPr>
                <w:spacing w:val="-6"/>
                <w:sz w:val="21"/>
              </w:rPr>
              <w:t>头臂</w:t>
            </w:r>
          </w:p>
        </w:tc>
      </w:tr>
      <w:tr>
        <w:trPr>
          <w:trHeight w:val="78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2"/>
                <w:sz w:val="21"/>
              </w:rPr>
              <w:t>干</w:t>
            </w:r>
            <w:r>
              <w:rPr>
                <w:spacing w:val="-106"/>
                <w:sz w:val="21"/>
              </w:rPr>
              <w:t>）</w:t>
            </w:r>
            <w:r>
              <w:rPr>
                <w:spacing w:val="-3"/>
                <w:sz w:val="21"/>
              </w:rPr>
              <w:t>、颈总动脉、锁骨下动脉旁路移植手术。</w:t>
            </w:r>
          </w:p>
          <w:p>
            <w:pPr>
              <w:pStyle w:val="TableParagraph"/>
              <w:spacing w:before="33"/>
              <w:ind w:left="107"/>
              <w:rPr>
                <w:b/>
                <w:i/>
                <w:sz w:val="22"/>
              </w:rPr>
            </w:pPr>
            <w:r>
              <w:rPr>
                <w:b/>
                <w:i/>
                <w:spacing w:val="-3"/>
                <w:w w:val="95"/>
                <w:sz w:val="22"/>
              </w:rPr>
              <w:t>经导管血管内手术不在保障范围内。</w:t>
            </w:r>
          </w:p>
        </w:tc>
      </w:tr>
      <w:tr>
        <w:trPr>
          <w:trHeight w:val="467" w:hRule="atLeast"/>
        </w:trPr>
        <w:tc>
          <w:tcPr>
            <w:tcW w:w="937" w:type="dxa"/>
          </w:tcPr>
          <w:p>
            <w:pPr>
              <w:pStyle w:val="TableParagraph"/>
              <w:spacing w:before="177"/>
              <w:ind w:left="50"/>
              <w:rPr>
                <w:b/>
                <w:sz w:val="21"/>
              </w:rPr>
            </w:pPr>
            <w:r>
              <w:rPr>
                <w:b/>
                <w:spacing w:val="-2"/>
                <w:sz w:val="21"/>
              </w:rPr>
              <w:t>9.6.34</w:t>
            </w:r>
          </w:p>
        </w:tc>
        <w:tc>
          <w:tcPr>
            <w:tcW w:w="1716" w:type="dxa"/>
          </w:tcPr>
          <w:p>
            <w:pPr>
              <w:pStyle w:val="TableParagraph"/>
              <w:spacing w:before="177"/>
              <w:ind w:left="250"/>
              <w:rPr>
                <w:rFonts w:ascii="楷体" w:eastAsia="楷体" w:hint="eastAsia"/>
                <w:b/>
                <w:sz w:val="21"/>
              </w:rPr>
            </w:pPr>
            <w:r>
              <w:rPr>
                <w:rFonts w:ascii="楷体" w:eastAsia="楷体" w:hint="eastAsia"/>
                <w:b/>
                <w:spacing w:val="-2"/>
                <w:sz w:val="21"/>
              </w:rPr>
              <w:t>结核性脊髓炎</w:t>
            </w:r>
          </w:p>
        </w:tc>
        <w:tc>
          <w:tcPr>
            <w:tcW w:w="7164" w:type="dxa"/>
          </w:tcPr>
          <w:p>
            <w:pPr>
              <w:pStyle w:val="TableParagraph"/>
              <w:spacing w:before="177"/>
              <w:ind w:left="107"/>
              <w:rPr>
                <w:sz w:val="21"/>
              </w:rPr>
            </w:pPr>
            <w:r>
              <w:rPr>
                <w:spacing w:val="-5"/>
                <w:sz w:val="21"/>
              </w:rPr>
              <w:t>因结核杆菌引起的脊髓炎，导致永久性神经系统功能中度障碍，即：疾病首</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12"/>
                <w:sz w:val="21"/>
              </w:rPr>
              <w:t>次确诊 </w:t>
            </w:r>
            <w:r>
              <w:rPr>
                <w:spacing w:val="-2"/>
                <w:sz w:val="21"/>
              </w:rPr>
              <w:t>180</w:t>
            </w:r>
            <w:r>
              <w:rPr>
                <w:spacing w:val="-17"/>
                <w:sz w:val="21"/>
              </w:rPr>
              <w:t> 天后，仍遗留下列一种或一种以上障碍且未达到重度疾病“瘫痪”</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4"/>
                <w:sz w:val="21"/>
              </w:rPr>
              <w:t>的给付标准：</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2"/>
                <w:sz w:val="21"/>
              </w:rPr>
              <w:t>（1）</w:t>
            </w:r>
            <w:r>
              <w:rPr>
                <w:spacing w:val="-6"/>
                <w:sz w:val="21"/>
              </w:rPr>
              <w:t>一肢或一肢以上肢体肌力 </w:t>
            </w:r>
            <w:r>
              <w:rPr>
                <w:spacing w:val="-2"/>
                <w:sz w:val="21"/>
              </w:rPr>
              <w:t>III</w:t>
            </w:r>
            <w:r>
              <w:rPr>
                <w:spacing w:val="-26"/>
                <w:sz w:val="21"/>
              </w:rPr>
              <w:t> 级或 </w:t>
            </w:r>
            <w:r>
              <w:rPr>
                <w:spacing w:val="-2"/>
                <w:sz w:val="21"/>
              </w:rPr>
              <w:t>III</w:t>
            </w:r>
            <w:r>
              <w:rPr>
                <w:spacing w:val="-10"/>
                <w:sz w:val="21"/>
              </w:rPr>
              <w:t> 级以下的运动功能障碍。</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2"/>
                <w:sz w:val="21"/>
              </w:rPr>
              <w:t>（2）</w:t>
            </w:r>
            <w:r>
              <w:rPr>
                <w:spacing w:val="-3"/>
                <w:sz w:val="21"/>
              </w:rPr>
              <w:t>自主生活能力部分丧失，无法独立完成六项基本日常生活活动中的两</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5"/>
                <w:sz w:val="21"/>
              </w:rPr>
              <w:t>项。</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5"/>
                <w:sz w:val="21"/>
              </w:rPr>
              <w:t>该诊断必须由神经科专科医生证实，并必须由适当的检查证明为结核性脊髓</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5"/>
                <w:sz w:val="21"/>
              </w:rPr>
              <w:t>炎。</w:t>
            </w:r>
          </w:p>
        </w:tc>
      </w:tr>
      <w:tr>
        <w:trPr>
          <w:trHeight w:val="468" w:hRule="atLeast"/>
        </w:trPr>
        <w:tc>
          <w:tcPr>
            <w:tcW w:w="937" w:type="dxa"/>
          </w:tcPr>
          <w:p>
            <w:pPr>
              <w:pStyle w:val="TableParagraph"/>
              <w:spacing w:before="178"/>
              <w:ind w:left="50"/>
              <w:rPr>
                <w:b/>
                <w:sz w:val="21"/>
              </w:rPr>
            </w:pPr>
            <w:r>
              <w:rPr>
                <w:b/>
                <w:spacing w:val="-2"/>
                <w:sz w:val="21"/>
              </w:rPr>
              <w:t>9.6.35</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人工耳蜗植入</w:t>
            </w:r>
          </w:p>
        </w:tc>
        <w:tc>
          <w:tcPr>
            <w:tcW w:w="7164" w:type="dxa"/>
          </w:tcPr>
          <w:p>
            <w:pPr>
              <w:pStyle w:val="TableParagraph"/>
              <w:spacing w:before="178"/>
              <w:ind w:left="107"/>
              <w:rPr>
                <w:sz w:val="21"/>
              </w:rPr>
            </w:pPr>
            <w:r>
              <w:rPr>
                <w:spacing w:val="-5"/>
                <w:sz w:val="21"/>
              </w:rPr>
              <w:t>指由于耳蜗的永久损害而实际实施了人工耳蜗植入手术。须经专科医生明确</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w w:val="100"/>
                <w:sz w:val="21"/>
              </w:rPr>
              <w:t>术</w:t>
            </w:r>
          </w:p>
        </w:tc>
        <w:tc>
          <w:tcPr>
            <w:tcW w:w="7164" w:type="dxa"/>
          </w:tcPr>
          <w:p>
            <w:pPr>
              <w:pStyle w:val="TableParagraph"/>
              <w:spacing w:before="22"/>
              <w:ind w:left="107"/>
              <w:rPr>
                <w:sz w:val="21"/>
              </w:rPr>
            </w:pPr>
            <w:r>
              <w:rPr>
                <w:spacing w:val="-3"/>
                <w:sz w:val="21"/>
              </w:rPr>
              <w:t>诊断在医学上是必要的，且在植入手术之前已经符合下列全部条件：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2"/>
                <w:sz w:val="21"/>
              </w:rPr>
              <w:t>（1）</w:t>
            </w:r>
            <w:r>
              <w:rPr>
                <w:spacing w:val="-12"/>
                <w:sz w:val="21"/>
              </w:rPr>
              <w:t>双耳持续 </w:t>
            </w:r>
            <w:r>
              <w:rPr>
                <w:spacing w:val="-2"/>
                <w:sz w:val="21"/>
              </w:rPr>
              <w:t>12</w:t>
            </w:r>
            <w:r>
              <w:rPr>
                <w:spacing w:val="-10"/>
                <w:sz w:val="21"/>
              </w:rPr>
              <w:t> 个月以上重度感音神经性耳聋；</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2"/>
                <w:sz w:val="21"/>
              </w:rPr>
              <w:t>（2）</w:t>
            </w:r>
            <w:r>
              <w:rPr>
                <w:spacing w:val="-3"/>
                <w:sz w:val="21"/>
              </w:rPr>
              <w:t>使用相应的听力辅助设备效果不佳。</w:t>
            </w:r>
          </w:p>
        </w:tc>
      </w:tr>
      <w:tr>
        <w:trPr>
          <w:trHeight w:val="1561" w:hRule="atLeast"/>
        </w:trPr>
        <w:tc>
          <w:tcPr>
            <w:tcW w:w="937" w:type="dxa"/>
          </w:tcPr>
          <w:p>
            <w:pPr>
              <w:pStyle w:val="TableParagraph"/>
              <w:spacing w:before="178"/>
              <w:ind w:left="50"/>
              <w:rPr>
                <w:b/>
                <w:sz w:val="21"/>
              </w:rPr>
            </w:pPr>
            <w:r>
              <w:rPr>
                <w:b/>
                <w:spacing w:val="-2"/>
                <w:sz w:val="21"/>
              </w:rPr>
              <w:t>9.6.36</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出血性登革热</w:t>
            </w:r>
          </w:p>
        </w:tc>
        <w:tc>
          <w:tcPr>
            <w:tcW w:w="7164" w:type="dxa"/>
          </w:tcPr>
          <w:p>
            <w:pPr>
              <w:pStyle w:val="TableParagraph"/>
              <w:spacing w:line="278" w:lineRule="auto" w:before="178"/>
              <w:ind w:left="107" w:right="153"/>
              <w:jc w:val="both"/>
              <w:rPr>
                <w:sz w:val="21"/>
              </w:rPr>
            </w:pPr>
            <w:r>
              <w:rPr>
                <w:spacing w:val="-2"/>
                <w:sz w:val="21"/>
              </w:rPr>
              <w:t>出血性登革热须出现全部四种症状，包括发高烧、出血现象、肝肿大和循环</w:t>
            </w:r>
            <w:r>
              <w:rPr>
                <w:spacing w:val="-2"/>
                <w:sz w:val="21"/>
              </w:rPr>
              <w:t>衰竭（</w:t>
            </w:r>
            <w:r>
              <w:rPr>
                <w:spacing w:val="-4"/>
                <w:sz w:val="21"/>
              </w:rPr>
              <w:t>登革热休克综合症即符合 </w:t>
            </w:r>
            <w:r>
              <w:rPr>
                <w:rFonts w:ascii="Times New Roman" w:hAnsi="Times New Roman" w:eastAsia="Times New Roman"/>
                <w:spacing w:val="-2"/>
                <w:sz w:val="21"/>
              </w:rPr>
              <w:t>WHO</w:t>
            </w:r>
            <w:r>
              <w:rPr>
                <w:rFonts w:ascii="Times New Roman" w:hAnsi="Times New Roman" w:eastAsia="Times New Roman"/>
                <w:spacing w:val="-11"/>
                <w:sz w:val="21"/>
              </w:rPr>
              <w:t> </w:t>
            </w:r>
            <w:r>
              <w:rPr>
                <w:spacing w:val="-7"/>
                <w:sz w:val="21"/>
              </w:rPr>
              <w:t>登革热第 </w:t>
            </w:r>
            <w:r>
              <w:rPr>
                <w:rFonts w:ascii="Times New Roman" w:hAnsi="Times New Roman" w:eastAsia="Times New Roman"/>
                <w:spacing w:val="-2"/>
                <w:sz w:val="21"/>
              </w:rPr>
              <w:t>III</w:t>
            </w:r>
            <w:r>
              <w:rPr>
                <w:rFonts w:ascii="Times New Roman" w:hAnsi="Times New Roman" w:eastAsia="Times New Roman"/>
                <w:spacing w:val="-11"/>
                <w:sz w:val="21"/>
              </w:rPr>
              <w:t> </w:t>
            </w:r>
            <w:r>
              <w:rPr>
                <w:spacing w:val="-2"/>
                <w:sz w:val="21"/>
              </w:rPr>
              <w:t>级及第Ⅳ级</w:t>
            </w:r>
            <w:r>
              <w:rPr>
                <w:spacing w:val="-108"/>
                <w:sz w:val="21"/>
              </w:rPr>
              <w:t>）</w:t>
            </w:r>
            <w:r>
              <w:rPr>
                <w:spacing w:val="-2"/>
                <w:sz w:val="21"/>
              </w:rPr>
              <w:t>。出血性登</w:t>
            </w:r>
            <w:r>
              <w:rPr>
                <w:spacing w:val="-2"/>
                <w:sz w:val="21"/>
              </w:rPr>
              <w:t>革热的诊断必须由医院的专科医生证实。</w:t>
            </w:r>
          </w:p>
          <w:p>
            <w:pPr>
              <w:pStyle w:val="TableParagraph"/>
              <w:spacing w:line="272" w:lineRule="exact"/>
              <w:ind w:left="107"/>
              <w:rPr>
                <w:b/>
                <w:i/>
                <w:sz w:val="22"/>
              </w:rPr>
            </w:pPr>
            <w:r>
              <w:rPr>
                <w:b/>
                <w:i/>
                <w:spacing w:val="-3"/>
                <w:w w:val="95"/>
                <w:sz w:val="22"/>
              </w:rPr>
              <w:t>非出血性登革热不在保障范围内。</w:t>
            </w:r>
          </w:p>
        </w:tc>
      </w:tr>
      <w:tr>
        <w:trPr>
          <w:trHeight w:val="467" w:hRule="atLeast"/>
        </w:trPr>
        <w:tc>
          <w:tcPr>
            <w:tcW w:w="937" w:type="dxa"/>
          </w:tcPr>
          <w:p>
            <w:pPr>
              <w:pStyle w:val="TableParagraph"/>
              <w:spacing w:before="177"/>
              <w:ind w:left="50"/>
              <w:rPr>
                <w:b/>
                <w:sz w:val="21"/>
              </w:rPr>
            </w:pPr>
            <w:r>
              <w:rPr>
                <w:b/>
                <w:spacing w:val="-2"/>
                <w:sz w:val="21"/>
              </w:rPr>
              <w:t>9.6.37</w:t>
            </w:r>
          </w:p>
        </w:tc>
        <w:tc>
          <w:tcPr>
            <w:tcW w:w="1716" w:type="dxa"/>
          </w:tcPr>
          <w:p>
            <w:pPr>
              <w:pStyle w:val="TableParagraph"/>
              <w:spacing w:before="177"/>
              <w:ind w:left="250"/>
              <w:rPr>
                <w:rFonts w:ascii="楷体" w:eastAsia="楷体" w:hint="eastAsia"/>
                <w:b/>
                <w:sz w:val="21"/>
              </w:rPr>
            </w:pPr>
            <w:r>
              <w:rPr>
                <w:rFonts w:ascii="楷体" w:eastAsia="楷体" w:hint="eastAsia"/>
                <w:b/>
                <w:spacing w:val="-2"/>
                <w:sz w:val="21"/>
              </w:rPr>
              <w:t>慢性肾功能障</w:t>
            </w:r>
          </w:p>
        </w:tc>
        <w:tc>
          <w:tcPr>
            <w:tcW w:w="7164" w:type="dxa"/>
          </w:tcPr>
          <w:p>
            <w:pPr>
              <w:pStyle w:val="TableParagraph"/>
              <w:spacing w:before="177"/>
              <w:ind w:left="107"/>
              <w:rPr>
                <w:sz w:val="21"/>
              </w:rPr>
            </w:pPr>
            <w:r>
              <w:rPr>
                <w:spacing w:val="-5"/>
                <w:sz w:val="21"/>
              </w:rPr>
              <w:t>指被保险人因双肾功能慢性不可逆性损害，达到肾功能衰竭期，但未达到重</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w w:val="100"/>
                <w:sz w:val="21"/>
              </w:rPr>
              <w:t>碍</w:t>
            </w:r>
          </w:p>
        </w:tc>
        <w:tc>
          <w:tcPr>
            <w:tcW w:w="7164" w:type="dxa"/>
          </w:tcPr>
          <w:p>
            <w:pPr>
              <w:pStyle w:val="TableParagraph"/>
              <w:spacing w:before="22"/>
              <w:ind w:left="107"/>
              <w:rPr>
                <w:sz w:val="21"/>
              </w:rPr>
            </w:pPr>
            <w:r>
              <w:rPr>
                <w:spacing w:val="-3"/>
                <w:sz w:val="21"/>
              </w:rPr>
              <w:t>度疾病“严重慢性肾衰竭”的给付标准。诊断必须满足所有以下标准。</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z w:val="21"/>
              </w:rPr>
              <w:t>（1）肾小球滤过率（GFR）&lt;</w:t>
            </w:r>
            <w:r>
              <w:rPr>
                <w:spacing w:val="-14"/>
                <w:sz w:val="21"/>
              </w:rPr>
              <w:t> </w:t>
            </w:r>
            <w:r>
              <w:rPr>
                <w:sz w:val="21"/>
              </w:rPr>
              <w:t>25ml/min</w:t>
            </w:r>
            <w:r>
              <w:rPr>
                <w:spacing w:val="-4"/>
                <w:sz w:val="21"/>
              </w:rPr>
              <w:t> 或肌酐清除率</w:t>
            </w:r>
            <w:r>
              <w:rPr>
                <w:sz w:val="21"/>
              </w:rPr>
              <w:t>（Ccr）&lt;</w:t>
            </w:r>
            <w:r>
              <w:rPr>
                <w:spacing w:val="-13"/>
                <w:sz w:val="21"/>
              </w:rPr>
              <w:t> </w:t>
            </w:r>
            <w:r>
              <w:rPr>
                <w:spacing w:val="-2"/>
                <w:sz w:val="21"/>
              </w:rPr>
              <w:t>25ml/min；</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z w:val="21"/>
              </w:rPr>
              <w:t>（2）血肌酐（Scr）</w:t>
            </w:r>
            <w:r>
              <w:rPr>
                <w:spacing w:val="-12"/>
                <w:sz w:val="21"/>
              </w:rPr>
              <w:t>&gt; </w:t>
            </w:r>
            <w:r>
              <w:rPr>
                <w:sz w:val="21"/>
              </w:rPr>
              <w:t>5mg/dl</w:t>
            </w:r>
            <w:r>
              <w:rPr>
                <w:spacing w:val="-27"/>
                <w:sz w:val="21"/>
              </w:rPr>
              <w:t> 或</w:t>
            </w:r>
            <w:r>
              <w:rPr>
                <w:spacing w:val="-2"/>
                <w:sz w:val="21"/>
              </w:rPr>
              <w:t>&gt;442umol/L；</w:t>
            </w:r>
          </w:p>
        </w:tc>
      </w:tr>
      <w:tr>
        <w:trPr>
          <w:trHeight w:val="88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64" w:type="dxa"/>
          </w:tcPr>
          <w:p>
            <w:pPr>
              <w:pStyle w:val="TableParagraph"/>
              <w:spacing w:before="22"/>
              <w:ind w:left="107"/>
              <w:rPr>
                <w:sz w:val="21"/>
              </w:rPr>
            </w:pPr>
            <w:r>
              <w:rPr>
                <w:spacing w:val="-2"/>
                <w:sz w:val="21"/>
              </w:rPr>
              <w:t>（3）</w:t>
            </w:r>
            <w:r>
              <w:rPr>
                <w:spacing w:val="-18"/>
                <w:sz w:val="21"/>
              </w:rPr>
              <w:t>持续 </w:t>
            </w:r>
            <w:r>
              <w:rPr>
                <w:spacing w:val="-2"/>
                <w:sz w:val="21"/>
              </w:rPr>
              <w:t>180</w:t>
            </w:r>
            <w:r>
              <w:rPr>
                <w:spacing w:val="-20"/>
                <w:sz w:val="21"/>
              </w:rPr>
              <w:t> 天。</w:t>
            </w:r>
          </w:p>
          <w:p>
            <w:pPr>
              <w:pStyle w:val="TableParagraph"/>
              <w:spacing w:line="310" w:lineRule="atLeast"/>
              <w:ind w:left="107" w:right="154"/>
              <w:rPr>
                <w:b/>
                <w:i/>
                <w:sz w:val="22"/>
              </w:rPr>
            </w:pPr>
            <w:r>
              <w:rPr>
                <w:b/>
                <w:i/>
                <w:spacing w:val="-9"/>
                <w:w w:val="95"/>
                <w:sz w:val="22"/>
              </w:rPr>
              <w:t>我们仅对“特定的系统性红斑狼疮”</w:t>
            </w:r>
            <w:r>
              <w:rPr>
                <w:b/>
                <w:i/>
                <w:spacing w:val="-14"/>
                <w:w w:val="95"/>
                <w:sz w:val="22"/>
              </w:rPr>
              <w:t>、“慢性肾功能障碍”两种疾病中的其中</w:t>
            </w:r>
            <w:r>
              <w:rPr>
                <w:b/>
                <w:i/>
                <w:spacing w:val="-5"/>
                <w:w w:val="95"/>
                <w:sz w:val="22"/>
              </w:rPr>
              <w:t>一种承担保险责任，给付其中一种疾病对应的保险金后，对另外一种疾病的</w:t>
            </w:r>
          </w:p>
        </w:tc>
      </w:tr>
    </w:tbl>
    <w:p>
      <w:pPr>
        <w:spacing w:after="0" w:line="310" w:lineRule="atLeast"/>
        <w:rPr>
          <w:sz w:val="22"/>
        </w:rPr>
        <w:sectPr>
          <w:pgSz w:w="11910" w:h="16840"/>
          <w:pgMar w:top="1580" w:bottom="280" w:left="680" w:right="460"/>
        </w:sectPr>
      </w:pPr>
    </w:p>
    <w:p>
      <w:pPr>
        <w:spacing w:before="42"/>
        <w:ind w:left="3285" w:right="0" w:firstLine="0"/>
        <w:jc w:val="left"/>
        <w:rPr>
          <w:b/>
          <w:i/>
          <w:sz w:val="22"/>
        </w:rPr>
      </w:pPr>
      <w:r>
        <w:rPr>
          <w:b/>
          <w:i/>
          <w:spacing w:val="-2"/>
          <w:w w:val="95"/>
          <w:sz w:val="22"/>
        </w:rPr>
        <w:t>保险责任同时终止。</w:t>
      </w:r>
    </w:p>
    <w:p>
      <w:pPr>
        <w:spacing w:line="266" w:lineRule="auto" w:before="31"/>
        <w:ind w:left="3285" w:right="580" w:firstLine="0"/>
        <w:jc w:val="both"/>
        <w:rPr>
          <w:b/>
          <w:i/>
          <w:sz w:val="22"/>
        </w:rPr>
      </w:pPr>
      <w:r>
        <w:rPr>
          <w:b/>
          <w:i/>
          <w:spacing w:val="-18"/>
          <w:w w:val="95"/>
          <w:sz w:val="22"/>
        </w:rPr>
        <w:t>我们仅对“糖尿病肾病”、“慢性肾功能障碍”两种疾病中的其中一种承担保</w:t>
      </w:r>
      <w:r>
        <w:rPr>
          <w:b/>
          <w:i/>
          <w:spacing w:val="-2"/>
          <w:w w:val="95"/>
          <w:sz w:val="22"/>
        </w:rPr>
        <w:t>险责任，给付其中一种疾病对应的保险金后，对另外一种疾病的保险责任同</w:t>
      </w:r>
      <w:r>
        <w:rPr>
          <w:b/>
          <w:i/>
          <w:spacing w:val="-4"/>
          <w:sz w:val="22"/>
        </w:rPr>
        <w:t>时</w:t>
      </w:r>
      <w:r>
        <w:rPr>
          <w:b/>
          <w:i/>
          <w:spacing w:val="-4"/>
          <w:sz w:val="22"/>
        </w:rPr>
        <w:t>终</w:t>
      </w:r>
      <w:r>
        <w:rPr>
          <w:b/>
          <w:i/>
          <w:spacing w:val="-4"/>
          <w:sz w:val="22"/>
        </w:rPr>
        <w:t>止</w:t>
      </w:r>
      <w:r>
        <w:rPr>
          <w:b/>
          <w:i/>
          <w:spacing w:val="-4"/>
          <w:sz w:val="22"/>
        </w:rPr>
        <w:t>。</w:t>
      </w:r>
    </w:p>
    <w:p>
      <w:pPr>
        <w:pStyle w:val="BodyText"/>
        <w:spacing w:before="4"/>
        <w:rPr>
          <w:b/>
          <w:i/>
          <w:sz w:val="19"/>
        </w:rPr>
      </w:pPr>
    </w:p>
    <w:p>
      <w:pPr>
        <w:spacing w:after="0"/>
        <w:rPr>
          <w:sz w:val="19"/>
        </w:rPr>
        <w:sectPr>
          <w:pgSz w:w="11910" w:h="16840"/>
          <w:pgMar w:top="1200" w:bottom="280" w:left="680" w:right="460"/>
        </w:sectPr>
      </w:pPr>
    </w:p>
    <w:p>
      <w:pPr>
        <w:pStyle w:val="Heading2"/>
        <w:numPr>
          <w:ilvl w:val="2"/>
          <w:numId w:val="20"/>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心脏瓣膜介入</w:t>
      </w:r>
      <w:r>
        <w:rPr>
          <w:rFonts w:ascii="楷体" w:eastAsia="楷体" w:hint="eastAsia"/>
          <w:spacing w:val="-6"/>
        </w:rPr>
        <w:t>手术</w:t>
      </w:r>
    </w:p>
    <w:p>
      <w:pPr>
        <w:pStyle w:val="BodyText"/>
        <w:spacing w:line="278" w:lineRule="auto" w:before="72"/>
        <w:ind w:left="265" w:right="577"/>
      </w:pPr>
      <w:r>
        <w:rPr/>
        <w:br w:type="column"/>
      </w:r>
      <w:r>
        <w:rPr>
          <w:spacing w:val="-2"/>
        </w:rPr>
        <w:t>为了治疗心脏瓣膜疾病，实际实施了经皮经导管介入手术进行的心脏瓣膜置</w:t>
      </w:r>
      <w:r>
        <w:rPr>
          <w:spacing w:val="-2"/>
        </w:rPr>
        <w:t>换或修复手术。</w:t>
      </w:r>
    </w:p>
    <w:p>
      <w:pPr>
        <w:spacing w:line="266" w:lineRule="auto" w:before="0"/>
        <w:ind w:left="265" w:right="578" w:firstLine="0"/>
        <w:jc w:val="both"/>
        <w:rPr>
          <w:b/>
          <w:i/>
          <w:sz w:val="22"/>
        </w:rPr>
      </w:pPr>
      <w:r>
        <w:rPr>
          <w:b/>
          <w:i/>
          <w:spacing w:val="-10"/>
          <w:w w:val="95"/>
          <w:sz w:val="22"/>
        </w:rPr>
        <w:t>我们仅对“心脏瓣膜介入手术”</w:t>
      </w:r>
      <w:r>
        <w:rPr>
          <w:b/>
          <w:i/>
          <w:spacing w:val="-14"/>
          <w:w w:val="95"/>
          <w:sz w:val="22"/>
        </w:rPr>
        <w:t>、“风湿热导致的心脏瓣膜疾病”两种疾病中</w:t>
      </w:r>
      <w:r>
        <w:rPr>
          <w:b/>
          <w:i/>
          <w:spacing w:val="-2"/>
          <w:w w:val="95"/>
          <w:sz w:val="22"/>
        </w:rPr>
        <w:t>的其中一种承担保险责任，给付其中一种疾病对应的保险金后，对另外一种</w:t>
      </w:r>
      <w:r>
        <w:rPr>
          <w:b/>
          <w:i/>
          <w:spacing w:val="-2"/>
          <w:sz w:val="22"/>
        </w:rPr>
        <w:t>疾</w:t>
      </w:r>
      <w:r>
        <w:rPr>
          <w:b/>
          <w:i/>
          <w:spacing w:val="-2"/>
          <w:sz w:val="22"/>
        </w:rPr>
        <w:t>病</w:t>
      </w:r>
      <w:r>
        <w:rPr>
          <w:b/>
          <w:i/>
          <w:spacing w:val="-2"/>
          <w:sz w:val="22"/>
        </w:rPr>
        <w:t>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同</w:t>
      </w:r>
      <w:r>
        <w:rPr>
          <w:b/>
          <w:i/>
          <w:spacing w:val="-2"/>
          <w:sz w:val="22"/>
        </w:rPr>
        <w:t>时终止。</w:t>
      </w:r>
    </w:p>
    <w:p>
      <w:pPr>
        <w:spacing w:after="0" w:line="266" w:lineRule="auto"/>
        <w:jc w:val="both"/>
        <w:rPr>
          <w:sz w:val="22"/>
        </w:rPr>
        <w:sectPr>
          <w:type w:val="continuous"/>
          <w:pgSz w:w="11910" w:h="16840"/>
          <w:pgMar w:top="460" w:bottom="280" w:left="680" w:right="460"/>
          <w:cols w:num="2" w:equalWidth="0">
            <w:col w:w="2981" w:space="40"/>
            <w:col w:w="7749"/>
          </w:cols>
        </w:sectPr>
      </w:pPr>
    </w:p>
    <w:p>
      <w:pPr>
        <w:pStyle w:val="BodyText"/>
        <w:spacing w:before="6"/>
        <w:rPr>
          <w:b/>
          <w:i/>
          <w:sz w:val="18"/>
        </w:rPr>
      </w:pPr>
    </w:p>
    <w:p>
      <w:pPr>
        <w:pStyle w:val="ListParagraph"/>
        <w:numPr>
          <w:ilvl w:val="2"/>
          <w:numId w:val="20"/>
        </w:numPr>
        <w:tabs>
          <w:tab w:pos="1714" w:val="left" w:leader="none"/>
        </w:tabs>
        <w:spacing w:line="278" w:lineRule="auto" w:before="72" w:after="0"/>
        <w:ind w:left="3285" w:right="579" w:hanging="2711"/>
        <w:jc w:val="both"/>
        <w:rPr>
          <w:sz w:val="21"/>
        </w:rPr>
      </w:pPr>
      <w:r>
        <w:rPr>
          <w:rFonts w:ascii="楷体" w:hAnsi="楷体" w:eastAsia="楷体" w:hint="eastAsia"/>
          <w:b/>
          <w:sz w:val="21"/>
        </w:rPr>
        <w:t>轻度克雅氏病 </w:t>
      </w:r>
      <w:r>
        <w:rPr>
          <w:sz w:val="21"/>
        </w:rPr>
        <w:t>是一种传染性海绵状脑病，临床表现为快速进行性痴呆、肌阵挛和特征性脑</w:t>
      </w:r>
      <w:r>
        <w:rPr>
          <w:spacing w:val="-5"/>
          <w:sz w:val="21"/>
        </w:rPr>
        <w:t>电图变化。须由医院的专科医生根据 </w:t>
      </w:r>
      <w:r>
        <w:rPr>
          <w:spacing w:val="-4"/>
          <w:sz w:val="21"/>
        </w:rPr>
        <w:t>WHO</w:t>
      </w:r>
      <w:r>
        <w:rPr>
          <w:spacing w:val="-8"/>
          <w:sz w:val="21"/>
        </w:rPr>
        <w:t> 诊断标准明确诊断，并且自主生活</w:t>
      </w:r>
      <w:r>
        <w:rPr>
          <w:spacing w:val="-2"/>
          <w:sz w:val="21"/>
        </w:rPr>
        <w:t>能力部分丧失，无法独立完成六项基本日常生活活动中的两项，但未达到重</w:t>
      </w:r>
      <w:r>
        <w:rPr>
          <w:spacing w:val="-2"/>
          <w:sz w:val="21"/>
        </w:rPr>
        <w:t>度疾病“克雅氏病”的给付标准。</w:t>
      </w:r>
    </w:p>
    <w:p>
      <w:pPr>
        <w:pStyle w:val="BodyText"/>
        <w:spacing w:before="10"/>
        <w:rPr>
          <w:sz w:val="18"/>
        </w:rPr>
      </w:pPr>
    </w:p>
    <w:p>
      <w:pPr>
        <w:spacing w:after="0"/>
        <w:rPr>
          <w:sz w:val="18"/>
        </w:rPr>
        <w:sectPr>
          <w:type w:val="continuous"/>
          <w:pgSz w:w="11910" w:h="16840"/>
          <w:pgMar w:top="460" w:bottom="280" w:left="680" w:right="460"/>
        </w:sectPr>
      </w:pPr>
    </w:p>
    <w:p>
      <w:pPr>
        <w:pStyle w:val="Heading2"/>
        <w:numPr>
          <w:ilvl w:val="2"/>
          <w:numId w:val="20"/>
        </w:numPr>
        <w:tabs>
          <w:tab w:pos="1714" w:val="left" w:leader="none"/>
        </w:tabs>
        <w:spacing w:line="278" w:lineRule="auto" w:before="72" w:after="0"/>
        <w:ind w:left="1713" w:right="0" w:hanging="1138"/>
        <w:jc w:val="both"/>
        <w:rPr>
          <w:rFonts w:ascii="楷体" w:eastAsia="楷体" w:hint="eastAsia"/>
        </w:rPr>
      </w:pPr>
      <w:r>
        <w:rPr>
          <w:rFonts w:ascii="楷体" w:eastAsia="楷体" w:hint="eastAsia"/>
          <w:spacing w:val="-2"/>
        </w:rPr>
        <w:t>肺泡蛋白质沉</w:t>
      </w:r>
      <w:r>
        <w:rPr>
          <w:rFonts w:ascii="楷体" w:eastAsia="楷体" w:hint="eastAsia"/>
          <w:spacing w:val="-2"/>
        </w:rPr>
        <w:t>积症肺灌洗治</w:t>
      </w:r>
      <w:r>
        <w:rPr>
          <w:rFonts w:ascii="楷体" w:eastAsia="楷体" w:hint="eastAsia"/>
          <w:spacing w:val="-10"/>
        </w:rPr>
        <w:t>疗</w:t>
      </w:r>
    </w:p>
    <w:p>
      <w:pPr>
        <w:pStyle w:val="BodyText"/>
        <w:spacing w:line="278" w:lineRule="auto" w:before="72"/>
        <w:ind w:left="265" w:right="577"/>
      </w:pPr>
      <w:r>
        <w:rPr/>
        <w:br w:type="column"/>
      </w:r>
      <w:r>
        <w:rPr>
          <w:spacing w:val="-2"/>
        </w:rPr>
        <w:t>肺泡蛋白质沉积症指一种弥漫性肺部疾病，其组织学特征为肺泡腔内及终末</w:t>
      </w:r>
      <w:r>
        <w:rPr>
          <w:spacing w:val="-2"/>
        </w:rPr>
        <w:t>细支气管内堆积过量的磷脂蛋白样物质。</w:t>
      </w:r>
    </w:p>
    <w:p>
      <w:pPr>
        <w:pStyle w:val="BodyText"/>
        <w:spacing w:line="278" w:lineRule="auto"/>
        <w:ind w:left="265" w:right="577"/>
      </w:pPr>
      <w:r>
        <w:rPr>
          <w:spacing w:val="-3"/>
          <w:w w:val="100"/>
        </w:rPr>
        <w:t>肺泡蛋白质沉积症肺灌洗治疗指经组织病理学检查诊断为肺泡蛋白质沉积</w:t>
      </w:r>
      <w:r>
        <w:rPr>
          <w:spacing w:val="-5"/>
          <w:w w:val="100"/>
        </w:rPr>
        <w:t>症，且已经实施了至少</w:t>
      </w:r>
      <w:r>
        <w:rPr>
          <w:spacing w:val="-53"/>
        </w:rPr>
        <w:t> </w:t>
      </w:r>
      <w:r>
        <w:rPr>
          <w:w w:val="100"/>
        </w:rPr>
        <w:t>2</w:t>
      </w:r>
      <w:r>
        <w:rPr>
          <w:spacing w:val="-55"/>
        </w:rPr>
        <w:t> </w:t>
      </w:r>
      <w:r>
        <w:rPr>
          <w:spacing w:val="-6"/>
          <w:w w:val="100"/>
        </w:rPr>
        <w:t>次支气管肺泡灌洗治疗，但未达到重度疾病“严重</w:t>
      </w:r>
      <w:r>
        <w:rPr>
          <w:spacing w:val="-4"/>
          <w:w w:val="100"/>
        </w:rPr>
        <w:t>获得性或继发性肺泡蛋白质沉积症”的给付标准。</w:t>
      </w:r>
    </w:p>
    <w:p>
      <w:pPr>
        <w:spacing w:after="0" w:line="278" w:lineRule="auto"/>
        <w:sectPr>
          <w:type w:val="continuous"/>
          <w:pgSz w:w="11910" w:h="16840"/>
          <w:pgMar w:top="460" w:bottom="280" w:left="680" w:right="460"/>
          <w:cols w:num="2" w:equalWidth="0">
            <w:col w:w="2981" w:space="40"/>
            <w:col w:w="7749"/>
          </w:cols>
        </w:sectPr>
      </w:pPr>
    </w:p>
    <w:p>
      <w:pPr>
        <w:pStyle w:val="BodyText"/>
        <w:spacing w:before="9"/>
        <w:rPr>
          <w:sz w:val="18"/>
        </w:rPr>
      </w:pPr>
    </w:p>
    <w:p>
      <w:pPr>
        <w:pStyle w:val="ListParagraph"/>
        <w:numPr>
          <w:ilvl w:val="1"/>
          <w:numId w:val="21"/>
        </w:numPr>
        <w:tabs>
          <w:tab w:pos="1713" w:val="left" w:leader="none"/>
          <w:tab w:pos="1714" w:val="left" w:leader="none"/>
          <w:tab w:pos="3285" w:val="left" w:leader="none"/>
        </w:tabs>
        <w:spacing w:line="240" w:lineRule="auto" w:before="71" w:after="0"/>
        <w:ind w:left="1713" w:right="0" w:hanging="1139"/>
        <w:jc w:val="left"/>
        <w:rPr>
          <w:sz w:val="21"/>
        </w:rPr>
      </w:pPr>
      <w:r>
        <w:rPr>
          <w:b/>
          <w:sz w:val="21"/>
        </w:rPr>
        <w:t>中度疾</w:t>
      </w:r>
      <w:r>
        <w:rPr>
          <w:b/>
          <w:spacing w:val="-10"/>
          <w:sz w:val="21"/>
        </w:rPr>
        <w:t>病</w:t>
      </w:r>
      <w:r>
        <w:rPr>
          <w:b/>
          <w:sz w:val="21"/>
        </w:rPr>
        <w:tab/>
      </w:r>
      <w:r>
        <w:rPr>
          <w:spacing w:val="-2"/>
          <w:sz w:val="21"/>
        </w:rPr>
        <w:t>指</w:t>
      </w:r>
      <w:r>
        <w:rPr>
          <w:spacing w:val="-2"/>
          <w:sz w:val="21"/>
        </w:rPr>
        <w:t>下</w:t>
      </w:r>
      <w:r>
        <w:rPr>
          <w:spacing w:val="-2"/>
          <w:sz w:val="21"/>
        </w:rPr>
        <w:t>面列出的25种中度</w:t>
      </w:r>
      <w:r>
        <w:rPr>
          <w:spacing w:val="-2"/>
          <w:sz w:val="21"/>
        </w:rPr>
        <w:t>疾</w:t>
      </w:r>
      <w:r>
        <w:rPr>
          <w:spacing w:val="-10"/>
          <w:sz w:val="21"/>
        </w:rPr>
        <w:t>病</w:t>
      </w:r>
    </w:p>
    <w:p>
      <w:pPr>
        <w:pStyle w:val="BodyText"/>
        <w:spacing w:before="10"/>
        <w:rPr>
          <w:sz w:val="27"/>
        </w:rPr>
      </w:pPr>
    </w:p>
    <w:p>
      <w:pPr>
        <w:pStyle w:val="ListParagraph"/>
        <w:numPr>
          <w:ilvl w:val="2"/>
          <w:numId w:val="21"/>
        </w:numPr>
        <w:tabs>
          <w:tab w:pos="1713" w:val="left" w:leader="none"/>
          <w:tab w:pos="1714" w:val="left" w:leader="none"/>
          <w:tab w:pos="3285" w:val="left" w:leader="none"/>
        </w:tabs>
        <w:spacing w:line="240" w:lineRule="auto" w:before="0" w:after="0"/>
        <w:ind w:left="1713" w:right="0" w:hanging="1139"/>
        <w:jc w:val="left"/>
        <w:rPr>
          <w:sz w:val="21"/>
        </w:rPr>
      </w:pPr>
      <w:r>
        <w:rPr>
          <w:rFonts w:ascii="楷体" w:eastAsia="楷体" w:hint="eastAsia"/>
          <w:b/>
          <w:sz w:val="21"/>
        </w:rPr>
        <w:t>肾脏切</w:t>
      </w:r>
      <w:r>
        <w:rPr>
          <w:rFonts w:ascii="楷体" w:eastAsia="楷体" w:hint="eastAsia"/>
          <w:b/>
          <w:spacing w:val="-10"/>
          <w:sz w:val="21"/>
        </w:rPr>
        <w:t>除</w:t>
      </w:r>
      <w:r>
        <w:rPr>
          <w:rFonts w:ascii="楷体" w:eastAsia="楷体" w:hint="eastAsia"/>
          <w:b/>
          <w:sz w:val="21"/>
        </w:rPr>
        <w:tab/>
      </w:r>
      <w:r>
        <w:rPr>
          <w:spacing w:val="-2"/>
          <w:sz w:val="21"/>
        </w:rPr>
        <w:t>指</w:t>
      </w:r>
      <w:r>
        <w:rPr>
          <w:spacing w:val="-2"/>
          <w:sz w:val="21"/>
        </w:rPr>
        <w:t>因</w:t>
      </w:r>
      <w:r>
        <w:rPr>
          <w:spacing w:val="-2"/>
          <w:sz w:val="21"/>
        </w:rPr>
        <w:t>疾病或意外伤害事故</w:t>
      </w:r>
      <w:r>
        <w:rPr>
          <w:spacing w:val="-2"/>
          <w:sz w:val="21"/>
        </w:rPr>
        <w:t>实</w:t>
      </w:r>
      <w:r>
        <w:rPr>
          <w:spacing w:val="-2"/>
          <w:sz w:val="21"/>
        </w:rPr>
        <w:t>际</w:t>
      </w:r>
      <w:r>
        <w:rPr>
          <w:spacing w:val="-2"/>
          <w:sz w:val="21"/>
        </w:rPr>
        <w:t>实施的一侧肾脏切除</w:t>
      </w:r>
      <w:r>
        <w:rPr>
          <w:spacing w:val="-2"/>
          <w:sz w:val="21"/>
        </w:rPr>
        <w:t>术</w:t>
      </w:r>
      <w:r>
        <w:rPr>
          <w:spacing w:val="-10"/>
          <w:sz w:val="21"/>
        </w:rPr>
        <w:t>。</w:t>
      </w:r>
    </w:p>
    <w:p>
      <w:pPr>
        <w:spacing w:line="266" w:lineRule="auto" w:before="33"/>
        <w:ind w:left="3285" w:right="580" w:firstLine="0"/>
        <w:jc w:val="left"/>
        <w:rPr>
          <w:b/>
          <w:i/>
          <w:sz w:val="22"/>
        </w:rPr>
      </w:pPr>
      <w:r>
        <w:rPr>
          <w:b/>
          <w:i/>
          <w:spacing w:val="-2"/>
          <w:w w:val="95"/>
          <w:sz w:val="22"/>
        </w:rPr>
        <w:t>恶性肿瘤、肾脏萎缩、肾脏发育不全、肾脏部分切除手术和肾脏捐献引起的</w:t>
      </w:r>
      <w:r>
        <w:rPr>
          <w:b/>
          <w:i/>
          <w:spacing w:val="-2"/>
          <w:sz w:val="22"/>
        </w:rPr>
        <w:t>手</w:t>
      </w:r>
      <w:r>
        <w:rPr>
          <w:b/>
          <w:i/>
          <w:spacing w:val="-2"/>
          <w:sz w:val="22"/>
        </w:rPr>
        <w:t>术</w:t>
      </w:r>
      <w:r>
        <w:rPr>
          <w:b/>
          <w:i/>
          <w:spacing w:val="-2"/>
          <w:sz w:val="22"/>
        </w:rPr>
        <w:t>不</w:t>
      </w:r>
      <w:r>
        <w:rPr>
          <w:b/>
          <w:i/>
          <w:spacing w:val="-2"/>
          <w:sz w:val="22"/>
        </w:rPr>
        <w:t>在</w:t>
      </w:r>
      <w:r>
        <w:rPr>
          <w:b/>
          <w:i/>
          <w:spacing w:val="-2"/>
          <w:sz w:val="22"/>
        </w:rPr>
        <w:t>保</w:t>
      </w:r>
      <w:r>
        <w:rPr>
          <w:b/>
          <w:i/>
          <w:spacing w:val="-2"/>
          <w:sz w:val="22"/>
        </w:rPr>
        <w:t>障</w:t>
      </w:r>
      <w:r>
        <w:rPr>
          <w:b/>
          <w:i/>
          <w:spacing w:val="-2"/>
          <w:sz w:val="22"/>
        </w:rPr>
        <w:t>范</w:t>
      </w:r>
      <w:r>
        <w:rPr>
          <w:b/>
          <w:i/>
          <w:spacing w:val="-2"/>
          <w:sz w:val="22"/>
        </w:rPr>
        <w:t>围</w:t>
      </w:r>
      <w:r>
        <w:rPr>
          <w:b/>
          <w:i/>
          <w:spacing w:val="-2"/>
          <w:sz w:val="22"/>
        </w:rPr>
        <w:t>内。</w:t>
      </w:r>
    </w:p>
    <w:p>
      <w:pPr>
        <w:pStyle w:val="BodyText"/>
        <w:spacing w:before="12"/>
        <w:rPr>
          <w:b/>
          <w:i/>
          <w:sz w:val="24"/>
        </w:rPr>
      </w:pPr>
    </w:p>
    <w:p>
      <w:pPr>
        <w:pStyle w:val="ListParagraph"/>
        <w:numPr>
          <w:ilvl w:val="2"/>
          <w:numId w:val="21"/>
        </w:numPr>
        <w:tabs>
          <w:tab w:pos="1714" w:val="left" w:leader="none"/>
        </w:tabs>
        <w:spacing w:line="278" w:lineRule="auto" w:before="0" w:after="0"/>
        <w:ind w:left="3285" w:right="577" w:hanging="2711"/>
        <w:jc w:val="both"/>
        <w:rPr>
          <w:sz w:val="21"/>
        </w:rPr>
      </w:pPr>
      <w:r>
        <w:rPr>
          <w:rFonts w:ascii="楷体" w:hAnsi="楷体" w:eastAsia="楷体" w:hint="eastAsia"/>
          <w:b/>
          <w:sz w:val="21"/>
        </w:rPr>
        <w:t>心包膜切除术 </w:t>
      </w:r>
      <w:r>
        <w:rPr>
          <w:sz w:val="21"/>
        </w:rPr>
        <w:t>因心包膜疾病导致已接受心包膜切除术，但未达到重度疾病“严重慢性缩窄</w:t>
      </w:r>
      <w:r>
        <w:rPr>
          <w:spacing w:val="-2"/>
          <w:sz w:val="21"/>
        </w:rPr>
        <w:t>性心包炎”的给付标准。此手术必须在医院内由心脏科专科医生认为是医疗</w:t>
      </w:r>
      <w:r>
        <w:rPr>
          <w:spacing w:val="-2"/>
          <w:sz w:val="21"/>
        </w:rPr>
        <w:t>上必需的情况下进行。</w:t>
      </w:r>
    </w:p>
    <w:p>
      <w:pPr>
        <w:pStyle w:val="BodyText"/>
        <w:spacing w:before="4"/>
        <w:rPr>
          <w:sz w:val="24"/>
        </w:rPr>
      </w:pPr>
    </w:p>
    <w:p>
      <w:pPr>
        <w:pStyle w:val="ListParagraph"/>
        <w:numPr>
          <w:ilvl w:val="2"/>
          <w:numId w:val="21"/>
        </w:numPr>
        <w:tabs>
          <w:tab w:pos="1714" w:val="left" w:leader="none"/>
        </w:tabs>
        <w:spacing w:line="278" w:lineRule="auto" w:before="1" w:after="0"/>
        <w:ind w:left="3285" w:right="577" w:hanging="2711"/>
        <w:jc w:val="both"/>
        <w:rPr>
          <w:sz w:val="21"/>
        </w:rPr>
      </w:pPr>
      <w:r>
        <w:rPr>
          <w:rFonts w:ascii="楷体" w:eastAsia="楷体" w:hint="eastAsia"/>
          <w:b/>
          <w:sz w:val="21"/>
        </w:rPr>
        <w:t>肝叶切除</w:t>
      </w:r>
      <w:r>
        <w:rPr>
          <w:rFonts w:ascii="楷体" w:eastAsia="楷体" w:hint="eastAsia"/>
          <w:b/>
          <w:spacing w:val="559"/>
          <w:sz w:val="21"/>
        </w:rPr>
        <w:t> </w:t>
      </w:r>
      <w:r>
        <w:rPr>
          <w:sz w:val="21"/>
        </w:rPr>
        <w:t>指因疾病或意外伤害导致肝脏严重损害，已经实施了肝左叶切除手术或肝右</w:t>
      </w:r>
      <w:r>
        <w:rPr>
          <w:spacing w:val="-2"/>
          <w:sz w:val="21"/>
        </w:rPr>
        <w:t>叶切除手术（备注：本定义是按肝脏的传统解剖分段法将肝脏分为肝左叶和</w:t>
      </w:r>
      <w:r>
        <w:rPr>
          <w:spacing w:val="-4"/>
          <w:sz w:val="21"/>
        </w:rPr>
        <w:t>肝右叶</w:t>
      </w:r>
      <w:r>
        <w:rPr>
          <w:spacing w:val="-106"/>
          <w:sz w:val="21"/>
        </w:rPr>
        <w:t>）</w:t>
      </w:r>
      <w:r>
        <w:rPr>
          <w:spacing w:val="-4"/>
          <w:sz w:val="21"/>
        </w:rPr>
        <w:t>。</w:t>
      </w:r>
    </w:p>
    <w:p>
      <w:pPr>
        <w:spacing w:line="272" w:lineRule="exact" w:before="0"/>
        <w:ind w:left="3285" w:right="0" w:firstLine="0"/>
        <w:jc w:val="left"/>
        <w:rPr>
          <w:b/>
          <w:i/>
          <w:sz w:val="22"/>
        </w:rPr>
      </w:pPr>
      <w:r>
        <w:rPr>
          <w:b/>
          <w:i/>
          <w:spacing w:val="-3"/>
          <w:w w:val="95"/>
          <w:sz w:val="22"/>
        </w:rPr>
        <w:t>下列情况不在保障范围内：</w:t>
      </w:r>
    </w:p>
    <w:p>
      <w:pPr>
        <w:pStyle w:val="ListParagraph"/>
        <w:numPr>
          <w:ilvl w:val="3"/>
          <w:numId w:val="21"/>
        </w:numPr>
        <w:tabs>
          <w:tab w:pos="3815" w:val="left" w:leader="none"/>
        </w:tabs>
        <w:spacing w:line="240" w:lineRule="auto" w:before="30" w:after="0"/>
        <w:ind w:left="3814" w:right="0" w:hanging="530"/>
        <w:jc w:val="left"/>
        <w:rPr>
          <w:b/>
          <w:i/>
          <w:sz w:val="22"/>
        </w:rPr>
      </w:pPr>
      <w:r>
        <w:rPr>
          <w:b/>
          <w:i/>
          <w:spacing w:val="-3"/>
          <w:w w:val="95"/>
          <w:sz w:val="22"/>
        </w:rPr>
        <w:t>肝区切除、肝段切除手术；</w:t>
      </w:r>
    </w:p>
    <w:p>
      <w:pPr>
        <w:pStyle w:val="ListParagraph"/>
        <w:numPr>
          <w:ilvl w:val="3"/>
          <w:numId w:val="21"/>
        </w:numPr>
        <w:tabs>
          <w:tab w:pos="3815" w:val="left" w:leader="none"/>
        </w:tabs>
        <w:spacing w:line="240" w:lineRule="auto" w:before="30" w:after="0"/>
        <w:ind w:left="3814" w:right="0" w:hanging="530"/>
        <w:jc w:val="left"/>
        <w:rPr>
          <w:b/>
          <w:i/>
          <w:sz w:val="22"/>
        </w:rPr>
      </w:pPr>
      <w:r>
        <w:rPr>
          <w:b/>
          <w:i/>
          <w:spacing w:val="-3"/>
          <w:w w:val="95"/>
          <w:sz w:val="22"/>
        </w:rPr>
        <w:t>因酒精或者滥用药物引致的疾病或者紊乱；</w:t>
      </w:r>
    </w:p>
    <w:p>
      <w:pPr>
        <w:pStyle w:val="ListParagraph"/>
        <w:numPr>
          <w:ilvl w:val="3"/>
          <w:numId w:val="21"/>
        </w:numPr>
        <w:tabs>
          <w:tab w:pos="3815" w:val="left" w:leader="none"/>
        </w:tabs>
        <w:spacing w:line="240" w:lineRule="auto" w:before="31" w:after="0"/>
        <w:ind w:left="3814" w:right="0" w:hanging="530"/>
        <w:jc w:val="left"/>
        <w:rPr>
          <w:b/>
          <w:i/>
          <w:sz w:val="22"/>
        </w:rPr>
      </w:pPr>
      <w:r>
        <w:rPr>
          <w:b/>
          <w:i/>
          <w:spacing w:val="-3"/>
          <w:w w:val="95"/>
          <w:sz w:val="22"/>
        </w:rPr>
        <w:t>因恶性肿瘤进行的肝切除手术；</w:t>
      </w:r>
    </w:p>
    <w:p>
      <w:pPr>
        <w:pStyle w:val="ListParagraph"/>
        <w:numPr>
          <w:ilvl w:val="3"/>
          <w:numId w:val="21"/>
        </w:numPr>
        <w:tabs>
          <w:tab w:pos="3815" w:val="left" w:leader="none"/>
        </w:tabs>
        <w:spacing w:line="240" w:lineRule="auto" w:before="30" w:after="0"/>
        <w:ind w:left="3814" w:right="0" w:hanging="530"/>
        <w:jc w:val="left"/>
        <w:rPr>
          <w:b/>
          <w:i/>
          <w:sz w:val="22"/>
        </w:rPr>
      </w:pPr>
      <w:r>
        <w:rPr>
          <w:b/>
          <w:i/>
          <w:spacing w:val="-3"/>
          <w:w w:val="95"/>
          <w:sz w:val="22"/>
        </w:rPr>
        <w:t>作为器官捐献者而实施的肝切除手术。</w:t>
      </w:r>
    </w:p>
    <w:p>
      <w:pPr>
        <w:pStyle w:val="BodyText"/>
        <w:spacing w:before="6"/>
        <w:rPr>
          <w:b/>
          <w:i/>
          <w:sz w:val="27"/>
        </w:rPr>
      </w:pPr>
    </w:p>
    <w:p>
      <w:pPr>
        <w:pStyle w:val="ListParagraph"/>
        <w:numPr>
          <w:ilvl w:val="2"/>
          <w:numId w:val="21"/>
        </w:numPr>
        <w:tabs>
          <w:tab w:pos="1713" w:val="left" w:leader="none"/>
          <w:tab w:pos="1714" w:val="left" w:leader="none"/>
          <w:tab w:pos="3285" w:val="left" w:leader="none"/>
        </w:tabs>
        <w:spacing w:line="240" w:lineRule="auto" w:before="0" w:after="0"/>
        <w:ind w:left="1713" w:right="0" w:hanging="1139"/>
        <w:jc w:val="left"/>
        <w:rPr>
          <w:sz w:val="21"/>
        </w:rPr>
      </w:pPr>
      <w:r>
        <w:rPr>
          <w:rFonts w:ascii="楷体" w:eastAsia="楷体" w:hint="eastAsia"/>
          <w:b/>
          <w:sz w:val="21"/>
        </w:rPr>
        <w:t>单侧肺脏切</w:t>
      </w:r>
      <w:r>
        <w:rPr>
          <w:rFonts w:ascii="楷体" w:eastAsia="楷体" w:hint="eastAsia"/>
          <w:b/>
          <w:spacing w:val="-10"/>
          <w:sz w:val="21"/>
        </w:rPr>
        <w:t>除</w:t>
      </w:r>
      <w:r>
        <w:rPr>
          <w:rFonts w:ascii="楷体" w:eastAsia="楷体" w:hint="eastAsia"/>
          <w:b/>
          <w:sz w:val="21"/>
        </w:rPr>
        <w:tab/>
      </w:r>
      <w:r>
        <w:rPr>
          <w:spacing w:val="-2"/>
          <w:sz w:val="21"/>
        </w:rPr>
        <w:t>指</w:t>
      </w:r>
      <w:r>
        <w:rPr>
          <w:spacing w:val="-2"/>
          <w:sz w:val="21"/>
        </w:rPr>
        <w:t>因</w:t>
      </w:r>
      <w:r>
        <w:rPr>
          <w:spacing w:val="-2"/>
          <w:sz w:val="21"/>
        </w:rPr>
        <w:t>疾病或意外伤害导致</w:t>
      </w:r>
      <w:r>
        <w:rPr>
          <w:spacing w:val="-2"/>
          <w:sz w:val="21"/>
        </w:rPr>
        <w:t>肺</w:t>
      </w:r>
      <w:r>
        <w:rPr>
          <w:spacing w:val="-2"/>
          <w:sz w:val="21"/>
        </w:rPr>
        <w:t>部</w:t>
      </w:r>
      <w:r>
        <w:rPr>
          <w:spacing w:val="-2"/>
          <w:sz w:val="21"/>
        </w:rPr>
        <w:t>严重损害，已经实施</w:t>
      </w:r>
      <w:r>
        <w:rPr>
          <w:spacing w:val="-2"/>
          <w:sz w:val="21"/>
        </w:rPr>
        <w:t>了</w:t>
      </w:r>
      <w:r>
        <w:rPr>
          <w:spacing w:val="-2"/>
          <w:sz w:val="21"/>
        </w:rPr>
        <w:t>单</w:t>
      </w:r>
      <w:r>
        <w:rPr>
          <w:spacing w:val="-2"/>
          <w:sz w:val="21"/>
        </w:rPr>
        <w:t>侧全肺切除手术</w:t>
      </w:r>
      <w:r>
        <w:rPr>
          <w:spacing w:val="-10"/>
          <w:sz w:val="21"/>
        </w:rPr>
        <w:t>。</w:t>
      </w:r>
    </w:p>
    <w:p>
      <w:pPr>
        <w:spacing w:before="33"/>
        <w:ind w:left="3285" w:right="0" w:firstLine="0"/>
        <w:jc w:val="left"/>
        <w:rPr>
          <w:b/>
          <w:i/>
          <w:sz w:val="22"/>
        </w:rPr>
      </w:pPr>
      <w:r>
        <w:rPr>
          <w:b/>
          <w:i/>
          <w:spacing w:val="-3"/>
          <w:w w:val="95"/>
          <w:sz w:val="22"/>
        </w:rPr>
        <w:t>下列情况不在保障范围内：</w:t>
      </w:r>
    </w:p>
    <w:p>
      <w:pPr>
        <w:pStyle w:val="ListParagraph"/>
        <w:numPr>
          <w:ilvl w:val="0"/>
          <w:numId w:val="22"/>
        </w:numPr>
        <w:tabs>
          <w:tab w:pos="3815" w:val="left" w:leader="none"/>
        </w:tabs>
        <w:spacing w:line="240" w:lineRule="auto" w:before="30" w:after="0"/>
        <w:ind w:left="3814" w:right="0" w:hanging="530"/>
        <w:jc w:val="left"/>
        <w:rPr>
          <w:b/>
          <w:i/>
          <w:sz w:val="22"/>
        </w:rPr>
      </w:pPr>
      <w:r>
        <w:rPr>
          <w:b/>
          <w:i/>
          <w:spacing w:val="-3"/>
          <w:w w:val="95"/>
          <w:sz w:val="22"/>
        </w:rPr>
        <w:t>肺叶切除、肺段切除手术；</w:t>
      </w:r>
    </w:p>
    <w:p>
      <w:pPr>
        <w:pStyle w:val="ListParagraph"/>
        <w:numPr>
          <w:ilvl w:val="0"/>
          <w:numId w:val="22"/>
        </w:numPr>
        <w:tabs>
          <w:tab w:pos="3815" w:val="left" w:leader="none"/>
        </w:tabs>
        <w:spacing w:line="240" w:lineRule="auto" w:before="30" w:after="0"/>
        <w:ind w:left="3814" w:right="0" w:hanging="530"/>
        <w:jc w:val="left"/>
        <w:rPr>
          <w:b/>
          <w:i/>
          <w:sz w:val="22"/>
        </w:rPr>
      </w:pPr>
      <w:r>
        <w:rPr>
          <w:b/>
          <w:i/>
          <w:spacing w:val="-3"/>
          <w:w w:val="95"/>
          <w:sz w:val="22"/>
        </w:rPr>
        <w:t>因恶性肿瘤进行的肺切除手术；</w:t>
      </w:r>
    </w:p>
    <w:p>
      <w:pPr>
        <w:pStyle w:val="ListParagraph"/>
        <w:numPr>
          <w:ilvl w:val="0"/>
          <w:numId w:val="22"/>
        </w:numPr>
        <w:tabs>
          <w:tab w:pos="3815" w:val="left" w:leader="none"/>
        </w:tabs>
        <w:spacing w:line="240" w:lineRule="auto" w:before="30" w:after="0"/>
        <w:ind w:left="3814" w:right="0" w:hanging="530"/>
        <w:jc w:val="left"/>
        <w:rPr>
          <w:b/>
          <w:i/>
          <w:sz w:val="22"/>
        </w:rPr>
      </w:pPr>
      <w:r>
        <w:rPr>
          <w:b/>
          <w:i/>
          <w:spacing w:val="-3"/>
          <w:w w:val="95"/>
          <w:sz w:val="22"/>
        </w:rPr>
        <w:t>作为器官捐献者而实施的肺切除手术。</w:t>
      </w:r>
    </w:p>
    <w:p>
      <w:pPr>
        <w:spacing w:after="0" w:line="240" w:lineRule="auto"/>
        <w:jc w:val="left"/>
        <w:rPr>
          <w:sz w:val="22"/>
        </w:rPr>
        <w:sectPr>
          <w:type w:val="continuous"/>
          <w:pgSz w:w="11910" w:h="16840"/>
          <w:pgMar w:top="460" w:bottom="280" w:left="680" w:right="460"/>
        </w:sectPr>
      </w:pPr>
    </w:p>
    <w:p>
      <w:pPr>
        <w:pStyle w:val="Heading2"/>
        <w:numPr>
          <w:ilvl w:val="2"/>
          <w:numId w:val="21"/>
        </w:numPr>
        <w:tabs>
          <w:tab w:pos="1713" w:val="left" w:leader="none"/>
          <w:tab w:pos="1714" w:val="left" w:leader="none"/>
        </w:tabs>
        <w:spacing w:line="278" w:lineRule="auto" w:before="44" w:after="0"/>
        <w:ind w:left="1713" w:right="0" w:hanging="1138"/>
        <w:jc w:val="left"/>
        <w:rPr>
          <w:rFonts w:ascii="楷体" w:eastAsia="楷体" w:hint="eastAsia"/>
        </w:rPr>
      </w:pPr>
      <w:r>
        <w:rPr>
          <w:rFonts w:ascii="楷体" w:eastAsia="楷体" w:hint="eastAsia"/>
          <w:spacing w:val="-2"/>
        </w:rPr>
        <w:t>双侧睾丸切除</w:t>
      </w:r>
      <w:r>
        <w:rPr>
          <w:rFonts w:ascii="楷体" w:eastAsia="楷体" w:hint="eastAsia"/>
          <w:spacing w:val="-10"/>
        </w:rPr>
        <w:t>术</w:t>
      </w:r>
    </w:p>
    <w:p>
      <w:pPr>
        <w:pStyle w:val="BodyText"/>
        <w:spacing w:before="44"/>
        <w:ind w:left="265"/>
      </w:pPr>
      <w:r>
        <w:rPr/>
        <w:br w:type="column"/>
      </w:r>
      <w:r>
        <w:rPr>
          <w:spacing w:val="-3"/>
        </w:rPr>
        <w:t>指为治疗疾病实际接受了双侧睾丸完全切除手术。</w:t>
      </w:r>
    </w:p>
    <w:p>
      <w:pPr>
        <w:spacing w:before="33"/>
        <w:ind w:left="265" w:right="0" w:firstLine="0"/>
        <w:jc w:val="left"/>
        <w:rPr>
          <w:b/>
          <w:i/>
          <w:sz w:val="22"/>
        </w:rPr>
      </w:pPr>
      <w:r>
        <w:rPr>
          <w:b/>
          <w:i/>
          <w:spacing w:val="-3"/>
          <w:w w:val="95"/>
          <w:sz w:val="22"/>
        </w:rPr>
        <w:t>恶性肿瘤、变性手术、部分睾丸切除不在保障范围内。</w:t>
      </w:r>
    </w:p>
    <w:p>
      <w:pPr>
        <w:spacing w:after="0"/>
        <w:jc w:val="left"/>
        <w:rPr>
          <w:sz w:val="22"/>
        </w:rPr>
        <w:sectPr>
          <w:pgSz w:w="11910" w:h="16840"/>
          <w:pgMar w:top="1520" w:bottom="280" w:left="680" w:right="460"/>
          <w:cols w:num="2" w:equalWidth="0">
            <w:col w:w="2981" w:space="40"/>
            <w:col w:w="7749"/>
          </w:cols>
        </w:sectPr>
      </w:pPr>
    </w:p>
    <w:p>
      <w:pPr>
        <w:pStyle w:val="BodyText"/>
        <w:spacing w:before="10"/>
        <w:rPr>
          <w:b/>
          <w:i/>
          <w:sz w:val="18"/>
        </w:rPr>
      </w:pPr>
    </w:p>
    <w:p>
      <w:pPr>
        <w:spacing w:after="0"/>
        <w:rPr>
          <w:sz w:val="18"/>
        </w:rPr>
        <w:sectPr>
          <w:type w:val="continuous"/>
          <w:pgSz w:w="11910" w:h="16840"/>
          <w:pgMar w:top="460" w:bottom="280" w:left="680" w:right="460"/>
        </w:sectPr>
      </w:pPr>
    </w:p>
    <w:p>
      <w:pPr>
        <w:pStyle w:val="Heading2"/>
        <w:numPr>
          <w:ilvl w:val="2"/>
          <w:numId w:val="21"/>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双侧卵巢切除</w:t>
      </w:r>
      <w:r>
        <w:rPr>
          <w:rFonts w:ascii="楷体" w:eastAsia="楷体" w:hint="eastAsia"/>
          <w:spacing w:val="-10"/>
        </w:rPr>
        <w:t>术</w:t>
      </w:r>
    </w:p>
    <w:p>
      <w:pPr>
        <w:pStyle w:val="BodyText"/>
        <w:spacing w:line="278" w:lineRule="auto" w:before="72"/>
        <w:ind w:left="265" w:right="583"/>
      </w:pPr>
      <w:r>
        <w:rPr/>
        <w:br w:type="column"/>
      </w:r>
      <w:r>
        <w:rPr>
          <w:spacing w:val="1"/>
          <w:w w:val="100"/>
        </w:rPr>
        <w:t>指为治疗双侧卵巢均发病的疾病并实际接受了经腹部切开或腹腔镜进行的</w:t>
      </w:r>
      <w:r>
        <w:rPr>
          <w:spacing w:val="-3"/>
          <w:w w:val="100"/>
        </w:rPr>
        <w:t>双侧卵巢完全切除手术。</w:t>
      </w:r>
    </w:p>
    <w:p>
      <w:pPr>
        <w:spacing w:line="272" w:lineRule="exact" w:before="0"/>
        <w:ind w:left="265" w:right="0" w:firstLine="0"/>
        <w:jc w:val="left"/>
        <w:rPr>
          <w:b/>
          <w:i/>
          <w:sz w:val="22"/>
        </w:rPr>
      </w:pPr>
      <w:r>
        <w:rPr>
          <w:b/>
          <w:i/>
          <w:spacing w:val="-3"/>
          <w:w w:val="95"/>
          <w:sz w:val="22"/>
        </w:rPr>
        <w:t>恶性肿瘤、变性手术、部分卵巢切除、预防性卵巢切除不在保障范围内。</w:t>
      </w:r>
    </w:p>
    <w:p>
      <w:pPr>
        <w:spacing w:after="0" w:line="272" w:lineRule="exact"/>
        <w:jc w:val="left"/>
        <w:rPr>
          <w:sz w:val="22"/>
        </w:rPr>
        <w:sectPr>
          <w:type w:val="continuous"/>
          <w:pgSz w:w="11910" w:h="16840"/>
          <w:pgMar w:top="460" w:bottom="280" w:left="680" w:right="460"/>
          <w:cols w:num="2" w:equalWidth="0">
            <w:col w:w="2981" w:space="40"/>
            <w:col w:w="7749"/>
          </w:cols>
        </w:sectPr>
      </w:pPr>
    </w:p>
    <w:p>
      <w:pPr>
        <w:pStyle w:val="BodyText"/>
        <w:spacing w:before="11"/>
        <w:rPr>
          <w:b/>
          <w:i/>
        </w:rPr>
      </w:pPr>
    </w:p>
    <w:p>
      <w:pPr>
        <w:pStyle w:val="ListParagraph"/>
        <w:numPr>
          <w:ilvl w:val="2"/>
          <w:numId w:val="21"/>
        </w:numPr>
        <w:tabs>
          <w:tab w:pos="1713" w:val="left" w:leader="none"/>
          <w:tab w:pos="1714" w:val="left" w:leader="none"/>
          <w:tab w:pos="3285" w:val="left" w:leader="none"/>
        </w:tabs>
        <w:spacing w:line="278" w:lineRule="auto" w:before="72" w:after="0"/>
        <w:ind w:left="3285" w:right="577" w:hanging="2711"/>
        <w:jc w:val="left"/>
        <w:rPr>
          <w:sz w:val="21"/>
        </w:rPr>
      </w:pPr>
      <w:r>
        <w:rPr>
          <w:rFonts w:ascii="楷体" w:hAnsi="楷体" w:eastAsia="楷体" w:hint="eastAsia"/>
          <w:b/>
          <w:spacing w:val="-2"/>
          <w:sz w:val="21"/>
        </w:rPr>
        <w:t>中</w:t>
      </w:r>
      <w:r>
        <w:rPr>
          <w:rFonts w:ascii="楷体" w:hAnsi="楷体" w:eastAsia="楷体" w:hint="eastAsia"/>
          <w:b/>
          <w:spacing w:val="-2"/>
          <w:sz w:val="21"/>
        </w:rPr>
        <w:t>度</w:t>
      </w:r>
      <w:r>
        <w:rPr>
          <w:rFonts w:ascii="楷体" w:hAnsi="楷体" w:eastAsia="楷体" w:hint="eastAsia"/>
          <w:b/>
          <w:spacing w:val="-2"/>
          <w:sz w:val="21"/>
        </w:rPr>
        <w:t>脑</w:t>
      </w:r>
      <w:r>
        <w:rPr>
          <w:rFonts w:ascii="楷体" w:hAnsi="楷体" w:eastAsia="楷体" w:hint="eastAsia"/>
          <w:b/>
          <w:spacing w:val="-2"/>
          <w:sz w:val="21"/>
        </w:rPr>
        <w:t>损</w:t>
      </w:r>
      <w:r>
        <w:rPr>
          <w:rFonts w:ascii="楷体" w:hAnsi="楷体" w:eastAsia="楷体" w:hint="eastAsia"/>
          <w:b/>
          <w:spacing w:val="-2"/>
          <w:sz w:val="21"/>
        </w:rPr>
        <w:t>伤</w:t>
      </w:r>
      <w:r>
        <w:rPr>
          <w:rFonts w:ascii="楷体" w:hAnsi="楷体" w:eastAsia="楷体" w:hint="eastAsia"/>
          <w:b/>
          <w:sz w:val="21"/>
        </w:rPr>
        <w:tab/>
      </w:r>
      <w:r>
        <w:rPr>
          <w:spacing w:val="-2"/>
          <w:sz w:val="21"/>
        </w:rPr>
        <w:t>指</w:t>
      </w:r>
      <w:r>
        <w:rPr>
          <w:spacing w:val="-2"/>
          <w:sz w:val="21"/>
        </w:rPr>
        <w:t>因</w:t>
      </w:r>
      <w:r>
        <w:rPr>
          <w:spacing w:val="-2"/>
          <w:sz w:val="21"/>
        </w:rPr>
        <w:t>头部遭受机械性外力，引起脑重要部位损伤，</w:t>
      </w:r>
      <w:r>
        <w:rPr>
          <w:spacing w:val="-2"/>
          <w:sz w:val="21"/>
        </w:rPr>
        <w:t>导</w:t>
      </w:r>
      <w:r>
        <w:rPr>
          <w:spacing w:val="-2"/>
          <w:sz w:val="21"/>
        </w:rPr>
        <w:t>致</w:t>
      </w:r>
      <w:r>
        <w:rPr>
          <w:spacing w:val="-2"/>
          <w:sz w:val="21"/>
        </w:rPr>
        <w:t>神经系统永久性</w:t>
      </w:r>
      <w:r>
        <w:rPr>
          <w:spacing w:val="-2"/>
          <w:sz w:val="21"/>
        </w:rPr>
        <w:t>的</w:t>
      </w:r>
      <w:r>
        <w:rPr>
          <w:spacing w:val="-2"/>
          <w:sz w:val="21"/>
        </w:rPr>
        <w:t>功</w:t>
      </w:r>
      <w:r>
        <w:rPr>
          <w:spacing w:val="-2"/>
          <w:sz w:val="21"/>
        </w:rPr>
        <w:t>能</w:t>
      </w:r>
      <w:r>
        <w:rPr>
          <w:spacing w:val="-2"/>
          <w:sz w:val="21"/>
        </w:rPr>
        <w:t>障</w:t>
      </w:r>
      <w:r>
        <w:rPr>
          <w:spacing w:val="-2"/>
          <w:sz w:val="21"/>
        </w:rPr>
        <w:t>碍。须由头颅断层扫</w:t>
      </w:r>
      <w:r>
        <w:rPr>
          <w:spacing w:val="-2"/>
          <w:sz w:val="21"/>
        </w:rPr>
        <w:t>描</w:t>
      </w:r>
      <w:r>
        <w:rPr>
          <w:spacing w:val="-2"/>
          <w:sz w:val="21"/>
        </w:rPr>
        <w:t>（CT）、核磁共振检查（MRI）或正电子发</w:t>
      </w:r>
      <w:r>
        <w:rPr>
          <w:spacing w:val="-2"/>
          <w:sz w:val="21"/>
        </w:rPr>
        <w:t>射</w:t>
      </w:r>
      <w:r>
        <w:rPr>
          <w:spacing w:val="-2"/>
          <w:sz w:val="21"/>
        </w:rPr>
        <w:t>断</w:t>
      </w:r>
      <w:r>
        <w:rPr>
          <w:spacing w:val="-2"/>
          <w:sz w:val="21"/>
        </w:rPr>
        <w:t>层</w:t>
      </w:r>
      <w:r>
        <w:rPr>
          <w:spacing w:val="-2"/>
          <w:sz w:val="21"/>
        </w:rPr>
        <w:t>扫</w:t>
      </w:r>
      <w:r>
        <w:rPr>
          <w:spacing w:val="-2"/>
          <w:sz w:val="21"/>
        </w:rPr>
        <w:t>描（PET）等影像学检</w:t>
      </w:r>
      <w:r>
        <w:rPr>
          <w:spacing w:val="-2"/>
          <w:sz w:val="21"/>
        </w:rPr>
        <w:t>查</w:t>
      </w:r>
      <w:r>
        <w:rPr>
          <w:spacing w:val="-2"/>
          <w:sz w:val="21"/>
        </w:rPr>
        <w:t>证</w:t>
      </w:r>
      <w:r>
        <w:rPr>
          <w:spacing w:val="-2"/>
          <w:sz w:val="21"/>
        </w:rPr>
        <w:t>实。上述神经系统永</w:t>
      </w:r>
      <w:r>
        <w:rPr>
          <w:spacing w:val="-2"/>
          <w:sz w:val="21"/>
        </w:rPr>
        <w:t>久</w:t>
      </w:r>
      <w:r>
        <w:rPr>
          <w:spacing w:val="-2"/>
          <w:sz w:val="21"/>
        </w:rPr>
        <w:t>性</w:t>
      </w:r>
      <w:r>
        <w:rPr>
          <w:spacing w:val="-2"/>
          <w:sz w:val="21"/>
        </w:rPr>
        <w:t>的功能障碍，指脑</w:t>
      </w:r>
      <w:r>
        <w:rPr>
          <w:spacing w:val="-2"/>
          <w:sz w:val="21"/>
        </w:rPr>
        <w:t>损</w:t>
      </w:r>
      <w:r>
        <w:rPr>
          <w:spacing w:val="-2"/>
          <w:sz w:val="21"/>
        </w:rPr>
        <w:t>伤</w:t>
      </w:r>
      <w:r>
        <w:rPr>
          <w:spacing w:val="-2"/>
          <w:sz w:val="21"/>
        </w:rPr>
        <w:t>180天后，仍存在自主</w:t>
      </w:r>
      <w:r>
        <w:rPr>
          <w:spacing w:val="-2"/>
          <w:sz w:val="21"/>
        </w:rPr>
        <w:t>生</w:t>
      </w:r>
      <w:r>
        <w:rPr>
          <w:spacing w:val="-2"/>
          <w:sz w:val="21"/>
        </w:rPr>
        <w:t>活</w:t>
      </w:r>
      <w:r>
        <w:rPr>
          <w:spacing w:val="-2"/>
          <w:sz w:val="21"/>
        </w:rPr>
        <w:t>能力部分丧失，经鉴</w:t>
      </w:r>
      <w:r>
        <w:rPr>
          <w:spacing w:val="-2"/>
          <w:sz w:val="21"/>
        </w:rPr>
        <w:t>定</w:t>
      </w:r>
      <w:r>
        <w:rPr>
          <w:spacing w:val="-2"/>
          <w:sz w:val="21"/>
        </w:rPr>
        <w:t>无</w:t>
      </w:r>
      <w:r>
        <w:rPr>
          <w:spacing w:val="-2"/>
          <w:sz w:val="21"/>
        </w:rPr>
        <w:t>法独立完成六项基</w:t>
      </w:r>
      <w:r>
        <w:rPr>
          <w:spacing w:val="-2"/>
          <w:sz w:val="21"/>
        </w:rPr>
        <w:t>本</w:t>
      </w:r>
      <w:r>
        <w:rPr>
          <w:spacing w:val="-2"/>
          <w:sz w:val="21"/>
        </w:rPr>
        <w:t>日</w:t>
      </w:r>
      <w:r>
        <w:rPr>
          <w:spacing w:val="-2"/>
          <w:sz w:val="21"/>
        </w:rPr>
        <w:t>常生活活动中的两项</w:t>
      </w:r>
      <w:r>
        <w:rPr>
          <w:spacing w:val="-2"/>
          <w:sz w:val="21"/>
        </w:rPr>
        <w:t>或</w:t>
      </w:r>
      <w:r>
        <w:rPr>
          <w:spacing w:val="-2"/>
          <w:sz w:val="21"/>
        </w:rPr>
        <w:t>以</w:t>
      </w:r>
      <w:r>
        <w:rPr>
          <w:spacing w:val="-2"/>
          <w:sz w:val="21"/>
        </w:rPr>
        <w:t>上，但未达到重度疾病“严重脑</w:t>
      </w:r>
      <w:r>
        <w:rPr>
          <w:spacing w:val="-2"/>
          <w:sz w:val="21"/>
        </w:rPr>
        <w:t>损</w:t>
      </w:r>
      <w:r>
        <w:rPr>
          <w:spacing w:val="-2"/>
          <w:sz w:val="21"/>
        </w:rPr>
        <w:t>伤</w:t>
      </w:r>
      <w:r>
        <w:rPr>
          <w:spacing w:val="-2"/>
          <w:sz w:val="21"/>
        </w:rPr>
        <w:t>”或“</w:t>
      </w:r>
      <w:r>
        <w:rPr>
          <w:spacing w:val="-2"/>
          <w:sz w:val="21"/>
        </w:rPr>
        <w:t>瘫</w:t>
      </w:r>
      <w:r>
        <w:rPr>
          <w:spacing w:val="-2"/>
          <w:sz w:val="21"/>
        </w:rPr>
        <w:t>痪</w:t>
      </w:r>
      <w:r>
        <w:rPr>
          <w:spacing w:val="-2"/>
          <w:sz w:val="21"/>
        </w:rPr>
        <w:t>”的给付标准。</w:t>
      </w: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2"/>
          <w:numId w:val="21"/>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中度运动神经</w:t>
      </w:r>
      <w:r>
        <w:rPr>
          <w:rFonts w:ascii="楷体" w:eastAsia="楷体" w:hint="eastAsia"/>
          <w:spacing w:val="-6"/>
        </w:rPr>
        <w:t>元病</w:t>
      </w:r>
    </w:p>
    <w:p>
      <w:pPr>
        <w:pStyle w:val="BodyText"/>
        <w:spacing w:line="278" w:lineRule="auto" w:before="72"/>
        <w:ind w:left="265" w:right="579"/>
      </w:pPr>
      <w:r>
        <w:rPr/>
        <w:br w:type="column"/>
      </w:r>
      <w:r>
        <w:rPr>
          <w:spacing w:val="-3"/>
          <w:w w:val="100"/>
        </w:rPr>
        <w:t>指一组中枢神经系统运动神经元的进行性变性疾病，包括进行性脊肌萎缩</w:t>
      </w:r>
      <w:r>
        <w:rPr>
          <w:spacing w:val="-8"/>
          <w:w w:val="100"/>
        </w:rPr>
        <w:t>症、进行性延髓麻痹症、原发性侧索硬化症、肌萎缩性侧索硬化症。须满足自主生活能力部分丧失，无法独立完成六项基本日常生活活动中的两项，但</w:t>
      </w:r>
      <w:r>
        <w:rPr>
          <w:spacing w:val="-5"/>
          <w:w w:val="100"/>
        </w:rPr>
        <w:t>未达到重度疾病“严重运动神经元病”或“瘫痪”的给付标准。</w:t>
      </w:r>
    </w:p>
    <w:p>
      <w:pPr>
        <w:spacing w:after="0" w:line="278" w:lineRule="auto"/>
        <w:sectPr>
          <w:type w:val="continuous"/>
          <w:pgSz w:w="11910" w:h="16840"/>
          <w:pgMar w:top="460" w:bottom="280" w:left="680" w:right="460"/>
          <w:cols w:num="2" w:equalWidth="0">
            <w:col w:w="2981" w:space="40"/>
            <w:col w:w="7749"/>
          </w:cols>
        </w:sectPr>
      </w:pP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2"/>
          <w:numId w:val="21"/>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中度脑炎或脑</w:t>
      </w:r>
      <w:r>
        <w:rPr>
          <w:rFonts w:ascii="楷体" w:eastAsia="楷体" w:hint="eastAsia"/>
          <w:spacing w:val="-2"/>
        </w:rPr>
        <w:t>膜炎后遗症</w:t>
      </w:r>
    </w:p>
    <w:p>
      <w:pPr>
        <w:pStyle w:val="BodyText"/>
        <w:spacing w:line="278" w:lineRule="auto" w:before="72"/>
        <w:ind w:left="265" w:right="579"/>
      </w:pPr>
      <w:r>
        <w:rPr/>
        <w:br w:type="column"/>
      </w:r>
      <w:r>
        <w:rPr>
          <w:spacing w:val="-2"/>
        </w:rPr>
        <w:t>指因患脑炎或脑膜炎导致的神经系统的功能障碍。神经系统功能障碍，指疾</w:t>
      </w:r>
      <w:r>
        <w:rPr>
          <w:spacing w:val="-2"/>
        </w:rPr>
        <w:t>病确诊180天后，仍存在自主生活能力部分丧失，无法独立完成六项基本日</w:t>
      </w:r>
      <w:r>
        <w:rPr>
          <w:spacing w:val="-2"/>
        </w:rPr>
        <w:t>常生活活动中的两项，但未达到重度疾病“严重脑炎后遗症或严重脑膜炎后</w:t>
      </w:r>
      <w:r>
        <w:rPr>
          <w:spacing w:val="-2"/>
        </w:rPr>
        <w:t>遗症”或“瘫痪”的给付标准。</w:t>
      </w:r>
    </w:p>
    <w:p>
      <w:pPr>
        <w:spacing w:after="0" w:line="278" w:lineRule="auto"/>
        <w:sectPr>
          <w:type w:val="continuous"/>
          <w:pgSz w:w="11910" w:h="16840"/>
          <w:pgMar w:top="460" w:bottom="280" w:left="680" w:right="460"/>
          <w:cols w:num="2" w:equalWidth="0">
            <w:col w:w="2981" w:space="40"/>
            <w:col w:w="7749"/>
          </w:cols>
        </w:sectPr>
      </w:pPr>
    </w:p>
    <w:p>
      <w:pPr>
        <w:pStyle w:val="BodyText"/>
        <w:spacing w:before="10"/>
        <w:rPr>
          <w:sz w:val="18"/>
        </w:rPr>
      </w:pPr>
    </w:p>
    <w:p>
      <w:pPr>
        <w:spacing w:after="0"/>
        <w:rPr>
          <w:sz w:val="18"/>
        </w:rPr>
        <w:sectPr>
          <w:type w:val="continuous"/>
          <w:pgSz w:w="11910" w:h="16840"/>
          <w:pgMar w:top="460" w:bottom="280" w:left="680" w:right="460"/>
        </w:sectPr>
      </w:pPr>
    </w:p>
    <w:p>
      <w:pPr>
        <w:pStyle w:val="Heading2"/>
        <w:numPr>
          <w:ilvl w:val="2"/>
          <w:numId w:val="21"/>
        </w:numPr>
        <w:tabs>
          <w:tab w:pos="1713" w:val="left" w:leader="none"/>
          <w:tab w:pos="1714" w:val="left" w:leader="none"/>
        </w:tabs>
        <w:spacing w:line="278" w:lineRule="auto" w:before="71" w:after="0"/>
        <w:ind w:left="1713" w:right="0" w:hanging="1138"/>
        <w:jc w:val="left"/>
        <w:rPr>
          <w:rFonts w:ascii="楷体" w:eastAsia="楷体" w:hint="eastAsia"/>
        </w:rPr>
      </w:pPr>
      <w:r>
        <w:rPr>
          <w:rFonts w:ascii="楷体" w:eastAsia="楷体" w:hint="eastAsia"/>
          <w:spacing w:val="-2"/>
        </w:rPr>
        <w:t>原发性肺动脉</w:t>
      </w:r>
      <w:r>
        <w:rPr>
          <w:rFonts w:ascii="楷体" w:eastAsia="楷体" w:hint="eastAsia"/>
          <w:spacing w:val="-6"/>
        </w:rPr>
        <w:t>高压</w:t>
      </w:r>
    </w:p>
    <w:p>
      <w:pPr>
        <w:pStyle w:val="BodyText"/>
        <w:spacing w:line="278" w:lineRule="auto" w:before="71"/>
        <w:ind w:left="265" w:right="543"/>
      </w:pPr>
      <w:r>
        <w:rPr/>
        <w:br w:type="column"/>
      </w:r>
      <w:r>
        <w:rPr>
          <w:spacing w:val="-2"/>
        </w:rPr>
        <w:t>指由于原发性肺动脉高压进行性发展，已经造成永久不可逆性的体力活动能</w:t>
      </w:r>
      <w:r>
        <w:rPr/>
        <w:t>力受限，达到美国纽约心脏病学会（New</w:t>
      </w:r>
      <w:r>
        <w:rPr>
          <w:spacing w:val="-11"/>
        </w:rPr>
        <w:t> </w:t>
      </w:r>
      <w:r>
        <w:rPr/>
        <w:t>York</w:t>
      </w:r>
      <w:r>
        <w:rPr>
          <w:spacing w:val="-11"/>
        </w:rPr>
        <w:t> </w:t>
      </w:r>
      <w:r>
        <w:rPr/>
        <w:t>Heart</w:t>
      </w:r>
      <w:r>
        <w:rPr>
          <w:spacing w:val="-9"/>
        </w:rPr>
        <w:t> </w:t>
      </w:r>
      <w:r>
        <w:rPr/>
        <w:t>Association，NYHA）</w:t>
      </w:r>
      <w:r>
        <w:rPr>
          <w:spacing w:val="-2"/>
        </w:rPr>
        <w:t>心功能状态分级（见9.33）III级及以上，且静息状态下肺动脉平均压超过 25mmHg，但尚未超过36mmHg。</w:t>
      </w:r>
    </w:p>
    <w:p>
      <w:pPr>
        <w:spacing w:after="0" w:line="278" w:lineRule="auto"/>
        <w:sectPr>
          <w:type w:val="continuous"/>
          <w:pgSz w:w="11910" w:h="16840"/>
          <w:pgMar w:top="460" w:bottom="280" w:left="680" w:right="460"/>
          <w:cols w:num="2" w:equalWidth="0">
            <w:col w:w="2981" w:space="40"/>
            <w:col w:w="7749"/>
          </w:cols>
        </w:sectPr>
      </w:pP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2"/>
          <w:numId w:val="21"/>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早期原发性心</w:t>
      </w:r>
      <w:r>
        <w:rPr>
          <w:rFonts w:ascii="楷体" w:eastAsia="楷体" w:hint="eastAsia"/>
          <w:spacing w:val="-6"/>
        </w:rPr>
        <w:t>肌病</w:t>
      </w:r>
    </w:p>
    <w:p>
      <w:pPr>
        <w:pStyle w:val="BodyText"/>
        <w:spacing w:line="278" w:lineRule="auto" w:before="72"/>
        <w:ind w:left="265" w:right="577"/>
      </w:pPr>
      <w:r>
        <w:rPr/>
        <w:br w:type="column"/>
      </w:r>
      <w:r>
        <w:rPr>
          <w:spacing w:val="-2"/>
        </w:rPr>
        <w:t>被诊断为原发性心肌病且未达到重度疾病“严重心肌病”的给付标准，并符</w:t>
      </w:r>
      <w:r>
        <w:rPr>
          <w:spacing w:val="-2"/>
        </w:rPr>
        <w:t>合下列所有条件：</w:t>
      </w:r>
    </w:p>
    <w:p>
      <w:pPr>
        <w:pStyle w:val="ListParagraph"/>
        <w:numPr>
          <w:ilvl w:val="0"/>
          <w:numId w:val="23"/>
        </w:numPr>
        <w:tabs>
          <w:tab w:pos="795" w:val="left" w:leader="none"/>
        </w:tabs>
        <w:spacing w:line="278" w:lineRule="auto" w:before="0" w:after="0"/>
        <w:ind w:left="265" w:right="649" w:firstLine="0"/>
        <w:jc w:val="left"/>
        <w:rPr>
          <w:sz w:val="21"/>
        </w:rPr>
      </w:pPr>
      <w:r>
        <w:rPr>
          <w:sz w:val="21"/>
        </w:rPr>
        <w:t>导致心室功能受损，其受损程度达到美国纽约心脏病学会（New</w:t>
      </w:r>
      <w:r>
        <w:rPr>
          <w:spacing w:val="-27"/>
          <w:sz w:val="21"/>
        </w:rPr>
        <w:t> </w:t>
      </w:r>
      <w:r>
        <w:rPr>
          <w:sz w:val="21"/>
        </w:rPr>
        <w:t>York Heart Association，NYHA）心功能状态分级III级，或其同等级別；</w:t>
      </w:r>
    </w:p>
    <w:p>
      <w:pPr>
        <w:pStyle w:val="ListParagraph"/>
        <w:numPr>
          <w:ilvl w:val="0"/>
          <w:numId w:val="23"/>
        </w:numPr>
        <w:tabs>
          <w:tab w:pos="795" w:val="left" w:leader="none"/>
        </w:tabs>
        <w:spacing w:line="269" w:lineRule="exact" w:before="0" w:after="0"/>
        <w:ind w:left="794" w:right="0" w:hanging="530"/>
        <w:jc w:val="left"/>
        <w:rPr>
          <w:sz w:val="21"/>
        </w:rPr>
      </w:pPr>
      <w:r>
        <w:rPr>
          <w:spacing w:val="-2"/>
          <w:sz w:val="21"/>
        </w:rPr>
        <w:t>左室射血分数LVEF&lt;35%；</w:t>
      </w:r>
    </w:p>
    <w:p>
      <w:pPr>
        <w:pStyle w:val="ListParagraph"/>
        <w:numPr>
          <w:ilvl w:val="0"/>
          <w:numId w:val="23"/>
        </w:numPr>
        <w:tabs>
          <w:tab w:pos="795" w:val="left" w:leader="none"/>
        </w:tabs>
        <w:spacing w:line="278" w:lineRule="auto" w:before="43" w:after="0"/>
        <w:ind w:left="265" w:right="649" w:firstLine="0"/>
        <w:jc w:val="left"/>
        <w:rPr>
          <w:sz w:val="21"/>
        </w:rPr>
      </w:pPr>
      <w:r>
        <w:rPr>
          <w:spacing w:val="-2"/>
          <w:sz w:val="21"/>
        </w:rPr>
        <w:t>原发性心肌病的诊断必须由医院的心脏专科医生确认，并提供心脏超</w:t>
      </w:r>
      <w:r>
        <w:rPr>
          <w:spacing w:val="-2"/>
          <w:sz w:val="21"/>
        </w:rPr>
        <w:t>声检查结果报告。</w:t>
      </w:r>
    </w:p>
    <w:p>
      <w:pPr>
        <w:spacing w:line="266" w:lineRule="auto" w:before="0"/>
        <w:ind w:left="265" w:right="731" w:firstLine="0"/>
        <w:jc w:val="left"/>
        <w:rPr>
          <w:b/>
          <w:i/>
          <w:sz w:val="22"/>
        </w:rPr>
      </w:pPr>
      <w:r>
        <w:rPr>
          <w:b/>
          <w:i/>
          <w:spacing w:val="-2"/>
          <w:w w:val="95"/>
          <w:sz w:val="22"/>
        </w:rPr>
        <w:t>本保障范围内的心肌病仅包括扩张型心肌病、肥厚型心肌病及限制型心肌</w:t>
      </w:r>
      <w:r>
        <w:rPr>
          <w:b/>
          <w:i/>
          <w:spacing w:val="-6"/>
          <w:sz w:val="22"/>
        </w:rPr>
        <w:t>病</w:t>
      </w:r>
      <w:r>
        <w:rPr>
          <w:b/>
          <w:i/>
          <w:spacing w:val="-6"/>
          <w:sz w:val="22"/>
        </w:rPr>
        <w:t>。</w:t>
      </w:r>
    </w:p>
    <w:p>
      <w:pPr>
        <w:spacing w:line="266" w:lineRule="auto" w:before="0"/>
        <w:ind w:left="265" w:right="731" w:firstLine="0"/>
        <w:jc w:val="left"/>
        <w:rPr>
          <w:b/>
          <w:i/>
          <w:sz w:val="22"/>
        </w:rPr>
      </w:pPr>
      <w:r>
        <w:rPr>
          <w:b/>
          <w:i/>
          <w:spacing w:val="-2"/>
          <w:w w:val="95"/>
          <w:sz w:val="22"/>
        </w:rPr>
        <w:t>继发于全身性疾病或其他器官系统疾病及酒精滥用造成的心肌病变不在保</w:t>
      </w:r>
      <w:r>
        <w:rPr>
          <w:b/>
          <w:i/>
          <w:spacing w:val="-2"/>
          <w:sz w:val="22"/>
        </w:rPr>
        <w:t>障</w:t>
      </w:r>
      <w:r>
        <w:rPr>
          <w:b/>
          <w:i/>
          <w:spacing w:val="-2"/>
          <w:sz w:val="22"/>
        </w:rPr>
        <w:t>范</w:t>
      </w:r>
      <w:r>
        <w:rPr>
          <w:b/>
          <w:i/>
          <w:spacing w:val="-2"/>
          <w:sz w:val="22"/>
        </w:rPr>
        <w:t>围</w:t>
      </w:r>
      <w:r>
        <w:rPr>
          <w:b/>
          <w:i/>
          <w:spacing w:val="-2"/>
          <w:sz w:val="22"/>
        </w:rPr>
        <w:t>内</w:t>
      </w:r>
      <w:r>
        <w:rPr>
          <w:b/>
          <w:i/>
          <w:spacing w:val="-2"/>
          <w:sz w:val="22"/>
        </w:rPr>
        <w:t>。</w:t>
      </w:r>
    </w:p>
    <w:p>
      <w:pPr>
        <w:spacing w:after="0" w:line="266" w:lineRule="auto"/>
        <w:jc w:val="left"/>
        <w:rPr>
          <w:sz w:val="22"/>
        </w:rPr>
        <w:sectPr>
          <w:type w:val="continuous"/>
          <w:pgSz w:w="11910" w:h="16840"/>
          <w:pgMar w:top="460" w:bottom="280" w:left="680" w:right="460"/>
          <w:cols w:num="2" w:equalWidth="0">
            <w:col w:w="2981" w:space="40"/>
            <w:col w:w="7749"/>
          </w:cols>
        </w:sectPr>
      </w:pPr>
    </w:p>
    <w:p>
      <w:pPr>
        <w:pStyle w:val="BodyText"/>
        <w:spacing w:before="6"/>
        <w:rPr>
          <w:b/>
          <w:i/>
          <w:sz w:val="18"/>
        </w:rPr>
      </w:pPr>
    </w:p>
    <w:p>
      <w:pPr>
        <w:spacing w:after="0"/>
        <w:rPr>
          <w:sz w:val="18"/>
        </w:rPr>
        <w:sectPr>
          <w:type w:val="continuous"/>
          <w:pgSz w:w="11910" w:h="16840"/>
          <w:pgMar w:top="460" w:bottom="280" w:left="680" w:right="460"/>
        </w:sectPr>
      </w:pPr>
    </w:p>
    <w:p>
      <w:pPr>
        <w:pStyle w:val="Heading2"/>
        <w:numPr>
          <w:ilvl w:val="2"/>
          <w:numId w:val="21"/>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中度慢性呼吸</w:t>
      </w:r>
      <w:r>
        <w:rPr>
          <w:rFonts w:ascii="楷体" w:eastAsia="楷体" w:hint="eastAsia"/>
          <w:spacing w:val="-4"/>
        </w:rPr>
        <w:t>功能衰竭</w:t>
      </w:r>
    </w:p>
    <w:p>
      <w:pPr>
        <w:pStyle w:val="BodyText"/>
        <w:spacing w:line="278" w:lineRule="auto" w:before="72"/>
        <w:ind w:left="265" w:right="577"/>
        <w:jc w:val="both"/>
      </w:pPr>
      <w:r>
        <w:rPr/>
        <w:br w:type="column"/>
      </w:r>
      <w:r>
        <w:rPr>
          <w:spacing w:val="-2"/>
        </w:rPr>
        <w:t>指因慢性呼吸系统疾病导致永久不可逆的呼吸功能衰竭，但未达到重度疾病</w:t>
      </w:r>
      <w:r>
        <w:rPr>
          <w:spacing w:val="-2"/>
        </w:rPr>
        <w:t> “严重慢性呼吸衰竭”或“严重继发性肺动脉高压”的给付标准，且诊断必</w:t>
      </w:r>
      <w:r>
        <w:rPr>
          <w:spacing w:val="-2"/>
        </w:rPr>
        <w:t>须满足以下所有条件：</w:t>
      </w:r>
    </w:p>
    <w:p>
      <w:pPr>
        <w:pStyle w:val="BodyText"/>
        <w:spacing w:line="268" w:lineRule="exact"/>
        <w:ind w:left="265"/>
      </w:pPr>
      <w:r>
        <w:rPr>
          <w:spacing w:val="-2"/>
          <w:position w:val="1"/>
        </w:rPr>
        <w:t>（1）第一秒末用力呼吸量（FEV</w:t>
      </w:r>
      <w:r>
        <w:rPr>
          <w:spacing w:val="-2"/>
          <w:sz w:val="11"/>
        </w:rPr>
        <w:t>1</w:t>
      </w:r>
      <w:r>
        <w:rPr>
          <w:spacing w:val="-2"/>
          <w:position w:val="1"/>
        </w:rPr>
        <w:t>）小于1</w:t>
      </w:r>
      <w:r>
        <w:rPr>
          <w:spacing w:val="-6"/>
          <w:position w:val="1"/>
        </w:rPr>
        <w:t>升；</w:t>
      </w:r>
    </w:p>
    <w:p>
      <w:pPr>
        <w:spacing w:after="0" w:line="268" w:lineRule="exact"/>
        <w:sectPr>
          <w:type w:val="continuous"/>
          <w:pgSz w:w="11910" w:h="16840"/>
          <w:pgMar w:top="460" w:bottom="280" w:left="680" w:right="460"/>
          <w:cols w:num="2" w:equalWidth="0">
            <w:col w:w="2981" w:space="40"/>
            <w:col w:w="7749"/>
          </w:cols>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8"/>
        <w:gridCol w:w="1670"/>
        <w:gridCol w:w="7208"/>
      </w:tblGrid>
      <w:tr>
        <w:trPr>
          <w:trHeight w:val="1042" w:hRule="atLeast"/>
        </w:trPr>
        <w:tc>
          <w:tcPr>
            <w:tcW w:w="2608" w:type="dxa"/>
            <w:gridSpan w:val="2"/>
          </w:tcPr>
          <w:p>
            <w:pPr>
              <w:pStyle w:val="TableParagraph"/>
              <w:rPr>
                <w:rFonts w:ascii="Times New Roman"/>
                <w:sz w:val="20"/>
              </w:rPr>
            </w:pPr>
          </w:p>
        </w:tc>
        <w:tc>
          <w:tcPr>
            <w:tcW w:w="7208" w:type="dxa"/>
          </w:tcPr>
          <w:p>
            <w:pPr>
              <w:pStyle w:val="TableParagraph"/>
              <w:numPr>
                <w:ilvl w:val="0"/>
                <w:numId w:val="24"/>
              </w:numPr>
              <w:tabs>
                <w:tab w:pos="682" w:val="left" w:leader="none"/>
              </w:tabs>
              <w:spacing w:line="241" w:lineRule="exact" w:before="0" w:after="0"/>
              <w:ind w:left="681" w:right="0" w:hanging="530"/>
              <w:jc w:val="left"/>
              <w:rPr>
                <w:sz w:val="21"/>
              </w:rPr>
            </w:pPr>
            <w:r>
              <w:rPr>
                <w:spacing w:val="-2"/>
                <w:sz w:val="21"/>
              </w:rPr>
              <w:t>残气容积占肺总量（TLC）的50</w:t>
            </w:r>
            <w:r>
              <w:rPr>
                <w:spacing w:val="-4"/>
                <w:sz w:val="21"/>
              </w:rPr>
              <w:t>%以上；</w:t>
            </w:r>
          </w:p>
          <w:p>
            <w:pPr>
              <w:pStyle w:val="TableParagraph"/>
              <w:numPr>
                <w:ilvl w:val="0"/>
                <w:numId w:val="24"/>
              </w:numPr>
              <w:tabs>
                <w:tab w:pos="682" w:val="left" w:leader="none"/>
              </w:tabs>
              <w:spacing w:line="278" w:lineRule="auto" w:before="43" w:after="0"/>
              <w:ind w:left="152" w:right="169" w:firstLine="0"/>
              <w:jc w:val="left"/>
              <w:rPr>
                <w:sz w:val="21"/>
              </w:rPr>
            </w:pPr>
            <w:r>
              <w:rPr>
                <w:spacing w:val="-2"/>
                <w:position w:val="1"/>
                <w:sz w:val="21"/>
              </w:rPr>
              <w:t>在静息状态、呼吸空气条件下，动脉血氧分压（PaO</w:t>
            </w:r>
            <w:r>
              <w:rPr>
                <w:spacing w:val="-2"/>
                <w:sz w:val="11"/>
              </w:rPr>
              <w:t>2</w:t>
            </w:r>
            <w:r>
              <w:rPr>
                <w:spacing w:val="-2"/>
                <w:position w:val="1"/>
                <w:sz w:val="21"/>
              </w:rPr>
              <w:t>）&lt;60mmHg，但≧ </w:t>
            </w:r>
            <w:r>
              <w:rPr>
                <w:spacing w:val="-2"/>
                <w:sz w:val="21"/>
              </w:rPr>
              <w:t>50mmHg。</w:t>
            </w:r>
          </w:p>
        </w:tc>
      </w:tr>
      <w:tr>
        <w:trPr>
          <w:trHeight w:val="935" w:hRule="atLeast"/>
        </w:trPr>
        <w:tc>
          <w:tcPr>
            <w:tcW w:w="938" w:type="dxa"/>
          </w:tcPr>
          <w:p>
            <w:pPr>
              <w:pStyle w:val="TableParagraph"/>
              <w:spacing w:before="178"/>
              <w:ind w:left="50"/>
              <w:rPr>
                <w:b/>
                <w:sz w:val="21"/>
              </w:rPr>
            </w:pPr>
            <w:r>
              <w:rPr>
                <w:b/>
                <w:spacing w:val="-2"/>
                <w:sz w:val="21"/>
              </w:rPr>
              <w:t>9.7.13</w:t>
            </w:r>
          </w:p>
        </w:tc>
        <w:tc>
          <w:tcPr>
            <w:tcW w:w="1670" w:type="dxa"/>
          </w:tcPr>
          <w:p>
            <w:pPr>
              <w:pStyle w:val="TableParagraph"/>
              <w:spacing w:line="278" w:lineRule="auto" w:before="178"/>
              <w:ind w:left="249" w:right="151"/>
              <w:rPr>
                <w:rFonts w:ascii="楷体" w:eastAsia="楷体" w:hint="eastAsia"/>
                <w:b/>
                <w:sz w:val="21"/>
              </w:rPr>
            </w:pPr>
            <w:r>
              <w:rPr>
                <w:rFonts w:ascii="楷体" w:eastAsia="楷体" w:hint="eastAsia"/>
                <w:b/>
                <w:spacing w:val="-2"/>
                <w:sz w:val="21"/>
              </w:rPr>
              <w:t>腔静脉过滤器</w:t>
            </w:r>
            <w:r>
              <w:rPr>
                <w:rFonts w:ascii="楷体" w:eastAsia="楷体" w:hint="eastAsia"/>
                <w:b/>
                <w:spacing w:val="-4"/>
                <w:sz w:val="21"/>
              </w:rPr>
              <w:t>植入术</w:t>
            </w:r>
          </w:p>
        </w:tc>
        <w:tc>
          <w:tcPr>
            <w:tcW w:w="7208" w:type="dxa"/>
          </w:tcPr>
          <w:p>
            <w:pPr>
              <w:pStyle w:val="TableParagraph"/>
              <w:spacing w:line="278" w:lineRule="auto" w:before="178"/>
              <w:ind w:left="152" w:right="152"/>
              <w:rPr>
                <w:sz w:val="21"/>
              </w:rPr>
            </w:pPr>
            <w:r>
              <w:rPr>
                <w:spacing w:val="-2"/>
                <w:sz w:val="21"/>
              </w:rPr>
              <w:t>指为治疗反复肺栓塞发作，抗凝血疗法无效，已经实施了腔静脉过滤器植入</w:t>
            </w:r>
            <w:r>
              <w:rPr>
                <w:spacing w:val="-2"/>
                <w:sz w:val="21"/>
              </w:rPr>
              <w:t>术。手术必须在专科医生认为是医学上必需的情况下进行。</w:t>
            </w:r>
          </w:p>
        </w:tc>
      </w:tr>
      <w:tr>
        <w:trPr>
          <w:trHeight w:val="3744" w:hRule="atLeast"/>
        </w:trPr>
        <w:tc>
          <w:tcPr>
            <w:tcW w:w="938" w:type="dxa"/>
          </w:tcPr>
          <w:p>
            <w:pPr>
              <w:pStyle w:val="TableParagraph"/>
              <w:spacing w:before="178"/>
              <w:ind w:left="50"/>
              <w:rPr>
                <w:b/>
                <w:sz w:val="21"/>
              </w:rPr>
            </w:pPr>
            <w:r>
              <w:rPr>
                <w:b/>
                <w:spacing w:val="-2"/>
                <w:sz w:val="21"/>
              </w:rPr>
              <w:t>9.7.14</w:t>
            </w:r>
          </w:p>
        </w:tc>
        <w:tc>
          <w:tcPr>
            <w:tcW w:w="1670" w:type="dxa"/>
          </w:tcPr>
          <w:p>
            <w:pPr>
              <w:pStyle w:val="TableParagraph"/>
              <w:spacing w:line="278" w:lineRule="auto" w:before="178"/>
              <w:ind w:left="249" w:right="151"/>
              <w:jc w:val="both"/>
              <w:rPr>
                <w:rFonts w:ascii="楷体" w:eastAsia="楷体" w:hint="eastAsia"/>
                <w:b/>
                <w:sz w:val="21"/>
              </w:rPr>
            </w:pPr>
            <w:r>
              <w:rPr>
                <w:rFonts w:ascii="楷体" w:eastAsia="楷体" w:hint="eastAsia"/>
                <w:b/>
                <w:spacing w:val="-2"/>
                <w:sz w:val="21"/>
              </w:rPr>
              <w:t>特定周围动脉</w:t>
            </w:r>
            <w:r>
              <w:rPr>
                <w:rFonts w:ascii="楷体" w:eastAsia="楷体" w:hint="eastAsia"/>
                <w:b/>
                <w:spacing w:val="-2"/>
                <w:sz w:val="21"/>
              </w:rPr>
              <w:t>疾病的血管介</w:t>
            </w:r>
            <w:r>
              <w:rPr>
                <w:rFonts w:ascii="楷体" w:eastAsia="楷体" w:hint="eastAsia"/>
                <w:b/>
                <w:spacing w:val="-4"/>
                <w:sz w:val="21"/>
              </w:rPr>
              <w:t>入治疗</w:t>
            </w:r>
          </w:p>
        </w:tc>
        <w:tc>
          <w:tcPr>
            <w:tcW w:w="7208" w:type="dxa"/>
          </w:tcPr>
          <w:p>
            <w:pPr>
              <w:pStyle w:val="TableParagraph"/>
              <w:spacing w:before="178"/>
              <w:ind w:left="152"/>
              <w:rPr>
                <w:sz w:val="21"/>
              </w:rPr>
            </w:pPr>
            <w:r>
              <w:rPr>
                <w:spacing w:val="-2"/>
                <w:sz w:val="21"/>
              </w:rPr>
              <w:t>指为治疗一条或者一条以上的下</w:t>
            </w:r>
            <w:r>
              <w:rPr>
                <w:rFonts w:ascii="Dotum" w:eastAsia="Dotum"/>
                <w:spacing w:val="-2"/>
                <w:sz w:val="21"/>
              </w:rPr>
              <w:t>列</w:t>
            </w:r>
            <w:r>
              <w:rPr>
                <w:spacing w:val="-3"/>
                <w:sz w:val="21"/>
              </w:rPr>
              <w:t>动脉狭窄而实施的血管介入治疗：</w:t>
            </w:r>
          </w:p>
          <w:p>
            <w:pPr>
              <w:pStyle w:val="TableParagraph"/>
              <w:numPr>
                <w:ilvl w:val="0"/>
                <w:numId w:val="25"/>
              </w:numPr>
              <w:tabs>
                <w:tab w:pos="682" w:val="left" w:leader="none"/>
              </w:tabs>
              <w:spacing w:line="240" w:lineRule="auto" w:before="42" w:after="0"/>
              <w:ind w:left="681" w:right="0" w:hanging="530"/>
              <w:jc w:val="left"/>
              <w:rPr>
                <w:sz w:val="21"/>
              </w:rPr>
            </w:pPr>
            <w:r>
              <w:rPr>
                <w:spacing w:val="-3"/>
                <w:sz w:val="21"/>
              </w:rPr>
              <w:t>为下肢或者上肢供血的动脉；</w:t>
            </w:r>
          </w:p>
          <w:p>
            <w:pPr>
              <w:pStyle w:val="TableParagraph"/>
              <w:numPr>
                <w:ilvl w:val="0"/>
                <w:numId w:val="25"/>
              </w:numPr>
              <w:tabs>
                <w:tab w:pos="682" w:val="left" w:leader="none"/>
              </w:tabs>
              <w:spacing w:line="240" w:lineRule="auto" w:before="43" w:after="0"/>
              <w:ind w:left="681" w:right="0" w:hanging="530"/>
              <w:jc w:val="left"/>
              <w:rPr>
                <w:sz w:val="21"/>
              </w:rPr>
            </w:pPr>
            <w:r>
              <w:rPr>
                <w:spacing w:val="-4"/>
                <w:sz w:val="21"/>
              </w:rPr>
              <w:t>肾动脉；</w:t>
            </w:r>
          </w:p>
          <w:p>
            <w:pPr>
              <w:pStyle w:val="TableParagraph"/>
              <w:numPr>
                <w:ilvl w:val="0"/>
                <w:numId w:val="25"/>
              </w:numPr>
              <w:tabs>
                <w:tab w:pos="682" w:val="left" w:leader="none"/>
              </w:tabs>
              <w:spacing w:line="278" w:lineRule="auto" w:before="43" w:after="0"/>
              <w:ind w:left="152" w:right="4951" w:firstLine="0"/>
              <w:jc w:val="left"/>
              <w:rPr>
                <w:sz w:val="21"/>
              </w:rPr>
            </w:pPr>
            <w:r>
              <w:rPr>
                <w:spacing w:val="-2"/>
                <w:sz w:val="21"/>
              </w:rPr>
              <w:t>肠系膜动脉。</w:t>
            </w:r>
            <w:r>
              <w:rPr>
                <w:spacing w:val="105"/>
                <w:sz w:val="21"/>
              </w:rPr>
              <w:t> </w:t>
            </w:r>
            <w:r>
              <w:rPr>
                <w:spacing w:val="-2"/>
                <w:sz w:val="21"/>
              </w:rPr>
              <w:t>须满足下列全部条件：</w:t>
            </w:r>
          </w:p>
          <w:p>
            <w:pPr>
              <w:pStyle w:val="TableParagraph"/>
              <w:numPr>
                <w:ilvl w:val="0"/>
                <w:numId w:val="26"/>
              </w:numPr>
              <w:tabs>
                <w:tab w:pos="682" w:val="left" w:leader="none"/>
              </w:tabs>
              <w:spacing w:line="278" w:lineRule="auto" w:before="0" w:after="0"/>
              <w:ind w:left="152" w:right="330" w:firstLine="0"/>
              <w:jc w:val="left"/>
              <w:rPr>
                <w:sz w:val="21"/>
              </w:rPr>
            </w:pPr>
            <w:r>
              <w:rPr>
                <w:spacing w:val="-2"/>
                <w:sz w:val="21"/>
              </w:rPr>
              <w:t>经血管造影术证实一条或者一条以上的上述动脉狭窄达到50%或者以</w:t>
            </w:r>
            <w:r>
              <w:rPr>
                <w:spacing w:val="-6"/>
                <w:sz w:val="21"/>
              </w:rPr>
              <w:t>上；</w:t>
            </w:r>
          </w:p>
          <w:p>
            <w:pPr>
              <w:pStyle w:val="TableParagraph"/>
              <w:numPr>
                <w:ilvl w:val="0"/>
                <w:numId w:val="26"/>
              </w:numPr>
              <w:tabs>
                <w:tab w:pos="682" w:val="left" w:leader="none"/>
              </w:tabs>
              <w:spacing w:line="278" w:lineRule="auto" w:before="0" w:after="0"/>
              <w:ind w:left="152" w:right="224" w:firstLine="0"/>
              <w:jc w:val="left"/>
              <w:rPr>
                <w:sz w:val="21"/>
              </w:rPr>
            </w:pPr>
            <w:r>
              <w:rPr>
                <w:spacing w:val="-2"/>
                <w:sz w:val="21"/>
              </w:rPr>
              <w:t>对一条或者一条以上的上述动脉施行了血管介入治疗，如血管成形术</w:t>
            </w:r>
            <w:r>
              <w:rPr>
                <w:spacing w:val="-2"/>
                <w:sz w:val="21"/>
              </w:rPr>
              <w:t>及/或进行植入支架或者动脉粥样瘤清除手术。</w:t>
            </w:r>
          </w:p>
          <w:p>
            <w:pPr>
              <w:pStyle w:val="TableParagraph"/>
              <w:spacing w:line="278" w:lineRule="auto"/>
              <w:ind w:left="152" w:right="328"/>
              <w:rPr>
                <w:sz w:val="21"/>
              </w:rPr>
            </w:pPr>
            <w:r>
              <w:rPr>
                <w:spacing w:val="-2"/>
                <w:sz w:val="21"/>
              </w:rPr>
              <w:t>此诊断及治疗均须在医院内由血管疾病的专科医生认为是医疗必须的情况</w:t>
            </w:r>
            <w:r>
              <w:rPr>
                <w:spacing w:val="-4"/>
                <w:sz w:val="21"/>
              </w:rPr>
              <w:t>下进行。</w:t>
            </w:r>
          </w:p>
        </w:tc>
      </w:tr>
      <w:tr>
        <w:trPr>
          <w:trHeight w:val="1872" w:hRule="atLeast"/>
        </w:trPr>
        <w:tc>
          <w:tcPr>
            <w:tcW w:w="938" w:type="dxa"/>
          </w:tcPr>
          <w:p>
            <w:pPr>
              <w:pStyle w:val="TableParagraph"/>
              <w:spacing w:before="178"/>
              <w:ind w:left="50"/>
              <w:rPr>
                <w:b/>
                <w:sz w:val="21"/>
              </w:rPr>
            </w:pPr>
            <w:r>
              <w:rPr>
                <w:b/>
                <w:spacing w:val="-2"/>
                <w:sz w:val="21"/>
              </w:rPr>
              <w:t>9.7.15</w:t>
            </w:r>
          </w:p>
        </w:tc>
        <w:tc>
          <w:tcPr>
            <w:tcW w:w="1670" w:type="dxa"/>
          </w:tcPr>
          <w:p>
            <w:pPr>
              <w:pStyle w:val="TableParagraph"/>
              <w:spacing w:line="278" w:lineRule="auto" w:before="178"/>
              <w:ind w:left="249" w:right="151"/>
              <w:jc w:val="both"/>
              <w:rPr>
                <w:rFonts w:ascii="楷体" w:eastAsia="楷体" w:hint="eastAsia"/>
                <w:b/>
                <w:sz w:val="21"/>
              </w:rPr>
            </w:pPr>
            <w:r>
              <w:rPr>
                <w:rFonts w:ascii="楷体" w:eastAsia="楷体" w:hint="eastAsia"/>
                <w:b/>
                <w:spacing w:val="-2"/>
                <w:sz w:val="21"/>
              </w:rPr>
              <w:t>于颈动脉进行</w:t>
            </w:r>
            <w:r>
              <w:rPr>
                <w:rFonts w:ascii="楷体" w:eastAsia="楷体" w:hint="eastAsia"/>
                <w:b/>
                <w:spacing w:val="-2"/>
                <w:sz w:val="21"/>
              </w:rPr>
              <w:t>血管成形术或</w:t>
            </w:r>
            <w:r>
              <w:rPr>
                <w:rFonts w:ascii="楷体" w:eastAsia="楷体" w:hint="eastAsia"/>
                <w:b/>
                <w:spacing w:val="-2"/>
                <w:sz w:val="21"/>
              </w:rPr>
              <w:t>内膜切除术</w:t>
            </w:r>
          </w:p>
        </w:tc>
        <w:tc>
          <w:tcPr>
            <w:tcW w:w="7208" w:type="dxa"/>
          </w:tcPr>
          <w:p>
            <w:pPr>
              <w:pStyle w:val="TableParagraph"/>
              <w:spacing w:before="178"/>
              <w:ind w:left="152"/>
              <w:rPr>
                <w:sz w:val="21"/>
              </w:rPr>
            </w:pPr>
            <w:r>
              <w:rPr>
                <w:spacing w:val="-3"/>
                <w:sz w:val="21"/>
              </w:rPr>
              <w:t>指根据颈动脉造影检查结果，确诊一条或以上颈动脉存在严重狭窄性病变</w:t>
            </w:r>
          </w:p>
          <w:p>
            <w:pPr>
              <w:pStyle w:val="TableParagraph"/>
              <w:spacing w:line="278" w:lineRule="auto" w:before="43"/>
              <w:ind w:left="152" w:right="154"/>
              <w:rPr>
                <w:sz w:val="21"/>
              </w:rPr>
            </w:pPr>
            <w:r>
              <w:rPr>
                <w:spacing w:val="-2"/>
                <w:sz w:val="21"/>
              </w:rPr>
              <w:t>（至少一支血管管腔直径减少50%以上</w:t>
            </w:r>
            <w:r>
              <w:rPr>
                <w:spacing w:val="-108"/>
                <w:sz w:val="21"/>
              </w:rPr>
              <w:t>）</w:t>
            </w:r>
            <w:r>
              <w:rPr>
                <w:spacing w:val="-2"/>
                <w:sz w:val="21"/>
              </w:rPr>
              <w:t>。本疾病须经专科医生明确诊断，同</w:t>
            </w:r>
            <w:r>
              <w:rPr>
                <w:spacing w:val="-2"/>
                <w:sz w:val="21"/>
              </w:rPr>
              <w:t>时必须已经采取以下手术以减轻症状：</w:t>
            </w:r>
          </w:p>
          <w:p>
            <w:pPr>
              <w:pStyle w:val="TableParagraph"/>
              <w:numPr>
                <w:ilvl w:val="0"/>
                <w:numId w:val="27"/>
              </w:numPr>
              <w:tabs>
                <w:tab w:pos="682" w:val="left" w:leader="none"/>
              </w:tabs>
              <w:spacing w:line="269" w:lineRule="exact" w:before="0" w:after="0"/>
              <w:ind w:left="681" w:right="0" w:hanging="530"/>
              <w:jc w:val="left"/>
              <w:rPr>
                <w:sz w:val="21"/>
              </w:rPr>
            </w:pPr>
            <w:r>
              <w:rPr>
                <w:spacing w:val="-3"/>
                <w:sz w:val="21"/>
              </w:rPr>
              <w:t>确实进行动脉内膜切除术；</w:t>
            </w:r>
          </w:p>
          <w:p>
            <w:pPr>
              <w:pStyle w:val="TableParagraph"/>
              <w:numPr>
                <w:ilvl w:val="0"/>
                <w:numId w:val="27"/>
              </w:numPr>
              <w:tabs>
                <w:tab w:pos="682" w:val="left" w:leader="none"/>
              </w:tabs>
              <w:spacing w:line="240" w:lineRule="auto" w:before="42" w:after="0"/>
              <w:ind w:left="681" w:right="0" w:hanging="530"/>
              <w:jc w:val="left"/>
              <w:rPr>
                <w:sz w:val="21"/>
              </w:rPr>
            </w:pPr>
            <w:r>
              <w:rPr>
                <w:spacing w:val="-3"/>
                <w:sz w:val="21"/>
              </w:rPr>
              <w:t>确实进行血管介入治疗，例如血管成形术及/或进行植入支架手术。</w:t>
            </w:r>
          </w:p>
        </w:tc>
      </w:tr>
      <w:tr>
        <w:trPr>
          <w:trHeight w:val="2184" w:hRule="atLeast"/>
        </w:trPr>
        <w:tc>
          <w:tcPr>
            <w:tcW w:w="938" w:type="dxa"/>
          </w:tcPr>
          <w:p>
            <w:pPr>
              <w:pStyle w:val="TableParagraph"/>
              <w:spacing w:before="178"/>
              <w:ind w:left="50"/>
              <w:rPr>
                <w:b/>
                <w:sz w:val="21"/>
              </w:rPr>
            </w:pPr>
            <w:r>
              <w:rPr>
                <w:b/>
                <w:spacing w:val="-2"/>
                <w:sz w:val="21"/>
              </w:rPr>
              <w:t>9.7.16</w:t>
            </w:r>
          </w:p>
        </w:tc>
        <w:tc>
          <w:tcPr>
            <w:tcW w:w="1670" w:type="dxa"/>
          </w:tcPr>
          <w:p>
            <w:pPr>
              <w:pStyle w:val="TableParagraph"/>
              <w:spacing w:line="278" w:lineRule="auto" w:before="178"/>
              <w:ind w:left="249" w:right="151"/>
              <w:rPr>
                <w:rFonts w:ascii="楷体" w:eastAsia="楷体" w:hint="eastAsia"/>
                <w:b/>
                <w:sz w:val="21"/>
              </w:rPr>
            </w:pPr>
            <w:r>
              <w:rPr>
                <w:rFonts w:ascii="楷体" w:eastAsia="楷体" w:hint="eastAsia"/>
                <w:b/>
                <w:spacing w:val="-2"/>
                <w:sz w:val="21"/>
              </w:rPr>
              <w:t>中度类风湿性</w:t>
            </w:r>
            <w:r>
              <w:rPr>
                <w:rFonts w:ascii="楷体" w:eastAsia="楷体" w:hint="eastAsia"/>
                <w:b/>
                <w:spacing w:val="-4"/>
                <w:sz w:val="21"/>
              </w:rPr>
              <w:t>关节炎</w:t>
            </w:r>
          </w:p>
        </w:tc>
        <w:tc>
          <w:tcPr>
            <w:tcW w:w="7208" w:type="dxa"/>
          </w:tcPr>
          <w:p>
            <w:pPr>
              <w:pStyle w:val="TableParagraph"/>
              <w:spacing w:line="278" w:lineRule="auto" w:before="178"/>
              <w:ind w:left="152" w:right="49"/>
              <w:rPr>
                <w:sz w:val="21"/>
              </w:rPr>
            </w:pPr>
            <w:r>
              <w:rPr>
                <w:spacing w:val="-3"/>
                <w:w w:val="100"/>
                <w:sz w:val="21"/>
              </w:rPr>
              <w:t>根据美国风湿病学会</w:t>
            </w:r>
            <w:r>
              <w:rPr>
                <w:w w:val="100"/>
                <w:sz w:val="21"/>
              </w:rPr>
              <w:t>（A</w:t>
            </w:r>
            <w:r>
              <w:rPr>
                <w:spacing w:val="-3"/>
                <w:w w:val="100"/>
                <w:sz w:val="21"/>
              </w:rPr>
              <w:t>CR</w:t>
            </w:r>
            <w:r>
              <w:rPr>
                <w:w w:val="100"/>
                <w:sz w:val="21"/>
              </w:rPr>
              <w:t>）</w:t>
            </w:r>
            <w:r>
              <w:rPr>
                <w:spacing w:val="-3"/>
                <w:w w:val="100"/>
                <w:sz w:val="21"/>
              </w:rPr>
              <w:t>的诊断标准，由风湿科专科医生明确诊断并符</w:t>
            </w:r>
            <w:r>
              <w:rPr>
                <w:spacing w:val="-7"/>
                <w:w w:val="100"/>
                <w:sz w:val="21"/>
              </w:rPr>
              <w:t>合下列所有理赔条件，但未达到重度疾病“严重类风湿性关节炎”或“重幼</w:t>
            </w:r>
            <w:r>
              <w:rPr>
                <w:spacing w:val="-8"/>
                <w:w w:val="100"/>
                <w:sz w:val="21"/>
              </w:rPr>
              <w:t>年型类风湿性关节炎”的给付标准：类风湿性关节炎为广泛分布的慢性进行</w:t>
            </w:r>
            <w:r>
              <w:rPr>
                <w:spacing w:val="-5"/>
                <w:w w:val="100"/>
                <w:sz w:val="21"/>
              </w:rPr>
              <w:t>性多关节病变，表现为关节严重变形，侵犯两个主要关节或关节组(如：双</w:t>
            </w:r>
            <w:r>
              <w:rPr>
                <w:spacing w:val="-5"/>
                <w:w w:val="100"/>
                <w:sz w:val="21"/>
              </w:rPr>
              <w:t> </w:t>
            </w:r>
            <w:r>
              <w:rPr>
                <w:spacing w:val="-36"/>
                <w:w w:val="100"/>
                <w:sz w:val="21"/>
              </w:rPr>
              <w:t>手</w:t>
            </w:r>
            <w:r>
              <w:rPr>
                <w:w w:val="100"/>
                <w:sz w:val="21"/>
              </w:rPr>
              <w:t>（</w:t>
            </w:r>
            <w:r>
              <w:rPr>
                <w:spacing w:val="-2"/>
                <w:w w:val="100"/>
                <w:sz w:val="21"/>
              </w:rPr>
              <w:t>多手指</w:t>
            </w:r>
            <w:r>
              <w:rPr>
                <w:spacing w:val="-39"/>
                <w:w w:val="100"/>
                <w:sz w:val="21"/>
              </w:rPr>
              <w:t>）</w:t>
            </w:r>
            <w:r>
              <w:rPr>
                <w:spacing w:val="-16"/>
                <w:w w:val="100"/>
                <w:sz w:val="21"/>
              </w:rPr>
              <w:t>关节、双足</w:t>
            </w:r>
            <w:r>
              <w:rPr>
                <w:spacing w:val="-3"/>
                <w:w w:val="100"/>
                <w:sz w:val="21"/>
              </w:rPr>
              <w:t>（</w:t>
            </w:r>
            <w:r>
              <w:rPr>
                <w:spacing w:val="-1"/>
                <w:w w:val="100"/>
                <w:sz w:val="21"/>
              </w:rPr>
              <w:t>多足趾</w:t>
            </w:r>
            <w:r>
              <w:rPr>
                <w:spacing w:val="-36"/>
                <w:w w:val="100"/>
                <w:sz w:val="21"/>
              </w:rPr>
              <w:t>）</w:t>
            </w:r>
            <w:r>
              <w:rPr>
                <w:spacing w:val="-10"/>
                <w:w w:val="100"/>
                <w:sz w:val="21"/>
              </w:rPr>
              <w:t>关节、双腕关节、双膝关节和双髋关节)。</w:t>
            </w:r>
            <w:r>
              <w:rPr>
                <w:spacing w:val="-5"/>
                <w:w w:val="100"/>
                <w:sz w:val="21"/>
              </w:rPr>
              <w:t>且被保险人满足至少</w:t>
            </w:r>
            <w:r>
              <w:rPr>
                <w:w w:val="100"/>
                <w:sz w:val="21"/>
              </w:rPr>
              <w:t>18</w:t>
            </w:r>
            <w:r>
              <w:rPr>
                <w:spacing w:val="-3"/>
                <w:w w:val="100"/>
                <w:sz w:val="21"/>
              </w:rPr>
              <w:t>0天无法独立完成六项基本日常生活活动中的两项。</w:t>
            </w:r>
          </w:p>
        </w:tc>
      </w:tr>
      <w:tr>
        <w:trPr>
          <w:trHeight w:val="2496" w:hRule="atLeast"/>
        </w:trPr>
        <w:tc>
          <w:tcPr>
            <w:tcW w:w="938" w:type="dxa"/>
          </w:tcPr>
          <w:p>
            <w:pPr>
              <w:pStyle w:val="TableParagraph"/>
              <w:spacing w:before="178"/>
              <w:ind w:left="50"/>
              <w:rPr>
                <w:b/>
                <w:sz w:val="21"/>
              </w:rPr>
            </w:pPr>
            <w:r>
              <w:rPr>
                <w:b/>
                <w:spacing w:val="-2"/>
                <w:sz w:val="21"/>
              </w:rPr>
              <w:t>9.7.17</w:t>
            </w:r>
          </w:p>
        </w:tc>
        <w:tc>
          <w:tcPr>
            <w:tcW w:w="1670" w:type="dxa"/>
          </w:tcPr>
          <w:p>
            <w:pPr>
              <w:pStyle w:val="TableParagraph"/>
              <w:spacing w:line="278" w:lineRule="auto" w:before="178"/>
              <w:ind w:left="249" w:right="151"/>
              <w:rPr>
                <w:rFonts w:ascii="楷体" w:eastAsia="楷体" w:hint="eastAsia"/>
                <w:b/>
                <w:sz w:val="21"/>
              </w:rPr>
            </w:pPr>
            <w:r>
              <w:rPr>
                <w:rFonts w:ascii="楷体" w:eastAsia="楷体" w:hint="eastAsia"/>
                <w:b/>
                <w:spacing w:val="-2"/>
                <w:sz w:val="21"/>
              </w:rPr>
              <w:t>中度重症肌无</w:t>
            </w:r>
            <w:r>
              <w:rPr>
                <w:rFonts w:ascii="楷体" w:eastAsia="楷体" w:hint="eastAsia"/>
                <w:b/>
                <w:spacing w:val="-10"/>
                <w:sz w:val="21"/>
              </w:rPr>
              <w:t>力</w:t>
            </w:r>
          </w:p>
        </w:tc>
        <w:tc>
          <w:tcPr>
            <w:tcW w:w="7208" w:type="dxa"/>
          </w:tcPr>
          <w:p>
            <w:pPr>
              <w:pStyle w:val="TableParagraph"/>
              <w:spacing w:line="278" w:lineRule="auto" w:before="178"/>
              <w:ind w:left="152" w:right="50"/>
              <w:jc w:val="both"/>
              <w:rPr>
                <w:sz w:val="21"/>
              </w:rPr>
            </w:pPr>
            <w:r>
              <w:rPr>
                <w:spacing w:val="-2"/>
                <w:sz w:val="21"/>
              </w:rPr>
              <w:t>指一种神经与肌肉接头部位传递障碍的自身免疫性疾病，临床特征是局部或</w:t>
            </w:r>
            <w:r>
              <w:rPr>
                <w:spacing w:val="-2"/>
                <w:sz w:val="21"/>
              </w:rPr>
              <w:t>全身肌肉于活动时易于疲劳无力，须经专科医生明确诊断，并满足下列全部</w:t>
            </w:r>
            <w:r>
              <w:rPr>
                <w:spacing w:val="-6"/>
                <w:sz w:val="21"/>
              </w:rPr>
              <w:t>条件且未达到重度疾病“全身性（型）重症肌无力”或“瘫痪”的给付标准：</w:t>
            </w:r>
          </w:p>
          <w:p>
            <w:pPr>
              <w:pStyle w:val="TableParagraph"/>
              <w:numPr>
                <w:ilvl w:val="0"/>
                <w:numId w:val="28"/>
              </w:numPr>
              <w:tabs>
                <w:tab w:pos="682" w:val="left" w:leader="none"/>
              </w:tabs>
              <w:spacing w:line="278" w:lineRule="auto" w:before="0" w:after="0"/>
              <w:ind w:left="152" w:right="224" w:firstLine="0"/>
              <w:jc w:val="left"/>
              <w:rPr>
                <w:sz w:val="21"/>
              </w:rPr>
            </w:pPr>
            <w:r>
              <w:rPr>
                <w:spacing w:val="-2"/>
                <w:sz w:val="21"/>
              </w:rPr>
              <w:t>经药物治疗或胸腺手术治疗一年以上无法控制病情，症状缓解、复发</w:t>
            </w:r>
            <w:r>
              <w:rPr>
                <w:spacing w:val="-2"/>
                <w:sz w:val="21"/>
              </w:rPr>
              <w:t>及恶化交替出现；</w:t>
            </w:r>
          </w:p>
          <w:p>
            <w:pPr>
              <w:pStyle w:val="TableParagraph"/>
              <w:numPr>
                <w:ilvl w:val="0"/>
                <w:numId w:val="28"/>
              </w:numPr>
              <w:tabs>
                <w:tab w:pos="682" w:val="left" w:leader="none"/>
              </w:tabs>
              <w:spacing w:line="278" w:lineRule="auto" w:before="0" w:after="0"/>
              <w:ind w:left="152" w:right="224" w:firstLine="0"/>
              <w:jc w:val="left"/>
              <w:rPr>
                <w:sz w:val="21"/>
              </w:rPr>
            </w:pPr>
            <w:r>
              <w:rPr>
                <w:spacing w:val="-2"/>
                <w:sz w:val="21"/>
              </w:rPr>
              <w:t>自主生活能力部分丧失，无法独立完成六项基本日常生活活动中的两</w:t>
            </w:r>
            <w:r>
              <w:rPr>
                <w:spacing w:val="-6"/>
                <w:sz w:val="21"/>
              </w:rPr>
              <w:t>项。</w:t>
            </w:r>
          </w:p>
        </w:tc>
      </w:tr>
      <w:tr>
        <w:trPr>
          <w:trHeight w:val="468" w:hRule="atLeast"/>
        </w:trPr>
        <w:tc>
          <w:tcPr>
            <w:tcW w:w="938" w:type="dxa"/>
          </w:tcPr>
          <w:p>
            <w:pPr>
              <w:pStyle w:val="TableParagraph"/>
              <w:spacing w:before="178"/>
              <w:ind w:left="50"/>
              <w:rPr>
                <w:b/>
                <w:sz w:val="21"/>
              </w:rPr>
            </w:pPr>
            <w:r>
              <w:rPr>
                <w:b/>
                <w:spacing w:val="-2"/>
                <w:sz w:val="21"/>
              </w:rPr>
              <w:t>9.7.18</w:t>
            </w:r>
          </w:p>
        </w:tc>
        <w:tc>
          <w:tcPr>
            <w:tcW w:w="1670" w:type="dxa"/>
          </w:tcPr>
          <w:p>
            <w:pPr>
              <w:pStyle w:val="TableParagraph"/>
              <w:spacing w:before="178"/>
              <w:ind w:left="249"/>
              <w:rPr>
                <w:rFonts w:ascii="楷体" w:eastAsia="楷体" w:hint="eastAsia"/>
                <w:b/>
                <w:sz w:val="21"/>
              </w:rPr>
            </w:pPr>
            <w:r>
              <w:rPr>
                <w:rFonts w:ascii="楷体" w:eastAsia="楷体" w:hint="eastAsia"/>
                <w:b/>
                <w:spacing w:val="-2"/>
                <w:sz w:val="21"/>
              </w:rPr>
              <w:t>中度肌营养不</w:t>
            </w:r>
          </w:p>
        </w:tc>
        <w:tc>
          <w:tcPr>
            <w:tcW w:w="7208" w:type="dxa"/>
          </w:tcPr>
          <w:p>
            <w:pPr>
              <w:pStyle w:val="TableParagraph"/>
              <w:spacing w:before="178"/>
              <w:ind w:left="152"/>
              <w:rPr>
                <w:sz w:val="21"/>
              </w:rPr>
            </w:pPr>
            <w:r>
              <w:rPr>
                <w:spacing w:val="-5"/>
                <w:sz w:val="21"/>
              </w:rPr>
              <w:t>指一组原发于肌肉的遗传性疾病，临床表现为与神经系统无关的肌肉无力和</w:t>
            </w:r>
          </w:p>
        </w:tc>
      </w:tr>
      <w:tr>
        <w:trPr>
          <w:trHeight w:val="311" w:hRule="atLeast"/>
        </w:trPr>
        <w:tc>
          <w:tcPr>
            <w:tcW w:w="938" w:type="dxa"/>
          </w:tcPr>
          <w:p>
            <w:pPr>
              <w:pStyle w:val="TableParagraph"/>
              <w:rPr>
                <w:rFonts w:ascii="Times New Roman"/>
                <w:sz w:val="20"/>
              </w:rPr>
            </w:pPr>
          </w:p>
        </w:tc>
        <w:tc>
          <w:tcPr>
            <w:tcW w:w="1670" w:type="dxa"/>
          </w:tcPr>
          <w:p>
            <w:pPr>
              <w:pStyle w:val="TableParagraph"/>
              <w:spacing w:before="22"/>
              <w:ind w:left="249"/>
              <w:rPr>
                <w:rFonts w:ascii="楷体" w:eastAsia="楷体" w:hint="eastAsia"/>
                <w:b/>
                <w:sz w:val="21"/>
              </w:rPr>
            </w:pPr>
            <w:r>
              <w:rPr>
                <w:rFonts w:ascii="楷体" w:eastAsia="楷体" w:hint="eastAsia"/>
                <w:b/>
                <w:spacing w:val="-5"/>
                <w:sz w:val="21"/>
              </w:rPr>
              <w:t>良症</w:t>
            </w:r>
          </w:p>
        </w:tc>
        <w:tc>
          <w:tcPr>
            <w:tcW w:w="7208" w:type="dxa"/>
          </w:tcPr>
          <w:p>
            <w:pPr>
              <w:pStyle w:val="TableParagraph"/>
              <w:spacing w:before="22"/>
              <w:ind w:left="152"/>
              <w:rPr>
                <w:sz w:val="21"/>
              </w:rPr>
            </w:pPr>
            <w:r>
              <w:rPr>
                <w:spacing w:val="-5"/>
                <w:sz w:val="21"/>
              </w:rPr>
              <w:t>肌肉萎缩。须满足下列全部条件且未达到重度疾病“严重肌营养不良症”或</w:t>
            </w:r>
          </w:p>
        </w:tc>
      </w:tr>
      <w:tr>
        <w:trPr>
          <w:trHeight w:val="311" w:hRule="atLeast"/>
        </w:trPr>
        <w:tc>
          <w:tcPr>
            <w:tcW w:w="938" w:type="dxa"/>
          </w:tcPr>
          <w:p>
            <w:pPr>
              <w:pStyle w:val="TableParagraph"/>
              <w:rPr>
                <w:rFonts w:ascii="Times New Roman"/>
                <w:sz w:val="20"/>
              </w:rPr>
            </w:pPr>
          </w:p>
        </w:tc>
        <w:tc>
          <w:tcPr>
            <w:tcW w:w="1670" w:type="dxa"/>
          </w:tcPr>
          <w:p>
            <w:pPr>
              <w:pStyle w:val="TableParagraph"/>
              <w:rPr>
                <w:rFonts w:ascii="Times New Roman"/>
                <w:sz w:val="20"/>
              </w:rPr>
            </w:pPr>
          </w:p>
        </w:tc>
        <w:tc>
          <w:tcPr>
            <w:tcW w:w="7208" w:type="dxa"/>
          </w:tcPr>
          <w:p>
            <w:pPr>
              <w:pStyle w:val="TableParagraph"/>
              <w:spacing w:before="22"/>
              <w:ind w:left="152"/>
              <w:rPr>
                <w:sz w:val="21"/>
              </w:rPr>
            </w:pPr>
            <w:r>
              <w:rPr>
                <w:spacing w:val="-3"/>
                <w:sz w:val="21"/>
              </w:rPr>
              <w:t>“瘫痪”的给付标准：</w:t>
            </w:r>
          </w:p>
        </w:tc>
      </w:tr>
      <w:tr>
        <w:trPr>
          <w:trHeight w:val="311" w:hRule="atLeast"/>
        </w:trPr>
        <w:tc>
          <w:tcPr>
            <w:tcW w:w="938" w:type="dxa"/>
          </w:tcPr>
          <w:p>
            <w:pPr>
              <w:pStyle w:val="TableParagraph"/>
              <w:rPr>
                <w:rFonts w:ascii="Times New Roman"/>
                <w:sz w:val="20"/>
              </w:rPr>
            </w:pPr>
          </w:p>
        </w:tc>
        <w:tc>
          <w:tcPr>
            <w:tcW w:w="1670" w:type="dxa"/>
          </w:tcPr>
          <w:p>
            <w:pPr>
              <w:pStyle w:val="TableParagraph"/>
              <w:rPr>
                <w:rFonts w:ascii="Times New Roman"/>
                <w:sz w:val="20"/>
              </w:rPr>
            </w:pPr>
          </w:p>
        </w:tc>
        <w:tc>
          <w:tcPr>
            <w:tcW w:w="7208" w:type="dxa"/>
          </w:tcPr>
          <w:p>
            <w:pPr>
              <w:pStyle w:val="TableParagraph"/>
              <w:spacing w:before="22"/>
              <w:ind w:left="152"/>
              <w:rPr>
                <w:sz w:val="21"/>
              </w:rPr>
            </w:pPr>
            <w:r>
              <w:rPr>
                <w:spacing w:val="-2"/>
                <w:sz w:val="21"/>
              </w:rPr>
              <w:t>（1）</w:t>
            </w:r>
            <w:r>
              <w:rPr>
                <w:spacing w:val="-3"/>
                <w:sz w:val="21"/>
              </w:rPr>
              <w:t>肌肉组织活检结果满足肌营养不良症的肌肉细胞变性、坏死等阳性改</w:t>
            </w:r>
          </w:p>
        </w:tc>
      </w:tr>
      <w:tr>
        <w:trPr>
          <w:trHeight w:val="311" w:hRule="atLeast"/>
        </w:trPr>
        <w:tc>
          <w:tcPr>
            <w:tcW w:w="938" w:type="dxa"/>
          </w:tcPr>
          <w:p>
            <w:pPr>
              <w:pStyle w:val="TableParagraph"/>
              <w:rPr>
                <w:rFonts w:ascii="Times New Roman"/>
                <w:sz w:val="20"/>
              </w:rPr>
            </w:pPr>
          </w:p>
        </w:tc>
        <w:tc>
          <w:tcPr>
            <w:tcW w:w="1670" w:type="dxa"/>
          </w:tcPr>
          <w:p>
            <w:pPr>
              <w:pStyle w:val="TableParagraph"/>
              <w:rPr>
                <w:rFonts w:ascii="Times New Roman"/>
                <w:sz w:val="20"/>
              </w:rPr>
            </w:pPr>
          </w:p>
        </w:tc>
        <w:tc>
          <w:tcPr>
            <w:tcW w:w="7208" w:type="dxa"/>
          </w:tcPr>
          <w:p>
            <w:pPr>
              <w:pStyle w:val="TableParagraph"/>
              <w:spacing w:before="22"/>
              <w:ind w:left="152"/>
              <w:rPr>
                <w:sz w:val="21"/>
              </w:rPr>
            </w:pPr>
            <w:r>
              <w:rPr>
                <w:spacing w:val="-5"/>
                <w:sz w:val="21"/>
              </w:rPr>
              <w:t>变；</w:t>
            </w:r>
          </w:p>
        </w:tc>
      </w:tr>
      <w:tr>
        <w:trPr>
          <w:trHeight w:val="261" w:hRule="atLeast"/>
        </w:trPr>
        <w:tc>
          <w:tcPr>
            <w:tcW w:w="938" w:type="dxa"/>
          </w:tcPr>
          <w:p>
            <w:pPr>
              <w:pStyle w:val="TableParagraph"/>
              <w:rPr>
                <w:rFonts w:ascii="Times New Roman"/>
                <w:sz w:val="18"/>
              </w:rPr>
            </w:pPr>
          </w:p>
        </w:tc>
        <w:tc>
          <w:tcPr>
            <w:tcW w:w="1670" w:type="dxa"/>
          </w:tcPr>
          <w:p>
            <w:pPr>
              <w:pStyle w:val="TableParagraph"/>
              <w:rPr>
                <w:rFonts w:ascii="Times New Roman"/>
                <w:sz w:val="18"/>
              </w:rPr>
            </w:pPr>
          </w:p>
        </w:tc>
        <w:tc>
          <w:tcPr>
            <w:tcW w:w="7208" w:type="dxa"/>
          </w:tcPr>
          <w:p>
            <w:pPr>
              <w:pStyle w:val="TableParagraph"/>
              <w:spacing w:line="220" w:lineRule="exact" w:before="22"/>
              <w:ind w:left="152"/>
              <w:rPr>
                <w:sz w:val="21"/>
              </w:rPr>
            </w:pPr>
            <w:r>
              <w:rPr>
                <w:spacing w:val="-2"/>
                <w:sz w:val="21"/>
              </w:rPr>
              <w:t>（2）</w:t>
            </w:r>
            <w:r>
              <w:rPr>
                <w:spacing w:val="-3"/>
                <w:sz w:val="21"/>
              </w:rPr>
              <w:t>自主生活能力部分丧失，无法独立完成六项基本日常生活活动中的两</w:t>
            </w:r>
          </w:p>
        </w:tc>
      </w:tr>
    </w:tbl>
    <w:p>
      <w:pPr>
        <w:spacing w:after="0" w:line="220" w:lineRule="exact"/>
        <w:rPr>
          <w:sz w:val="21"/>
        </w:rPr>
        <w:sectPr>
          <w:pgSz w:w="11910" w:h="16840"/>
          <w:pgMar w:top="1280" w:bottom="280" w:left="680" w:right="460"/>
        </w:sectPr>
      </w:pPr>
    </w:p>
    <w:p>
      <w:pPr>
        <w:pStyle w:val="BodyText"/>
        <w:spacing w:before="52"/>
        <w:ind w:left="3285"/>
      </w:pPr>
      <w:r>
        <w:rPr>
          <w:spacing w:val="-5"/>
        </w:rPr>
        <w:t>项。</w:t>
      </w:r>
    </w:p>
    <w:p>
      <w:pPr>
        <w:pStyle w:val="BodyText"/>
        <w:spacing w:line="278" w:lineRule="auto" w:before="43"/>
        <w:ind w:left="3285" w:right="579"/>
      </w:pPr>
      <w:r>
        <w:rPr>
          <w:spacing w:val="-2"/>
        </w:rPr>
        <w:t>我们承担本项疾病责任不受本合同“责任免除”中“遗传性疾病，先天性畸</w:t>
      </w:r>
      <w:r>
        <w:rPr>
          <w:spacing w:val="-2"/>
        </w:rPr>
        <w:t>形、变形或染色体异常”的限制。</w:t>
      </w:r>
    </w:p>
    <w:p>
      <w:pPr>
        <w:pStyle w:val="BodyText"/>
        <w:spacing w:before="10"/>
        <w:rPr>
          <w:sz w:val="18"/>
        </w:rPr>
      </w:pPr>
    </w:p>
    <w:p>
      <w:pPr>
        <w:spacing w:after="0"/>
        <w:rPr>
          <w:sz w:val="18"/>
        </w:rPr>
        <w:sectPr>
          <w:pgSz w:w="11910" w:h="16840"/>
          <w:pgMar w:top="1200" w:bottom="280" w:left="680" w:right="460"/>
        </w:sectPr>
      </w:pPr>
    </w:p>
    <w:p>
      <w:pPr>
        <w:pStyle w:val="Heading2"/>
        <w:numPr>
          <w:ilvl w:val="2"/>
          <w:numId w:val="29"/>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中度溃疡性结</w:t>
      </w:r>
      <w:r>
        <w:rPr>
          <w:rFonts w:ascii="楷体" w:eastAsia="楷体" w:hint="eastAsia"/>
          <w:spacing w:val="-6"/>
        </w:rPr>
        <w:t>肠炎</w:t>
      </w:r>
    </w:p>
    <w:p>
      <w:pPr>
        <w:pStyle w:val="BodyText"/>
        <w:spacing w:line="278" w:lineRule="auto" w:before="72"/>
        <w:ind w:left="265" w:right="577"/>
      </w:pPr>
      <w:r>
        <w:rPr/>
        <w:br w:type="column"/>
      </w:r>
      <w:r>
        <w:rPr>
          <w:spacing w:val="-3"/>
          <w:w w:val="100"/>
        </w:rPr>
        <w:t>本合同所保障的溃疡性结肠炎是指伴有致命性电解质紊乱的急性暴发性溃</w:t>
      </w:r>
      <w:r>
        <w:rPr>
          <w:spacing w:val="-7"/>
          <w:w w:val="100"/>
        </w:rPr>
        <w:t>疡性结肠炎，病变累及全结肠，表现为严重的血便和系统性症状体征和肠破</w:t>
      </w:r>
      <w:r>
        <w:rPr>
          <w:spacing w:val="-8"/>
          <w:w w:val="100"/>
        </w:rPr>
        <w:t>裂的风险，本疾病的确诊必须经由内窥镜检查证实该疾病侵犯全部结肠及直</w:t>
      </w:r>
      <w:r>
        <w:rPr>
          <w:spacing w:val="-7"/>
          <w:w w:val="100"/>
        </w:rPr>
        <w:t>肠及活体切片检查证实为溃疡性结肠炎。且须经肠胃专科医生连续以系统性</w:t>
      </w:r>
      <w:r>
        <w:rPr>
          <w:spacing w:val="-5"/>
          <w:w w:val="100"/>
        </w:rPr>
        <w:t>免疫抑制剂或免疫调节剂持续治疗最少</w:t>
      </w:r>
      <w:r>
        <w:rPr>
          <w:spacing w:val="-53"/>
        </w:rPr>
        <w:t> </w:t>
      </w:r>
      <w:r>
        <w:rPr>
          <w:spacing w:val="-3"/>
          <w:w w:val="100"/>
        </w:rPr>
        <w:t>9</w:t>
      </w:r>
      <w:r>
        <w:rPr>
          <w:w w:val="100"/>
        </w:rPr>
        <w:t>0</w:t>
      </w:r>
      <w:r>
        <w:rPr>
          <w:spacing w:val="-52"/>
        </w:rPr>
        <w:t> </w:t>
      </w:r>
      <w:r>
        <w:rPr>
          <w:spacing w:val="-3"/>
          <w:w w:val="100"/>
        </w:rPr>
        <w:t>天，但未达到重度疾病“严重溃疡性结肠炎”的给付标准，才符合本保障范围。</w:t>
      </w:r>
    </w:p>
    <w:p>
      <w:pPr>
        <w:spacing w:line="271" w:lineRule="exact" w:before="0"/>
        <w:ind w:left="265" w:right="0" w:firstLine="0"/>
        <w:jc w:val="left"/>
        <w:rPr>
          <w:b/>
          <w:i/>
          <w:sz w:val="22"/>
        </w:rPr>
      </w:pPr>
      <w:r>
        <w:rPr>
          <w:b/>
          <w:i/>
          <w:spacing w:val="-3"/>
          <w:w w:val="95"/>
          <w:sz w:val="22"/>
        </w:rPr>
        <w:t>其他种类的炎性结肠炎，只发生在直肠的溃疡性结肠炎均不在保障范围内。</w:t>
      </w:r>
    </w:p>
    <w:p>
      <w:pPr>
        <w:spacing w:after="0" w:line="271" w:lineRule="exact"/>
        <w:jc w:val="left"/>
        <w:rPr>
          <w:sz w:val="22"/>
        </w:rPr>
        <w:sectPr>
          <w:type w:val="continuous"/>
          <w:pgSz w:w="11910" w:h="16840"/>
          <w:pgMar w:top="460" w:bottom="280" w:left="680" w:right="460"/>
          <w:cols w:num="2" w:equalWidth="0">
            <w:col w:w="2981" w:space="40"/>
            <w:col w:w="7749"/>
          </w:cols>
        </w:sectPr>
      </w:pPr>
    </w:p>
    <w:p>
      <w:pPr>
        <w:pStyle w:val="BodyText"/>
        <w:spacing w:before="11"/>
        <w:rPr>
          <w:b/>
          <w:i/>
        </w:rPr>
      </w:pPr>
    </w:p>
    <w:p>
      <w:pPr>
        <w:spacing w:after="0"/>
        <w:sectPr>
          <w:type w:val="continuous"/>
          <w:pgSz w:w="11910" w:h="16840"/>
          <w:pgMar w:top="460" w:bottom="280" w:left="680" w:right="460"/>
        </w:sectPr>
      </w:pPr>
    </w:p>
    <w:p>
      <w:pPr>
        <w:pStyle w:val="Heading2"/>
        <w:numPr>
          <w:ilvl w:val="2"/>
          <w:numId w:val="29"/>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早期系统性硬</w:t>
      </w:r>
      <w:r>
        <w:rPr>
          <w:rFonts w:ascii="楷体" w:eastAsia="楷体" w:hint="eastAsia"/>
          <w:spacing w:val="-6"/>
        </w:rPr>
        <w:t>皮病</w:t>
      </w:r>
    </w:p>
    <w:p>
      <w:pPr>
        <w:pStyle w:val="BodyText"/>
        <w:spacing w:line="278" w:lineRule="auto" w:before="72"/>
        <w:ind w:left="265" w:right="577"/>
        <w:jc w:val="both"/>
      </w:pPr>
      <w:r>
        <w:rPr/>
        <w:br w:type="column"/>
      </w:r>
      <w:r>
        <w:rPr>
          <w:spacing w:val="-2"/>
        </w:rPr>
        <w:t>指一种以局限性或弥漫性皮肤增厚和皮肤、血管、内脏器官异常纤维化为特</w:t>
      </w:r>
      <w:r>
        <w:rPr>
          <w:spacing w:val="-2"/>
        </w:rPr>
        <w:t>征的结缔组织病。本疾病须经专科医生明确诊断，且未达到重度疾病“系统</w:t>
      </w:r>
      <w:r>
        <w:rPr>
          <w:spacing w:val="-2"/>
        </w:rPr>
        <w:t>性硬皮病”的给付标准，并须满足下列所有条件：</w:t>
      </w:r>
    </w:p>
    <w:p>
      <w:pPr>
        <w:pStyle w:val="ListParagraph"/>
        <w:numPr>
          <w:ilvl w:val="0"/>
          <w:numId w:val="30"/>
        </w:numPr>
        <w:tabs>
          <w:tab w:pos="795" w:val="left" w:leader="none"/>
        </w:tabs>
        <w:spacing w:line="278" w:lineRule="auto" w:before="0" w:after="0"/>
        <w:ind w:left="265" w:right="579" w:firstLine="0"/>
        <w:jc w:val="both"/>
        <w:rPr>
          <w:sz w:val="21"/>
        </w:rPr>
      </w:pPr>
      <w:r>
        <w:rPr>
          <w:spacing w:val="-2"/>
          <w:sz w:val="21"/>
        </w:rPr>
        <w:t>必须是经由医院的风湿学专科医生根据美国风湿病学会（ACR）及欧洲</w:t>
      </w:r>
      <w:r>
        <w:rPr>
          <w:spacing w:val="-2"/>
          <w:sz w:val="21"/>
        </w:rPr>
        <w:t>抗风湿病联盟(EULAR)在2013 年发布的系统性硬皮病诊断标准确认达到确诊</w:t>
      </w:r>
      <w:r>
        <w:rPr>
          <w:spacing w:val="-2"/>
          <w:sz w:val="21"/>
        </w:rPr>
        <w:t>标准（总分值由每一个分类中的最高比重（分值）相加而成，总分≥9 分的</w:t>
      </w:r>
      <w:r>
        <w:rPr>
          <w:spacing w:val="-2"/>
          <w:sz w:val="21"/>
        </w:rPr>
        <w:t>患者被分类为系统性硬皮病</w:t>
      </w:r>
      <w:r>
        <w:rPr>
          <w:spacing w:val="-106"/>
          <w:sz w:val="21"/>
        </w:rPr>
        <w:t>）</w:t>
      </w:r>
      <w:r>
        <w:rPr>
          <w:sz w:val="21"/>
        </w:rPr>
        <w:t>；</w:t>
      </w:r>
    </w:p>
    <w:p>
      <w:pPr>
        <w:pStyle w:val="ListParagraph"/>
        <w:numPr>
          <w:ilvl w:val="0"/>
          <w:numId w:val="30"/>
        </w:numPr>
        <w:tabs>
          <w:tab w:pos="795" w:val="left" w:leader="none"/>
        </w:tabs>
        <w:spacing w:line="269" w:lineRule="exact" w:before="0" w:after="0"/>
        <w:ind w:left="794" w:right="0" w:hanging="530"/>
        <w:jc w:val="left"/>
        <w:rPr>
          <w:sz w:val="21"/>
        </w:rPr>
      </w:pPr>
      <w:r>
        <w:rPr>
          <w:spacing w:val="-3"/>
          <w:sz w:val="21"/>
        </w:rPr>
        <w:t>须提供明确的病理活检及自身抗体免疫血清学证据支持。</w:t>
      </w:r>
    </w:p>
    <w:p>
      <w:pPr>
        <w:spacing w:before="33"/>
        <w:ind w:left="265" w:right="0" w:firstLine="0"/>
        <w:jc w:val="left"/>
        <w:rPr>
          <w:b/>
          <w:i/>
          <w:sz w:val="22"/>
        </w:rPr>
      </w:pPr>
      <w:r>
        <w:rPr>
          <w:b/>
          <w:i/>
          <w:spacing w:val="-3"/>
          <w:w w:val="95"/>
          <w:sz w:val="22"/>
        </w:rPr>
        <w:t>以下情况不在保障范围内：</w:t>
      </w:r>
    </w:p>
    <w:p>
      <w:pPr>
        <w:pStyle w:val="ListParagraph"/>
        <w:numPr>
          <w:ilvl w:val="0"/>
          <w:numId w:val="31"/>
        </w:numPr>
        <w:tabs>
          <w:tab w:pos="795" w:val="left" w:leader="none"/>
        </w:tabs>
        <w:spacing w:line="240" w:lineRule="auto" w:before="30" w:after="0"/>
        <w:ind w:left="794" w:right="0" w:hanging="530"/>
        <w:jc w:val="left"/>
        <w:rPr>
          <w:b/>
          <w:i/>
          <w:sz w:val="22"/>
        </w:rPr>
      </w:pPr>
      <w:r>
        <w:rPr>
          <w:b/>
          <w:i/>
          <w:spacing w:val="-2"/>
          <w:w w:val="95"/>
          <w:sz w:val="22"/>
        </w:rPr>
        <w:t>局限性硬皮病（带状硬皮病或斑状损害</w:t>
      </w:r>
      <w:r>
        <w:rPr>
          <w:b/>
          <w:i/>
          <w:spacing w:val="-110"/>
          <w:w w:val="95"/>
          <w:sz w:val="22"/>
        </w:rPr>
        <w:t>）</w:t>
      </w:r>
      <w:r>
        <w:rPr>
          <w:b/>
          <w:i/>
          <w:spacing w:val="-5"/>
          <w:w w:val="95"/>
          <w:sz w:val="22"/>
        </w:rPr>
        <w:t>；</w:t>
      </w:r>
    </w:p>
    <w:p>
      <w:pPr>
        <w:pStyle w:val="ListParagraph"/>
        <w:numPr>
          <w:ilvl w:val="0"/>
          <w:numId w:val="31"/>
        </w:numPr>
        <w:tabs>
          <w:tab w:pos="795" w:val="left" w:leader="none"/>
        </w:tabs>
        <w:spacing w:line="240" w:lineRule="auto" w:before="30" w:after="0"/>
        <w:ind w:left="794" w:right="0" w:hanging="530"/>
        <w:jc w:val="left"/>
        <w:rPr>
          <w:b/>
          <w:i/>
          <w:sz w:val="22"/>
        </w:rPr>
      </w:pPr>
      <w:r>
        <w:rPr>
          <w:b/>
          <w:i/>
          <w:spacing w:val="-2"/>
          <w:w w:val="95"/>
          <w:sz w:val="22"/>
        </w:rPr>
        <w:t>嗜酸性筋膜炎；</w:t>
      </w:r>
    </w:p>
    <w:p>
      <w:pPr>
        <w:pStyle w:val="ListParagraph"/>
        <w:numPr>
          <w:ilvl w:val="0"/>
          <w:numId w:val="31"/>
        </w:numPr>
        <w:tabs>
          <w:tab w:pos="795" w:val="left" w:leader="none"/>
        </w:tabs>
        <w:spacing w:line="240" w:lineRule="auto" w:before="30" w:after="0"/>
        <w:ind w:left="794" w:right="0" w:hanging="530"/>
        <w:jc w:val="left"/>
        <w:rPr>
          <w:b/>
          <w:i/>
          <w:sz w:val="22"/>
        </w:rPr>
      </w:pPr>
      <w:r>
        <w:rPr>
          <w:b/>
          <w:i/>
          <w:w w:val="95"/>
          <w:sz w:val="22"/>
        </w:rPr>
        <w:t>CREST</w:t>
      </w:r>
      <w:r>
        <w:rPr>
          <w:b/>
          <w:i/>
          <w:spacing w:val="-3"/>
          <w:w w:val="95"/>
          <w:sz w:val="22"/>
        </w:rPr>
        <w:t>综合征。</w:t>
      </w:r>
    </w:p>
    <w:p>
      <w:pPr>
        <w:spacing w:after="0" w:line="240" w:lineRule="auto"/>
        <w:jc w:val="left"/>
        <w:rPr>
          <w:sz w:val="22"/>
        </w:rPr>
        <w:sectPr>
          <w:type w:val="continuous"/>
          <w:pgSz w:w="11910" w:h="16840"/>
          <w:pgMar w:top="460" w:bottom="280" w:left="680" w:right="460"/>
          <w:cols w:num="2" w:equalWidth="0">
            <w:col w:w="2981" w:space="40"/>
            <w:col w:w="7749"/>
          </w:cols>
        </w:sectPr>
      </w:pPr>
    </w:p>
    <w:p>
      <w:pPr>
        <w:pStyle w:val="BodyText"/>
        <w:spacing w:before="12"/>
        <w:rPr>
          <w:b/>
          <w:i/>
        </w:rPr>
      </w:pPr>
    </w:p>
    <w:p>
      <w:pPr>
        <w:pStyle w:val="ListParagraph"/>
        <w:numPr>
          <w:ilvl w:val="2"/>
          <w:numId w:val="29"/>
        </w:numPr>
        <w:tabs>
          <w:tab w:pos="1714" w:val="left" w:leader="none"/>
        </w:tabs>
        <w:spacing w:line="278" w:lineRule="auto" w:before="72" w:after="0"/>
        <w:ind w:left="3285" w:right="577" w:hanging="2711"/>
        <w:jc w:val="both"/>
        <w:rPr>
          <w:sz w:val="21"/>
        </w:rPr>
      </w:pPr>
      <w:r>
        <w:rPr>
          <w:rFonts w:ascii="楷体" w:hAnsi="楷体" w:eastAsia="楷体" w:hint="eastAsia"/>
          <w:b/>
          <w:spacing w:val="58"/>
          <w:sz w:val="21"/>
        </w:rPr>
        <w:t>早期象皮病 </w:t>
      </w:r>
      <w:r>
        <w:rPr>
          <w:sz w:val="21"/>
        </w:rPr>
        <w:t>指因丝虫感染导致淋巴管阻塞而造成身体组织出现严重淋巴水肿，但未达到</w:t>
      </w:r>
      <w:r>
        <w:rPr>
          <w:spacing w:val="-2"/>
          <w:sz w:val="21"/>
        </w:rPr>
        <w:t>重度疾病“丝虫病所致象皮肿”的给付标准，但需达到国际淋巴学会分级为</w:t>
      </w:r>
      <w:r>
        <w:rPr>
          <w:spacing w:val="-2"/>
          <w:sz w:val="21"/>
        </w:rPr>
        <w:t> 2 级淋巴液肿，其临床表现为肿胀为凹陷性，肢体抬高休息时肿胀不消失，</w:t>
      </w:r>
      <w:r>
        <w:rPr>
          <w:spacing w:val="-2"/>
          <w:sz w:val="21"/>
        </w:rPr>
        <w:t>有中度纤维化。此病症须经医院的专科医生根据临床表现和微丝蚴的化验结</w:t>
      </w:r>
      <w:r>
        <w:rPr>
          <w:spacing w:val="-4"/>
          <w:sz w:val="21"/>
        </w:rPr>
        <w:t>果确诊。</w:t>
      </w:r>
    </w:p>
    <w:p>
      <w:pPr>
        <w:spacing w:line="266" w:lineRule="auto" w:before="0"/>
        <w:ind w:left="3285" w:right="580" w:firstLine="0"/>
        <w:jc w:val="both"/>
        <w:rPr>
          <w:b/>
          <w:i/>
          <w:sz w:val="22"/>
        </w:rPr>
      </w:pPr>
      <w:r>
        <w:rPr>
          <w:b/>
          <w:i/>
          <w:spacing w:val="-2"/>
          <w:w w:val="95"/>
          <w:sz w:val="22"/>
        </w:rPr>
        <w:t>由性接触传染的疾病、创伤、手术后疤痕、充血性心力衰竭或先天性淋巴系</w:t>
      </w:r>
      <w:r>
        <w:rPr>
          <w:b/>
          <w:i/>
          <w:spacing w:val="-8"/>
          <w:w w:val="95"/>
          <w:sz w:val="22"/>
        </w:rPr>
        <w:t>统异常引起的淋巴水肿，以及急性淋巴管炎或其他原因引起的淋巴水肿不在</w:t>
      </w:r>
      <w:r>
        <w:rPr>
          <w:b/>
          <w:i/>
          <w:spacing w:val="-2"/>
          <w:sz w:val="22"/>
        </w:rPr>
        <w:t>保</w:t>
      </w:r>
      <w:r>
        <w:rPr>
          <w:b/>
          <w:i/>
          <w:spacing w:val="-2"/>
          <w:sz w:val="22"/>
        </w:rPr>
        <w:t>障</w:t>
      </w:r>
      <w:r>
        <w:rPr>
          <w:b/>
          <w:i/>
          <w:spacing w:val="-2"/>
          <w:sz w:val="22"/>
        </w:rPr>
        <w:t>范</w:t>
      </w:r>
      <w:r>
        <w:rPr>
          <w:b/>
          <w:i/>
          <w:spacing w:val="-2"/>
          <w:sz w:val="22"/>
        </w:rPr>
        <w:t>围</w:t>
      </w:r>
      <w:r>
        <w:rPr>
          <w:b/>
          <w:i/>
          <w:spacing w:val="-2"/>
          <w:sz w:val="22"/>
        </w:rPr>
        <w:t>内</w:t>
      </w:r>
      <w:r>
        <w:rPr>
          <w:b/>
          <w:i/>
          <w:spacing w:val="-2"/>
          <w:sz w:val="22"/>
        </w:rPr>
        <w:t>。</w:t>
      </w:r>
    </w:p>
    <w:p>
      <w:pPr>
        <w:pStyle w:val="BodyText"/>
        <w:spacing w:before="6"/>
        <w:rPr>
          <w:b/>
          <w:i/>
          <w:sz w:val="18"/>
        </w:rPr>
      </w:pPr>
    </w:p>
    <w:p>
      <w:pPr>
        <w:spacing w:after="0"/>
        <w:rPr>
          <w:sz w:val="18"/>
        </w:rPr>
        <w:sectPr>
          <w:type w:val="continuous"/>
          <w:pgSz w:w="11910" w:h="16840"/>
          <w:pgMar w:top="460" w:bottom="280" w:left="680" w:right="460"/>
        </w:sectPr>
      </w:pPr>
    </w:p>
    <w:p>
      <w:pPr>
        <w:pStyle w:val="Heading2"/>
        <w:numPr>
          <w:ilvl w:val="2"/>
          <w:numId w:val="29"/>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中度严重克罗</w:t>
      </w:r>
      <w:r>
        <w:rPr>
          <w:rFonts w:ascii="楷体" w:eastAsia="楷体" w:hint="eastAsia"/>
          <w:spacing w:val="-6"/>
        </w:rPr>
        <w:t>恩病</w:t>
      </w:r>
    </w:p>
    <w:p>
      <w:pPr>
        <w:pStyle w:val="BodyText"/>
        <w:spacing w:line="278" w:lineRule="auto" w:before="72"/>
        <w:ind w:left="265" w:right="579"/>
        <w:jc w:val="both"/>
      </w:pPr>
      <w:r>
        <w:rPr/>
        <w:br w:type="column"/>
      </w:r>
      <w:r>
        <w:rPr>
          <w:spacing w:val="-2"/>
        </w:rPr>
        <w:t>指一种慢性肉芽肿性肠炎，具有特征性的克罗恩病（Crohn病）病理组织学</w:t>
      </w:r>
      <w:r>
        <w:rPr>
          <w:spacing w:val="-2"/>
        </w:rPr>
        <w:t>变化。诊断必须由病理检查结果证实。被保险人所患的克罗恩病必须已经造</w:t>
      </w:r>
      <w:r>
        <w:rPr>
          <w:spacing w:val="-2"/>
        </w:rPr>
        <w:t>成瘘管形成，同时经专科医生以类固醇或免疫抑制剂连续治疗6个月以上且</w:t>
      </w:r>
      <w:r>
        <w:rPr>
          <w:spacing w:val="-2"/>
        </w:rPr>
        <w:t>未达到重度疾病“严重克罗恩病”的给付标准。</w:t>
      </w:r>
    </w:p>
    <w:p>
      <w:pPr>
        <w:spacing w:after="0" w:line="278" w:lineRule="auto"/>
        <w:jc w:val="both"/>
        <w:sectPr>
          <w:type w:val="continuous"/>
          <w:pgSz w:w="11910" w:h="16840"/>
          <w:pgMar w:top="460" w:bottom="280" w:left="680" w:right="460"/>
          <w:cols w:num="2" w:equalWidth="0">
            <w:col w:w="2981" w:space="40"/>
            <w:col w:w="7749"/>
          </w:cols>
        </w:sectPr>
      </w:pPr>
    </w:p>
    <w:p>
      <w:pPr>
        <w:pStyle w:val="BodyText"/>
        <w:spacing w:before="10"/>
        <w:rPr>
          <w:sz w:val="18"/>
        </w:rPr>
      </w:pPr>
    </w:p>
    <w:p>
      <w:pPr>
        <w:spacing w:after="0"/>
        <w:rPr>
          <w:sz w:val="18"/>
        </w:rPr>
        <w:sectPr>
          <w:type w:val="continuous"/>
          <w:pgSz w:w="11910" w:h="16840"/>
          <w:pgMar w:top="460" w:bottom="280" w:left="680" w:right="460"/>
        </w:sectPr>
      </w:pPr>
    </w:p>
    <w:p>
      <w:pPr>
        <w:pStyle w:val="Heading2"/>
        <w:numPr>
          <w:ilvl w:val="2"/>
          <w:numId w:val="29"/>
        </w:numPr>
        <w:tabs>
          <w:tab w:pos="1713" w:val="left" w:leader="none"/>
          <w:tab w:pos="1714" w:val="left" w:leader="none"/>
        </w:tabs>
        <w:spacing w:line="278" w:lineRule="auto" w:before="71" w:after="0"/>
        <w:ind w:left="1713" w:right="0" w:hanging="1138"/>
        <w:jc w:val="left"/>
        <w:rPr>
          <w:rFonts w:ascii="楷体" w:eastAsia="楷体" w:hint="eastAsia"/>
        </w:rPr>
      </w:pPr>
      <w:r>
        <w:rPr>
          <w:rFonts w:ascii="楷体" w:eastAsia="楷体" w:hint="eastAsia"/>
          <w:spacing w:val="-2"/>
        </w:rPr>
        <w:t>中度多发性硬</w:t>
      </w:r>
      <w:r>
        <w:rPr>
          <w:rFonts w:ascii="楷体" w:eastAsia="楷体" w:hint="eastAsia"/>
          <w:spacing w:val="-10"/>
        </w:rPr>
        <w:t>化</w:t>
      </w:r>
    </w:p>
    <w:p>
      <w:pPr>
        <w:pStyle w:val="BodyText"/>
        <w:spacing w:line="278" w:lineRule="auto" w:before="71"/>
        <w:ind w:left="265" w:right="577"/>
      </w:pPr>
      <w:r>
        <w:rPr/>
        <w:br w:type="column"/>
      </w:r>
      <w:r>
        <w:rPr>
          <w:spacing w:val="-2"/>
        </w:rPr>
        <w:t>指被保险人因脑及脊髓内的脱髓鞘病变而出现神经系统多灶性（多发性）多</w:t>
      </w:r>
      <w:r>
        <w:rPr>
          <w:spacing w:val="-2"/>
        </w:rPr>
        <w:t>时相（至少6个月以内有一次以上（不包含一次）的发作）的病变，须由计</w:t>
      </w:r>
      <w:r>
        <w:rPr>
          <w:spacing w:val="-2"/>
        </w:rPr>
        <w:t>算机断层扫描</w:t>
      </w:r>
      <w:r>
        <w:rPr>
          <w:spacing w:val="22"/>
        </w:rPr>
        <w:t>（</w:t>
      </w:r>
      <w:r>
        <w:rPr>
          <w:spacing w:val="25"/>
        </w:rPr>
        <w:t>CT</w:t>
      </w:r>
      <w:r>
        <w:rPr>
          <w:spacing w:val="-83"/>
        </w:rPr>
        <w:t>）</w:t>
      </w:r>
      <w:r>
        <w:rPr>
          <w:spacing w:val="-2"/>
        </w:rPr>
        <w:t>、核磁共振检查（MRI）或正电子发射断层扫描（PET）</w:t>
      </w:r>
      <w:r>
        <w:rPr>
          <w:spacing w:val="-2"/>
        </w:rPr>
        <w:t>等影像学检查证实，且已经造成自主生活能力部分丧失，无法独立完成六项</w:t>
      </w:r>
      <w:r>
        <w:rPr>
          <w:spacing w:val="-2"/>
        </w:rPr>
        <w:t>基本日常生活活动中的两项，持续至少180天，但未达到重度疾病“多发性</w:t>
      </w:r>
      <w:r>
        <w:rPr>
          <w:spacing w:val="-2"/>
        </w:rPr>
        <w:t>硬化”的给付标准。</w:t>
      </w:r>
    </w:p>
    <w:p>
      <w:pPr>
        <w:spacing w:after="0" w:line="278" w:lineRule="auto"/>
        <w:sectPr>
          <w:type w:val="continuous"/>
          <w:pgSz w:w="11910" w:h="16840"/>
          <w:pgMar w:top="460" w:bottom="280" w:left="680" w:right="460"/>
          <w:cols w:num="2" w:equalWidth="0">
            <w:col w:w="2981" w:space="40"/>
            <w:col w:w="7749"/>
          </w:cols>
        </w:sectPr>
      </w:pPr>
    </w:p>
    <w:p>
      <w:pPr>
        <w:pStyle w:val="Heading2"/>
        <w:numPr>
          <w:ilvl w:val="2"/>
          <w:numId w:val="29"/>
        </w:numPr>
        <w:tabs>
          <w:tab w:pos="1714" w:val="left" w:leader="none"/>
        </w:tabs>
        <w:spacing w:line="278" w:lineRule="auto" w:before="52" w:after="0"/>
        <w:ind w:left="1713" w:right="0" w:hanging="1138"/>
        <w:jc w:val="both"/>
        <w:rPr>
          <w:rFonts w:ascii="楷体" w:eastAsia="楷体" w:hint="eastAsia"/>
        </w:rPr>
      </w:pPr>
      <w:r>
        <w:rPr>
          <w:rFonts w:ascii="楷体" w:eastAsia="楷体" w:hint="eastAsia"/>
          <w:spacing w:val="-2"/>
        </w:rPr>
        <w:t>强直性脊柱炎</w:t>
      </w:r>
      <w:r>
        <w:rPr>
          <w:rFonts w:ascii="楷体" w:eastAsia="楷体" w:hint="eastAsia"/>
          <w:spacing w:val="-2"/>
        </w:rPr>
        <w:t>的特定手术治</w:t>
      </w:r>
      <w:r>
        <w:rPr>
          <w:rFonts w:ascii="楷体" w:eastAsia="楷体" w:hint="eastAsia"/>
          <w:spacing w:val="-10"/>
        </w:rPr>
        <w:t>疗</w:t>
      </w:r>
    </w:p>
    <w:p>
      <w:pPr>
        <w:pStyle w:val="BodyText"/>
        <w:spacing w:before="52"/>
        <w:ind w:left="264"/>
      </w:pPr>
      <w:r>
        <w:rPr/>
        <w:br w:type="column"/>
      </w:r>
      <w:r>
        <w:rPr>
          <w:spacing w:val="-3"/>
        </w:rPr>
        <w:t>指诊断为强直性脊柱炎，且满足下列全部条件：</w:t>
      </w:r>
    </w:p>
    <w:p>
      <w:pPr>
        <w:pStyle w:val="ListParagraph"/>
        <w:numPr>
          <w:ilvl w:val="0"/>
          <w:numId w:val="32"/>
        </w:numPr>
        <w:tabs>
          <w:tab w:pos="794" w:val="left" w:leader="none"/>
        </w:tabs>
        <w:spacing w:line="240" w:lineRule="auto" w:before="43" w:after="0"/>
        <w:ind w:left="793" w:right="0" w:hanging="530"/>
        <w:jc w:val="left"/>
        <w:rPr>
          <w:sz w:val="21"/>
        </w:rPr>
      </w:pPr>
      <w:r>
        <w:rPr>
          <w:spacing w:val="-3"/>
          <w:sz w:val="21"/>
        </w:rPr>
        <w:t>脊柱、髋、膝关节疼痛活动受限；</w:t>
      </w:r>
    </w:p>
    <w:p>
      <w:pPr>
        <w:pStyle w:val="ListParagraph"/>
        <w:numPr>
          <w:ilvl w:val="0"/>
          <w:numId w:val="32"/>
        </w:numPr>
        <w:tabs>
          <w:tab w:pos="794" w:val="left" w:leader="none"/>
        </w:tabs>
        <w:spacing w:line="240" w:lineRule="auto" w:before="43" w:after="0"/>
        <w:ind w:left="793" w:right="0" w:hanging="530"/>
        <w:jc w:val="left"/>
        <w:rPr>
          <w:sz w:val="21"/>
        </w:rPr>
      </w:pPr>
      <w:r>
        <w:rPr>
          <w:spacing w:val="-3"/>
          <w:sz w:val="21"/>
        </w:rPr>
        <w:t>脊柱后凸畸形，髋、膝关节强直；</w:t>
      </w:r>
    </w:p>
    <w:p>
      <w:pPr>
        <w:pStyle w:val="BodyText"/>
        <w:spacing w:before="43"/>
        <w:ind w:left="264"/>
      </w:pPr>
      <w:r>
        <w:rPr>
          <w:spacing w:val="-2"/>
        </w:rPr>
        <w:t>（3）X</w:t>
      </w:r>
      <w:r>
        <w:rPr>
          <w:spacing w:val="-10"/>
        </w:rPr>
        <w:t> 线关节结构破坏征象；</w:t>
      </w:r>
    </w:p>
    <w:p>
      <w:pPr>
        <w:pStyle w:val="BodyText"/>
        <w:spacing w:before="43"/>
        <w:ind w:left="264"/>
      </w:pPr>
      <w:r>
        <w:rPr>
          <w:spacing w:val="-2"/>
        </w:rPr>
        <w:t>（4）</w:t>
      </w:r>
      <w:r>
        <w:rPr>
          <w:spacing w:val="-3"/>
        </w:rPr>
        <w:t>实际实施了下列手术治疗的一项或多项：</w:t>
      </w:r>
    </w:p>
    <w:p>
      <w:pPr>
        <w:pStyle w:val="ListParagraph"/>
        <w:numPr>
          <w:ilvl w:val="1"/>
          <w:numId w:val="33"/>
        </w:numPr>
        <w:tabs>
          <w:tab w:pos="635" w:val="left" w:leader="none"/>
        </w:tabs>
        <w:spacing w:line="240" w:lineRule="auto" w:before="43" w:after="0"/>
        <w:ind w:left="634" w:right="0" w:hanging="371"/>
        <w:jc w:val="left"/>
        <w:rPr>
          <w:sz w:val="21"/>
        </w:rPr>
      </w:pPr>
      <w:r>
        <w:rPr>
          <w:spacing w:val="-4"/>
          <w:sz w:val="21"/>
        </w:rPr>
        <w:t>脊柱截骨手术；</w:t>
      </w:r>
    </w:p>
    <w:p>
      <w:pPr>
        <w:pStyle w:val="ListParagraph"/>
        <w:numPr>
          <w:ilvl w:val="1"/>
          <w:numId w:val="33"/>
        </w:numPr>
        <w:tabs>
          <w:tab w:pos="635" w:val="left" w:leader="none"/>
        </w:tabs>
        <w:spacing w:line="278" w:lineRule="auto" w:before="43" w:after="0"/>
        <w:ind w:left="264" w:right="5217" w:firstLine="0"/>
        <w:jc w:val="left"/>
        <w:rPr>
          <w:sz w:val="21"/>
        </w:rPr>
      </w:pPr>
      <w:r>
        <w:rPr>
          <w:spacing w:val="-2"/>
          <w:sz w:val="21"/>
        </w:rPr>
        <w:t>全髋关节置换手术；</w:t>
      </w:r>
      <w:r>
        <w:rPr>
          <w:spacing w:val="-2"/>
          <w:sz w:val="21"/>
        </w:rPr>
        <w:t> 4.3膝关节置换手术。</w:t>
      </w:r>
    </w:p>
    <w:p>
      <w:pPr>
        <w:spacing w:after="0" w:line="278" w:lineRule="auto"/>
        <w:jc w:val="left"/>
        <w:rPr>
          <w:sz w:val="21"/>
        </w:rPr>
        <w:sectPr>
          <w:pgSz w:w="11910" w:h="16840"/>
          <w:pgMar w:top="1200" w:bottom="280" w:left="680" w:right="460"/>
          <w:cols w:num="2" w:equalWidth="0">
            <w:col w:w="2982" w:space="40"/>
            <w:col w:w="7748"/>
          </w:cols>
        </w:sectPr>
      </w:pPr>
    </w:p>
    <w:p>
      <w:pPr>
        <w:pStyle w:val="BodyText"/>
        <w:spacing w:before="10"/>
        <w:rPr>
          <w:sz w:val="18"/>
        </w:rPr>
      </w:pPr>
    </w:p>
    <w:p>
      <w:pPr>
        <w:spacing w:after="0"/>
        <w:rPr>
          <w:sz w:val="18"/>
        </w:rPr>
        <w:sectPr>
          <w:type w:val="continuous"/>
          <w:pgSz w:w="11910" w:h="16840"/>
          <w:pgMar w:top="460" w:bottom="280" w:left="680" w:right="460"/>
        </w:sectPr>
      </w:pPr>
    </w:p>
    <w:p>
      <w:pPr>
        <w:pStyle w:val="Heading2"/>
        <w:numPr>
          <w:ilvl w:val="2"/>
          <w:numId w:val="29"/>
        </w:numPr>
        <w:tabs>
          <w:tab w:pos="1713" w:val="left" w:leader="none"/>
          <w:tab w:pos="1714" w:val="left" w:leader="none"/>
        </w:tabs>
        <w:spacing w:line="278" w:lineRule="auto" w:before="71" w:after="0"/>
        <w:ind w:left="1713" w:right="0" w:hanging="1138"/>
        <w:jc w:val="left"/>
        <w:rPr>
          <w:rFonts w:ascii="楷体" w:eastAsia="楷体" w:hint="eastAsia"/>
        </w:rPr>
      </w:pPr>
      <w:r>
        <w:rPr>
          <w:rFonts w:ascii="楷体" w:eastAsia="楷体" w:hint="eastAsia"/>
          <w:spacing w:val="-2"/>
        </w:rPr>
        <w:t>中度严重脊髓</w:t>
      </w:r>
      <w:r>
        <w:rPr>
          <w:rFonts w:ascii="楷体" w:eastAsia="楷体" w:hint="eastAsia"/>
          <w:spacing w:val="-4"/>
        </w:rPr>
        <w:t>灰质炎</w:t>
      </w:r>
    </w:p>
    <w:p>
      <w:pPr>
        <w:pStyle w:val="BodyText"/>
        <w:spacing w:line="278" w:lineRule="auto" w:before="71"/>
        <w:ind w:left="265" w:right="577"/>
      </w:pPr>
      <w:r>
        <w:rPr/>
        <w:br w:type="column"/>
      </w:r>
      <w:r>
        <w:rPr>
          <w:spacing w:val="-5"/>
          <w:w w:val="100"/>
        </w:rPr>
        <w:t>脊髓灰质炎是由于脊髓灰质炎病毒感染所致的瘫痪性疾病，临床表现为运动</w:t>
      </w:r>
      <w:r>
        <w:rPr>
          <w:spacing w:val="-7"/>
          <w:w w:val="100"/>
        </w:rPr>
        <w:t>功能损害或呼吸无力。脊髓灰质炎必须由专科医生明确诊断。本合同仅对脊</w:t>
      </w:r>
      <w:r>
        <w:rPr>
          <w:spacing w:val="-5"/>
          <w:w w:val="100"/>
        </w:rPr>
        <w:t>髓灰质炎造成的神经系统功能损害导致被保险人一肢或一肢以上肢体机能</w:t>
      </w:r>
      <w:r>
        <w:rPr>
          <w:spacing w:val="-9"/>
          <w:w w:val="100"/>
        </w:rPr>
        <w:t>永久完全丧失，但未达到重度疾病“脊髓灰质炎”或“瘫痪”的给付标准的</w:t>
      </w:r>
      <w:r>
        <w:rPr>
          <w:spacing w:val="-5"/>
          <w:w w:val="100"/>
        </w:rPr>
        <w:t>情况予以理赔。上述肢体机能永久完全丧失，指疾病确诊</w:t>
      </w:r>
      <w:r>
        <w:rPr>
          <w:w w:val="100"/>
        </w:rPr>
        <w:t>18</w:t>
      </w:r>
      <w:r>
        <w:rPr>
          <w:spacing w:val="-3"/>
          <w:w w:val="100"/>
        </w:rPr>
        <w:t>0天后，每肢三大关节中的至少一个大关节仍然完全僵硬，或不能随意识活动。</w:t>
      </w:r>
    </w:p>
    <w:p>
      <w:pPr>
        <w:spacing w:after="0" w:line="278" w:lineRule="auto"/>
        <w:sectPr>
          <w:type w:val="continuous"/>
          <w:pgSz w:w="11910" w:h="16840"/>
          <w:pgMar w:top="460" w:bottom="280" w:left="680" w:right="460"/>
          <w:cols w:num="2" w:equalWidth="0">
            <w:col w:w="2981" w:space="40"/>
            <w:col w:w="7749"/>
          </w:cols>
        </w:sectPr>
      </w:pPr>
    </w:p>
    <w:p>
      <w:pPr>
        <w:pStyle w:val="BodyText"/>
        <w:spacing w:before="10"/>
        <w:rPr>
          <w:sz w:val="18"/>
        </w:rPr>
      </w:pPr>
    </w:p>
    <w:p>
      <w:pPr>
        <w:pStyle w:val="ListParagraph"/>
        <w:numPr>
          <w:ilvl w:val="1"/>
          <w:numId w:val="34"/>
        </w:numPr>
        <w:tabs>
          <w:tab w:pos="1713" w:val="left" w:leader="none"/>
          <w:tab w:pos="1714" w:val="left" w:leader="none"/>
          <w:tab w:pos="3285" w:val="left" w:leader="none"/>
        </w:tabs>
        <w:spacing w:line="240" w:lineRule="auto" w:before="72" w:after="0"/>
        <w:ind w:left="1713" w:right="0" w:hanging="1139"/>
        <w:jc w:val="left"/>
        <w:rPr>
          <w:sz w:val="21"/>
        </w:rPr>
      </w:pPr>
      <w:r>
        <w:rPr>
          <w:b/>
          <w:sz w:val="21"/>
        </w:rPr>
        <w:t>重度疾</w:t>
      </w:r>
      <w:r>
        <w:rPr>
          <w:b/>
          <w:spacing w:val="-10"/>
          <w:sz w:val="21"/>
        </w:rPr>
        <w:t>病</w:t>
      </w:r>
      <w:r>
        <w:rPr>
          <w:b/>
          <w:sz w:val="21"/>
        </w:rPr>
        <w:tab/>
      </w:r>
      <w:r>
        <w:rPr>
          <w:spacing w:val="-2"/>
          <w:sz w:val="21"/>
        </w:rPr>
        <w:t>指</w:t>
      </w:r>
      <w:r>
        <w:rPr>
          <w:spacing w:val="-2"/>
          <w:sz w:val="21"/>
        </w:rPr>
        <w:t>下</w:t>
      </w:r>
      <w:r>
        <w:rPr>
          <w:spacing w:val="-2"/>
          <w:sz w:val="21"/>
        </w:rPr>
        <w:t>面列出的</w:t>
      </w:r>
      <w:r>
        <w:rPr>
          <w:spacing w:val="-50"/>
          <w:sz w:val="21"/>
        </w:rPr>
        <w:t> </w:t>
      </w:r>
      <w:r>
        <w:rPr>
          <w:spacing w:val="-2"/>
          <w:sz w:val="21"/>
        </w:rPr>
        <w:t>100</w:t>
      </w:r>
      <w:r>
        <w:rPr>
          <w:spacing w:val="-46"/>
          <w:sz w:val="21"/>
        </w:rPr>
        <w:t> </w:t>
      </w:r>
      <w:r>
        <w:rPr>
          <w:spacing w:val="-2"/>
          <w:sz w:val="21"/>
        </w:rPr>
        <w:t>种重度</w:t>
      </w:r>
      <w:r>
        <w:rPr>
          <w:spacing w:val="-2"/>
          <w:sz w:val="21"/>
        </w:rPr>
        <w:t>疾</w:t>
      </w:r>
      <w:r>
        <w:rPr>
          <w:spacing w:val="-10"/>
          <w:sz w:val="21"/>
        </w:rPr>
        <w:t>病</w:t>
      </w:r>
    </w:p>
    <w:p>
      <w:pPr>
        <w:pStyle w:val="BodyText"/>
        <w:spacing w:before="8"/>
        <w:rPr>
          <w:sz w:val="27"/>
        </w:rPr>
      </w:pPr>
    </w:p>
    <w:p>
      <w:pPr>
        <w:pStyle w:val="BodyText"/>
        <w:spacing w:line="278" w:lineRule="auto" w:before="1"/>
        <w:ind w:left="3285" w:right="593"/>
        <w:jc w:val="both"/>
      </w:pPr>
      <w:r>
        <w:rPr>
          <w:spacing w:val="-10"/>
        </w:rPr>
        <w:t>以下 </w:t>
      </w:r>
      <w:r>
        <w:rPr>
          <w:spacing w:val="-2"/>
        </w:rPr>
        <w:t>9.8.1</w:t>
      </w:r>
      <w:r>
        <w:rPr>
          <w:spacing w:val="-17"/>
        </w:rPr>
        <w:t> 至 </w:t>
      </w:r>
      <w:r>
        <w:rPr>
          <w:spacing w:val="-2"/>
        </w:rPr>
        <w:t>9.8.28</w:t>
      </w:r>
      <w:r>
        <w:rPr>
          <w:spacing w:val="-7"/>
        </w:rPr>
        <w:t> 所列重度疾病定义根据中国保险行业协会公布的《重</w:t>
      </w:r>
      <w:r>
        <w:rPr>
          <w:spacing w:val="-2"/>
        </w:rPr>
        <w:t>大疾病保险的疾病定义使用规范（2020</w:t>
      </w:r>
      <w:r>
        <w:rPr>
          <w:spacing w:val="-4"/>
        </w:rPr>
        <w:t> 年修订版</w:t>
      </w:r>
      <w:r>
        <w:rPr>
          <w:spacing w:val="-108"/>
        </w:rPr>
        <w:t>）</w:t>
      </w:r>
      <w:r>
        <w:rPr>
          <w:spacing w:val="-2"/>
        </w:rPr>
        <w:t>》作出，其他重度疾病由</w:t>
      </w:r>
      <w:r>
        <w:rPr>
          <w:spacing w:val="-2"/>
        </w:rPr>
        <w:t>本公司增加，其定义根据通行的医学标准制定。</w:t>
      </w: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78" w:lineRule="auto" w:before="72" w:after="0"/>
        <w:ind w:left="1713" w:right="0" w:hanging="1138"/>
        <w:jc w:val="left"/>
        <w:rPr>
          <w:rFonts w:ascii="楷体" w:hAnsi="楷体" w:eastAsia="楷体" w:hint="eastAsia"/>
        </w:rPr>
      </w:pPr>
      <w:r>
        <w:rPr>
          <w:rFonts w:ascii="楷体" w:hAnsi="楷体" w:eastAsia="楷体" w:hint="eastAsia"/>
          <w:spacing w:val="-2"/>
        </w:rPr>
        <w:t>恶性肿瘤——</w:t>
      </w:r>
      <w:r>
        <w:rPr>
          <w:rFonts w:ascii="楷体" w:hAnsi="楷体" w:eastAsia="楷体" w:hint="eastAsia"/>
          <w:spacing w:val="-6"/>
        </w:rPr>
        <w:t>重度</w:t>
      </w:r>
    </w:p>
    <w:p>
      <w:pPr>
        <w:pStyle w:val="BodyText"/>
        <w:spacing w:line="278" w:lineRule="auto" w:before="72"/>
        <w:ind w:left="265" w:right="558"/>
      </w:pPr>
      <w:r>
        <w:rPr/>
        <w:br w:type="column"/>
      </w:r>
      <w:r>
        <w:rPr>
          <w:spacing w:val="-2"/>
        </w:rPr>
        <w:t>指恶性细胞不受控制的进行性增长和扩散，浸润和破坏周围正常组织，可以</w:t>
      </w:r>
      <w:r>
        <w:rPr>
          <w:spacing w:val="-16"/>
        </w:rPr>
        <w:t>经血管、淋巴管和体腔扩散转移到身体其他部位，病灶经组织病理学检查</w:t>
      </w:r>
      <w:r>
        <w:rPr>
          <w:spacing w:val="-2"/>
        </w:rPr>
        <w:t>（涵</w:t>
      </w:r>
      <w:r>
        <w:rPr>
          <w:spacing w:val="-2"/>
        </w:rPr>
        <w:t>盖骨髓病理学检查</w:t>
      </w:r>
      <w:r>
        <w:rPr>
          <w:spacing w:val="-58"/>
        </w:rPr>
        <w:t>）</w:t>
      </w:r>
      <w:r>
        <w:rPr>
          <w:spacing w:val="-13"/>
        </w:rPr>
        <w:t>结果明确诊断，临床诊断属于世界卫生组织</w:t>
      </w:r>
      <w:r>
        <w:rPr>
          <w:spacing w:val="-2"/>
        </w:rPr>
        <w:t>（WHO，World </w:t>
      </w:r>
      <w:r>
        <w:rPr/>
        <w:t>Health Organization）《疾病和有关健康问题的国际统计分类》第十次修</w:t>
      </w:r>
      <w:r>
        <w:rPr>
          <w:spacing w:val="-2"/>
        </w:rPr>
        <w:t>订版（ICD-10）的恶性肿瘤类别及《国际疾病分类肿瘤学专辑》第三版</w:t>
      </w:r>
    </w:p>
    <w:p>
      <w:pPr>
        <w:pStyle w:val="BodyText"/>
        <w:ind w:left="265"/>
      </w:pPr>
      <w:r>
        <w:rPr>
          <w:spacing w:val="-2"/>
        </w:rPr>
        <w:t>（ICD-O-3）的肿瘤形态学编码属于3、6、9（恶性肿瘤）</w:t>
      </w:r>
      <w:r>
        <w:rPr>
          <w:spacing w:val="-4"/>
        </w:rPr>
        <w:t>范畴的疾病。</w:t>
      </w:r>
    </w:p>
    <w:p>
      <w:pPr>
        <w:spacing w:before="32"/>
        <w:ind w:left="265" w:right="0" w:firstLine="0"/>
        <w:jc w:val="left"/>
        <w:rPr>
          <w:b/>
          <w:i/>
          <w:sz w:val="22"/>
        </w:rPr>
      </w:pPr>
      <w:r>
        <w:rPr>
          <w:b/>
          <w:i/>
          <w:spacing w:val="-3"/>
          <w:w w:val="95"/>
          <w:sz w:val="22"/>
        </w:rPr>
        <w:t>下列疾病不属于“恶性肿瘤——重度”，不在保障范围内：</w:t>
      </w:r>
    </w:p>
    <w:p>
      <w:pPr>
        <w:pStyle w:val="ListParagraph"/>
        <w:numPr>
          <w:ilvl w:val="0"/>
          <w:numId w:val="35"/>
        </w:numPr>
        <w:tabs>
          <w:tab w:pos="795" w:val="left" w:leader="none"/>
        </w:tabs>
        <w:spacing w:line="266" w:lineRule="auto" w:before="31" w:after="0"/>
        <w:ind w:left="265" w:right="512" w:firstLine="0"/>
        <w:jc w:val="left"/>
        <w:rPr>
          <w:b/>
          <w:i/>
          <w:sz w:val="22"/>
        </w:rPr>
      </w:pPr>
      <w:r>
        <w:rPr>
          <w:b/>
          <w:i/>
          <w:spacing w:val="-2"/>
          <w:w w:val="95"/>
          <w:sz w:val="22"/>
        </w:rPr>
        <w:t>ICD-O-3肿瘤形态学编码属于0（良性肿瘤）、1（动态未定性肿瘤）</w:t>
      </w:r>
      <w:r>
        <w:rPr>
          <w:b/>
          <w:i/>
          <w:spacing w:val="-2"/>
          <w:w w:val="95"/>
          <w:sz w:val="22"/>
        </w:rPr>
        <w:t>、</w:t>
      </w:r>
      <w:r>
        <w:rPr>
          <w:b/>
          <w:i/>
          <w:spacing w:val="-2"/>
          <w:w w:val="95"/>
          <w:sz w:val="22"/>
        </w:rPr>
        <w:t> </w:t>
      </w:r>
      <w:r>
        <w:rPr>
          <w:b/>
          <w:i/>
          <w:spacing w:val="-2"/>
          <w:sz w:val="22"/>
        </w:rPr>
        <w:t>2（</w:t>
      </w:r>
      <w:r>
        <w:rPr>
          <w:b/>
          <w:i/>
          <w:spacing w:val="-2"/>
          <w:sz w:val="22"/>
        </w:rPr>
        <w:t>原</w:t>
      </w:r>
      <w:r>
        <w:rPr>
          <w:b/>
          <w:i/>
          <w:spacing w:val="-2"/>
          <w:sz w:val="22"/>
        </w:rPr>
        <w:t>位</w:t>
      </w:r>
      <w:r>
        <w:rPr>
          <w:b/>
          <w:i/>
          <w:spacing w:val="-2"/>
          <w:sz w:val="22"/>
        </w:rPr>
        <w:t>癌</w:t>
      </w:r>
      <w:r>
        <w:rPr>
          <w:b/>
          <w:i/>
          <w:spacing w:val="-2"/>
          <w:sz w:val="22"/>
        </w:rPr>
        <w:t>和</w:t>
      </w:r>
      <w:r>
        <w:rPr>
          <w:b/>
          <w:i/>
          <w:spacing w:val="-2"/>
          <w:sz w:val="22"/>
        </w:rPr>
        <w:t>非</w:t>
      </w:r>
      <w:r>
        <w:rPr>
          <w:b/>
          <w:i/>
          <w:spacing w:val="-2"/>
          <w:sz w:val="22"/>
        </w:rPr>
        <w:t>侵</w:t>
      </w:r>
      <w:r>
        <w:rPr>
          <w:b/>
          <w:i/>
          <w:spacing w:val="-2"/>
          <w:sz w:val="22"/>
        </w:rPr>
        <w:t>袭</w:t>
      </w:r>
      <w:r>
        <w:rPr>
          <w:b/>
          <w:i/>
          <w:spacing w:val="-2"/>
          <w:sz w:val="22"/>
        </w:rPr>
        <w:t>性</w:t>
      </w:r>
      <w:r>
        <w:rPr>
          <w:b/>
          <w:i/>
          <w:spacing w:val="-2"/>
          <w:sz w:val="22"/>
        </w:rPr>
        <w:t>癌）</w:t>
      </w:r>
      <w:r>
        <w:rPr>
          <w:b/>
          <w:i/>
          <w:spacing w:val="-2"/>
          <w:sz w:val="22"/>
        </w:rPr>
        <w:t>范</w:t>
      </w:r>
      <w:r>
        <w:rPr>
          <w:b/>
          <w:i/>
          <w:spacing w:val="-2"/>
          <w:sz w:val="22"/>
        </w:rPr>
        <w:t>畴</w:t>
      </w:r>
      <w:r>
        <w:rPr>
          <w:b/>
          <w:i/>
          <w:spacing w:val="-2"/>
          <w:sz w:val="22"/>
        </w:rPr>
        <w:t>的</w:t>
      </w:r>
      <w:r>
        <w:rPr>
          <w:b/>
          <w:i/>
          <w:spacing w:val="-2"/>
          <w:sz w:val="22"/>
        </w:rPr>
        <w:t>疾</w:t>
      </w:r>
      <w:r>
        <w:rPr>
          <w:b/>
          <w:i/>
          <w:spacing w:val="-2"/>
          <w:sz w:val="22"/>
        </w:rPr>
        <w:t>病</w:t>
      </w:r>
      <w:r>
        <w:rPr>
          <w:b/>
          <w:i/>
          <w:spacing w:val="-2"/>
          <w:sz w:val="22"/>
        </w:rPr>
        <w:t>，</w:t>
      </w:r>
      <w:r>
        <w:rPr>
          <w:b/>
          <w:i/>
          <w:spacing w:val="-2"/>
          <w:sz w:val="22"/>
        </w:rPr>
        <w:t>如</w:t>
      </w:r>
      <w:r>
        <w:rPr>
          <w:b/>
          <w:i/>
          <w:spacing w:val="-2"/>
          <w:sz w:val="22"/>
        </w:rPr>
        <w:t>：</w:t>
      </w:r>
    </w:p>
    <w:p>
      <w:pPr>
        <w:pStyle w:val="ListParagraph"/>
        <w:numPr>
          <w:ilvl w:val="0"/>
          <w:numId w:val="36"/>
        </w:numPr>
        <w:tabs>
          <w:tab w:pos="478" w:val="left" w:leader="none"/>
        </w:tabs>
        <w:spacing w:line="266" w:lineRule="auto" w:before="0" w:after="0"/>
        <w:ind w:left="265" w:right="518" w:firstLine="0"/>
        <w:jc w:val="left"/>
        <w:rPr>
          <w:b/>
          <w:i/>
          <w:sz w:val="22"/>
        </w:rPr>
      </w:pPr>
      <w:r>
        <w:rPr>
          <w:b/>
          <w:i/>
          <w:spacing w:val="-2"/>
          <w:w w:val="95"/>
          <w:sz w:val="22"/>
        </w:rPr>
        <w:t>原位癌，癌前病变，非浸润性癌，非侵袭性癌，肿瘤细胞未侵犯基底层，</w:t>
      </w:r>
      <w:r>
        <w:rPr>
          <w:b/>
          <w:i/>
          <w:spacing w:val="-2"/>
          <w:sz w:val="22"/>
        </w:rPr>
        <w:t>上</w:t>
      </w:r>
      <w:r>
        <w:rPr>
          <w:b/>
          <w:i/>
          <w:spacing w:val="-2"/>
          <w:sz w:val="22"/>
        </w:rPr>
        <w:t>皮</w:t>
      </w:r>
      <w:r>
        <w:rPr>
          <w:b/>
          <w:i/>
          <w:spacing w:val="-2"/>
          <w:sz w:val="22"/>
        </w:rPr>
        <w:t>内</w:t>
      </w:r>
      <w:r>
        <w:rPr>
          <w:b/>
          <w:i/>
          <w:spacing w:val="-2"/>
          <w:sz w:val="22"/>
        </w:rPr>
        <w:t>瘤</w:t>
      </w:r>
      <w:r>
        <w:rPr>
          <w:b/>
          <w:i/>
          <w:spacing w:val="-2"/>
          <w:sz w:val="22"/>
        </w:rPr>
        <w:t>变</w:t>
      </w:r>
      <w:r>
        <w:rPr>
          <w:b/>
          <w:i/>
          <w:spacing w:val="-2"/>
          <w:sz w:val="22"/>
        </w:rPr>
        <w:t>，</w:t>
      </w:r>
      <w:r>
        <w:rPr>
          <w:b/>
          <w:i/>
          <w:spacing w:val="-2"/>
          <w:sz w:val="22"/>
        </w:rPr>
        <w:t>细</w:t>
      </w:r>
      <w:r>
        <w:rPr>
          <w:b/>
          <w:i/>
          <w:spacing w:val="-2"/>
          <w:sz w:val="22"/>
        </w:rPr>
        <w:t>胞</w:t>
      </w:r>
      <w:r>
        <w:rPr>
          <w:b/>
          <w:i/>
          <w:spacing w:val="-2"/>
          <w:sz w:val="22"/>
        </w:rPr>
        <w:t>不典型</w:t>
      </w:r>
      <w:r>
        <w:rPr>
          <w:b/>
          <w:i/>
          <w:spacing w:val="-2"/>
          <w:sz w:val="22"/>
        </w:rPr>
        <w:t>性</w:t>
      </w:r>
      <w:r>
        <w:rPr>
          <w:b/>
          <w:i/>
          <w:spacing w:val="-2"/>
          <w:sz w:val="22"/>
        </w:rPr>
        <w:t>增</w:t>
      </w:r>
      <w:r>
        <w:rPr>
          <w:b/>
          <w:i/>
          <w:spacing w:val="-2"/>
          <w:sz w:val="22"/>
        </w:rPr>
        <w:t>生</w:t>
      </w:r>
      <w:r>
        <w:rPr>
          <w:b/>
          <w:i/>
          <w:spacing w:val="-2"/>
          <w:sz w:val="22"/>
        </w:rPr>
        <w:t>等</w:t>
      </w:r>
      <w:r>
        <w:rPr>
          <w:b/>
          <w:i/>
          <w:spacing w:val="-2"/>
          <w:sz w:val="22"/>
        </w:rPr>
        <w:t>；</w:t>
      </w:r>
    </w:p>
    <w:p>
      <w:pPr>
        <w:pStyle w:val="ListParagraph"/>
        <w:numPr>
          <w:ilvl w:val="0"/>
          <w:numId w:val="36"/>
        </w:numPr>
        <w:tabs>
          <w:tab w:pos="478" w:val="left" w:leader="none"/>
        </w:tabs>
        <w:spacing w:line="280" w:lineRule="exact" w:before="0" w:after="0"/>
        <w:ind w:left="477" w:right="0" w:hanging="213"/>
        <w:jc w:val="left"/>
        <w:rPr>
          <w:b/>
          <w:i/>
          <w:sz w:val="22"/>
        </w:rPr>
      </w:pPr>
      <w:r>
        <w:rPr>
          <w:b/>
          <w:i/>
          <w:spacing w:val="-3"/>
          <w:w w:val="95"/>
          <w:sz w:val="22"/>
        </w:rPr>
        <w:t>交界性肿瘤，交界恶性肿瘤，肿瘤低度恶性潜能，潜在低度恶性肿瘤等；</w:t>
      </w:r>
    </w:p>
    <w:p>
      <w:pPr>
        <w:pStyle w:val="ListParagraph"/>
        <w:numPr>
          <w:ilvl w:val="0"/>
          <w:numId w:val="35"/>
        </w:numPr>
        <w:tabs>
          <w:tab w:pos="795" w:val="left" w:leader="none"/>
        </w:tabs>
        <w:spacing w:line="240" w:lineRule="auto" w:before="28" w:after="0"/>
        <w:ind w:left="794" w:right="0" w:hanging="530"/>
        <w:jc w:val="left"/>
        <w:rPr>
          <w:b/>
          <w:i/>
          <w:sz w:val="22"/>
        </w:rPr>
      </w:pPr>
      <w:r>
        <w:rPr>
          <w:b/>
          <w:i/>
          <w:spacing w:val="-2"/>
          <w:w w:val="95"/>
          <w:sz w:val="22"/>
        </w:rPr>
        <w:t>TNM</w:t>
      </w:r>
      <w:r>
        <w:rPr>
          <w:b/>
          <w:i/>
          <w:spacing w:val="-3"/>
          <w:w w:val="95"/>
          <w:sz w:val="22"/>
        </w:rPr>
        <w:t>分期为Ⅰ期或更轻分期的甲状腺癌；</w:t>
      </w:r>
    </w:p>
    <w:p>
      <w:pPr>
        <w:pStyle w:val="ListParagraph"/>
        <w:numPr>
          <w:ilvl w:val="0"/>
          <w:numId w:val="35"/>
        </w:numPr>
        <w:tabs>
          <w:tab w:pos="795" w:val="left" w:leader="none"/>
        </w:tabs>
        <w:spacing w:line="240" w:lineRule="auto" w:before="30" w:after="0"/>
        <w:ind w:left="794" w:right="0" w:hanging="530"/>
        <w:jc w:val="left"/>
        <w:rPr>
          <w:b/>
          <w:i/>
          <w:sz w:val="22"/>
        </w:rPr>
      </w:pPr>
      <w:r>
        <w:rPr>
          <w:b/>
          <w:i/>
          <w:w w:val="95"/>
          <w:position w:val="1"/>
          <w:sz w:val="22"/>
        </w:rPr>
        <w:t>TNM分期为T</w:t>
      </w:r>
      <w:r>
        <w:rPr>
          <w:b/>
          <w:i/>
          <w:w w:val="95"/>
          <w:sz w:val="11"/>
        </w:rPr>
        <w:t>1</w:t>
      </w:r>
      <w:r>
        <w:rPr>
          <w:b/>
          <w:i/>
          <w:w w:val="95"/>
          <w:position w:val="1"/>
          <w:sz w:val="22"/>
        </w:rPr>
        <w:t>N</w:t>
      </w:r>
      <w:r>
        <w:rPr>
          <w:b/>
          <w:i/>
          <w:w w:val="95"/>
          <w:sz w:val="11"/>
        </w:rPr>
        <w:t>0</w:t>
      </w:r>
      <w:r>
        <w:rPr>
          <w:b/>
          <w:i/>
          <w:w w:val="95"/>
          <w:position w:val="1"/>
          <w:sz w:val="22"/>
        </w:rPr>
        <w:t>M</w:t>
      </w:r>
      <w:r>
        <w:rPr>
          <w:b/>
          <w:i/>
          <w:w w:val="95"/>
          <w:sz w:val="11"/>
        </w:rPr>
        <w:t>0</w:t>
      </w:r>
      <w:r>
        <w:rPr>
          <w:b/>
          <w:i/>
          <w:spacing w:val="-1"/>
          <w:w w:val="95"/>
          <w:position w:val="1"/>
          <w:sz w:val="22"/>
        </w:rPr>
        <w:t>期或更轻分期的前列腺癌；</w:t>
      </w:r>
    </w:p>
    <w:p>
      <w:pPr>
        <w:pStyle w:val="ListParagraph"/>
        <w:numPr>
          <w:ilvl w:val="0"/>
          <w:numId w:val="35"/>
        </w:numPr>
        <w:tabs>
          <w:tab w:pos="795" w:val="left" w:leader="none"/>
        </w:tabs>
        <w:spacing w:line="240" w:lineRule="auto" w:before="31" w:after="0"/>
        <w:ind w:left="794" w:right="0" w:hanging="530"/>
        <w:jc w:val="left"/>
        <w:rPr>
          <w:b/>
          <w:i/>
          <w:sz w:val="22"/>
        </w:rPr>
      </w:pPr>
      <w:r>
        <w:rPr>
          <w:b/>
          <w:i/>
          <w:spacing w:val="-3"/>
          <w:w w:val="95"/>
          <w:sz w:val="22"/>
        </w:rPr>
        <w:t>黑色素瘤以外的未发生淋巴结和远处转移的皮肤恶性肿瘤；</w:t>
      </w:r>
    </w:p>
    <w:p>
      <w:pPr>
        <w:pStyle w:val="ListParagraph"/>
        <w:numPr>
          <w:ilvl w:val="0"/>
          <w:numId w:val="35"/>
        </w:numPr>
        <w:tabs>
          <w:tab w:pos="795" w:val="left" w:leader="none"/>
        </w:tabs>
        <w:spacing w:line="240" w:lineRule="auto" w:before="30" w:after="0"/>
        <w:ind w:left="794" w:right="0" w:hanging="530"/>
        <w:jc w:val="left"/>
        <w:rPr>
          <w:b/>
          <w:i/>
          <w:sz w:val="22"/>
        </w:rPr>
      </w:pPr>
      <w:r>
        <w:rPr>
          <w:b/>
          <w:i/>
          <w:spacing w:val="-2"/>
          <w:w w:val="95"/>
          <w:sz w:val="22"/>
        </w:rPr>
        <w:t>相当于Binet分期方案A</w:t>
      </w:r>
      <w:r>
        <w:rPr>
          <w:b/>
          <w:i/>
          <w:spacing w:val="-3"/>
          <w:w w:val="95"/>
          <w:sz w:val="22"/>
        </w:rPr>
        <w:t>期程度的慢性淋巴细胞白血病；</w:t>
      </w:r>
    </w:p>
    <w:p>
      <w:pPr>
        <w:pStyle w:val="ListParagraph"/>
        <w:numPr>
          <w:ilvl w:val="0"/>
          <w:numId w:val="35"/>
        </w:numPr>
        <w:tabs>
          <w:tab w:pos="795" w:val="left" w:leader="none"/>
        </w:tabs>
        <w:spacing w:line="240" w:lineRule="auto" w:before="30" w:after="0"/>
        <w:ind w:left="794" w:right="0" w:hanging="530"/>
        <w:jc w:val="left"/>
        <w:rPr>
          <w:b/>
          <w:i/>
          <w:sz w:val="22"/>
        </w:rPr>
      </w:pPr>
      <w:r>
        <w:rPr>
          <w:b/>
          <w:i/>
          <w:w w:val="95"/>
          <w:sz w:val="22"/>
        </w:rPr>
        <w:t>相当于Ann</w:t>
      </w:r>
      <w:r>
        <w:rPr>
          <w:b/>
          <w:i/>
          <w:spacing w:val="-6"/>
          <w:w w:val="95"/>
          <w:sz w:val="22"/>
        </w:rPr>
        <w:t> </w:t>
      </w:r>
      <w:r>
        <w:rPr>
          <w:b/>
          <w:i/>
          <w:w w:val="95"/>
          <w:sz w:val="22"/>
        </w:rPr>
        <w:t>Arbor</w:t>
      </w:r>
      <w:r>
        <w:rPr>
          <w:b/>
          <w:i/>
          <w:spacing w:val="-1"/>
          <w:w w:val="95"/>
          <w:sz w:val="22"/>
        </w:rPr>
        <w:t>分期方案Ⅰ期程度的何杰金氏病；</w:t>
      </w:r>
    </w:p>
    <w:p>
      <w:pPr>
        <w:pStyle w:val="ListParagraph"/>
        <w:numPr>
          <w:ilvl w:val="0"/>
          <w:numId w:val="35"/>
        </w:numPr>
        <w:tabs>
          <w:tab w:pos="795" w:val="left" w:leader="none"/>
        </w:tabs>
        <w:spacing w:line="266" w:lineRule="auto" w:before="30" w:after="0"/>
        <w:ind w:left="265" w:right="563" w:firstLine="0"/>
        <w:jc w:val="left"/>
        <w:rPr>
          <w:b/>
          <w:i/>
          <w:sz w:val="22"/>
        </w:rPr>
      </w:pPr>
      <w:r>
        <w:rPr>
          <w:b/>
          <w:i/>
          <w:spacing w:val="-5"/>
          <w:w w:val="95"/>
          <w:sz w:val="22"/>
        </w:rPr>
        <w:t>未发生淋巴结和远处转移且 </w:t>
      </w:r>
      <w:r>
        <w:rPr>
          <w:b/>
          <w:i/>
          <w:w w:val="95"/>
          <w:sz w:val="22"/>
        </w:rPr>
        <w:t>WHO</w:t>
      </w:r>
      <w:r>
        <w:rPr>
          <w:b/>
          <w:i/>
          <w:spacing w:val="-53"/>
          <w:w w:val="95"/>
          <w:sz w:val="22"/>
        </w:rPr>
        <w:t> </w:t>
      </w:r>
      <w:r>
        <w:rPr>
          <w:b/>
          <w:i/>
          <w:spacing w:val="-14"/>
          <w:w w:val="95"/>
          <w:sz w:val="22"/>
        </w:rPr>
        <w:t>分级为 </w:t>
      </w:r>
      <w:r>
        <w:rPr>
          <w:b/>
          <w:i/>
          <w:w w:val="95"/>
          <w:sz w:val="22"/>
        </w:rPr>
        <w:t>G1</w:t>
      </w:r>
      <w:r>
        <w:rPr>
          <w:b/>
          <w:i/>
          <w:spacing w:val="-18"/>
          <w:w w:val="95"/>
          <w:sz w:val="22"/>
        </w:rPr>
        <w:t> 级别</w:t>
      </w:r>
      <w:r>
        <w:rPr>
          <w:b/>
          <w:i/>
          <w:w w:val="95"/>
          <w:sz w:val="22"/>
        </w:rPr>
        <w:t>（核分裂像&lt;10/50</w:t>
      </w:r>
      <w:r>
        <w:rPr>
          <w:b/>
          <w:i/>
          <w:spacing w:val="-51"/>
          <w:w w:val="95"/>
          <w:sz w:val="22"/>
        </w:rPr>
        <w:t> </w:t>
      </w:r>
      <w:r>
        <w:rPr>
          <w:b/>
          <w:i/>
          <w:w w:val="95"/>
          <w:sz w:val="22"/>
        </w:rPr>
        <w:t>HPF</w:t>
      </w:r>
      <w:r>
        <w:rPr>
          <w:b/>
          <w:i/>
          <w:spacing w:val="-21"/>
          <w:w w:val="95"/>
          <w:sz w:val="22"/>
        </w:rPr>
        <w:t>和 </w:t>
      </w:r>
      <w:r>
        <w:rPr>
          <w:b/>
          <w:i/>
          <w:w w:val="95"/>
          <w:sz w:val="22"/>
        </w:rPr>
        <w:t>ki-67≤2%）或更轻分级的神经内分泌肿瘤。</w:t>
      </w:r>
    </w:p>
    <w:p>
      <w:pPr>
        <w:spacing w:after="0" w:line="266" w:lineRule="auto"/>
        <w:jc w:val="left"/>
        <w:rPr>
          <w:sz w:val="22"/>
        </w:rPr>
        <w:sectPr>
          <w:type w:val="continuous"/>
          <w:pgSz w:w="11910" w:h="16840"/>
          <w:pgMar w:top="460" w:bottom="280" w:left="680" w:right="460"/>
          <w:cols w:num="2" w:equalWidth="0">
            <w:col w:w="2981" w:space="40"/>
            <w:col w:w="7749"/>
          </w:cols>
        </w:sectPr>
      </w:pPr>
    </w:p>
    <w:p>
      <w:pPr>
        <w:pStyle w:val="BodyText"/>
        <w:spacing w:before="5"/>
        <w:rPr>
          <w:b/>
          <w:i/>
          <w:sz w:val="19"/>
        </w:rPr>
      </w:pPr>
    </w:p>
    <w:p>
      <w:pPr>
        <w:spacing w:after="0"/>
        <w:rPr>
          <w:sz w:val="19"/>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较重急性心肌</w:t>
      </w:r>
      <w:r>
        <w:rPr>
          <w:rFonts w:ascii="楷体" w:eastAsia="楷体" w:hint="eastAsia"/>
          <w:spacing w:val="-6"/>
        </w:rPr>
        <w:t>梗死</w:t>
      </w:r>
    </w:p>
    <w:p>
      <w:pPr>
        <w:pStyle w:val="BodyText"/>
        <w:spacing w:line="278" w:lineRule="auto" w:before="72"/>
        <w:ind w:left="265" w:right="560"/>
      </w:pPr>
      <w:r>
        <w:rPr/>
        <w:br w:type="column"/>
      </w:r>
      <w:r>
        <w:rPr>
          <w:spacing w:val="3"/>
          <w:w w:val="100"/>
        </w:rPr>
        <w:t>急性心肌梗死指由于冠状动脉闭塞或梗阻引起部分心肌严重的持久性缺血</w:t>
      </w:r>
      <w:r>
        <w:rPr>
          <w:spacing w:val="-5"/>
          <w:w w:val="100"/>
        </w:rPr>
        <w:t>造成急性心肌坏死。急性心肌梗死的诊断必须依据国际国内诊断标准，符合</w:t>
      </w:r>
    </w:p>
    <w:p>
      <w:pPr>
        <w:pStyle w:val="ListParagraph"/>
        <w:numPr>
          <w:ilvl w:val="0"/>
          <w:numId w:val="37"/>
        </w:numPr>
        <w:tabs>
          <w:tab w:pos="792" w:val="left" w:leader="none"/>
        </w:tabs>
        <w:spacing w:line="278" w:lineRule="auto" w:before="0" w:after="0"/>
        <w:ind w:left="265" w:right="560" w:firstLine="0"/>
        <w:jc w:val="left"/>
        <w:rPr>
          <w:sz w:val="21"/>
        </w:rPr>
      </w:pPr>
      <w:r>
        <w:rPr>
          <w:spacing w:val="-2"/>
          <w:sz w:val="21"/>
        </w:rPr>
        <w:t>检测到肌酸激酶同工酶（CK-MB）或肌钙蛋白（cTn）升高和/或降低的</w:t>
      </w:r>
      <w:r>
        <w:rPr>
          <w:spacing w:val="-8"/>
          <w:sz w:val="21"/>
        </w:rPr>
        <w:t>动态变化，至少一次达到或超过心肌梗死的临床诊断标准；</w:t>
      </w:r>
      <w:r>
        <w:rPr>
          <w:spacing w:val="23"/>
          <w:sz w:val="21"/>
        </w:rPr>
        <w:t>（</w:t>
      </w:r>
      <w:r>
        <w:rPr>
          <w:spacing w:val="26"/>
          <w:sz w:val="21"/>
        </w:rPr>
        <w:t>2</w:t>
      </w:r>
      <w:r>
        <w:rPr>
          <w:spacing w:val="18"/>
          <w:sz w:val="21"/>
        </w:rPr>
        <w:t>）</w:t>
      </w:r>
      <w:r>
        <w:rPr>
          <w:spacing w:val="-4"/>
          <w:sz w:val="21"/>
        </w:rPr>
        <w:t>同时存在下</w:t>
      </w:r>
    </w:p>
    <w:p>
      <w:pPr>
        <w:spacing w:after="0" w:line="278" w:lineRule="auto"/>
        <w:jc w:val="left"/>
        <w:rPr>
          <w:sz w:val="21"/>
        </w:rPr>
        <w:sectPr>
          <w:type w:val="continuous"/>
          <w:pgSz w:w="11910" w:h="16840"/>
          <w:pgMar w:top="460" w:bottom="280" w:left="680" w:right="460"/>
          <w:cols w:num="2" w:equalWidth="0">
            <w:col w:w="2981" w:space="40"/>
            <w:col w:w="7749"/>
          </w:cols>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3"/>
        <w:gridCol w:w="1725"/>
        <w:gridCol w:w="7227"/>
      </w:tblGrid>
      <w:tr>
        <w:trPr>
          <w:trHeight w:val="261" w:hRule="atLeast"/>
        </w:trPr>
        <w:tc>
          <w:tcPr>
            <w:tcW w:w="2608" w:type="dxa"/>
            <w:gridSpan w:val="2"/>
            <w:vMerge w:val="restart"/>
          </w:tcPr>
          <w:p>
            <w:pPr>
              <w:pStyle w:val="TableParagraph"/>
              <w:rPr>
                <w:rFonts w:ascii="Times New Roman"/>
                <w:sz w:val="20"/>
              </w:rPr>
            </w:pPr>
          </w:p>
        </w:tc>
        <w:tc>
          <w:tcPr>
            <w:tcW w:w="7227" w:type="dxa"/>
          </w:tcPr>
          <w:p>
            <w:pPr>
              <w:pStyle w:val="TableParagraph"/>
              <w:spacing w:line="241" w:lineRule="exact"/>
              <w:ind w:left="152"/>
              <w:rPr>
                <w:sz w:val="21"/>
              </w:rPr>
            </w:pPr>
            <w:r>
              <w:rPr>
                <w:spacing w:val="-3"/>
                <w:sz w:val="21"/>
              </w:rPr>
              <w:t>列之一的证据，包括：缺血性胸痛症状、新发生的缺血性心电图改变、新生</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11"/>
                <w:sz w:val="21"/>
              </w:rPr>
              <w:t>成的病理性 </w:t>
            </w:r>
            <w:r>
              <w:rPr>
                <w:spacing w:val="-2"/>
                <w:sz w:val="21"/>
              </w:rPr>
              <w:t>Q</w:t>
            </w:r>
            <w:r>
              <w:rPr>
                <w:spacing w:val="-10"/>
                <w:sz w:val="21"/>
              </w:rPr>
              <w:t> 波、影像学证据显示有新出现的心肌活性丧失或新出现局部室</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3"/>
                <w:sz w:val="21"/>
              </w:rPr>
              <w:t>壁运动异常、冠脉造影证实存在冠状动脉血栓。</w:t>
            </w:r>
          </w:p>
        </w:tc>
      </w:tr>
      <w:tr>
        <w:trPr>
          <w:trHeight w:val="311"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3"/>
                <w:sz w:val="21"/>
              </w:rPr>
              <w:t>较重急性心肌梗死指依照上述标准被明确诊断为急性心肌梗死，并且必须同</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3"/>
                <w:sz w:val="21"/>
              </w:rPr>
              <w:t>时满足下列至少一项条件：</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2"/>
                <w:sz w:val="21"/>
              </w:rPr>
              <w:t>（1）心肌损伤标志物肌钙蛋白（cTn）</w:t>
            </w:r>
            <w:r>
              <w:rPr>
                <w:spacing w:val="-3"/>
                <w:sz w:val="21"/>
              </w:rPr>
              <w:t>升高，至少一次检测结果达到该检验</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8"/>
                <w:sz w:val="21"/>
              </w:rPr>
              <w:t>正常参考值上限的 </w:t>
            </w:r>
            <w:r>
              <w:rPr>
                <w:spacing w:val="-2"/>
                <w:sz w:val="21"/>
              </w:rPr>
              <w:t>15</w:t>
            </w:r>
            <w:r>
              <w:rPr>
                <w:spacing w:val="-25"/>
                <w:sz w:val="21"/>
              </w:rPr>
              <w:t> 倍</w:t>
            </w:r>
            <w:r>
              <w:rPr>
                <w:spacing w:val="-2"/>
                <w:sz w:val="21"/>
              </w:rPr>
              <w:t>（含）</w:t>
            </w:r>
            <w:r>
              <w:rPr>
                <w:spacing w:val="-5"/>
                <w:sz w:val="21"/>
              </w:rPr>
              <w:t>以上；</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2"/>
                <w:sz w:val="21"/>
              </w:rPr>
              <w:t>（2）肌酸激酶同工酶（CK-MB）</w:t>
            </w:r>
            <w:r>
              <w:rPr>
                <w:spacing w:val="-3"/>
                <w:sz w:val="21"/>
              </w:rPr>
              <w:t>升高，至少一次检测结果达到该检验正常参</w:t>
            </w:r>
          </w:p>
        </w:tc>
      </w:tr>
      <w:tr>
        <w:trPr>
          <w:trHeight w:val="311"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11"/>
                <w:sz w:val="21"/>
              </w:rPr>
              <w:t>考值上限的 </w:t>
            </w:r>
            <w:r>
              <w:rPr>
                <w:spacing w:val="-2"/>
                <w:sz w:val="21"/>
              </w:rPr>
              <w:t>2</w:t>
            </w:r>
            <w:r>
              <w:rPr>
                <w:spacing w:val="-25"/>
                <w:sz w:val="21"/>
              </w:rPr>
              <w:t> 倍</w:t>
            </w:r>
            <w:r>
              <w:rPr>
                <w:spacing w:val="-2"/>
                <w:sz w:val="21"/>
              </w:rPr>
              <w:t>（含）</w:t>
            </w:r>
            <w:r>
              <w:rPr>
                <w:spacing w:val="-5"/>
                <w:sz w:val="21"/>
              </w:rPr>
              <w:t>以上；</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4"/>
                <w:sz w:val="21"/>
              </w:rPr>
              <w:t>（3）</w:t>
            </w:r>
            <w:r>
              <w:rPr>
                <w:spacing w:val="-12"/>
                <w:sz w:val="21"/>
              </w:rPr>
              <w:t>出现左心室收缩功能下降，在确诊 </w:t>
            </w:r>
            <w:r>
              <w:rPr>
                <w:spacing w:val="-4"/>
                <w:sz w:val="21"/>
              </w:rPr>
              <w:t>6</w:t>
            </w:r>
            <w:r>
              <w:rPr>
                <w:spacing w:val="-18"/>
                <w:sz w:val="21"/>
              </w:rPr>
              <w:t> 周以后，检测左室射血分数</w:t>
            </w:r>
            <w:r>
              <w:rPr>
                <w:spacing w:val="-4"/>
                <w:sz w:val="21"/>
              </w:rPr>
              <w:t>（LVEF）</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18"/>
                <w:sz w:val="21"/>
              </w:rPr>
              <w:t>低于 </w:t>
            </w:r>
            <w:r>
              <w:rPr>
                <w:spacing w:val="-2"/>
                <w:sz w:val="21"/>
              </w:rPr>
              <w:t>50%（不含</w:t>
            </w:r>
            <w:r>
              <w:rPr>
                <w:spacing w:val="-111"/>
                <w:sz w:val="21"/>
              </w:rPr>
              <w:t>）</w:t>
            </w:r>
            <w:r>
              <w:rPr>
                <w:spacing w:val="-5"/>
                <w:sz w:val="21"/>
              </w:rPr>
              <w:t>；</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z w:val="21"/>
              </w:rPr>
              <w:t>（4）影像学检查证实存在新发的乳头肌功能失调或断裂引起的中度（含</w:t>
            </w:r>
            <w:r>
              <w:rPr>
                <w:spacing w:val="-10"/>
                <w:sz w:val="21"/>
              </w:rPr>
              <w:t>）</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3"/>
                <w:sz w:val="21"/>
              </w:rPr>
              <w:t>以上的二尖瓣反流；</w:t>
            </w:r>
          </w:p>
        </w:tc>
      </w:tr>
      <w:tr>
        <w:trPr>
          <w:trHeight w:val="312"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2"/>
                <w:sz w:val="21"/>
              </w:rPr>
              <w:t>（5）</w:t>
            </w:r>
            <w:r>
              <w:rPr>
                <w:spacing w:val="-3"/>
                <w:sz w:val="21"/>
              </w:rPr>
              <w:t>影像学检查证实存在新出现的室壁瘤；</w:t>
            </w:r>
          </w:p>
        </w:tc>
      </w:tr>
      <w:tr>
        <w:trPr>
          <w:trHeight w:val="780" w:hRule="atLeast"/>
        </w:trPr>
        <w:tc>
          <w:tcPr>
            <w:tcW w:w="2608" w:type="dxa"/>
            <w:gridSpan w:val="2"/>
            <w:vMerge/>
            <w:tcBorders>
              <w:top w:val="nil"/>
            </w:tcBorders>
          </w:tcPr>
          <w:p>
            <w:pPr>
              <w:rPr>
                <w:sz w:val="2"/>
                <w:szCs w:val="2"/>
              </w:rPr>
            </w:pPr>
          </w:p>
        </w:tc>
        <w:tc>
          <w:tcPr>
            <w:tcW w:w="7227" w:type="dxa"/>
          </w:tcPr>
          <w:p>
            <w:pPr>
              <w:pStyle w:val="TableParagraph"/>
              <w:spacing w:before="22"/>
              <w:ind w:left="152"/>
              <w:rPr>
                <w:sz w:val="21"/>
              </w:rPr>
            </w:pPr>
            <w:r>
              <w:rPr>
                <w:spacing w:val="-2"/>
                <w:sz w:val="21"/>
              </w:rPr>
              <w:t>（6）</w:t>
            </w:r>
            <w:r>
              <w:rPr>
                <w:spacing w:val="-3"/>
                <w:sz w:val="21"/>
              </w:rPr>
              <w:t>出现室性心动过速、心室颤动或心源性休克。</w:t>
            </w:r>
          </w:p>
          <w:p>
            <w:pPr>
              <w:pStyle w:val="TableParagraph"/>
              <w:spacing w:before="33"/>
              <w:ind w:left="152"/>
              <w:rPr>
                <w:b/>
                <w:i/>
                <w:sz w:val="22"/>
              </w:rPr>
            </w:pPr>
            <w:r>
              <w:rPr>
                <w:b/>
                <w:i/>
                <w:spacing w:val="-2"/>
                <w:w w:val="95"/>
                <w:sz w:val="22"/>
              </w:rPr>
              <w:t>其他非冠状动脉阻塞性疾病所引起的肌钙蛋白（cTn）</w:t>
            </w:r>
            <w:r>
              <w:rPr>
                <w:b/>
                <w:i/>
                <w:spacing w:val="-3"/>
                <w:w w:val="95"/>
                <w:sz w:val="22"/>
              </w:rPr>
              <w:t>升高不在保障范围内。</w:t>
            </w:r>
          </w:p>
        </w:tc>
      </w:tr>
      <w:tr>
        <w:trPr>
          <w:trHeight w:val="467" w:hRule="atLeast"/>
        </w:trPr>
        <w:tc>
          <w:tcPr>
            <w:tcW w:w="883" w:type="dxa"/>
          </w:tcPr>
          <w:p>
            <w:pPr>
              <w:pStyle w:val="TableParagraph"/>
              <w:spacing w:before="177"/>
              <w:ind w:left="50"/>
              <w:rPr>
                <w:b/>
                <w:sz w:val="21"/>
              </w:rPr>
            </w:pPr>
            <w:r>
              <w:rPr>
                <w:b/>
                <w:spacing w:val="-2"/>
                <w:sz w:val="21"/>
              </w:rPr>
              <w:t>9.8.3</w:t>
            </w:r>
          </w:p>
        </w:tc>
        <w:tc>
          <w:tcPr>
            <w:tcW w:w="1725" w:type="dxa"/>
          </w:tcPr>
          <w:p>
            <w:pPr>
              <w:pStyle w:val="TableParagraph"/>
              <w:spacing w:before="177"/>
              <w:ind w:left="304"/>
              <w:rPr>
                <w:rFonts w:ascii="楷体" w:eastAsia="楷体" w:hint="eastAsia"/>
                <w:b/>
                <w:sz w:val="21"/>
              </w:rPr>
            </w:pPr>
            <w:r>
              <w:rPr>
                <w:rFonts w:ascii="楷体" w:eastAsia="楷体" w:hint="eastAsia"/>
                <w:b/>
                <w:spacing w:val="-2"/>
                <w:sz w:val="21"/>
              </w:rPr>
              <w:t>严重脑中风后</w:t>
            </w:r>
          </w:p>
        </w:tc>
        <w:tc>
          <w:tcPr>
            <w:tcW w:w="7227" w:type="dxa"/>
          </w:tcPr>
          <w:p>
            <w:pPr>
              <w:pStyle w:val="TableParagraph"/>
              <w:spacing w:before="177"/>
              <w:ind w:left="152"/>
              <w:rPr>
                <w:sz w:val="21"/>
              </w:rPr>
            </w:pPr>
            <w:r>
              <w:rPr>
                <w:spacing w:val="-1"/>
                <w:sz w:val="21"/>
              </w:rPr>
              <w:t>指因脑血管的突发病变引起脑血管出血、栓塞或梗塞，须由头颅断层扫描</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before="22"/>
              <w:ind w:left="304"/>
              <w:rPr>
                <w:rFonts w:ascii="楷体" w:eastAsia="楷体" w:hint="eastAsia"/>
                <w:b/>
                <w:sz w:val="21"/>
              </w:rPr>
            </w:pPr>
            <w:r>
              <w:rPr>
                <w:rFonts w:ascii="楷体" w:eastAsia="楷体" w:hint="eastAsia"/>
                <w:b/>
                <w:spacing w:val="-5"/>
                <w:sz w:val="21"/>
              </w:rPr>
              <w:t>遗症</w:t>
            </w:r>
          </w:p>
        </w:tc>
        <w:tc>
          <w:tcPr>
            <w:tcW w:w="7227" w:type="dxa"/>
          </w:tcPr>
          <w:p>
            <w:pPr>
              <w:pStyle w:val="TableParagraph"/>
              <w:spacing w:before="22"/>
              <w:ind w:left="152"/>
              <w:rPr>
                <w:sz w:val="21"/>
              </w:rPr>
            </w:pPr>
            <w:r>
              <w:rPr>
                <w:sz w:val="21"/>
              </w:rPr>
              <w:t>（CT）、核磁共振检查（MRI）</w:t>
            </w:r>
            <w:r>
              <w:rPr>
                <w:spacing w:val="-1"/>
                <w:sz w:val="21"/>
              </w:rPr>
              <w:t>等影像学检查证实，并导致神经系统永久性</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4"/>
                <w:sz w:val="21"/>
              </w:rPr>
              <w:t>的功能障碍。神经系统永久性的功能障碍，指疾病确诊 </w:t>
            </w:r>
            <w:r>
              <w:rPr>
                <w:spacing w:val="-2"/>
                <w:sz w:val="21"/>
              </w:rPr>
              <w:t>180</w:t>
            </w:r>
            <w:r>
              <w:rPr>
                <w:spacing w:val="-11"/>
                <w:sz w:val="21"/>
              </w:rPr>
              <w:t> 天后，仍遗留下</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4"/>
                <w:sz w:val="21"/>
              </w:rPr>
              <w:t>列至少一种障碍：</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（1）一肢（含）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6"/>
                <w:sz w:val="21"/>
              </w:rPr>
              <w:t>（2）语言能力完全丧失（</w:t>
            </w:r>
            <w:r>
              <w:rPr>
                <w:spacing w:val="-18"/>
                <w:sz w:val="21"/>
              </w:rPr>
              <w:t>见 </w:t>
            </w:r>
            <w:r>
              <w:rPr>
                <w:spacing w:val="-6"/>
                <w:sz w:val="21"/>
              </w:rPr>
              <w:t>9.34），或严重咀嚼吞咽功能障碍（</w:t>
            </w:r>
            <w:r>
              <w:rPr>
                <w:spacing w:val="-17"/>
                <w:sz w:val="21"/>
              </w:rPr>
              <w:t>见 </w:t>
            </w:r>
            <w:r>
              <w:rPr>
                <w:spacing w:val="-6"/>
                <w:sz w:val="21"/>
              </w:rPr>
              <w:t>9.35）；</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（3）</w:t>
            </w:r>
            <w:r>
              <w:rPr>
                <w:spacing w:val="-3"/>
                <w:sz w:val="21"/>
              </w:rPr>
              <w:t>自主生活能力完全丧失，无法独立完成六项基本日常生活活动中的三</w:t>
            </w:r>
          </w:p>
        </w:tc>
      </w:tr>
      <w:tr>
        <w:trPr>
          <w:trHeight w:val="468"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4"/>
                <w:sz w:val="21"/>
              </w:rPr>
              <w:t>项或三项以上。</w:t>
            </w:r>
          </w:p>
        </w:tc>
      </w:tr>
      <w:tr>
        <w:trPr>
          <w:trHeight w:val="468" w:hRule="atLeast"/>
        </w:trPr>
        <w:tc>
          <w:tcPr>
            <w:tcW w:w="883" w:type="dxa"/>
          </w:tcPr>
          <w:p>
            <w:pPr>
              <w:pStyle w:val="TableParagraph"/>
              <w:spacing w:before="178"/>
              <w:ind w:left="50"/>
              <w:rPr>
                <w:b/>
                <w:sz w:val="21"/>
              </w:rPr>
            </w:pPr>
            <w:r>
              <w:rPr>
                <w:b/>
                <w:spacing w:val="-2"/>
                <w:sz w:val="21"/>
              </w:rPr>
              <w:t>9.8.4</w:t>
            </w:r>
          </w:p>
        </w:tc>
        <w:tc>
          <w:tcPr>
            <w:tcW w:w="1725" w:type="dxa"/>
          </w:tcPr>
          <w:p>
            <w:pPr>
              <w:pStyle w:val="TableParagraph"/>
              <w:spacing w:before="178"/>
              <w:ind w:left="304"/>
              <w:rPr>
                <w:rFonts w:ascii="楷体" w:eastAsia="楷体" w:hint="eastAsia"/>
                <w:b/>
                <w:sz w:val="21"/>
              </w:rPr>
            </w:pPr>
            <w:r>
              <w:rPr>
                <w:rFonts w:ascii="楷体" w:eastAsia="楷体" w:hint="eastAsia"/>
                <w:b/>
                <w:spacing w:val="-2"/>
                <w:sz w:val="21"/>
              </w:rPr>
              <w:t>重大器官移植</w:t>
            </w:r>
          </w:p>
        </w:tc>
        <w:tc>
          <w:tcPr>
            <w:tcW w:w="7227" w:type="dxa"/>
          </w:tcPr>
          <w:p>
            <w:pPr>
              <w:pStyle w:val="TableParagraph"/>
              <w:spacing w:before="178"/>
              <w:ind w:left="152"/>
              <w:rPr>
                <w:sz w:val="21"/>
              </w:rPr>
            </w:pPr>
            <w:r>
              <w:rPr>
                <w:spacing w:val="-3"/>
                <w:sz w:val="21"/>
              </w:rPr>
              <w:t>重大器官移植术，指因相应器官功能衰竭，已经实施了肾脏、肝脏、心脏、</w:t>
            </w:r>
          </w:p>
        </w:tc>
      </w:tr>
      <w:tr>
        <w:trPr>
          <w:trHeight w:val="311" w:hRule="atLeast"/>
        </w:trPr>
        <w:tc>
          <w:tcPr>
            <w:tcW w:w="883" w:type="dxa"/>
          </w:tcPr>
          <w:p>
            <w:pPr>
              <w:pStyle w:val="TableParagraph"/>
              <w:rPr>
                <w:rFonts w:ascii="Times New Roman"/>
                <w:sz w:val="20"/>
              </w:rPr>
            </w:pPr>
          </w:p>
        </w:tc>
        <w:tc>
          <w:tcPr>
            <w:tcW w:w="1725" w:type="dxa"/>
          </w:tcPr>
          <w:p>
            <w:pPr>
              <w:pStyle w:val="TableParagraph"/>
              <w:spacing w:before="22"/>
              <w:ind w:left="304"/>
              <w:rPr>
                <w:rFonts w:ascii="楷体" w:eastAsia="楷体" w:hint="eastAsia"/>
                <w:b/>
                <w:sz w:val="21"/>
              </w:rPr>
            </w:pPr>
            <w:r>
              <w:rPr>
                <w:rFonts w:ascii="楷体" w:eastAsia="楷体" w:hint="eastAsia"/>
                <w:b/>
                <w:spacing w:val="-2"/>
                <w:sz w:val="21"/>
              </w:rPr>
              <w:t>术或造血干细</w:t>
            </w:r>
          </w:p>
        </w:tc>
        <w:tc>
          <w:tcPr>
            <w:tcW w:w="7227" w:type="dxa"/>
          </w:tcPr>
          <w:p>
            <w:pPr>
              <w:pStyle w:val="TableParagraph"/>
              <w:spacing w:before="22"/>
              <w:ind w:left="152"/>
              <w:rPr>
                <w:sz w:val="21"/>
              </w:rPr>
            </w:pPr>
            <w:r>
              <w:rPr>
                <w:spacing w:val="-3"/>
                <w:sz w:val="21"/>
              </w:rPr>
              <w:t>肺脏或小肠的异体移植手术。</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before="22"/>
              <w:ind w:left="304"/>
              <w:rPr>
                <w:rFonts w:ascii="楷体" w:eastAsia="楷体" w:hint="eastAsia"/>
                <w:b/>
                <w:sz w:val="21"/>
              </w:rPr>
            </w:pPr>
            <w:r>
              <w:rPr>
                <w:rFonts w:ascii="楷体" w:eastAsia="楷体" w:hint="eastAsia"/>
                <w:b/>
                <w:spacing w:val="-3"/>
                <w:sz w:val="21"/>
              </w:rPr>
              <w:t>胞移植术</w:t>
            </w:r>
          </w:p>
        </w:tc>
        <w:tc>
          <w:tcPr>
            <w:tcW w:w="7227" w:type="dxa"/>
          </w:tcPr>
          <w:p>
            <w:pPr>
              <w:pStyle w:val="TableParagraph"/>
              <w:spacing w:before="22"/>
              <w:ind w:left="152"/>
              <w:rPr>
                <w:sz w:val="21"/>
              </w:rPr>
            </w:pPr>
            <w:r>
              <w:rPr>
                <w:spacing w:val="-3"/>
                <w:sz w:val="21"/>
              </w:rPr>
              <w:t>造血干细胞移植术，指因造血功能损害或造血系统恶性肿瘤，已经实施了造</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4"/>
                <w:sz w:val="21"/>
              </w:rPr>
              <w:t>血干细胞（包括骨髓造血干细胞、外周血造血干细胞和脐血造血干细胞）</w:t>
            </w:r>
            <w:r>
              <w:rPr>
                <w:spacing w:val="-10"/>
                <w:sz w:val="21"/>
              </w:rPr>
              <w:t>的</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4"/>
                <w:sz w:val="21"/>
              </w:rPr>
              <w:t>移植手术。</w:t>
            </w:r>
          </w:p>
        </w:tc>
      </w:tr>
      <w:tr>
        <w:trPr>
          <w:trHeight w:val="467" w:hRule="atLeast"/>
        </w:trPr>
        <w:tc>
          <w:tcPr>
            <w:tcW w:w="883" w:type="dxa"/>
          </w:tcPr>
          <w:p>
            <w:pPr>
              <w:pStyle w:val="TableParagraph"/>
              <w:spacing w:before="178"/>
              <w:ind w:left="50"/>
              <w:rPr>
                <w:b/>
                <w:sz w:val="21"/>
              </w:rPr>
            </w:pPr>
            <w:r>
              <w:rPr>
                <w:b/>
                <w:spacing w:val="-2"/>
                <w:sz w:val="21"/>
              </w:rPr>
              <w:t>9.8.5</w:t>
            </w:r>
          </w:p>
        </w:tc>
        <w:tc>
          <w:tcPr>
            <w:tcW w:w="1725" w:type="dxa"/>
          </w:tcPr>
          <w:p>
            <w:pPr>
              <w:pStyle w:val="TableParagraph"/>
              <w:spacing w:before="178"/>
              <w:ind w:left="304"/>
              <w:rPr>
                <w:rFonts w:ascii="楷体" w:eastAsia="楷体" w:hint="eastAsia"/>
                <w:b/>
                <w:sz w:val="21"/>
              </w:rPr>
            </w:pPr>
            <w:r>
              <w:rPr>
                <w:rFonts w:ascii="楷体" w:eastAsia="楷体" w:hint="eastAsia"/>
                <w:b/>
                <w:spacing w:val="-2"/>
                <w:sz w:val="21"/>
              </w:rPr>
              <w:t>冠状动脉搭桥</w:t>
            </w:r>
          </w:p>
        </w:tc>
        <w:tc>
          <w:tcPr>
            <w:tcW w:w="7227" w:type="dxa"/>
          </w:tcPr>
          <w:p>
            <w:pPr>
              <w:pStyle w:val="TableParagraph"/>
              <w:spacing w:before="178"/>
              <w:ind w:left="152"/>
              <w:rPr>
                <w:sz w:val="21"/>
              </w:rPr>
            </w:pPr>
            <w:r>
              <w:rPr>
                <w:spacing w:val="-3"/>
                <w:sz w:val="21"/>
              </w:rPr>
              <w:t>指为治疗严重的冠心病，已经实施了切开心包进行的冠状动脉血管旁路移植</w:t>
            </w:r>
          </w:p>
        </w:tc>
      </w:tr>
      <w:tr>
        <w:trPr>
          <w:trHeight w:val="624" w:hRule="atLeast"/>
        </w:trPr>
        <w:tc>
          <w:tcPr>
            <w:tcW w:w="883" w:type="dxa"/>
          </w:tcPr>
          <w:p>
            <w:pPr>
              <w:pStyle w:val="TableParagraph"/>
              <w:rPr>
                <w:rFonts w:ascii="Times New Roman"/>
                <w:sz w:val="20"/>
              </w:rPr>
            </w:pPr>
          </w:p>
        </w:tc>
        <w:tc>
          <w:tcPr>
            <w:tcW w:w="1725" w:type="dxa"/>
          </w:tcPr>
          <w:p>
            <w:pPr>
              <w:pStyle w:val="TableParagraph"/>
              <w:spacing w:before="22"/>
              <w:ind w:left="304"/>
              <w:rPr>
                <w:rFonts w:ascii="楷体" w:eastAsia="楷体" w:hint="eastAsia"/>
                <w:b/>
                <w:sz w:val="21"/>
              </w:rPr>
            </w:pPr>
            <w:r>
              <w:rPr>
                <w:rFonts w:ascii="楷体" w:eastAsia="楷体" w:hint="eastAsia"/>
                <w:b/>
                <w:sz w:val="21"/>
              </w:rPr>
              <w:t>术（</w:t>
            </w:r>
            <w:r>
              <w:rPr>
                <w:rFonts w:ascii="楷体" w:eastAsia="楷体" w:hint="eastAsia"/>
                <w:b/>
                <w:spacing w:val="-3"/>
                <w:sz w:val="21"/>
              </w:rPr>
              <w:t>或称冠状</w:t>
            </w:r>
          </w:p>
          <w:p>
            <w:pPr>
              <w:pStyle w:val="TableParagraph"/>
              <w:spacing w:before="43"/>
              <w:ind w:left="304"/>
              <w:rPr>
                <w:rFonts w:ascii="楷体" w:eastAsia="楷体" w:hint="eastAsia"/>
                <w:b/>
                <w:sz w:val="21"/>
              </w:rPr>
            </w:pPr>
            <w:r>
              <w:rPr>
                <w:rFonts w:ascii="楷体" w:eastAsia="楷体" w:hint="eastAsia"/>
                <w:b/>
                <w:spacing w:val="-2"/>
                <w:sz w:val="21"/>
              </w:rPr>
              <w:t>动脉旁路移植</w:t>
            </w:r>
          </w:p>
        </w:tc>
        <w:tc>
          <w:tcPr>
            <w:tcW w:w="7227" w:type="dxa"/>
          </w:tcPr>
          <w:p>
            <w:pPr>
              <w:pStyle w:val="TableParagraph"/>
              <w:spacing w:before="22"/>
              <w:ind w:left="152"/>
              <w:rPr>
                <w:sz w:val="21"/>
              </w:rPr>
            </w:pPr>
            <w:r>
              <w:rPr>
                <w:spacing w:val="-4"/>
                <w:sz w:val="21"/>
              </w:rPr>
              <w:t>的手术。</w:t>
            </w:r>
          </w:p>
          <w:p>
            <w:pPr>
              <w:pStyle w:val="TableParagraph"/>
              <w:spacing w:line="281" w:lineRule="exact" w:before="33"/>
              <w:ind w:left="152"/>
              <w:rPr>
                <w:b/>
                <w:i/>
                <w:sz w:val="22"/>
              </w:rPr>
            </w:pPr>
            <w:r>
              <w:rPr>
                <w:b/>
                <w:i/>
                <w:spacing w:val="-3"/>
                <w:w w:val="95"/>
                <w:sz w:val="22"/>
              </w:rPr>
              <w:t>所有未切开心包的冠状动脉介入治疗不在保障范围内。</w:t>
            </w:r>
          </w:p>
        </w:tc>
      </w:tr>
      <w:tr>
        <w:trPr>
          <w:trHeight w:val="467" w:hRule="atLeast"/>
        </w:trPr>
        <w:tc>
          <w:tcPr>
            <w:tcW w:w="883" w:type="dxa"/>
          </w:tcPr>
          <w:p>
            <w:pPr>
              <w:pStyle w:val="TableParagraph"/>
              <w:rPr>
                <w:rFonts w:ascii="Times New Roman"/>
                <w:sz w:val="20"/>
              </w:rPr>
            </w:pPr>
          </w:p>
        </w:tc>
        <w:tc>
          <w:tcPr>
            <w:tcW w:w="1725" w:type="dxa"/>
          </w:tcPr>
          <w:p>
            <w:pPr>
              <w:pStyle w:val="TableParagraph"/>
              <w:spacing w:before="21"/>
              <w:ind w:left="304"/>
              <w:rPr>
                <w:rFonts w:ascii="楷体" w:eastAsia="楷体" w:hint="eastAsia"/>
                <w:b/>
                <w:sz w:val="21"/>
              </w:rPr>
            </w:pPr>
            <w:r>
              <w:rPr>
                <w:rFonts w:ascii="楷体" w:eastAsia="楷体" w:hint="eastAsia"/>
                <w:b/>
                <w:sz w:val="21"/>
              </w:rPr>
              <w:t>术</w:t>
            </w:r>
            <w:r>
              <w:rPr>
                <w:rFonts w:ascii="楷体" w:eastAsia="楷体" w:hint="eastAsia"/>
                <w:b/>
                <w:spacing w:val="-10"/>
                <w:sz w:val="21"/>
              </w:rPr>
              <w:t>）</w:t>
            </w:r>
          </w:p>
        </w:tc>
        <w:tc>
          <w:tcPr>
            <w:tcW w:w="7227" w:type="dxa"/>
          </w:tcPr>
          <w:p>
            <w:pPr>
              <w:pStyle w:val="TableParagraph"/>
              <w:rPr>
                <w:rFonts w:ascii="Times New Roman"/>
                <w:sz w:val="20"/>
              </w:rPr>
            </w:pPr>
          </w:p>
        </w:tc>
      </w:tr>
      <w:tr>
        <w:trPr>
          <w:trHeight w:val="468" w:hRule="atLeast"/>
        </w:trPr>
        <w:tc>
          <w:tcPr>
            <w:tcW w:w="883" w:type="dxa"/>
          </w:tcPr>
          <w:p>
            <w:pPr>
              <w:pStyle w:val="TableParagraph"/>
              <w:spacing w:before="178"/>
              <w:ind w:left="50"/>
              <w:rPr>
                <w:b/>
                <w:sz w:val="21"/>
              </w:rPr>
            </w:pPr>
            <w:r>
              <w:rPr>
                <w:b/>
                <w:spacing w:val="-2"/>
                <w:sz w:val="21"/>
              </w:rPr>
              <w:t>9.8.6</w:t>
            </w:r>
          </w:p>
        </w:tc>
        <w:tc>
          <w:tcPr>
            <w:tcW w:w="1725" w:type="dxa"/>
          </w:tcPr>
          <w:p>
            <w:pPr>
              <w:pStyle w:val="TableParagraph"/>
              <w:spacing w:before="178"/>
              <w:ind w:left="304"/>
              <w:rPr>
                <w:rFonts w:ascii="楷体" w:eastAsia="楷体" w:hint="eastAsia"/>
                <w:b/>
                <w:sz w:val="21"/>
              </w:rPr>
            </w:pPr>
            <w:r>
              <w:rPr>
                <w:rFonts w:ascii="楷体" w:eastAsia="楷体" w:hint="eastAsia"/>
                <w:b/>
                <w:spacing w:val="-2"/>
                <w:sz w:val="21"/>
              </w:rPr>
              <w:t>严重慢性肾衰</w:t>
            </w:r>
          </w:p>
        </w:tc>
        <w:tc>
          <w:tcPr>
            <w:tcW w:w="7227" w:type="dxa"/>
          </w:tcPr>
          <w:p>
            <w:pPr>
              <w:pStyle w:val="TableParagraph"/>
              <w:spacing w:before="178"/>
              <w:ind w:left="152"/>
              <w:rPr>
                <w:sz w:val="21"/>
              </w:rPr>
            </w:pPr>
            <w:r>
              <w:rPr>
                <w:spacing w:val="-2"/>
                <w:sz w:val="21"/>
              </w:rPr>
              <w:t>指双肾功能慢性不可逆性衰竭，依据肾脏病预后质量倡议（K/DOQI）</w:t>
            </w:r>
            <w:r>
              <w:rPr>
                <w:spacing w:val="-5"/>
                <w:sz w:val="21"/>
              </w:rPr>
              <w:t>制定的</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before="22"/>
              <w:ind w:left="304"/>
              <w:rPr>
                <w:rFonts w:ascii="楷体" w:eastAsia="楷体" w:hint="eastAsia"/>
                <w:b/>
                <w:sz w:val="21"/>
              </w:rPr>
            </w:pPr>
            <w:r>
              <w:rPr>
                <w:rFonts w:ascii="楷体" w:eastAsia="楷体" w:hint="eastAsia"/>
                <w:b/>
                <w:w w:val="100"/>
                <w:sz w:val="21"/>
              </w:rPr>
              <w:t>竭</w:t>
            </w:r>
          </w:p>
        </w:tc>
        <w:tc>
          <w:tcPr>
            <w:tcW w:w="7227" w:type="dxa"/>
          </w:tcPr>
          <w:p>
            <w:pPr>
              <w:pStyle w:val="TableParagraph"/>
              <w:spacing w:before="22"/>
              <w:ind w:left="152"/>
              <w:rPr>
                <w:sz w:val="21"/>
              </w:rPr>
            </w:pPr>
            <w:r>
              <w:rPr>
                <w:spacing w:val="-6"/>
                <w:sz w:val="21"/>
              </w:rPr>
              <w:t>指南，分期达到慢性肾脏病 </w:t>
            </w:r>
            <w:r>
              <w:rPr>
                <w:spacing w:val="-2"/>
                <w:sz w:val="21"/>
              </w:rPr>
              <w:t>5</w:t>
            </w:r>
            <w:r>
              <w:rPr>
                <w:spacing w:val="-12"/>
                <w:sz w:val="21"/>
              </w:rPr>
              <w:t> 期，且经诊断后已经进行了至少 </w:t>
            </w:r>
            <w:r>
              <w:rPr>
                <w:spacing w:val="-2"/>
                <w:sz w:val="21"/>
              </w:rPr>
              <w:t>90</w:t>
            </w:r>
            <w:r>
              <w:rPr>
                <w:spacing w:val="-14"/>
                <w:sz w:val="21"/>
              </w:rPr>
              <w:t> 天的规律</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3"/>
                <w:sz w:val="21"/>
              </w:rPr>
              <w:t>性透析治疗。规律性透析是指每周进行血液透析或每天进行腹膜透析。</w:t>
            </w:r>
          </w:p>
        </w:tc>
      </w:tr>
      <w:tr>
        <w:trPr>
          <w:trHeight w:val="467" w:hRule="atLeast"/>
        </w:trPr>
        <w:tc>
          <w:tcPr>
            <w:tcW w:w="883" w:type="dxa"/>
          </w:tcPr>
          <w:p>
            <w:pPr>
              <w:pStyle w:val="TableParagraph"/>
              <w:spacing w:before="178"/>
              <w:ind w:left="50"/>
              <w:rPr>
                <w:b/>
                <w:sz w:val="21"/>
              </w:rPr>
            </w:pPr>
            <w:r>
              <w:rPr>
                <w:b/>
                <w:spacing w:val="-2"/>
                <w:sz w:val="21"/>
              </w:rPr>
              <w:t>9.8.7</w:t>
            </w:r>
          </w:p>
        </w:tc>
        <w:tc>
          <w:tcPr>
            <w:tcW w:w="1725" w:type="dxa"/>
          </w:tcPr>
          <w:p>
            <w:pPr>
              <w:pStyle w:val="TableParagraph"/>
              <w:spacing w:before="178"/>
              <w:ind w:left="304"/>
              <w:rPr>
                <w:rFonts w:ascii="楷体" w:eastAsia="楷体" w:hint="eastAsia"/>
                <w:b/>
                <w:sz w:val="21"/>
              </w:rPr>
            </w:pPr>
            <w:r>
              <w:rPr>
                <w:rFonts w:ascii="楷体" w:eastAsia="楷体" w:hint="eastAsia"/>
                <w:b/>
                <w:spacing w:val="-2"/>
                <w:sz w:val="21"/>
              </w:rPr>
              <w:t>多个肢体缺失</w:t>
            </w:r>
          </w:p>
        </w:tc>
        <w:tc>
          <w:tcPr>
            <w:tcW w:w="7227" w:type="dxa"/>
          </w:tcPr>
          <w:p>
            <w:pPr>
              <w:pStyle w:val="TableParagraph"/>
              <w:spacing w:before="178"/>
              <w:ind w:left="152"/>
              <w:rPr>
                <w:sz w:val="21"/>
              </w:rPr>
            </w:pPr>
            <w:r>
              <w:rPr>
                <w:spacing w:val="-2"/>
                <w:sz w:val="21"/>
              </w:rPr>
              <w:t>指因疾病或意外伤害导致两个或两个以上肢体自腕关节或踝关节近端（</w:t>
            </w:r>
            <w:r>
              <w:rPr>
                <w:spacing w:val="-6"/>
                <w:sz w:val="21"/>
              </w:rPr>
              <w:t>靠近</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躯干端）</w:t>
            </w:r>
            <w:r>
              <w:rPr>
                <w:spacing w:val="-4"/>
                <w:sz w:val="21"/>
              </w:rPr>
              <w:t>以上完全性断离。</w:t>
            </w:r>
          </w:p>
        </w:tc>
      </w:tr>
      <w:tr>
        <w:trPr>
          <w:trHeight w:val="467" w:hRule="atLeast"/>
        </w:trPr>
        <w:tc>
          <w:tcPr>
            <w:tcW w:w="883" w:type="dxa"/>
          </w:tcPr>
          <w:p>
            <w:pPr>
              <w:pStyle w:val="TableParagraph"/>
              <w:spacing w:before="178"/>
              <w:ind w:left="50"/>
              <w:rPr>
                <w:b/>
                <w:sz w:val="21"/>
              </w:rPr>
            </w:pPr>
            <w:r>
              <w:rPr>
                <w:b/>
                <w:spacing w:val="-2"/>
                <w:sz w:val="21"/>
              </w:rPr>
              <w:t>9.8.8</w:t>
            </w:r>
          </w:p>
        </w:tc>
        <w:tc>
          <w:tcPr>
            <w:tcW w:w="1725" w:type="dxa"/>
          </w:tcPr>
          <w:p>
            <w:pPr>
              <w:pStyle w:val="TableParagraph"/>
              <w:spacing w:before="178"/>
              <w:ind w:left="304"/>
              <w:rPr>
                <w:rFonts w:ascii="楷体" w:eastAsia="楷体" w:hint="eastAsia"/>
                <w:b/>
                <w:sz w:val="21"/>
              </w:rPr>
            </w:pPr>
            <w:r>
              <w:rPr>
                <w:rFonts w:ascii="楷体" w:eastAsia="楷体" w:hint="eastAsia"/>
                <w:b/>
                <w:spacing w:val="-2"/>
                <w:sz w:val="21"/>
              </w:rPr>
              <w:t>急性重症肝炎</w:t>
            </w:r>
          </w:p>
        </w:tc>
        <w:tc>
          <w:tcPr>
            <w:tcW w:w="7227" w:type="dxa"/>
          </w:tcPr>
          <w:p>
            <w:pPr>
              <w:pStyle w:val="TableParagraph"/>
              <w:spacing w:before="178"/>
              <w:ind w:left="152"/>
              <w:rPr>
                <w:sz w:val="21"/>
              </w:rPr>
            </w:pPr>
            <w:r>
              <w:rPr>
                <w:spacing w:val="-3"/>
                <w:sz w:val="21"/>
              </w:rPr>
              <w:t>指因肝炎病毒感染引起肝脏组织弥漫性坏死，导致急性肝功能衰竭，且经血</w:t>
            </w:r>
          </w:p>
        </w:tc>
      </w:tr>
      <w:tr>
        <w:trPr>
          <w:trHeight w:val="261" w:hRule="atLeast"/>
        </w:trPr>
        <w:tc>
          <w:tcPr>
            <w:tcW w:w="883" w:type="dxa"/>
          </w:tcPr>
          <w:p>
            <w:pPr>
              <w:pStyle w:val="TableParagraph"/>
              <w:rPr>
                <w:rFonts w:ascii="Times New Roman"/>
                <w:sz w:val="18"/>
              </w:rPr>
            </w:pPr>
          </w:p>
        </w:tc>
        <w:tc>
          <w:tcPr>
            <w:tcW w:w="1725" w:type="dxa"/>
          </w:tcPr>
          <w:p>
            <w:pPr>
              <w:pStyle w:val="TableParagraph"/>
              <w:spacing w:line="220" w:lineRule="exact" w:before="22"/>
              <w:ind w:left="304"/>
              <w:rPr>
                <w:rFonts w:ascii="楷体" w:eastAsia="楷体" w:hint="eastAsia"/>
                <w:b/>
                <w:sz w:val="21"/>
              </w:rPr>
            </w:pPr>
            <w:r>
              <w:rPr>
                <w:rFonts w:ascii="楷体" w:eastAsia="楷体" w:hint="eastAsia"/>
                <w:b/>
                <w:spacing w:val="-2"/>
                <w:sz w:val="21"/>
              </w:rPr>
              <w:t>或亚急性重症</w:t>
            </w:r>
          </w:p>
        </w:tc>
        <w:tc>
          <w:tcPr>
            <w:tcW w:w="7227" w:type="dxa"/>
          </w:tcPr>
          <w:p>
            <w:pPr>
              <w:pStyle w:val="TableParagraph"/>
              <w:spacing w:line="220" w:lineRule="exact" w:before="22"/>
              <w:ind w:left="152"/>
              <w:rPr>
                <w:sz w:val="21"/>
              </w:rPr>
            </w:pPr>
            <w:r>
              <w:rPr>
                <w:spacing w:val="-3"/>
                <w:sz w:val="21"/>
              </w:rPr>
              <w:t>清学或病毒学检查证实，并须满足下列全部条件：</w:t>
            </w:r>
          </w:p>
        </w:tc>
      </w:tr>
    </w:tbl>
    <w:p>
      <w:pPr>
        <w:spacing w:after="0" w:line="220" w:lineRule="exact"/>
        <w:rPr>
          <w:sz w:val="21"/>
        </w:rPr>
        <w:sectPr>
          <w:pgSz w:w="11910" w:h="16840"/>
          <w:pgMar w:top="1280" w:bottom="280"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27"/>
      </w:tblGrid>
      <w:tr>
        <w:trPr>
          <w:trHeight w:val="1354" w:hRule="atLeast"/>
        </w:trPr>
        <w:tc>
          <w:tcPr>
            <w:tcW w:w="937" w:type="dxa"/>
          </w:tcPr>
          <w:p>
            <w:pPr>
              <w:pStyle w:val="TableParagraph"/>
              <w:rPr>
                <w:rFonts w:ascii="Times New Roman"/>
                <w:sz w:val="20"/>
              </w:rPr>
            </w:pPr>
          </w:p>
        </w:tc>
        <w:tc>
          <w:tcPr>
            <w:tcW w:w="1671" w:type="dxa"/>
          </w:tcPr>
          <w:p>
            <w:pPr>
              <w:pStyle w:val="TableParagraph"/>
              <w:spacing w:line="241" w:lineRule="exact"/>
              <w:ind w:left="250"/>
              <w:rPr>
                <w:rFonts w:ascii="楷体" w:eastAsia="楷体" w:hint="eastAsia"/>
                <w:b/>
                <w:sz w:val="21"/>
              </w:rPr>
            </w:pPr>
            <w:r>
              <w:rPr>
                <w:rFonts w:ascii="楷体" w:eastAsia="楷体" w:hint="eastAsia"/>
                <w:b/>
                <w:spacing w:val="-5"/>
                <w:sz w:val="21"/>
              </w:rPr>
              <w:t>肝炎</w:t>
            </w:r>
          </w:p>
        </w:tc>
        <w:tc>
          <w:tcPr>
            <w:tcW w:w="7227" w:type="dxa"/>
          </w:tcPr>
          <w:p>
            <w:pPr>
              <w:pStyle w:val="TableParagraph"/>
              <w:numPr>
                <w:ilvl w:val="0"/>
                <w:numId w:val="38"/>
              </w:numPr>
              <w:tabs>
                <w:tab w:pos="682" w:val="left" w:leader="none"/>
              </w:tabs>
              <w:spacing w:line="241" w:lineRule="exact" w:before="0" w:after="0"/>
              <w:ind w:left="681" w:right="0" w:hanging="530"/>
              <w:jc w:val="left"/>
              <w:rPr>
                <w:sz w:val="21"/>
              </w:rPr>
            </w:pPr>
            <w:r>
              <w:rPr>
                <w:spacing w:val="-3"/>
                <w:sz w:val="21"/>
              </w:rPr>
              <w:t>重度黄疸或黄疸迅速加重；</w:t>
            </w:r>
          </w:p>
          <w:p>
            <w:pPr>
              <w:pStyle w:val="TableParagraph"/>
              <w:numPr>
                <w:ilvl w:val="0"/>
                <w:numId w:val="38"/>
              </w:numPr>
              <w:tabs>
                <w:tab w:pos="682" w:val="left" w:leader="none"/>
              </w:tabs>
              <w:spacing w:line="240" w:lineRule="auto" w:before="43" w:after="0"/>
              <w:ind w:left="681" w:right="0" w:hanging="530"/>
              <w:jc w:val="left"/>
              <w:rPr>
                <w:sz w:val="21"/>
              </w:rPr>
            </w:pPr>
            <w:r>
              <w:rPr>
                <w:spacing w:val="-4"/>
                <w:sz w:val="21"/>
              </w:rPr>
              <w:t>肝性脑病；</w:t>
            </w:r>
          </w:p>
          <w:p>
            <w:pPr>
              <w:pStyle w:val="TableParagraph"/>
              <w:spacing w:before="43"/>
              <w:ind w:left="152"/>
              <w:rPr>
                <w:sz w:val="21"/>
              </w:rPr>
            </w:pPr>
            <w:r>
              <w:rPr>
                <w:spacing w:val="-2"/>
                <w:sz w:val="21"/>
              </w:rPr>
              <w:t>（3）B</w:t>
            </w:r>
            <w:r>
              <w:rPr>
                <w:spacing w:val="-10"/>
                <w:sz w:val="21"/>
              </w:rPr>
              <w:t> 超或其他影像学检查显示肝脏体积急速萎缩；</w:t>
            </w:r>
          </w:p>
          <w:p>
            <w:pPr>
              <w:pStyle w:val="TableParagraph"/>
              <w:spacing w:before="43"/>
              <w:ind w:left="152"/>
              <w:rPr>
                <w:sz w:val="21"/>
              </w:rPr>
            </w:pPr>
            <w:r>
              <w:rPr>
                <w:spacing w:val="-2"/>
                <w:sz w:val="21"/>
              </w:rPr>
              <w:t>（4）</w:t>
            </w:r>
            <w:r>
              <w:rPr>
                <w:spacing w:val="-3"/>
                <w:sz w:val="21"/>
              </w:rPr>
              <w:t>肝功能指标进行性恶化。</w:t>
            </w:r>
          </w:p>
        </w:tc>
      </w:tr>
      <w:tr>
        <w:trPr>
          <w:trHeight w:val="467" w:hRule="atLeast"/>
        </w:trPr>
        <w:tc>
          <w:tcPr>
            <w:tcW w:w="937" w:type="dxa"/>
          </w:tcPr>
          <w:p>
            <w:pPr>
              <w:pStyle w:val="TableParagraph"/>
              <w:spacing w:before="178"/>
              <w:ind w:left="50"/>
              <w:rPr>
                <w:b/>
                <w:sz w:val="21"/>
              </w:rPr>
            </w:pPr>
            <w:r>
              <w:rPr>
                <w:b/>
                <w:spacing w:val="-2"/>
                <w:sz w:val="21"/>
              </w:rPr>
              <w:t>9.8.9</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严重非恶性颅</w:t>
            </w:r>
          </w:p>
        </w:tc>
        <w:tc>
          <w:tcPr>
            <w:tcW w:w="7227" w:type="dxa"/>
          </w:tcPr>
          <w:p>
            <w:pPr>
              <w:pStyle w:val="TableParagraph"/>
              <w:spacing w:before="178"/>
              <w:ind w:left="152"/>
              <w:rPr>
                <w:sz w:val="21"/>
              </w:rPr>
            </w:pPr>
            <w:r>
              <w:rPr>
                <w:spacing w:val="-2"/>
                <w:sz w:val="21"/>
              </w:rPr>
              <w:t>指起源于脑、脑神经、脑被膜的非恶性肿瘤，ICD-O-3</w:t>
            </w:r>
            <w:r>
              <w:rPr>
                <w:spacing w:val="-3"/>
                <w:sz w:val="21"/>
              </w:rPr>
              <w:t> 肿瘤形态学编码属于</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4"/>
                <w:sz w:val="21"/>
              </w:rPr>
              <w:t>内肿瘤</w:t>
            </w:r>
          </w:p>
        </w:tc>
        <w:tc>
          <w:tcPr>
            <w:tcW w:w="7227" w:type="dxa"/>
          </w:tcPr>
          <w:p>
            <w:pPr>
              <w:pStyle w:val="TableParagraph"/>
              <w:spacing w:before="22"/>
              <w:ind w:left="152"/>
              <w:rPr>
                <w:sz w:val="21"/>
              </w:rPr>
            </w:pPr>
            <w:r>
              <w:rPr>
                <w:sz w:val="21"/>
              </w:rPr>
              <w:t>0（良性肿瘤</w:t>
            </w:r>
            <w:r>
              <w:rPr>
                <w:spacing w:val="-104"/>
                <w:sz w:val="21"/>
              </w:rPr>
              <w:t>）</w:t>
            </w:r>
            <w:r>
              <w:rPr>
                <w:sz w:val="21"/>
              </w:rPr>
              <w:t>、1（动态未定性肿瘤）</w:t>
            </w:r>
            <w:r>
              <w:rPr>
                <w:spacing w:val="-1"/>
                <w:sz w:val="21"/>
              </w:rPr>
              <w:t>范畴，并已经引起颅内压升高或神经</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3"/>
                <w:sz w:val="21"/>
              </w:rPr>
              <w:t>系统功能损害，出现视乳头水肿或视觉受损、听觉受损、面部或肢体瘫痪、</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6"/>
                <w:sz w:val="21"/>
              </w:rPr>
              <w:t>癫痫等，须由头颅断层扫描</w:t>
            </w:r>
            <w:r>
              <w:rPr>
                <w:spacing w:val="18"/>
                <w:sz w:val="21"/>
              </w:rPr>
              <w:t>（</w:t>
            </w:r>
            <w:r>
              <w:rPr>
                <w:spacing w:val="21"/>
                <w:sz w:val="21"/>
              </w:rPr>
              <w:t>CT</w:t>
            </w:r>
            <w:r>
              <w:rPr>
                <w:spacing w:val="-87"/>
                <w:sz w:val="21"/>
              </w:rPr>
              <w:t>）</w:t>
            </w:r>
            <w:r>
              <w:rPr>
                <w:spacing w:val="-6"/>
                <w:sz w:val="21"/>
              </w:rPr>
              <w:t>、核磁共振检查（MRI）</w:t>
            </w:r>
            <w:r>
              <w:rPr>
                <w:spacing w:val="-7"/>
                <w:sz w:val="21"/>
              </w:rPr>
              <w:t>或正电子发射断层</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扫描（PET）</w:t>
            </w:r>
            <w:r>
              <w:rPr>
                <w:spacing w:val="-3"/>
                <w:sz w:val="21"/>
              </w:rPr>
              <w:t>等影像学检查证实，且须满足下列至少一项条件：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（1）</w:t>
            </w:r>
            <w:r>
              <w:rPr>
                <w:spacing w:val="-3"/>
                <w:sz w:val="21"/>
              </w:rPr>
              <w:t>已经实施了开颅进行的颅内肿瘤完全或部分切除手术；</w:t>
            </w:r>
          </w:p>
        </w:tc>
      </w:tr>
      <w:tr>
        <w:trPr>
          <w:trHeight w:val="2029"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（2）已经实施了针对颅内肿瘤的放射治疗，如γ</w:t>
            </w:r>
            <w:r>
              <w:rPr>
                <w:spacing w:val="-3"/>
                <w:sz w:val="21"/>
              </w:rPr>
              <w:t>刀、质子重离子治疗等。</w:t>
            </w:r>
          </w:p>
          <w:p>
            <w:pPr>
              <w:pStyle w:val="TableParagraph"/>
              <w:spacing w:before="33"/>
              <w:ind w:left="152"/>
              <w:rPr>
                <w:b/>
                <w:i/>
                <w:sz w:val="22"/>
              </w:rPr>
            </w:pPr>
            <w:r>
              <w:rPr>
                <w:b/>
                <w:i/>
                <w:spacing w:val="-3"/>
                <w:w w:val="95"/>
                <w:sz w:val="22"/>
              </w:rPr>
              <w:t>下列疾病不在保障范围内：</w:t>
            </w:r>
          </w:p>
          <w:p>
            <w:pPr>
              <w:pStyle w:val="TableParagraph"/>
              <w:numPr>
                <w:ilvl w:val="0"/>
                <w:numId w:val="39"/>
              </w:numPr>
              <w:tabs>
                <w:tab w:pos="682" w:val="left" w:leader="none"/>
              </w:tabs>
              <w:spacing w:line="240" w:lineRule="auto" w:before="30" w:after="0"/>
              <w:ind w:left="681" w:right="0" w:hanging="530"/>
              <w:jc w:val="left"/>
              <w:rPr>
                <w:b/>
                <w:i/>
                <w:sz w:val="22"/>
              </w:rPr>
            </w:pPr>
            <w:r>
              <w:rPr>
                <w:b/>
                <w:i/>
                <w:spacing w:val="-2"/>
                <w:w w:val="95"/>
                <w:sz w:val="22"/>
              </w:rPr>
              <w:t>脑垂体瘤；</w:t>
            </w:r>
          </w:p>
          <w:p>
            <w:pPr>
              <w:pStyle w:val="TableParagraph"/>
              <w:numPr>
                <w:ilvl w:val="0"/>
                <w:numId w:val="39"/>
              </w:numPr>
              <w:tabs>
                <w:tab w:pos="682" w:val="left" w:leader="none"/>
              </w:tabs>
              <w:spacing w:line="240" w:lineRule="auto" w:before="30" w:after="0"/>
              <w:ind w:left="681" w:right="0" w:hanging="530"/>
              <w:jc w:val="left"/>
              <w:rPr>
                <w:b/>
                <w:i/>
                <w:sz w:val="22"/>
              </w:rPr>
            </w:pPr>
            <w:r>
              <w:rPr>
                <w:b/>
                <w:i/>
                <w:spacing w:val="-3"/>
                <w:w w:val="95"/>
                <w:sz w:val="22"/>
              </w:rPr>
              <w:t>脑囊肿；</w:t>
            </w:r>
          </w:p>
          <w:p>
            <w:pPr>
              <w:pStyle w:val="TableParagraph"/>
              <w:numPr>
                <w:ilvl w:val="0"/>
                <w:numId w:val="39"/>
              </w:numPr>
              <w:tabs>
                <w:tab w:pos="682" w:val="left" w:leader="none"/>
              </w:tabs>
              <w:spacing w:line="266" w:lineRule="auto" w:before="31" w:after="0"/>
              <w:ind w:left="152" w:right="220" w:firstLine="0"/>
              <w:jc w:val="left"/>
              <w:rPr>
                <w:b/>
                <w:i/>
                <w:sz w:val="22"/>
              </w:rPr>
            </w:pPr>
            <w:r>
              <w:rPr>
                <w:b/>
                <w:i/>
                <w:spacing w:val="-2"/>
                <w:w w:val="95"/>
                <w:sz w:val="22"/>
              </w:rPr>
              <w:t>颅内血管性疾病（如脑动脉瘤、脑动静脉畸形、海绵状血管瘤、毛细</w:t>
            </w:r>
            <w:r>
              <w:rPr>
                <w:b/>
                <w:i/>
                <w:spacing w:val="-2"/>
                <w:sz w:val="22"/>
              </w:rPr>
              <w:t>血</w:t>
            </w:r>
            <w:r>
              <w:rPr>
                <w:b/>
                <w:i/>
                <w:spacing w:val="-2"/>
                <w:sz w:val="22"/>
              </w:rPr>
              <w:t>管</w:t>
            </w:r>
            <w:r>
              <w:rPr>
                <w:b/>
                <w:i/>
                <w:spacing w:val="-2"/>
                <w:sz w:val="22"/>
              </w:rPr>
              <w:t>扩</w:t>
            </w:r>
            <w:r>
              <w:rPr>
                <w:b/>
                <w:i/>
                <w:spacing w:val="-2"/>
                <w:sz w:val="22"/>
              </w:rPr>
              <w:t>张</w:t>
            </w:r>
            <w:r>
              <w:rPr>
                <w:b/>
                <w:i/>
                <w:spacing w:val="-2"/>
                <w:sz w:val="22"/>
              </w:rPr>
              <w:t>症</w:t>
            </w:r>
            <w:r>
              <w:rPr>
                <w:b/>
                <w:i/>
                <w:spacing w:val="-2"/>
                <w:sz w:val="22"/>
              </w:rPr>
              <w:t>等</w:t>
            </w:r>
            <w:r>
              <w:rPr>
                <w:b/>
                <w:i/>
                <w:spacing w:val="-106"/>
                <w:sz w:val="22"/>
              </w:rPr>
              <w:t>）</w:t>
            </w:r>
            <w:r>
              <w:rPr>
                <w:b/>
                <w:i/>
                <w:spacing w:val="-2"/>
                <w:sz w:val="22"/>
              </w:rPr>
              <w:t>。</w:t>
            </w:r>
          </w:p>
        </w:tc>
      </w:tr>
      <w:tr>
        <w:trPr>
          <w:trHeight w:val="467" w:hRule="atLeast"/>
        </w:trPr>
        <w:tc>
          <w:tcPr>
            <w:tcW w:w="937" w:type="dxa"/>
          </w:tcPr>
          <w:p>
            <w:pPr>
              <w:pStyle w:val="TableParagraph"/>
              <w:spacing w:before="177"/>
              <w:ind w:left="50"/>
              <w:rPr>
                <w:b/>
                <w:sz w:val="21"/>
              </w:rPr>
            </w:pPr>
            <w:r>
              <w:rPr>
                <w:b/>
                <w:spacing w:val="-2"/>
                <w:sz w:val="21"/>
              </w:rPr>
              <w:t>9.8.10</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严重慢性肝衰</w:t>
            </w:r>
          </w:p>
        </w:tc>
        <w:tc>
          <w:tcPr>
            <w:tcW w:w="7227" w:type="dxa"/>
          </w:tcPr>
          <w:p>
            <w:pPr>
              <w:pStyle w:val="TableParagraph"/>
              <w:spacing w:before="177"/>
              <w:ind w:left="152"/>
              <w:rPr>
                <w:sz w:val="21"/>
              </w:rPr>
            </w:pPr>
            <w:r>
              <w:rPr>
                <w:spacing w:val="-3"/>
                <w:sz w:val="21"/>
              </w:rPr>
              <w:t>指因慢性肝脏疾病导致的肝衰竭，且须满足下列全部条件：</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w w:val="100"/>
                <w:sz w:val="21"/>
              </w:rPr>
              <w:t>竭</w:t>
            </w:r>
          </w:p>
        </w:tc>
        <w:tc>
          <w:tcPr>
            <w:tcW w:w="7227" w:type="dxa"/>
          </w:tcPr>
          <w:p>
            <w:pPr>
              <w:pStyle w:val="TableParagraph"/>
              <w:spacing w:before="22"/>
              <w:ind w:left="152"/>
              <w:rPr>
                <w:sz w:val="21"/>
              </w:rPr>
            </w:pPr>
            <w:r>
              <w:rPr>
                <w:spacing w:val="-2"/>
                <w:sz w:val="21"/>
              </w:rPr>
              <w:t>（1）</w:t>
            </w:r>
            <w:r>
              <w:rPr>
                <w:spacing w:val="-4"/>
                <w:sz w:val="21"/>
              </w:rPr>
              <w:t>持续性黄疸；</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（2）</w:t>
            </w:r>
            <w:r>
              <w:rPr>
                <w:spacing w:val="-5"/>
                <w:sz w:val="21"/>
              </w:rPr>
              <w:t>腹水；</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（3）</w:t>
            </w:r>
            <w:r>
              <w:rPr>
                <w:spacing w:val="-4"/>
                <w:sz w:val="21"/>
              </w:rPr>
              <w:t>肝性脑病；</w:t>
            </w:r>
          </w:p>
        </w:tc>
      </w:tr>
      <w:tr>
        <w:trPr>
          <w:trHeight w:val="78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（4）</w:t>
            </w:r>
            <w:r>
              <w:rPr>
                <w:spacing w:val="-3"/>
                <w:sz w:val="21"/>
              </w:rPr>
              <w:t>充血性脾肿大伴脾功能亢进或食管胃底静脉曲张。</w:t>
            </w:r>
          </w:p>
          <w:p>
            <w:pPr>
              <w:pStyle w:val="TableParagraph"/>
              <w:spacing w:before="33"/>
              <w:ind w:left="152"/>
              <w:rPr>
                <w:b/>
                <w:i/>
                <w:sz w:val="22"/>
              </w:rPr>
            </w:pPr>
            <w:r>
              <w:rPr>
                <w:b/>
                <w:i/>
                <w:spacing w:val="-3"/>
                <w:w w:val="95"/>
                <w:sz w:val="22"/>
              </w:rPr>
              <w:t>因酗酒或药物滥用导致的肝衰竭不在保障范围内。</w:t>
            </w:r>
          </w:p>
        </w:tc>
      </w:tr>
      <w:tr>
        <w:trPr>
          <w:trHeight w:val="467" w:hRule="atLeast"/>
        </w:trPr>
        <w:tc>
          <w:tcPr>
            <w:tcW w:w="937" w:type="dxa"/>
          </w:tcPr>
          <w:p>
            <w:pPr>
              <w:pStyle w:val="TableParagraph"/>
              <w:spacing w:before="177"/>
              <w:ind w:left="50"/>
              <w:rPr>
                <w:b/>
                <w:sz w:val="21"/>
              </w:rPr>
            </w:pPr>
            <w:r>
              <w:rPr>
                <w:b/>
                <w:spacing w:val="-2"/>
                <w:sz w:val="21"/>
              </w:rPr>
              <w:t>9.8.11</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严重脑炎后遗</w:t>
            </w:r>
          </w:p>
        </w:tc>
        <w:tc>
          <w:tcPr>
            <w:tcW w:w="7227" w:type="dxa"/>
          </w:tcPr>
          <w:p>
            <w:pPr>
              <w:pStyle w:val="TableParagraph"/>
              <w:spacing w:before="177"/>
              <w:ind w:left="152"/>
              <w:rPr>
                <w:sz w:val="21"/>
              </w:rPr>
            </w:pPr>
            <w:r>
              <w:rPr>
                <w:spacing w:val="-3"/>
                <w:sz w:val="21"/>
              </w:rPr>
              <w:t>指因患脑炎或脑膜炎导致的神经系统永久性的功能障碍。神经系统永久性的</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2"/>
                <w:sz w:val="21"/>
              </w:rPr>
              <w:t>症或严重脑膜</w:t>
            </w:r>
          </w:p>
        </w:tc>
        <w:tc>
          <w:tcPr>
            <w:tcW w:w="7227" w:type="dxa"/>
          </w:tcPr>
          <w:p>
            <w:pPr>
              <w:pStyle w:val="TableParagraph"/>
              <w:spacing w:before="22"/>
              <w:ind w:left="152"/>
              <w:rPr>
                <w:sz w:val="21"/>
              </w:rPr>
            </w:pPr>
            <w:r>
              <w:rPr>
                <w:spacing w:val="-12"/>
                <w:sz w:val="21"/>
              </w:rPr>
              <w:t>功能障碍，指经相关专科医生确诊疾病 </w:t>
            </w:r>
            <w:r>
              <w:rPr>
                <w:spacing w:val="-2"/>
                <w:sz w:val="21"/>
              </w:rPr>
              <w:t>180</w:t>
            </w:r>
            <w:r>
              <w:rPr>
                <w:spacing w:val="-13"/>
                <w:sz w:val="21"/>
              </w:rPr>
              <w:t> 天后，仍遗留下列至少一种障碍：</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3"/>
                <w:sz w:val="21"/>
              </w:rPr>
              <w:t>炎后遗症</w:t>
            </w:r>
          </w:p>
        </w:tc>
        <w:tc>
          <w:tcPr>
            <w:tcW w:w="7227" w:type="dxa"/>
          </w:tcPr>
          <w:p>
            <w:pPr>
              <w:pStyle w:val="TableParagraph"/>
              <w:spacing w:before="22"/>
              <w:ind w:left="152"/>
              <w:rPr>
                <w:sz w:val="21"/>
              </w:rPr>
            </w:pPr>
            <w:r>
              <w:rPr>
                <w:spacing w:val="-2"/>
                <w:sz w:val="21"/>
              </w:rPr>
              <w:t>（1）一肢（含）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（2）</w:t>
            </w:r>
            <w:r>
              <w:rPr>
                <w:spacing w:val="-3"/>
                <w:sz w:val="21"/>
              </w:rPr>
              <w:t>语言能力完全丧失，或严重咀嚼吞咽功能障碍；</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z w:val="21"/>
              </w:rPr>
              <w:t>（3）由具有评估资格的专科医生根据临床痴呆评定量表</w:t>
            </w:r>
            <w:r>
              <w:rPr>
                <w:spacing w:val="-2"/>
                <w:sz w:val="21"/>
              </w:rPr>
              <w:t>（CDR，Clinical</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z w:val="21"/>
              </w:rPr>
              <w:t>Dementia</w:t>
            </w:r>
            <w:r>
              <w:rPr>
                <w:spacing w:val="-20"/>
                <w:sz w:val="21"/>
              </w:rPr>
              <w:t> </w:t>
            </w:r>
            <w:r>
              <w:rPr>
                <w:sz w:val="21"/>
              </w:rPr>
              <w:t>Rating）</w:t>
            </w:r>
            <w:r>
              <w:rPr>
                <w:spacing w:val="-9"/>
                <w:sz w:val="21"/>
              </w:rPr>
              <w:t>评估结果为 </w:t>
            </w:r>
            <w:r>
              <w:rPr>
                <w:sz w:val="21"/>
              </w:rPr>
              <w:t>3</w:t>
            </w:r>
            <w:r>
              <w:rPr>
                <w:spacing w:val="-22"/>
                <w:sz w:val="21"/>
              </w:rPr>
              <w:t> 分；</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2"/>
                <w:sz w:val="21"/>
              </w:rPr>
              <w:t>（4）</w:t>
            </w:r>
            <w:r>
              <w:rPr>
                <w:spacing w:val="-3"/>
                <w:sz w:val="21"/>
              </w:rPr>
              <w:t>自主生活能力完全丧失，无法独立完成六项基本日常生活活动中的三</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4"/>
                <w:sz w:val="21"/>
              </w:rPr>
              <w:t>项或三项以上。</w:t>
            </w:r>
          </w:p>
        </w:tc>
      </w:tr>
      <w:tr>
        <w:trPr>
          <w:trHeight w:val="468" w:hRule="atLeast"/>
        </w:trPr>
        <w:tc>
          <w:tcPr>
            <w:tcW w:w="937" w:type="dxa"/>
          </w:tcPr>
          <w:p>
            <w:pPr>
              <w:pStyle w:val="TableParagraph"/>
              <w:spacing w:before="178"/>
              <w:ind w:left="50"/>
              <w:rPr>
                <w:b/>
                <w:sz w:val="21"/>
              </w:rPr>
            </w:pPr>
            <w:r>
              <w:rPr>
                <w:b/>
                <w:spacing w:val="-2"/>
                <w:sz w:val="21"/>
              </w:rPr>
              <w:t>9.8.12</w:t>
            </w:r>
          </w:p>
        </w:tc>
        <w:tc>
          <w:tcPr>
            <w:tcW w:w="1671" w:type="dxa"/>
          </w:tcPr>
          <w:p>
            <w:pPr>
              <w:pStyle w:val="TableParagraph"/>
              <w:spacing w:before="178"/>
              <w:ind w:left="250"/>
              <w:rPr>
                <w:rFonts w:ascii="楷体" w:eastAsia="楷体" w:hint="eastAsia"/>
                <w:b/>
                <w:sz w:val="21"/>
              </w:rPr>
            </w:pPr>
            <w:r>
              <w:rPr>
                <w:rFonts w:ascii="楷体" w:eastAsia="楷体" w:hint="eastAsia"/>
                <w:b/>
                <w:spacing w:val="-3"/>
                <w:sz w:val="21"/>
              </w:rPr>
              <w:t>深度昏迷</w:t>
            </w:r>
          </w:p>
        </w:tc>
        <w:tc>
          <w:tcPr>
            <w:tcW w:w="7227" w:type="dxa"/>
          </w:tcPr>
          <w:p>
            <w:pPr>
              <w:pStyle w:val="TableParagraph"/>
              <w:spacing w:before="178"/>
              <w:ind w:left="152"/>
              <w:rPr>
                <w:sz w:val="21"/>
              </w:rPr>
            </w:pPr>
            <w:r>
              <w:rPr>
                <w:spacing w:val="-3"/>
                <w:sz w:val="21"/>
              </w:rPr>
              <w:t>指因疾病或意外伤害导致意识丧失，对外界刺激和体内需求均无反应，昏迷</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z w:val="21"/>
              </w:rPr>
              <w:t>程度按照格拉斯哥昏迷分级（GCS，Glasgow</w:t>
            </w:r>
            <w:r>
              <w:rPr>
                <w:spacing w:val="-9"/>
                <w:sz w:val="21"/>
              </w:rPr>
              <w:t> </w:t>
            </w:r>
            <w:r>
              <w:rPr>
                <w:sz w:val="21"/>
              </w:rPr>
              <w:t>Coma</w:t>
            </w:r>
            <w:r>
              <w:rPr>
                <w:spacing w:val="-10"/>
                <w:sz w:val="21"/>
              </w:rPr>
              <w:t> </w:t>
            </w:r>
            <w:r>
              <w:rPr>
                <w:sz w:val="21"/>
              </w:rPr>
              <w:t>Scale）</w:t>
            </w:r>
            <w:r>
              <w:rPr>
                <w:spacing w:val="-4"/>
                <w:sz w:val="21"/>
              </w:rPr>
              <w:t>结果为 </w:t>
            </w:r>
            <w:r>
              <w:rPr>
                <w:sz w:val="21"/>
              </w:rPr>
              <w:t>5</w:t>
            </w:r>
            <w:r>
              <w:rPr>
                <w:spacing w:val="-8"/>
                <w:sz w:val="21"/>
              </w:rPr>
              <w:t> 分或 </w:t>
            </w:r>
            <w:r>
              <w:rPr>
                <w:spacing w:val="-10"/>
                <w:sz w:val="21"/>
              </w:rPr>
              <w:t>5</w:t>
            </w:r>
          </w:p>
        </w:tc>
      </w:tr>
      <w:tr>
        <w:trPr>
          <w:trHeight w:val="78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4"/>
                <w:sz w:val="21"/>
              </w:rPr>
              <w:t>分以下，且已经持续使用呼吸机及其他生命维持系统 </w:t>
            </w:r>
            <w:r>
              <w:rPr>
                <w:spacing w:val="-2"/>
                <w:sz w:val="21"/>
              </w:rPr>
              <w:t>96</w:t>
            </w:r>
            <w:r>
              <w:rPr>
                <w:spacing w:val="-11"/>
                <w:sz w:val="21"/>
              </w:rPr>
              <w:t> 小时以上。</w:t>
            </w:r>
          </w:p>
          <w:p>
            <w:pPr>
              <w:pStyle w:val="TableParagraph"/>
              <w:spacing w:before="33"/>
              <w:ind w:left="152"/>
              <w:rPr>
                <w:b/>
                <w:i/>
                <w:sz w:val="22"/>
              </w:rPr>
            </w:pPr>
            <w:r>
              <w:rPr>
                <w:b/>
                <w:i/>
                <w:spacing w:val="-3"/>
                <w:w w:val="95"/>
                <w:sz w:val="22"/>
              </w:rPr>
              <w:t>因酗酒或药物滥用导致的深度昏迷不在保障范围内。</w:t>
            </w:r>
          </w:p>
        </w:tc>
      </w:tr>
      <w:tr>
        <w:trPr>
          <w:trHeight w:val="467" w:hRule="atLeast"/>
        </w:trPr>
        <w:tc>
          <w:tcPr>
            <w:tcW w:w="937" w:type="dxa"/>
          </w:tcPr>
          <w:p>
            <w:pPr>
              <w:pStyle w:val="TableParagraph"/>
              <w:spacing w:before="177"/>
              <w:ind w:left="50"/>
              <w:rPr>
                <w:b/>
                <w:sz w:val="21"/>
              </w:rPr>
            </w:pPr>
            <w:r>
              <w:rPr>
                <w:b/>
                <w:spacing w:val="-2"/>
                <w:sz w:val="21"/>
              </w:rPr>
              <w:t>9.8.13</w:t>
            </w:r>
          </w:p>
        </w:tc>
        <w:tc>
          <w:tcPr>
            <w:tcW w:w="1671" w:type="dxa"/>
          </w:tcPr>
          <w:p>
            <w:pPr>
              <w:pStyle w:val="TableParagraph"/>
              <w:spacing w:before="177"/>
              <w:ind w:left="250"/>
              <w:rPr>
                <w:rFonts w:ascii="楷体" w:eastAsia="楷体" w:hint="eastAsia"/>
                <w:b/>
                <w:sz w:val="21"/>
              </w:rPr>
            </w:pPr>
            <w:r>
              <w:rPr>
                <w:rFonts w:ascii="楷体" w:eastAsia="楷体" w:hint="eastAsia"/>
                <w:b/>
                <w:spacing w:val="-3"/>
                <w:sz w:val="21"/>
              </w:rPr>
              <w:t>双耳失聪</w:t>
            </w:r>
          </w:p>
        </w:tc>
        <w:tc>
          <w:tcPr>
            <w:tcW w:w="7227" w:type="dxa"/>
          </w:tcPr>
          <w:p>
            <w:pPr>
              <w:pStyle w:val="TableParagraph"/>
              <w:spacing w:before="177"/>
              <w:ind w:left="152"/>
              <w:rPr>
                <w:sz w:val="21"/>
              </w:rPr>
            </w:pPr>
            <w:r>
              <w:rPr>
                <w:spacing w:val="-6"/>
                <w:sz w:val="21"/>
              </w:rPr>
              <w:t>指因疾病或意外伤害导致双耳听力永久不可逆性丧失，在 </w:t>
            </w:r>
            <w:r>
              <w:rPr>
                <w:spacing w:val="-4"/>
                <w:sz w:val="21"/>
              </w:rPr>
              <w:t>500</w:t>
            </w:r>
            <w:r>
              <w:rPr>
                <w:spacing w:val="-15"/>
                <w:sz w:val="21"/>
              </w:rPr>
              <w:t> 赫兹、</w:t>
            </w:r>
            <w:r>
              <w:rPr>
                <w:spacing w:val="-4"/>
                <w:sz w:val="21"/>
              </w:rPr>
              <w:t>1000</w:t>
            </w:r>
            <w:r>
              <w:rPr>
                <w:spacing w:val="-27"/>
                <w:sz w:val="21"/>
              </w:rPr>
              <w:t> 赫</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18"/>
                <w:sz w:val="21"/>
              </w:rPr>
              <w:t>兹和 </w:t>
            </w:r>
            <w:r>
              <w:rPr>
                <w:spacing w:val="-2"/>
                <w:sz w:val="21"/>
              </w:rPr>
              <w:t>2000</w:t>
            </w:r>
            <w:r>
              <w:rPr>
                <w:spacing w:val="-15"/>
                <w:sz w:val="21"/>
              </w:rPr>
              <w:t> 赫兹语音频率下，平均听阈大于等于 </w:t>
            </w:r>
            <w:r>
              <w:rPr>
                <w:spacing w:val="-2"/>
                <w:sz w:val="21"/>
              </w:rPr>
              <w:t>91</w:t>
            </w:r>
            <w:r>
              <w:rPr>
                <w:spacing w:val="-14"/>
                <w:sz w:val="21"/>
              </w:rPr>
              <w:t> 分贝，且经纯音听力测试、</w:t>
            </w:r>
          </w:p>
        </w:tc>
      </w:tr>
      <w:tr>
        <w:trPr>
          <w:trHeight w:val="109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7" w:type="dxa"/>
          </w:tcPr>
          <w:p>
            <w:pPr>
              <w:pStyle w:val="TableParagraph"/>
              <w:spacing w:before="22"/>
              <w:ind w:left="152"/>
              <w:rPr>
                <w:sz w:val="21"/>
              </w:rPr>
            </w:pPr>
            <w:r>
              <w:rPr>
                <w:spacing w:val="-3"/>
                <w:sz w:val="21"/>
              </w:rPr>
              <w:t>声导抗检测或听觉诱发电位检测等证实。</w:t>
            </w:r>
          </w:p>
          <w:p>
            <w:pPr>
              <w:pStyle w:val="TableParagraph"/>
              <w:spacing w:line="266" w:lineRule="auto" w:before="33"/>
              <w:ind w:left="152" w:right="157"/>
              <w:rPr>
                <w:b/>
                <w:i/>
                <w:sz w:val="22"/>
              </w:rPr>
            </w:pPr>
            <w:r>
              <w:rPr>
                <w:b/>
                <w:i/>
                <w:spacing w:val="-5"/>
                <w:w w:val="95"/>
                <w:sz w:val="22"/>
              </w:rPr>
              <w:t>被保险人申请理赔时年龄必须在 </w:t>
            </w:r>
            <w:r>
              <w:rPr>
                <w:b/>
                <w:i/>
                <w:spacing w:val="-2"/>
                <w:w w:val="95"/>
                <w:sz w:val="22"/>
              </w:rPr>
              <w:t>3</w:t>
            </w:r>
            <w:r>
              <w:rPr>
                <w:b/>
                <w:i/>
                <w:spacing w:val="-44"/>
                <w:w w:val="95"/>
                <w:sz w:val="22"/>
              </w:rPr>
              <w:t> </w:t>
            </w:r>
            <w:r>
              <w:rPr>
                <w:b/>
                <w:i/>
                <w:spacing w:val="-2"/>
                <w:w w:val="95"/>
                <w:sz w:val="22"/>
              </w:rPr>
              <w:t>周岁以上，并且提供理赔当时的听力丧失</w:t>
            </w:r>
            <w:r>
              <w:rPr>
                <w:b/>
                <w:i/>
                <w:spacing w:val="-2"/>
                <w:sz w:val="22"/>
              </w:rPr>
              <w:t>诊</w:t>
            </w:r>
            <w:r>
              <w:rPr>
                <w:b/>
                <w:i/>
                <w:spacing w:val="-2"/>
                <w:sz w:val="22"/>
              </w:rPr>
              <w:t>断</w:t>
            </w:r>
            <w:r>
              <w:rPr>
                <w:b/>
                <w:i/>
                <w:spacing w:val="-2"/>
                <w:sz w:val="22"/>
              </w:rPr>
              <w:t>及</w:t>
            </w:r>
            <w:r>
              <w:rPr>
                <w:b/>
                <w:i/>
                <w:spacing w:val="-2"/>
                <w:sz w:val="22"/>
              </w:rPr>
              <w:t>检</w:t>
            </w:r>
            <w:r>
              <w:rPr>
                <w:b/>
                <w:i/>
                <w:spacing w:val="-2"/>
                <w:sz w:val="22"/>
              </w:rPr>
              <w:t>查</w:t>
            </w:r>
            <w:r>
              <w:rPr>
                <w:b/>
                <w:i/>
                <w:spacing w:val="-2"/>
                <w:sz w:val="22"/>
              </w:rPr>
              <w:t>证</w:t>
            </w:r>
            <w:r>
              <w:rPr>
                <w:b/>
                <w:i/>
                <w:spacing w:val="-2"/>
                <w:sz w:val="22"/>
              </w:rPr>
              <w:t>据</w:t>
            </w:r>
            <w:r>
              <w:rPr>
                <w:b/>
                <w:i/>
                <w:spacing w:val="-2"/>
                <w:sz w:val="22"/>
              </w:rPr>
              <w:t>。</w:t>
            </w:r>
          </w:p>
        </w:tc>
      </w:tr>
      <w:tr>
        <w:trPr>
          <w:trHeight w:val="416" w:hRule="atLeast"/>
        </w:trPr>
        <w:tc>
          <w:tcPr>
            <w:tcW w:w="937" w:type="dxa"/>
          </w:tcPr>
          <w:p>
            <w:pPr>
              <w:pStyle w:val="TableParagraph"/>
              <w:spacing w:line="220" w:lineRule="exact" w:before="177"/>
              <w:ind w:left="50"/>
              <w:rPr>
                <w:b/>
                <w:sz w:val="21"/>
              </w:rPr>
            </w:pPr>
            <w:r>
              <w:rPr>
                <w:b/>
                <w:spacing w:val="-2"/>
                <w:sz w:val="21"/>
              </w:rPr>
              <w:t>9.8.14</w:t>
            </w:r>
          </w:p>
        </w:tc>
        <w:tc>
          <w:tcPr>
            <w:tcW w:w="1671" w:type="dxa"/>
          </w:tcPr>
          <w:p>
            <w:pPr>
              <w:pStyle w:val="TableParagraph"/>
              <w:spacing w:line="220" w:lineRule="exact" w:before="177"/>
              <w:ind w:left="250"/>
              <w:rPr>
                <w:rFonts w:ascii="楷体" w:eastAsia="楷体" w:hint="eastAsia"/>
                <w:b/>
                <w:sz w:val="21"/>
              </w:rPr>
            </w:pPr>
            <w:r>
              <w:rPr>
                <w:rFonts w:ascii="楷体" w:eastAsia="楷体" w:hint="eastAsia"/>
                <w:b/>
                <w:spacing w:val="-3"/>
                <w:sz w:val="21"/>
              </w:rPr>
              <w:t>双目失明</w:t>
            </w:r>
          </w:p>
        </w:tc>
        <w:tc>
          <w:tcPr>
            <w:tcW w:w="7227" w:type="dxa"/>
          </w:tcPr>
          <w:p>
            <w:pPr>
              <w:pStyle w:val="TableParagraph"/>
              <w:spacing w:line="220" w:lineRule="exact" w:before="177"/>
              <w:ind w:left="152"/>
              <w:rPr>
                <w:sz w:val="21"/>
              </w:rPr>
            </w:pPr>
            <w:r>
              <w:rPr>
                <w:spacing w:val="-3"/>
                <w:sz w:val="21"/>
              </w:rPr>
              <w:t>指因疾病或意外伤害导致双眼视力永久不可逆性丧失，双眼中较好眼须满足</w:t>
            </w:r>
          </w:p>
        </w:tc>
      </w:tr>
    </w:tbl>
    <w:p>
      <w:pPr>
        <w:spacing w:after="0" w:line="220" w:lineRule="exact"/>
        <w:rPr>
          <w:sz w:val="21"/>
        </w:rPr>
        <w:sectPr>
          <w:type w:val="continuous"/>
          <w:pgSz w:w="11910" w:h="16840"/>
          <w:pgMar w:top="1280" w:bottom="1187"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140"/>
      </w:tblGrid>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140" w:type="dxa"/>
          </w:tcPr>
          <w:p>
            <w:pPr>
              <w:pStyle w:val="TableParagraph"/>
              <w:spacing w:line="241" w:lineRule="exact"/>
              <w:ind w:left="152"/>
              <w:rPr>
                <w:sz w:val="21"/>
              </w:rPr>
            </w:pPr>
            <w:r>
              <w:rPr>
                <w:spacing w:val="-3"/>
                <w:sz w:val="21"/>
              </w:rPr>
              <w:t>下列至少一项条件：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（1）</w:t>
            </w:r>
            <w:r>
              <w:rPr>
                <w:spacing w:val="-4"/>
                <w:sz w:val="21"/>
              </w:rPr>
              <w:t>眼球缺失或摘除；</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（2）</w:t>
            </w:r>
            <w:r>
              <w:rPr>
                <w:spacing w:val="-1"/>
                <w:sz w:val="21"/>
              </w:rPr>
              <w:t>矫正视力低于 </w:t>
            </w:r>
            <w:r>
              <w:rPr>
                <w:spacing w:val="-2"/>
                <w:sz w:val="21"/>
              </w:rPr>
              <w:t>0.02（</w:t>
            </w:r>
            <w:r>
              <w:rPr>
                <w:spacing w:val="-3"/>
                <w:sz w:val="21"/>
              </w:rPr>
              <w:t>采用国际标准视力表，如果使用其他视力表应进</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行换算</w:t>
            </w:r>
            <w:r>
              <w:rPr>
                <w:spacing w:val="-5"/>
                <w:sz w:val="21"/>
              </w:rPr>
              <w:t>）；</w:t>
            </w:r>
          </w:p>
        </w:tc>
      </w:tr>
      <w:tr>
        <w:trPr>
          <w:trHeight w:val="109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（3）</w:t>
            </w:r>
            <w:r>
              <w:rPr>
                <w:spacing w:val="-10"/>
                <w:sz w:val="21"/>
              </w:rPr>
              <w:t>视野半径小于 </w:t>
            </w:r>
            <w:r>
              <w:rPr>
                <w:spacing w:val="-2"/>
                <w:sz w:val="21"/>
              </w:rPr>
              <w:t>5</w:t>
            </w:r>
            <w:r>
              <w:rPr>
                <w:spacing w:val="-20"/>
                <w:sz w:val="21"/>
              </w:rPr>
              <w:t> 度。</w:t>
            </w:r>
          </w:p>
          <w:p>
            <w:pPr>
              <w:pStyle w:val="TableParagraph"/>
              <w:spacing w:line="266" w:lineRule="auto" w:before="33"/>
              <w:ind w:left="152" w:right="70"/>
              <w:rPr>
                <w:b/>
                <w:i/>
                <w:sz w:val="22"/>
              </w:rPr>
            </w:pPr>
            <w:r>
              <w:rPr>
                <w:b/>
                <w:i/>
                <w:spacing w:val="-5"/>
                <w:w w:val="95"/>
                <w:sz w:val="22"/>
              </w:rPr>
              <w:t>被保险人申请理赔时年龄必须在 </w:t>
            </w:r>
            <w:r>
              <w:rPr>
                <w:b/>
                <w:i/>
                <w:spacing w:val="-2"/>
                <w:w w:val="95"/>
                <w:sz w:val="22"/>
              </w:rPr>
              <w:t>3</w:t>
            </w:r>
            <w:r>
              <w:rPr>
                <w:b/>
                <w:i/>
                <w:spacing w:val="-44"/>
                <w:w w:val="95"/>
                <w:sz w:val="22"/>
              </w:rPr>
              <w:t> </w:t>
            </w:r>
            <w:r>
              <w:rPr>
                <w:b/>
                <w:i/>
                <w:spacing w:val="-2"/>
                <w:w w:val="95"/>
                <w:sz w:val="22"/>
              </w:rPr>
              <w:t>周岁以上，并且提供理赔当时的双目失明</w:t>
            </w:r>
            <w:r>
              <w:rPr>
                <w:b/>
                <w:i/>
                <w:spacing w:val="-2"/>
                <w:sz w:val="22"/>
              </w:rPr>
              <w:t>诊</w:t>
            </w:r>
            <w:r>
              <w:rPr>
                <w:b/>
                <w:i/>
                <w:spacing w:val="-2"/>
                <w:sz w:val="22"/>
              </w:rPr>
              <w:t>断</w:t>
            </w:r>
            <w:r>
              <w:rPr>
                <w:b/>
                <w:i/>
                <w:spacing w:val="-2"/>
                <w:sz w:val="22"/>
              </w:rPr>
              <w:t>及</w:t>
            </w:r>
            <w:r>
              <w:rPr>
                <w:b/>
                <w:i/>
                <w:spacing w:val="-2"/>
                <w:sz w:val="22"/>
              </w:rPr>
              <w:t>检</w:t>
            </w:r>
            <w:r>
              <w:rPr>
                <w:b/>
                <w:i/>
                <w:spacing w:val="-2"/>
                <w:sz w:val="22"/>
              </w:rPr>
              <w:t>查</w:t>
            </w:r>
            <w:r>
              <w:rPr>
                <w:b/>
                <w:i/>
                <w:spacing w:val="-2"/>
                <w:sz w:val="22"/>
              </w:rPr>
              <w:t>证</w:t>
            </w:r>
            <w:r>
              <w:rPr>
                <w:b/>
                <w:i/>
                <w:spacing w:val="-2"/>
                <w:sz w:val="22"/>
              </w:rPr>
              <w:t>据</w:t>
            </w:r>
            <w:r>
              <w:rPr>
                <w:b/>
                <w:i/>
                <w:spacing w:val="-2"/>
                <w:sz w:val="22"/>
              </w:rPr>
              <w:t>。</w:t>
            </w:r>
          </w:p>
        </w:tc>
      </w:tr>
      <w:tr>
        <w:trPr>
          <w:trHeight w:val="467" w:hRule="atLeast"/>
        </w:trPr>
        <w:tc>
          <w:tcPr>
            <w:tcW w:w="937" w:type="dxa"/>
          </w:tcPr>
          <w:p>
            <w:pPr>
              <w:pStyle w:val="TableParagraph"/>
              <w:spacing w:before="177"/>
              <w:ind w:left="50"/>
              <w:rPr>
                <w:b/>
                <w:sz w:val="21"/>
              </w:rPr>
            </w:pPr>
            <w:r>
              <w:rPr>
                <w:b/>
                <w:spacing w:val="-2"/>
                <w:sz w:val="21"/>
              </w:rPr>
              <w:t>9.8.15</w:t>
            </w:r>
          </w:p>
        </w:tc>
        <w:tc>
          <w:tcPr>
            <w:tcW w:w="1671" w:type="dxa"/>
          </w:tcPr>
          <w:p>
            <w:pPr>
              <w:pStyle w:val="TableParagraph"/>
              <w:spacing w:before="177"/>
              <w:ind w:left="250"/>
              <w:rPr>
                <w:rFonts w:ascii="楷体" w:eastAsia="楷体" w:hint="eastAsia"/>
                <w:b/>
                <w:sz w:val="21"/>
              </w:rPr>
            </w:pPr>
            <w:r>
              <w:rPr>
                <w:rFonts w:ascii="楷体" w:eastAsia="楷体" w:hint="eastAsia"/>
                <w:b/>
                <w:spacing w:val="-5"/>
                <w:sz w:val="21"/>
              </w:rPr>
              <w:t>瘫痪</w:t>
            </w:r>
          </w:p>
        </w:tc>
        <w:tc>
          <w:tcPr>
            <w:tcW w:w="7140" w:type="dxa"/>
          </w:tcPr>
          <w:p>
            <w:pPr>
              <w:pStyle w:val="TableParagraph"/>
              <w:spacing w:before="177"/>
              <w:ind w:left="152"/>
              <w:rPr>
                <w:sz w:val="21"/>
              </w:rPr>
            </w:pPr>
            <w:r>
              <w:rPr>
                <w:spacing w:val="-3"/>
                <w:sz w:val="21"/>
              </w:rPr>
              <w:t>指因疾病或意外伤害导致两肢或两肢以上肢体随意运动功能永久完全丧失。</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4"/>
                <w:sz w:val="21"/>
              </w:rPr>
              <w:t>肢体随意运动功能永久完全丧失，指疾病确诊 </w:t>
            </w:r>
            <w:r>
              <w:rPr>
                <w:spacing w:val="-2"/>
                <w:sz w:val="21"/>
              </w:rPr>
              <w:t>180</w:t>
            </w:r>
            <w:r>
              <w:rPr>
                <w:spacing w:val="-13"/>
                <w:sz w:val="21"/>
              </w:rPr>
              <w:t> 天后或意外伤害发生 </w:t>
            </w:r>
            <w:r>
              <w:rPr>
                <w:spacing w:val="-5"/>
                <w:sz w:val="21"/>
              </w:rPr>
              <w:t>180</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4"/>
                <w:sz w:val="21"/>
              </w:rPr>
              <w:t>天后，每肢三大关节中的两大关节仍然完全僵硬，或肢体肌力在 </w:t>
            </w:r>
            <w:r>
              <w:rPr>
                <w:spacing w:val="-2"/>
                <w:sz w:val="21"/>
              </w:rPr>
              <w:t>2</w:t>
            </w:r>
            <w:r>
              <w:rPr>
                <w:spacing w:val="-22"/>
                <w:sz w:val="21"/>
              </w:rPr>
              <w:t> 级</w:t>
            </w:r>
            <w:r>
              <w:rPr>
                <w:spacing w:val="-2"/>
                <w:sz w:val="21"/>
              </w:rPr>
              <w:t>（含</w:t>
            </w:r>
            <w:r>
              <w:rPr>
                <w:spacing w:val="-10"/>
                <w:sz w:val="21"/>
              </w:rPr>
              <w:t>）</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4"/>
                <w:sz w:val="21"/>
              </w:rPr>
              <w:t>以下。</w:t>
            </w:r>
          </w:p>
        </w:tc>
      </w:tr>
      <w:tr>
        <w:trPr>
          <w:trHeight w:val="468" w:hRule="atLeast"/>
        </w:trPr>
        <w:tc>
          <w:tcPr>
            <w:tcW w:w="937" w:type="dxa"/>
          </w:tcPr>
          <w:p>
            <w:pPr>
              <w:pStyle w:val="TableParagraph"/>
              <w:spacing w:before="178"/>
              <w:ind w:left="50"/>
              <w:rPr>
                <w:b/>
                <w:sz w:val="21"/>
              </w:rPr>
            </w:pPr>
            <w:r>
              <w:rPr>
                <w:b/>
                <w:spacing w:val="-2"/>
                <w:sz w:val="21"/>
              </w:rPr>
              <w:t>9.8.16</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心脏瓣膜手术</w:t>
            </w:r>
          </w:p>
        </w:tc>
        <w:tc>
          <w:tcPr>
            <w:tcW w:w="7140" w:type="dxa"/>
          </w:tcPr>
          <w:p>
            <w:pPr>
              <w:pStyle w:val="TableParagraph"/>
              <w:spacing w:before="178"/>
              <w:ind w:left="152"/>
              <w:rPr>
                <w:sz w:val="21"/>
              </w:rPr>
            </w:pPr>
            <w:r>
              <w:rPr>
                <w:spacing w:val="-3"/>
                <w:sz w:val="21"/>
              </w:rPr>
              <w:t>指为治疗心脏瓣膜疾病，已经实施了切开心脏进行的心脏瓣膜置换或修复的</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4"/>
                <w:sz w:val="21"/>
              </w:rPr>
              <w:t>手术。</w:t>
            </w:r>
          </w:p>
          <w:p>
            <w:pPr>
              <w:pStyle w:val="TableParagraph"/>
              <w:spacing w:before="33"/>
              <w:ind w:left="152"/>
              <w:rPr>
                <w:b/>
                <w:i/>
                <w:sz w:val="22"/>
              </w:rPr>
            </w:pPr>
            <w:r>
              <w:rPr>
                <w:b/>
                <w:i/>
                <w:spacing w:val="-3"/>
                <w:w w:val="95"/>
                <w:sz w:val="22"/>
              </w:rPr>
              <w:t>所有未切开心脏的心脏瓣膜介入手术不在保障范围内。</w:t>
            </w:r>
          </w:p>
        </w:tc>
      </w:tr>
      <w:tr>
        <w:trPr>
          <w:trHeight w:val="467" w:hRule="atLeast"/>
        </w:trPr>
        <w:tc>
          <w:tcPr>
            <w:tcW w:w="937" w:type="dxa"/>
          </w:tcPr>
          <w:p>
            <w:pPr>
              <w:pStyle w:val="TableParagraph"/>
              <w:spacing w:before="177"/>
              <w:ind w:left="50"/>
              <w:rPr>
                <w:b/>
                <w:sz w:val="21"/>
              </w:rPr>
            </w:pPr>
            <w:r>
              <w:rPr>
                <w:b/>
                <w:spacing w:val="-2"/>
                <w:sz w:val="21"/>
              </w:rPr>
              <w:t>9.8.17</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严重阿尔茨海</w:t>
            </w:r>
          </w:p>
        </w:tc>
        <w:tc>
          <w:tcPr>
            <w:tcW w:w="7140" w:type="dxa"/>
          </w:tcPr>
          <w:p>
            <w:pPr>
              <w:pStyle w:val="TableParagraph"/>
              <w:spacing w:before="177"/>
              <w:ind w:left="152"/>
              <w:rPr>
                <w:sz w:val="21"/>
              </w:rPr>
            </w:pPr>
            <w:r>
              <w:rPr>
                <w:spacing w:val="-3"/>
                <w:sz w:val="21"/>
              </w:rPr>
              <w:t>指因大脑进行性、不可逆性改变导致智能严重衰退或丧失，临床表现为严重</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5"/>
                <w:sz w:val="21"/>
              </w:rPr>
              <w:t>默病</w:t>
            </w:r>
          </w:p>
        </w:tc>
        <w:tc>
          <w:tcPr>
            <w:tcW w:w="7140" w:type="dxa"/>
          </w:tcPr>
          <w:p>
            <w:pPr>
              <w:pStyle w:val="TableParagraph"/>
              <w:spacing w:before="22"/>
              <w:ind w:left="152"/>
              <w:rPr>
                <w:sz w:val="21"/>
              </w:rPr>
            </w:pPr>
            <w:r>
              <w:rPr>
                <w:spacing w:val="-3"/>
                <w:sz w:val="21"/>
              </w:rPr>
              <w:t>的认知功能障碍、精神行为异常和社交能力减退等，其日常生活必须持续受</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z w:val="21"/>
              </w:rPr>
              <w:t>到他人监护。须由头颅断层扫描（CT）、核磁共振检查（MRI）</w:t>
            </w:r>
            <w:r>
              <w:rPr>
                <w:spacing w:val="-2"/>
                <w:sz w:val="21"/>
              </w:rPr>
              <w:t>或正电子发</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z w:val="21"/>
              </w:rPr>
              <w:t>射断层扫描（PET）</w:t>
            </w:r>
            <w:r>
              <w:rPr>
                <w:spacing w:val="-1"/>
                <w:sz w:val="21"/>
              </w:rPr>
              <w:t>等影像学检查证实，并经相关专科医生确诊，且须满足</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3"/>
                <w:sz w:val="21"/>
              </w:rPr>
              <w:t>下列至少一项条件：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z w:val="21"/>
              </w:rPr>
              <w:t>（1）由具有评估资格的专科医生根据临床痴呆评定量表</w:t>
            </w:r>
            <w:r>
              <w:rPr>
                <w:spacing w:val="-2"/>
                <w:sz w:val="21"/>
              </w:rPr>
              <w:t>（CDR，Clinical</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z w:val="21"/>
              </w:rPr>
              <w:t>Dementia</w:t>
            </w:r>
            <w:r>
              <w:rPr>
                <w:spacing w:val="-20"/>
                <w:sz w:val="21"/>
              </w:rPr>
              <w:t> </w:t>
            </w:r>
            <w:r>
              <w:rPr>
                <w:sz w:val="21"/>
              </w:rPr>
              <w:t>Rating）</w:t>
            </w:r>
            <w:r>
              <w:rPr>
                <w:spacing w:val="-9"/>
                <w:sz w:val="21"/>
              </w:rPr>
              <w:t>评估结果为 </w:t>
            </w:r>
            <w:r>
              <w:rPr>
                <w:sz w:val="21"/>
              </w:rPr>
              <w:t>3</w:t>
            </w:r>
            <w:r>
              <w:rPr>
                <w:spacing w:val="-22"/>
                <w:sz w:val="21"/>
              </w:rPr>
              <w:t> 分；</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z w:val="21"/>
              </w:rPr>
              <w:t>（2）</w:t>
            </w:r>
            <w:r>
              <w:rPr>
                <w:spacing w:val="-1"/>
                <w:sz w:val="21"/>
              </w:rPr>
              <w:t>自主生活能力完全丧失，无法独立完成六项基本日常生活活动中的三</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4"/>
                <w:sz w:val="21"/>
              </w:rPr>
              <w:t>项或三项以上。</w:t>
            </w:r>
          </w:p>
          <w:p>
            <w:pPr>
              <w:pStyle w:val="TableParagraph"/>
              <w:spacing w:before="33"/>
              <w:ind w:left="152"/>
              <w:rPr>
                <w:b/>
                <w:i/>
                <w:sz w:val="22"/>
              </w:rPr>
            </w:pPr>
            <w:r>
              <w:rPr>
                <w:b/>
                <w:i/>
                <w:spacing w:val="-3"/>
                <w:w w:val="95"/>
                <w:sz w:val="22"/>
              </w:rPr>
              <w:t>阿尔茨海默病之外的其他类型痴呆不在保障范围内。</w:t>
            </w:r>
          </w:p>
        </w:tc>
      </w:tr>
      <w:tr>
        <w:trPr>
          <w:trHeight w:val="467" w:hRule="atLeast"/>
        </w:trPr>
        <w:tc>
          <w:tcPr>
            <w:tcW w:w="937" w:type="dxa"/>
          </w:tcPr>
          <w:p>
            <w:pPr>
              <w:pStyle w:val="TableParagraph"/>
              <w:spacing w:before="177"/>
              <w:ind w:left="50"/>
              <w:rPr>
                <w:b/>
                <w:sz w:val="21"/>
              </w:rPr>
            </w:pPr>
            <w:r>
              <w:rPr>
                <w:b/>
                <w:spacing w:val="-2"/>
                <w:sz w:val="21"/>
              </w:rPr>
              <w:t>9.8.18</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严重脑损伤</w:t>
            </w:r>
          </w:p>
        </w:tc>
        <w:tc>
          <w:tcPr>
            <w:tcW w:w="7140" w:type="dxa"/>
          </w:tcPr>
          <w:p>
            <w:pPr>
              <w:pStyle w:val="TableParagraph"/>
              <w:spacing w:before="177"/>
              <w:ind w:left="152"/>
              <w:rPr>
                <w:sz w:val="21"/>
              </w:rPr>
            </w:pPr>
            <w:r>
              <w:rPr>
                <w:spacing w:val="-3"/>
                <w:sz w:val="21"/>
              </w:rPr>
              <w:t>指因头部遭受机械性外力，引起脑重要部位损伤，导致神经系统永久性的功</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z w:val="21"/>
              </w:rPr>
              <w:t>能障碍。须由头颅断层扫描（CT）、核磁共振检查（MRI）</w:t>
            </w:r>
            <w:r>
              <w:rPr>
                <w:spacing w:val="-2"/>
                <w:sz w:val="21"/>
              </w:rPr>
              <w:t>或正电子发射断</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z w:val="21"/>
              </w:rPr>
              <w:t>层扫描（PET）</w:t>
            </w:r>
            <w:r>
              <w:rPr>
                <w:spacing w:val="-1"/>
                <w:sz w:val="21"/>
              </w:rPr>
              <w:t>等影像学检查证实。神经系统永久性的功能障碍，指脑损伤</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180</w:t>
            </w:r>
            <w:r>
              <w:rPr>
                <w:spacing w:val="-10"/>
                <w:sz w:val="21"/>
              </w:rPr>
              <w:t> 天后，仍遗留下列至少一种障碍：</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（1）一肢（含）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（2）</w:t>
            </w:r>
            <w:r>
              <w:rPr>
                <w:spacing w:val="-3"/>
                <w:sz w:val="21"/>
              </w:rPr>
              <w:t>语言能力完全丧失，或严重咀嚼吞咽功能障碍；</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（3）</w:t>
            </w:r>
            <w:r>
              <w:rPr>
                <w:spacing w:val="-3"/>
                <w:sz w:val="21"/>
              </w:rPr>
              <w:t>自主生活能力完全丧失，无法独立完成六项基本日常生活活动中的三</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4"/>
                <w:sz w:val="21"/>
              </w:rPr>
              <w:t>项或三项以上。</w:t>
            </w:r>
          </w:p>
        </w:tc>
      </w:tr>
      <w:tr>
        <w:trPr>
          <w:trHeight w:val="468" w:hRule="atLeast"/>
        </w:trPr>
        <w:tc>
          <w:tcPr>
            <w:tcW w:w="937" w:type="dxa"/>
          </w:tcPr>
          <w:p>
            <w:pPr>
              <w:pStyle w:val="TableParagraph"/>
              <w:spacing w:before="178"/>
              <w:ind w:left="50"/>
              <w:rPr>
                <w:b/>
                <w:sz w:val="21"/>
              </w:rPr>
            </w:pPr>
            <w:r>
              <w:rPr>
                <w:b/>
                <w:spacing w:val="-2"/>
                <w:sz w:val="21"/>
              </w:rPr>
              <w:t>9.8.19</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严重原发性帕</w:t>
            </w:r>
          </w:p>
        </w:tc>
        <w:tc>
          <w:tcPr>
            <w:tcW w:w="7140" w:type="dxa"/>
          </w:tcPr>
          <w:p>
            <w:pPr>
              <w:pStyle w:val="TableParagraph"/>
              <w:spacing w:before="178"/>
              <w:ind w:left="152"/>
              <w:rPr>
                <w:sz w:val="21"/>
              </w:rPr>
            </w:pPr>
            <w:r>
              <w:rPr>
                <w:spacing w:val="-3"/>
                <w:sz w:val="21"/>
              </w:rPr>
              <w:t>是一种中枢神经系统的退行性疾病，临床表现为运动迟缓、静止性震颤或肌</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4"/>
                <w:sz w:val="21"/>
              </w:rPr>
              <w:t>金森病</w:t>
            </w:r>
          </w:p>
        </w:tc>
        <w:tc>
          <w:tcPr>
            <w:tcW w:w="7140" w:type="dxa"/>
          </w:tcPr>
          <w:p>
            <w:pPr>
              <w:pStyle w:val="TableParagraph"/>
              <w:spacing w:before="22"/>
              <w:ind w:left="152"/>
              <w:rPr>
                <w:sz w:val="21"/>
              </w:rPr>
            </w:pPr>
            <w:r>
              <w:rPr>
                <w:spacing w:val="-5"/>
                <w:sz w:val="21"/>
              </w:rPr>
              <w:t>强直等，经相关专科医生确诊，且须满足自主生活能力完全丧失，无法独立</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3"/>
                <w:sz w:val="21"/>
              </w:rPr>
              <w:t>完成六项基本日常生活活动中的三项或三项以上。</w:t>
            </w:r>
          </w:p>
          <w:p>
            <w:pPr>
              <w:pStyle w:val="TableParagraph"/>
              <w:spacing w:before="33"/>
              <w:ind w:left="152"/>
              <w:rPr>
                <w:b/>
                <w:i/>
                <w:sz w:val="22"/>
              </w:rPr>
            </w:pPr>
            <w:r>
              <w:rPr>
                <w:b/>
                <w:i/>
                <w:spacing w:val="-3"/>
                <w:w w:val="95"/>
                <w:sz w:val="22"/>
              </w:rPr>
              <w:t>继发性帕金森综合征、帕金森叠加综合征不在保障范围内。</w:t>
            </w:r>
          </w:p>
        </w:tc>
      </w:tr>
      <w:tr>
        <w:trPr>
          <w:trHeight w:val="467" w:hRule="atLeast"/>
        </w:trPr>
        <w:tc>
          <w:tcPr>
            <w:tcW w:w="937" w:type="dxa"/>
          </w:tcPr>
          <w:p>
            <w:pPr>
              <w:pStyle w:val="TableParagraph"/>
              <w:spacing w:before="177"/>
              <w:ind w:left="50"/>
              <w:rPr>
                <w:b/>
                <w:sz w:val="21"/>
              </w:rPr>
            </w:pPr>
            <w:r>
              <w:rPr>
                <w:b/>
                <w:spacing w:val="-2"/>
                <w:sz w:val="21"/>
              </w:rPr>
              <w:t>9.8.20</w:t>
            </w:r>
          </w:p>
        </w:tc>
        <w:tc>
          <w:tcPr>
            <w:tcW w:w="1671" w:type="dxa"/>
          </w:tcPr>
          <w:p>
            <w:pPr>
              <w:pStyle w:val="TableParagraph"/>
              <w:spacing w:before="177"/>
              <w:ind w:left="250"/>
              <w:rPr>
                <w:rFonts w:ascii="楷体" w:hAnsi="楷体" w:eastAsia="楷体" w:hint="eastAsia"/>
                <w:b/>
                <w:sz w:val="21"/>
              </w:rPr>
            </w:pPr>
            <w:r>
              <w:rPr>
                <w:rFonts w:ascii="楷体" w:hAnsi="楷体" w:eastAsia="楷体" w:hint="eastAsia"/>
                <w:b/>
                <w:spacing w:val="-2"/>
                <w:sz w:val="21"/>
              </w:rPr>
              <w:t>严重Ⅲ度烧伤</w:t>
            </w:r>
          </w:p>
        </w:tc>
        <w:tc>
          <w:tcPr>
            <w:tcW w:w="7140" w:type="dxa"/>
          </w:tcPr>
          <w:p>
            <w:pPr>
              <w:pStyle w:val="TableParagraph"/>
              <w:spacing w:before="177"/>
              <w:ind w:left="152"/>
              <w:rPr>
                <w:sz w:val="21"/>
              </w:rPr>
            </w:pPr>
            <w:r>
              <w:rPr>
                <w:spacing w:val="-4"/>
                <w:sz w:val="21"/>
              </w:rPr>
              <w:t>指烧伤程度为Ⅲ度，且Ⅲ度烧伤的面积达到全身体表面积的 </w:t>
            </w:r>
            <w:r>
              <w:rPr>
                <w:spacing w:val="-2"/>
                <w:sz w:val="21"/>
              </w:rPr>
              <w:t>20</w:t>
            </w:r>
            <w:r>
              <w:rPr>
                <w:spacing w:val="-15"/>
                <w:sz w:val="21"/>
              </w:rPr>
              <w:t>％或 </w:t>
            </w:r>
            <w:r>
              <w:rPr>
                <w:spacing w:val="-2"/>
                <w:sz w:val="21"/>
              </w:rPr>
              <w:t>20</w:t>
            </w:r>
            <w:r>
              <w:rPr>
                <w:spacing w:val="-6"/>
                <w:sz w:val="21"/>
              </w:rPr>
              <w:t>％以</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3"/>
                <w:sz w:val="21"/>
              </w:rPr>
              <w:t>上。体表面积根据《中国新九分法》计算。</w:t>
            </w:r>
          </w:p>
        </w:tc>
      </w:tr>
      <w:tr>
        <w:trPr>
          <w:trHeight w:val="417" w:hRule="atLeast"/>
        </w:trPr>
        <w:tc>
          <w:tcPr>
            <w:tcW w:w="937" w:type="dxa"/>
          </w:tcPr>
          <w:p>
            <w:pPr>
              <w:pStyle w:val="TableParagraph"/>
              <w:spacing w:line="220" w:lineRule="exact" w:before="178"/>
              <w:ind w:left="50"/>
              <w:rPr>
                <w:b/>
                <w:sz w:val="21"/>
              </w:rPr>
            </w:pPr>
            <w:r>
              <w:rPr>
                <w:b/>
                <w:spacing w:val="-2"/>
                <w:sz w:val="21"/>
              </w:rPr>
              <w:t>9.8.21</w:t>
            </w:r>
          </w:p>
        </w:tc>
        <w:tc>
          <w:tcPr>
            <w:tcW w:w="1671" w:type="dxa"/>
          </w:tcPr>
          <w:p>
            <w:pPr>
              <w:pStyle w:val="TableParagraph"/>
              <w:spacing w:line="220" w:lineRule="exact" w:before="178"/>
              <w:ind w:left="250"/>
              <w:rPr>
                <w:rFonts w:ascii="楷体" w:eastAsia="楷体" w:hint="eastAsia"/>
                <w:b/>
                <w:sz w:val="21"/>
              </w:rPr>
            </w:pPr>
            <w:r>
              <w:rPr>
                <w:rFonts w:ascii="楷体" w:eastAsia="楷体" w:hint="eastAsia"/>
                <w:b/>
                <w:spacing w:val="-2"/>
                <w:sz w:val="21"/>
              </w:rPr>
              <w:t>严重特发性肺</w:t>
            </w:r>
          </w:p>
        </w:tc>
        <w:tc>
          <w:tcPr>
            <w:tcW w:w="7140" w:type="dxa"/>
          </w:tcPr>
          <w:p>
            <w:pPr>
              <w:pStyle w:val="TableParagraph"/>
              <w:spacing w:line="220" w:lineRule="exact" w:before="178"/>
              <w:ind w:left="152"/>
              <w:rPr>
                <w:sz w:val="21"/>
              </w:rPr>
            </w:pPr>
            <w:r>
              <w:rPr>
                <w:spacing w:val="-3"/>
                <w:sz w:val="21"/>
              </w:rPr>
              <w:t>指不明原因的肺动脉压力持续性增高，进行性发展而导致的慢性疾病，已经</w:t>
            </w:r>
          </w:p>
        </w:tc>
      </w:tr>
    </w:tbl>
    <w:p>
      <w:pPr>
        <w:spacing w:after="0" w:line="220" w:lineRule="exact"/>
        <w:rPr>
          <w:sz w:val="21"/>
        </w:rPr>
        <w:sectPr>
          <w:type w:val="continuous"/>
          <w:pgSz w:w="11910" w:h="16840"/>
          <w:pgMar w:top="1280" w:bottom="798"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081"/>
      </w:tblGrid>
      <w:tr>
        <w:trPr>
          <w:trHeight w:val="1042" w:hRule="atLeast"/>
        </w:trPr>
        <w:tc>
          <w:tcPr>
            <w:tcW w:w="937" w:type="dxa"/>
          </w:tcPr>
          <w:p>
            <w:pPr>
              <w:pStyle w:val="TableParagraph"/>
              <w:rPr>
                <w:rFonts w:ascii="Times New Roman"/>
                <w:sz w:val="20"/>
              </w:rPr>
            </w:pPr>
          </w:p>
        </w:tc>
        <w:tc>
          <w:tcPr>
            <w:tcW w:w="1716" w:type="dxa"/>
          </w:tcPr>
          <w:p>
            <w:pPr>
              <w:pStyle w:val="TableParagraph"/>
              <w:spacing w:line="241" w:lineRule="exact"/>
              <w:ind w:left="250"/>
              <w:rPr>
                <w:rFonts w:ascii="楷体" w:eastAsia="楷体" w:hint="eastAsia"/>
                <w:b/>
                <w:sz w:val="21"/>
              </w:rPr>
            </w:pPr>
            <w:r>
              <w:rPr>
                <w:rFonts w:ascii="楷体" w:eastAsia="楷体" w:hint="eastAsia"/>
                <w:b/>
                <w:spacing w:val="-3"/>
                <w:sz w:val="21"/>
              </w:rPr>
              <w:t>动脉高压</w:t>
            </w:r>
          </w:p>
        </w:tc>
        <w:tc>
          <w:tcPr>
            <w:tcW w:w="7081" w:type="dxa"/>
          </w:tcPr>
          <w:p>
            <w:pPr>
              <w:pStyle w:val="TableParagraph"/>
              <w:spacing w:line="241" w:lineRule="exact"/>
              <w:ind w:left="107"/>
              <w:rPr>
                <w:sz w:val="21"/>
              </w:rPr>
            </w:pPr>
            <w:r>
              <w:rPr>
                <w:spacing w:val="-10"/>
                <w:sz w:val="21"/>
              </w:rPr>
              <w:t>造成永久不可逆性的体力活动能力受限，达到美国纽约心脏病学会</w:t>
            </w:r>
            <w:r>
              <w:rPr>
                <w:spacing w:val="-2"/>
                <w:sz w:val="21"/>
              </w:rPr>
              <w:t>（New</w:t>
            </w:r>
            <w:r>
              <w:rPr>
                <w:spacing w:val="-32"/>
                <w:sz w:val="21"/>
              </w:rPr>
              <w:t> </w:t>
            </w:r>
            <w:r>
              <w:rPr>
                <w:spacing w:val="-4"/>
                <w:sz w:val="21"/>
              </w:rPr>
              <w:t>York</w:t>
            </w:r>
          </w:p>
          <w:p>
            <w:pPr>
              <w:pStyle w:val="TableParagraph"/>
              <w:spacing w:line="278" w:lineRule="auto" w:before="43"/>
              <w:ind w:left="107" w:right="53"/>
              <w:rPr>
                <w:sz w:val="21"/>
              </w:rPr>
            </w:pPr>
            <w:r>
              <w:rPr>
                <w:sz w:val="21"/>
              </w:rPr>
              <w:t>Heart</w:t>
            </w:r>
            <w:r>
              <w:rPr>
                <w:spacing w:val="-27"/>
                <w:sz w:val="21"/>
              </w:rPr>
              <w:t> </w:t>
            </w:r>
            <w:r>
              <w:rPr>
                <w:sz w:val="21"/>
              </w:rPr>
              <w:t>Association，NYHA）</w:t>
            </w:r>
            <w:r>
              <w:rPr>
                <w:spacing w:val="-7"/>
                <w:sz w:val="21"/>
              </w:rPr>
              <w:t>心功能状态分级 </w:t>
            </w:r>
            <w:r>
              <w:rPr>
                <w:sz w:val="21"/>
              </w:rPr>
              <w:t>IV</w:t>
            </w:r>
            <w:r>
              <w:rPr>
                <w:spacing w:val="-8"/>
                <w:sz w:val="21"/>
              </w:rPr>
              <w:t> 级，且静息状态下肺动脉平</w:t>
            </w:r>
            <w:r>
              <w:rPr>
                <w:spacing w:val="-11"/>
                <w:sz w:val="21"/>
              </w:rPr>
              <w:t>均压在 </w:t>
            </w:r>
            <w:r>
              <w:rPr>
                <w:sz w:val="21"/>
              </w:rPr>
              <w:t>36mmHg（含）以上。</w:t>
            </w:r>
          </w:p>
        </w:tc>
      </w:tr>
      <w:tr>
        <w:trPr>
          <w:trHeight w:val="467" w:hRule="atLeast"/>
        </w:trPr>
        <w:tc>
          <w:tcPr>
            <w:tcW w:w="937" w:type="dxa"/>
          </w:tcPr>
          <w:p>
            <w:pPr>
              <w:pStyle w:val="TableParagraph"/>
              <w:spacing w:before="178"/>
              <w:ind w:left="50"/>
              <w:rPr>
                <w:b/>
                <w:sz w:val="21"/>
              </w:rPr>
            </w:pPr>
            <w:r>
              <w:rPr>
                <w:b/>
                <w:spacing w:val="-2"/>
                <w:sz w:val="21"/>
              </w:rPr>
              <w:t>9.8.22</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严重运动神经</w:t>
            </w:r>
          </w:p>
        </w:tc>
        <w:tc>
          <w:tcPr>
            <w:tcW w:w="7081" w:type="dxa"/>
          </w:tcPr>
          <w:p>
            <w:pPr>
              <w:pStyle w:val="TableParagraph"/>
              <w:spacing w:before="178"/>
              <w:ind w:left="107"/>
              <w:rPr>
                <w:sz w:val="21"/>
              </w:rPr>
            </w:pPr>
            <w:r>
              <w:rPr>
                <w:spacing w:val="-3"/>
                <w:sz w:val="21"/>
              </w:rPr>
              <w:t>是一组中枢神经系统运动神经元的进行性变性疾病，包括进行性脊肌萎缩</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5"/>
                <w:sz w:val="21"/>
              </w:rPr>
              <w:t>元病</w:t>
            </w:r>
          </w:p>
        </w:tc>
        <w:tc>
          <w:tcPr>
            <w:tcW w:w="7081" w:type="dxa"/>
          </w:tcPr>
          <w:p>
            <w:pPr>
              <w:pStyle w:val="TableParagraph"/>
              <w:spacing w:before="22"/>
              <w:ind w:left="107"/>
              <w:rPr>
                <w:sz w:val="21"/>
              </w:rPr>
            </w:pPr>
            <w:r>
              <w:rPr>
                <w:spacing w:val="-3"/>
                <w:sz w:val="21"/>
              </w:rPr>
              <w:t>症、进行性延髓麻痹症、原发性侧索硬化症、肌萎缩性侧索硬化症，经相关</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3"/>
                <w:sz w:val="21"/>
              </w:rPr>
              <w:t>专科医生确诊，且须满足下列至少一项条件：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2"/>
                <w:sz w:val="21"/>
              </w:rPr>
              <w:t>（1）</w:t>
            </w:r>
            <w:r>
              <w:rPr>
                <w:spacing w:val="-3"/>
                <w:sz w:val="21"/>
              </w:rPr>
              <w:t>严重咀嚼吞咽功能障碍；</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2"/>
                <w:sz w:val="21"/>
              </w:rPr>
              <w:t>（2）</w:t>
            </w:r>
            <w:r>
              <w:rPr>
                <w:spacing w:val="-4"/>
                <w:sz w:val="21"/>
              </w:rPr>
              <w:t>呼吸肌麻痹导致严重呼吸困难，且已经持续使用呼吸机 </w:t>
            </w:r>
            <w:r>
              <w:rPr>
                <w:spacing w:val="-2"/>
                <w:sz w:val="21"/>
              </w:rPr>
              <w:t>7</w:t>
            </w:r>
            <w:r>
              <w:rPr>
                <w:spacing w:val="-23"/>
                <w:sz w:val="21"/>
              </w:rPr>
              <w:t> 天</w:t>
            </w:r>
            <w:r>
              <w:rPr>
                <w:spacing w:val="-2"/>
                <w:sz w:val="21"/>
              </w:rPr>
              <w:t>（含）</w:t>
            </w:r>
            <w:r>
              <w:rPr>
                <w:spacing w:val="-10"/>
                <w:sz w:val="21"/>
              </w:rPr>
              <w:t>以</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5"/>
                <w:sz w:val="21"/>
              </w:rPr>
              <w:t>上；</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2"/>
                <w:sz w:val="21"/>
              </w:rPr>
              <w:t>（3）</w:t>
            </w:r>
            <w:r>
              <w:rPr>
                <w:spacing w:val="-3"/>
                <w:sz w:val="21"/>
              </w:rPr>
              <w:t>自主生活能力完全丧失，无法独立完成六项基本日常生活活动中的三</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4"/>
                <w:sz w:val="21"/>
              </w:rPr>
              <w:t>项或三项以上。</w:t>
            </w:r>
          </w:p>
        </w:tc>
      </w:tr>
      <w:tr>
        <w:trPr>
          <w:trHeight w:val="468" w:hRule="atLeast"/>
        </w:trPr>
        <w:tc>
          <w:tcPr>
            <w:tcW w:w="937" w:type="dxa"/>
          </w:tcPr>
          <w:p>
            <w:pPr>
              <w:pStyle w:val="TableParagraph"/>
              <w:spacing w:before="178"/>
              <w:ind w:left="50"/>
              <w:rPr>
                <w:b/>
                <w:sz w:val="21"/>
              </w:rPr>
            </w:pPr>
            <w:r>
              <w:rPr>
                <w:b/>
                <w:spacing w:val="-2"/>
                <w:sz w:val="21"/>
              </w:rPr>
              <w:t>9.8.23</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语言能力丧失</w:t>
            </w:r>
          </w:p>
        </w:tc>
        <w:tc>
          <w:tcPr>
            <w:tcW w:w="7081" w:type="dxa"/>
          </w:tcPr>
          <w:p>
            <w:pPr>
              <w:pStyle w:val="TableParagraph"/>
              <w:spacing w:before="178"/>
              <w:ind w:left="107"/>
              <w:rPr>
                <w:sz w:val="21"/>
              </w:rPr>
            </w:pPr>
            <w:r>
              <w:rPr>
                <w:spacing w:val="-7"/>
                <w:sz w:val="21"/>
              </w:rPr>
              <w:t>指因疾病或意外伤害导致语言能力完全丧失，经过积极治疗至少 </w:t>
            </w:r>
            <w:r>
              <w:rPr>
                <w:spacing w:val="-2"/>
                <w:sz w:val="21"/>
              </w:rPr>
              <w:t>12</w:t>
            </w:r>
            <w:r>
              <w:rPr>
                <w:spacing w:val="-36"/>
                <w:sz w:val="21"/>
              </w:rPr>
              <w:t> 个月</w:t>
            </w:r>
            <w:r>
              <w:rPr>
                <w:spacing w:val="-2"/>
                <w:sz w:val="21"/>
              </w:rPr>
              <w:t>（</w:t>
            </w:r>
            <w:r>
              <w:rPr>
                <w:spacing w:val="-10"/>
                <w:sz w:val="21"/>
              </w:rPr>
              <w:t>声</w:t>
            </w:r>
          </w:p>
        </w:tc>
      </w:tr>
      <w:tr>
        <w:trPr>
          <w:trHeight w:val="30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line="265" w:lineRule="exact" w:before="22"/>
              <w:ind w:left="107"/>
              <w:rPr>
                <w:sz w:val="21"/>
              </w:rPr>
            </w:pPr>
            <w:r>
              <w:rPr>
                <w:spacing w:val="-2"/>
                <w:sz w:val="21"/>
              </w:rPr>
              <w:t>带完全切除不受此时间限制）</w:t>
            </w:r>
            <w:r>
              <w:rPr>
                <w:spacing w:val="-3"/>
                <w:sz w:val="21"/>
              </w:rPr>
              <w:t>，仍无法通过现有医疗手段恢复。</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line="276" w:lineRule="exact" w:before="17"/>
              <w:ind w:left="107"/>
              <w:rPr>
                <w:b/>
                <w:i/>
                <w:sz w:val="22"/>
              </w:rPr>
            </w:pPr>
            <w:r>
              <w:rPr>
                <w:b/>
                <w:i/>
                <w:spacing w:val="-3"/>
                <w:w w:val="95"/>
                <w:sz w:val="22"/>
              </w:rPr>
              <w:t>精神心理因素所致的语言能力丧失不在保障范围内。</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line="276" w:lineRule="exact" w:before="16"/>
              <w:ind w:left="107"/>
              <w:rPr>
                <w:b/>
                <w:i/>
                <w:sz w:val="22"/>
              </w:rPr>
            </w:pPr>
            <w:r>
              <w:rPr>
                <w:b/>
                <w:i/>
                <w:spacing w:val="-6"/>
                <w:w w:val="95"/>
                <w:sz w:val="22"/>
              </w:rPr>
              <w:t>被保险人申请理赔时年龄必须在 </w:t>
            </w:r>
            <w:r>
              <w:rPr>
                <w:b/>
                <w:i/>
                <w:spacing w:val="-2"/>
                <w:w w:val="95"/>
                <w:sz w:val="22"/>
              </w:rPr>
              <w:t>3</w:t>
            </w:r>
            <w:r>
              <w:rPr>
                <w:b/>
                <w:i/>
                <w:spacing w:val="-51"/>
                <w:w w:val="95"/>
                <w:sz w:val="22"/>
              </w:rPr>
              <w:t> </w:t>
            </w:r>
            <w:r>
              <w:rPr>
                <w:b/>
                <w:i/>
                <w:spacing w:val="-3"/>
                <w:w w:val="95"/>
                <w:sz w:val="22"/>
              </w:rPr>
              <w:t>周岁以上，并且提供理赔当时的语言能力</w:t>
            </w:r>
          </w:p>
        </w:tc>
      </w:tr>
      <w:tr>
        <w:trPr>
          <w:trHeight w:val="47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16"/>
              <w:ind w:left="107"/>
              <w:rPr>
                <w:b/>
                <w:i/>
                <w:sz w:val="22"/>
              </w:rPr>
            </w:pPr>
            <w:r>
              <w:rPr>
                <w:b/>
                <w:i/>
                <w:spacing w:val="-3"/>
                <w:w w:val="95"/>
                <w:sz w:val="22"/>
              </w:rPr>
              <w:t>丧失诊断及检查证据。</w:t>
            </w:r>
          </w:p>
        </w:tc>
      </w:tr>
      <w:tr>
        <w:trPr>
          <w:trHeight w:val="467" w:hRule="atLeast"/>
        </w:trPr>
        <w:tc>
          <w:tcPr>
            <w:tcW w:w="937" w:type="dxa"/>
          </w:tcPr>
          <w:p>
            <w:pPr>
              <w:pStyle w:val="TableParagraph"/>
              <w:spacing w:before="177"/>
              <w:ind w:left="50"/>
              <w:rPr>
                <w:b/>
                <w:sz w:val="21"/>
              </w:rPr>
            </w:pPr>
            <w:r>
              <w:rPr>
                <w:b/>
                <w:spacing w:val="-2"/>
                <w:sz w:val="21"/>
              </w:rPr>
              <w:t>9.8.24</w:t>
            </w:r>
          </w:p>
        </w:tc>
        <w:tc>
          <w:tcPr>
            <w:tcW w:w="1716" w:type="dxa"/>
          </w:tcPr>
          <w:p>
            <w:pPr>
              <w:pStyle w:val="TableParagraph"/>
              <w:spacing w:before="177"/>
              <w:ind w:left="250"/>
              <w:rPr>
                <w:rFonts w:ascii="楷体" w:eastAsia="楷体" w:hint="eastAsia"/>
                <w:b/>
                <w:sz w:val="21"/>
              </w:rPr>
            </w:pPr>
            <w:r>
              <w:rPr>
                <w:rFonts w:ascii="楷体" w:eastAsia="楷体" w:hint="eastAsia"/>
                <w:b/>
                <w:spacing w:val="-2"/>
                <w:sz w:val="21"/>
              </w:rPr>
              <w:t>重型再生障碍</w:t>
            </w:r>
          </w:p>
        </w:tc>
        <w:tc>
          <w:tcPr>
            <w:tcW w:w="7081" w:type="dxa"/>
          </w:tcPr>
          <w:p>
            <w:pPr>
              <w:pStyle w:val="TableParagraph"/>
              <w:spacing w:before="177"/>
              <w:ind w:left="107"/>
              <w:rPr>
                <w:sz w:val="21"/>
              </w:rPr>
            </w:pPr>
            <w:r>
              <w:rPr>
                <w:spacing w:val="-3"/>
                <w:sz w:val="21"/>
              </w:rPr>
              <w:t>指因骨髓造血功能慢性持续性衰竭导致的贫血、中性粒细胞减少及血小板减</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4"/>
                <w:sz w:val="21"/>
              </w:rPr>
              <w:t>性贫血</w:t>
            </w:r>
          </w:p>
        </w:tc>
        <w:tc>
          <w:tcPr>
            <w:tcW w:w="7081" w:type="dxa"/>
          </w:tcPr>
          <w:p>
            <w:pPr>
              <w:pStyle w:val="TableParagraph"/>
              <w:spacing w:before="22"/>
              <w:ind w:left="107"/>
              <w:rPr>
                <w:sz w:val="21"/>
              </w:rPr>
            </w:pPr>
            <w:r>
              <w:rPr>
                <w:spacing w:val="-3"/>
                <w:sz w:val="21"/>
              </w:rPr>
              <w:t>少，且须满足下列全部条件：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z w:val="21"/>
              </w:rPr>
              <w:t>（1）</w:t>
            </w:r>
            <w:r>
              <w:rPr>
                <w:spacing w:val="-1"/>
                <w:sz w:val="21"/>
              </w:rPr>
              <w:t>骨髓穿刺检查或骨髓活检结果支持诊断：骨髓细胞增生程度&lt;正常的</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2"/>
                <w:sz w:val="21"/>
              </w:rPr>
              <w:t>25%</w:t>
            </w:r>
            <w:r>
              <w:rPr>
                <w:spacing w:val="-7"/>
                <w:sz w:val="21"/>
              </w:rPr>
              <w:t>；如≥正常的 </w:t>
            </w:r>
            <w:r>
              <w:rPr>
                <w:spacing w:val="-2"/>
                <w:sz w:val="21"/>
              </w:rPr>
              <w:t>25%但&lt;50</w:t>
            </w:r>
            <w:r>
              <w:rPr>
                <w:spacing w:val="-3"/>
                <w:sz w:val="21"/>
              </w:rPr>
              <w:t>%，则残存的造血细胞应&lt;</w:t>
            </w:r>
            <w:r>
              <w:rPr>
                <w:spacing w:val="-4"/>
                <w:sz w:val="21"/>
              </w:rPr>
              <w:t>30%；</w:t>
            </w:r>
          </w:p>
        </w:tc>
      </w:tr>
      <w:tr>
        <w:trPr>
          <w:trHeight w:val="1404"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2"/>
                <w:sz w:val="21"/>
              </w:rPr>
              <w:t>（2）</w:t>
            </w:r>
            <w:r>
              <w:rPr>
                <w:spacing w:val="-3"/>
                <w:sz w:val="21"/>
              </w:rPr>
              <w:t>外周血象须具备以下三项条件中的两项：</w:t>
            </w:r>
          </w:p>
          <w:p>
            <w:pPr>
              <w:pStyle w:val="TableParagraph"/>
              <w:spacing w:before="33"/>
              <w:ind w:left="107"/>
              <w:rPr>
                <w:sz w:val="21"/>
              </w:rPr>
            </w:pPr>
            <w:r>
              <w:rPr>
                <w:spacing w:val="-2"/>
                <w:sz w:val="21"/>
              </w:rPr>
              <w:t>①中性粒细胞绝对值&lt;0.5×10</w:t>
            </w:r>
            <w:r>
              <w:rPr>
                <w:spacing w:val="-2"/>
                <w:position w:val="11"/>
                <w:sz w:val="11"/>
              </w:rPr>
              <w:t>9</w:t>
            </w:r>
            <w:r>
              <w:rPr>
                <w:spacing w:val="-2"/>
                <w:sz w:val="21"/>
              </w:rPr>
              <w:t>/L；</w:t>
            </w:r>
          </w:p>
          <w:p>
            <w:pPr>
              <w:pStyle w:val="TableParagraph"/>
              <w:spacing w:before="33"/>
              <w:ind w:left="107"/>
              <w:rPr>
                <w:sz w:val="21"/>
              </w:rPr>
            </w:pPr>
            <w:r>
              <w:rPr>
                <w:spacing w:val="-2"/>
                <w:sz w:val="21"/>
              </w:rPr>
              <w:t>②网织红细胞计数&lt;20×10</w:t>
            </w:r>
            <w:r>
              <w:rPr>
                <w:spacing w:val="-2"/>
                <w:position w:val="11"/>
                <w:sz w:val="11"/>
              </w:rPr>
              <w:t>9</w:t>
            </w:r>
            <w:r>
              <w:rPr>
                <w:spacing w:val="-2"/>
                <w:sz w:val="21"/>
              </w:rPr>
              <w:t>/L；</w:t>
            </w:r>
          </w:p>
          <w:p>
            <w:pPr>
              <w:pStyle w:val="TableParagraph"/>
              <w:spacing w:before="33"/>
              <w:ind w:left="107"/>
              <w:rPr>
                <w:sz w:val="21"/>
              </w:rPr>
            </w:pPr>
            <w:r>
              <w:rPr>
                <w:spacing w:val="-2"/>
                <w:sz w:val="21"/>
              </w:rPr>
              <w:t>③血小板绝对值&lt;20×10</w:t>
            </w:r>
            <w:r>
              <w:rPr>
                <w:spacing w:val="-2"/>
                <w:position w:val="11"/>
                <w:sz w:val="11"/>
              </w:rPr>
              <w:t>9</w:t>
            </w:r>
            <w:r>
              <w:rPr>
                <w:spacing w:val="-2"/>
                <w:sz w:val="21"/>
              </w:rPr>
              <w:t>/L</w:t>
            </w:r>
            <w:r>
              <w:rPr>
                <w:spacing w:val="-12"/>
                <w:sz w:val="21"/>
              </w:rPr>
              <w:t>。</w:t>
            </w:r>
          </w:p>
        </w:tc>
      </w:tr>
      <w:tr>
        <w:trPr>
          <w:trHeight w:val="467" w:hRule="atLeast"/>
        </w:trPr>
        <w:tc>
          <w:tcPr>
            <w:tcW w:w="937" w:type="dxa"/>
          </w:tcPr>
          <w:p>
            <w:pPr>
              <w:pStyle w:val="TableParagraph"/>
              <w:spacing w:before="178"/>
              <w:ind w:left="50"/>
              <w:rPr>
                <w:b/>
                <w:sz w:val="21"/>
              </w:rPr>
            </w:pPr>
            <w:r>
              <w:rPr>
                <w:b/>
                <w:spacing w:val="-2"/>
                <w:sz w:val="21"/>
              </w:rPr>
              <w:t>9.8.25</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主动脉手术</w:t>
            </w:r>
          </w:p>
        </w:tc>
        <w:tc>
          <w:tcPr>
            <w:tcW w:w="7081" w:type="dxa"/>
          </w:tcPr>
          <w:p>
            <w:pPr>
              <w:pStyle w:val="TableParagraph"/>
              <w:spacing w:before="178"/>
              <w:ind w:left="107"/>
              <w:rPr>
                <w:sz w:val="21"/>
              </w:rPr>
            </w:pPr>
            <w:r>
              <w:rPr>
                <w:spacing w:val="-2"/>
                <w:sz w:val="21"/>
              </w:rPr>
              <w:t>指为治疗主动脉疾病或主动脉创伤，已经实施了开胸（含胸腔镜下）</w:t>
            </w:r>
            <w:r>
              <w:rPr>
                <w:spacing w:val="-5"/>
                <w:sz w:val="21"/>
              </w:rPr>
              <w:t>或开腹</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2"/>
                <w:sz w:val="21"/>
              </w:rPr>
              <w:t>（含腹腔镜下）</w:t>
            </w:r>
            <w:r>
              <w:rPr>
                <w:spacing w:val="-3"/>
                <w:sz w:val="21"/>
              </w:rPr>
              <w:t>进行的切除、置换、修补病损主动脉血管、主动脉创伤后修</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4"/>
                <w:sz w:val="21"/>
              </w:rPr>
              <w:t>复的手术。主动脉指升主动脉、主动脉弓和降主动脉（</w:t>
            </w:r>
            <w:r>
              <w:rPr>
                <w:spacing w:val="-5"/>
                <w:sz w:val="21"/>
              </w:rPr>
              <w:t>含胸主动脉和腹主动</w:t>
            </w:r>
          </w:p>
        </w:tc>
      </w:tr>
      <w:tr>
        <w:trPr>
          <w:trHeight w:val="30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line="265" w:lineRule="exact" w:before="22"/>
              <w:ind w:left="107"/>
              <w:rPr>
                <w:sz w:val="21"/>
              </w:rPr>
            </w:pPr>
            <w:r>
              <w:rPr>
                <w:spacing w:val="-2"/>
                <w:sz w:val="21"/>
              </w:rPr>
              <w:t>脉）</w:t>
            </w:r>
            <w:r>
              <w:rPr>
                <w:spacing w:val="-3"/>
                <w:sz w:val="21"/>
              </w:rPr>
              <w:t>，不包括升主动脉、主动脉弓和降主动脉的分支血管。</w:t>
            </w:r>
          </w:p>
        </w:tc>
      </w:tr>
      <w:tr>
        <w:trPr>
          <w:trHeight w:val="473"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17"/>
              <w:ind w:left="107"/>
              <w:rPr>
                <w:b/>
                <w:i/>
                <w:sz w:val="22"/>
              </w:rPr>
            </w:pPr>
            <w:r>
              <w:rPr>
                <w:b/>
                <w:i/>
                <w:spacing w:val="-3"/>
                <w:w w:val="95"/>
                <w:sz w:val="22"/>
              </w:rPr>
              <w:t>所有未实施开胸或开腹的动脉内介入治疗不在保障范围内。</w:t>
            </w:r>
          </w:p>
        </w:tc>
      </w:tr>
      <w:tr>
        <w:trPr>
          <w:trHeight w:val="467" w:hRule="atLeast"/>
        </w:trPr>
        <w:tc>
          <w:tcPr>
            <w:tcW w:w="937" w:type="dxa"/>
          </w:tcPr>
          <w:p>
            <w:pPr>
              <w:pStyle w:val="TableParagraph"/>
              <w:spacing w:before="177"/>
              <w:ind w:left="50"/>
              <w:rPr>
                <w:b/>
                <w:sz w:val="21"/>
              </w:rPr>
            </w:pPr>
            <w:r>
              <w:rPr>
                <w:b/>
                <w:spacing w:val="-2"/>
                <w:sz w:val="21"/>
              </w:rPr>
              <w:t>9.8.26</w:t>
            </w:r>
          </w:p>
        </w:tc>
        <w:tc>
          <w:tcPr>
            <w:tcW w:w="1716" w:type="dxa"/>
          </w:tcPr>
          <w:p>
            <w:pPr>
              <w:pStyle w:val="TableParagraph"/>
              <w:spacing w:before="177"/>
              <w:ind w:left="250"/>
              <w:rPr>
                <w:rFonts w:ascii="楷体" w:eastAsia="楷体" w:hint="eastAsia"/>
                <w:b/>
                <w:sz w:val="21"/>
              </w:rPr>
            </w:pPr>
            <w:r>
              <w:rPr>
                <w:rFonts w:ascii="楷体" w:eastAsia="楷体" w:hint="eastAsia"/>
                <w:b/>
                <w:spacing w:val="-2"/>
                <w:sz w:val="21"/>
              </w:rPr>
              <w:t>严重慢性呼吸</w:t>
            </w:r>
          </w:p>
        </w:tc>
        <w:tc>
          <w:tcPr>
            <w:tcW w:w="7081" w:type="dxa"/>
          </w:tcPr>
          <w:p>
            <w:pPr>
              <w:pStyle w:val="TableParagraph"/>
              <w:spacing w:before="177"/>
              <w:ind w:left="107"/>
              <w:rPr>
                <w:sz w:val="21"/>
              </w:rPr>
            </w:pPr>
            <w:r>
              <w:rPr>
                <w:spacing w:val="-4"/>
                <w:sz w:val="21"/>
              </w:rPr>
              <w:t>指因慢性呼吸系统疾病导致永久不可逆性的呼吸衰竭，经过积极治疗 </w:t>
            </w:r>
            <w:r>
              <w:rPr>
                <w:spacing w:val="-2"/>
                <w:sz w:val="21"/>
              </w:rPr>
              <w:t>180</w:t>
            </w:r>
            <w:r>
              <w:rPr>
                <w:spacing w:val="-30"/>
                <w:sz w:val="21"/>
              </w:rPr>
              <w:t> 天</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5"/>
                <w:sz w:val="21"/>
              </w:rPr>
              <w:t>衰竭</w:t>
            </w:r>
          </w:p>
        </w:tc>
        <w:tc>
          <w:tcPr>
            <w:tcW w:w="7081" w:type="dxa"/>
          </w:tcPr>
          <w:p>
            <w:pPr>
              <w:pStyle w:val="TableParagraph"/>
              <w:spacing w:before="22"/>
              <w:ind w:left="107"/>
              <w:rPr>
                <w:sz w:val="21"/>
              </w:rPr>
            </w:pPr>
            <w:r>
              <w:rPr>
                <w:spacing w:val="-3"/>
                <w:sz w:val="21"/>
              </w:rPr>
              <w:t>后满足以下所有条件：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2"/>
                <w:sz w:val="21"/>
              </w:rPr>
              <w:t>（1）</w:t>
            </w:r>
            <w:r>
              <w:rPr>
                <w:spacing w:val="-3"/>
                <w:sz w:val="21"/>
              </w:rPr>
              <w:t>静息时出现呼吸困难；</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1"/>
              <w:ind w:left="107"/>
              <w:rPr>
                <w:sz w:val="21"/>
              </w:rPr>
            </w:pPr>
            <w:r>
              <w:rPr>
                <w:spacing w:val="-2"/>
                <w:position w:val="1"/>
                <w:sz w:val="21"/>
              </w:rPr>
              <w:t>（2）肺功能第一秒用力呼气容积（FEV</w:t>
            </w:r>
            <w:r>
              <w:rPr>
                <w:spacing w:val="-2"/>
                <w:sz w:val="11"/>
              </w:rPr>
              <w:t>1</w:t>
            </w:r>
            <w:r>
              <w:rPr>
                <w:spacing w:val="-2"/>
                <w:position w:val="1"/>
                <w:sz w:val="21"/>
              </w:rPr>
              <w:t>）占预计值的百分比＜30%；</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1"/>
              <w:ind w:left="107"/>
              <w:rPr>
                <w:sz w:val="21"/>
              </w:rPr>
            </w:pPr>
            <w:r>
              <w:rPr>
                <w:spacing w:val="-2"/>
                <w:position w:val="1"/>
                <w:sz w:val="21"/>
              </w:rPr>
              <w:t>（3）在静息状态、呼吸空气条件下，动脉血氧分压（PaO</w:t>
            </w:r>
            <w:r>
              <w:rPr>
                <w:spacing w:val="-2"/>
                <w:sz w:val="11"/>
              </w:rPr>
              <w:t>2</w:t>
            </w:r>
            <w:r>
              <w:rPr>
                <w:spacing w:val="-2"/>
                <w:position w:val="1"/>
                <w:sz w:val="21"/>
              </w:rPr>
              <w:t>）＜50mmHg</w:t>
            </w:r>
            <w:r>
              <w:rPr>
                <w:spacing w:val="-10"/>
                <w:position w:val="1"/>
                <w:sz w:val="21"/>
              </w:rPr>
              <w:t>。</w:t>
            </w:r>
          </w:p>
        </w:tc>
      </w:tr>
      <w:tr>
        <w:trPr>
          <w:trHeight w:val="468" w:hRule="atLeast"/>
        </w:trPr>
        <w:tc>
          <w:tcPr>
            <w:tcW w:w="937" w:type="dxa"/>
          </w:tcPr>
          <w:p>
            <w:pPr>
              <w:pStyle w:val="TableParagraph"/>
              <w:spacing w:before="178"/>
              <w:ind w:left="50"/>
              <w:rPr>
                <w:b/>
                <w:sz w:val="21"/>
              </w:rPr>
            </w:pPr>
            <w:r>
              <w:rPr>
                <w:b/>
                <w:spacing w:val="-2"/>
                <w:sz w:val="21"/>
              </w:rPr>
              <w:t>9.8.27</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严重克罗恩病</w:t>
            </w:r>
          </w:p>
        </w:tc>
        <w:tc>
          <w:tcPr>
            <w:tcW w:w="7081" w:type="dxa"/>
          </w:tcPr>
          <w:p>
            <w:pPr>
              <w:pStyle w:val="TableParagraph"/>
              <w:spacing w:before="178"/>
              <w:ind w:left="107"/>
              <w:rPr>
                <w:sz w:val="21"/>
              </w:rPr>
            </w:pPr>
            <w:r>
              <w:rPr>
                <w:spacing w:val="-2"/>
                <w:sz w:val="21"/>
              </w:rPr>
              <w:t>指一种慢性肉芽肿性肠炎，具有特征性的克罗恩病（Crohn</w:t>
            </w:r>
            <w:r>
              <w:rPr>
                <w:spacing w:val="-15"/>
                <w:sz w:val="21"/>
              </w:rPr>
              <w:t> 病</w:t>
            </w:r>
            <w:r>
              <w:rPr>
                <w:spacing w:val="-2"/>
                <w:sz w:val="21"/>
              </w:rPr>
              <w:t>）</w:t>
            </w:r>
            <w:r>
              <w:rPr>
                <w:spacing w:val="-4"/>
                <w:sz w:val="21"/>
              </w:rPr>
              <w:t>病理组织学</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3"/>
                <w:sz w:val="21"/>
              </w:rPr>
              <w:t>变化，须根据组织病理学特点诊断，且已经造成瘘管形成并伴有肠梗阻或肠</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81" w:type="dxa"/>
          </w:tcPr>
          <w:p>
            <w:pPr>
              <w:pStyle w:val="TableParagraph"/>
              <w:spacing w:before="22"/>
              <w:ind w:left="107"/>
              <w:rPr>
                <w:sz w:val="21"/>
              </w:rPr>
            </w:pPr>
            <w:r>
              <w:rPr>
                <w:spacing w:val="-4"/>
                <w:sz w:val="21"/>
              </w:rPr>
              <w:t>穿孔。</w:t>
            </w:r>
          </w:p>
        </w:tc>
      </w:tr>
      <w:tr>
        <w:trPr>
          <w:trHeight w:val="467" w:hRule="atLeast"/>
        </w:trPr>
        <w:tc>
          <w:tcPr>
            <w:tcW w:w="937" w:type="dxa"/>
          </w:tcPr>
          <w:p>
            <w:pPr>
              <w:pStyle w:val="TableParagraph"/>
              <w:spacing w:before="178"/>
              <w:ind w:left="50"/>
              <w:rPr>
                <w:b/>
                <w:sz w:val="21"/>
              </w:rPr>
            </w:pPr>
            <w:r>
              <w:rPr>
                <w:b/>
                <w:spacing w:val="-2"/>
                <w:sz w:val="21"/>
              </w:rPr>
              <w:t>9.8.28</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严重溃疡性结</w:t>
            </w:r>
          </w:p>
        </w:tc>
        <w:tc>
          <w:tcPr>
            <w:tcW w:w="7081" w:type="dxa"/>
          </w:tcPr>
          <w:p>
            <w:pPr>
              <w:pStyle w:val="TableParagraph"/>
              <w:spacing w:before="178"/>
              <w:ind w:left="107"/>
              <w:rPr>
                <w:sz w:val="21"/>
              </w:rPr>
            </w:pPr>
            <w:r>
              <w:rPr>
                <w:spacing w:val="-3"/>
                <w:sz w:val="21"/>
              </w:rPr>
              <w:t>指伴有致命性电解质紊乱的急性暴发性溃疡性结肠炎，病变已经累及全结</w:t>
            </w:r>
          </w:p>
        </w:tc>
      </w:tr>
      <w:tr>
        <w:trPr>
          <w:trHeight w:val="261" w:hRule="atLeast"/>
        </w:trPr>
        <w:tc>
          <w:tcPr>
            <w:tcW w:w="937" w:type="dxa"/>
          </w:tcPr>
          <w:p>
            <w:pPr>
              <w:pStyle w:val="TableParagraph"/>
              <w:rPr>
                <w:rFonts w:ascii="Times New Roman"/>
                <w:sz w:val="18"/>
              </w:rPr>
            </w:pPr>
          </w:p>
        </w:tc>
        <w:tc>
          <w:tcPr>
            <w:tcW w:w="1716" w:type="dxa"/>
          </w:tcPr>
          <w:p>
            <w:pPr>
              <w:pStyle w:val="TableParagraph"/>
              <w:spacing w:line="220" w:lineRule="exact" w:before="22"/>
              <w:ind w:left="250"/>
              <w:rPr>
                <w:rFonts w:ascii="楷体" w:eastAsia="楷体" w:hint="eastAsia"/>
                <w:b/>
                <w:sz w:val="21"/>
              </w:rPr>
            </w:pPr>
            <w:r>
              <w:rPr>
                <w:rFonts w:ascii="楷体" w:eastAsia="楷体" w:hint="eastAsia"/>
                <w:b/>
                <w:spacing w:val="-5"/>
                <w:sz w:val="21"/>
              </w:rPr>
              <w:t>肠炎</w:t>
            </w:r>
          </w:p>
        </w:tc>
        <w:tc>
          <w:tcPr>
            <w:tcW w:w="7081" w:type="dxa"/>
          </w:tcPr>
          <w:p>
            <w:pPr>
              <w:pStyle w:val="TableParagraph"/>
              <w:spacing w:line="220" w:lineRule="exact" w:before="22"/>
              <w:ind w:left="107"/>
              <w:rPr>
                <w:sz w:val="21"/>
              </w:rPr>
            </w:pPr>
            <w:r>
              <w:rPr>
                <w:spacing w:val="-5"/>
                <w:sz w:val="21"/>
              </w:rPr>
              <w:t>肠，表现为严重的血便和系统性症状体征，须根据组织病理学特点诊断，且</w:t>
            </w:r>
          </w:p>
        </w:tc>
      </w:tr>
    </w:tbl>
    <w:p>
      <w:pPr>
        <w:spacing w:after="0" w:line="220" w:lineRule="exact"/>
        <w:rPr>
          <w:sz w:val="21"/>
        </w:rPr>
        <w:sectPr>
          <w:type w:val="continuous"/>
          <w:pgSz w:w="11910" w:h="16840"/>
          <w:pgMar w:top="1280" w:bottom="1111"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095"/>
      </w:tblGrid>
      <w:tr>
        <w:trPr>
          <w:trHeight w:val="41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line="241" w:lineRule="exact"/>
              <w:ind w:left="107"/>
              <w:rPr>
                <w:sz w:val="21"/>
              </w:rPr>
            </w:pPr>
            <w:r>
              <w:rPr>
                <w:spacing w:val="-3"/>
                <w:sz w:val="21"/>
              </w:rPr>
              <w:t>已经实施了结肠切除或回肠造瘘术。</w:t>
            </w:r>
          </w:p>
        </w:tc>
      </w:tr>
      <w:tr>
        <w:trPr>
          <w:trHeight w:val="468" w:hRule="atLeast"/>
        </w:trPr>
        <w:tc>
          <w:tcPr>
            <w:tcW w:w="937" w:type="dxa"/>
          </w:tcPr>
          <w:p>
            <w:pPr>
              <w:pStyle w:val="TableParagraph"/>
              <w:spacing w:before="178"/>
              <w:ind w:left="50"/>
              <w:rPr>
                <w:b/>
                <w:sz w:val="21"/>
              </w:rPr>
            </w:pPr>
            <w:r>
              <w:rPr>
                <w:b/>
                <w:spacing w:val="-2"/>
                <w:sz w:val="21"/>
              </w:rPr>
              <w:t>9.8.29</w:t>
            </w:r>
          </w:p>
        </w:tc>
        <w:tc>
          <w:tcPr>
            <w:tcW w:w="1716" w:type="dxa"/>
          </w:tcPr>
          <w:p>
            <w:pPr>
              <w:pStyle w:val="TableParagraph"/>
              <w:spacing w:before="178"/>
              <w:ind w:left="250"/>
              <w:rPr>
                <w:rFonts w:ascii="楷体" w:eastAsia="楷体" w:hint="eastAsia"/>
                <w:b/>
                <w:sz w:val="21"/>
              </w:rPr>
            </w:pPr>
            <w:r>
              <w:rPr>
                <w:rFonts w:ascii="楷体" w:eastAsia="楷体" w:hint="eastAsia"/>
                <w:b/>
                <w:spacing w:val="-3"/>
                <w:sz w:val="21"/>
              </w:rPr>
              <w:t>胰腺移植</w:t>
            </w:r>
          </w:p>
        </w:tc>
        <w:tc>
          <w:tcPr>
            <w:tcW w:w="7095" w:type="dxa"/>
          </w:tcPr>
          <w:p>
            <w:pPr>
              <w:pStyle w:val="TableParagraph"/>
              <w:spacing w:before="178"/>
              <w:ind w:left="107"/>
              <w:rPr>
                <w:sz w:val="21"/>
              </w:rPr>
            </w:pPr>
            <w:r>
              <w:rPr>
                <w:spacing w:val="-3"/>
                <w:sz w:val="21"/>
              </w:rPr>
              <w:t>指胰腺功能衰竭，已经实施了在全身麻醉下进行的胰腺的异体器官移植手</w:t>
            </w:r>
          </w:p>
        </w:tc>
      </w:tr>
      <w:tr>
        <w:trPr>
          <w:trHeight w:val="78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5"/>
                <w:sz w:val="21"/>
              </w:rPr>
              <w:t>术。</w:t>
            </w:r>
          </w:p>
          <w:p>
            <w:pPr>
              <w:pStyle w:val="TableParagraph"/>
              <w:spacing w:before="33"/>
              <w:ind w:left="107"/>
              <w:rPr>
                <w:b/>
                <w:i/>
                <w:sz w:val="22"/>
              </w:rPr>
            </w:pPr>
            <w:r>
              <w:rPr>
                <w:b/>
                <w:i/>
                <w:spacing w:val="-3"/>
                <w:w w:val="95"/>
                <w:sz w:val="22"/>
              </w:rPr>
              <w:t>单纯胰岛移植、部分胰腺组织或细胞的移植不在保障范围内。</w:t>
            </w:r>
          </w:p>
        </w:tc>
      </w:tr>
      <w:tr>
        <w:trPr>
          <w:trHeight w:val="467" w:hRule="atLeast"/>
        </w:trPr>
        <w:tc>
          <w:tcPr>
            <w:tcW w:w="937" w:type="dxa"/>
          </w:tcPr>
          <w:p>
            <w:pPr>
              <w:pStyle w:val="TableParagraph"/>
              <w:spacing w:before="177"/>
              <w:ind w:left="50"/>
              <w:rPr>
                <w:b/>
                <w:sz w:val="21"/>
              </w:rPr>
            </w:pPr>
            <w:r>
              <w:rPr>
                <w:b/>
                <w:spacing w:val="-2"/>
                <w:sz w:val="21"/>
              </w:rPr>
              <w:t>9.8.30</w:t>
            </w:r>
          </w:p>
        </w:tc>
        <w:tc>
          <w:tcPr>
            <w:tcW w:w="1716" w:type="dxa"/>
          </w:tcPr>
          <w:p>
            <w:pPr>
              <w:pStyle w:val="TableParagraph"/>
              <w:spacing w:before="177"/>
              <w:ind w:left="250"/>
              <w:rPr>
                <w:rFonts w:ascii="楷体" w:eastAsia="楷体" w:hint="eastAsia"/>
                <w:b/>
                <w:sz w:val="21"/>
              </w:rPr>
            </w:pPr>
            <w:r>
              <w:rPr>
                <w:rFonts w:ascii="楷体" w:eastAsia="楷体" w:hint="eastAsia"/>
                <w:b/>
                <w:spacing w:val="11"/>
                <w:sz w:val="21"/>
              </w:rPr>
              <w:t>埃博拉病毒感</w:t>
            </w:r>
          </w:p>
        </w:tc>
        <w:tc>
          <w:tcPr>
            <w:tcW w:w="7095" w:type="dxa"/>
          </w:tcPr>
          <w:p>
            <w:pPr>
              <w:pStyle w:val="TableParagraph"/>
              <w:spacing w:before="177"/>
              <w:ind w:left="107"/>
              <w:rPr>
                <w:sz w:val="21"/>
              </w:rPr>
            </w:pPr>
            <w:r>
              <w:rPr>
                <w:spacing w:val="-3"/>
                <w:sz w:val="21"/>
              </w:rPr>
              <w:t>指埃博拉病毒感染导致的烈性传染病，并须满足下列全部条件：</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w w:val="100"/>
                <w:sz w:val="21"/>
              </w:rPr>
              <w:t>染</w:t>
            </w:r>
          </w:p>
        </w:tc>
        <w:tc>
          <w:tcPr>
            <w:tcW w:w="7095" w:type="dxa"/>
          </w:tcPr>
          <w:p>
            <w:pPr>
              <w:pStyle w:val="TableParagraph"/>
              <w:spacing w:before="22"/>
              <w:ind w:left="107"/>
              <w:rPr>
                <w:sz w:val="21"/>
              </w:rPr>
            </w:pPr>
            <w:r>
              <w:rPr>
                <w:spacing w:val="-2"/>
                <w:sz w:val="21"/>
              </w:rPr>
              <w:t>（1）</w:t>
            </w:r>
            <w:r>
              <w:rPr>
                <w:spacing w:val="-3"/>
                <w:sz w:val="21"/>
              </w:rPr>
              <w:t>实验室检查证实埃博拉病毒的存在；</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（2）</w:t>
            </w:r>
            <w:r>
              <w:rPr>
                <w:spacing w:val="-8"/>
                <w:sz w:val="21"/>
              </w:rPr>
              <w:t>从发病开始有超过 </w:t>
            </w:r>
            <w:r>
              <w:rPr>
                <w:spacing w:val="-2"/>
                <w:sz w:val="21"/>
              </w:rPr>
              <w:t>30</w:t>
            </w:r>
            <w:r>
              <w:rPr>
                <w:spacing w:val="-10"/>
                <w:sz w:val="21"/>
              </w:rPr>
              <w:t> 天的进行性感染症状。</w:t>
            </w:r>
          </w:p>
        </w:tc>
      </w:tr>
      <w:tr>
        <w:trPr>
          <w:trHeight w:val="467" w:hRule="atLeast"/>
        </w:trPr>
        <w:tc>
          <w:tcPr>
            <w:tcW w:w="937" w:type="dxa"/>
          </w:tcPr>
          <w:p>
            <w:pPr>
              <w:pStyle w:val="TableParagraph"/>
              <w:spacing w:before="178"/>
              <w:ind w:left="50"/>
              <w:rPr>
                <w:b/>
                <w:sz w:val="21"/>
              </w:rPr>
            </w:pPr>
            <w:r>
              <w:rPr>
                <w:b/>
                <w:spacing w:val="-2"/>
                <w:sz w:val="21"/>
              </w:rPr>
              <w:t>9.8.31</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丝虫病所致象</w:t>
            </w:r>
          </w:p>
        </w:tc>
        <w:tc>
          <w:tcPr>
            <w:tcW w:w="7095" w:type="dxa"/>
          </w:tcPr>
          <w:p>
            <w:pPr>
              <w:pStyle w:val="TableParagraph"/>
              <w:spacing w:before="178"/>
              <w:ind w:left="107"/>
              <w:rPr>
                <w:sz w:val="21"/>
              </w:rPr>
            </w:pPr>
            <w:r>
              <w:rPr>
                <w:spacing w:val="-5"/>
                <w:sz w:val="21"/>
              </w:rPr>
              <w:t>指末期丝虫病，按国际淋巴学会分级为 </w:t>
            </w:r>
            <w:r>
              <w:rPr>
                <w:spacing w:val="-2"/>
                <w:sz w:val="21"/>
              </w:rPr>
              <w:t>3</w:t>
            </w:r>
            <w:r>
              <w:rPr>
                <w:spacing w:val="-10"/>
                <w:sz w:val="21"/>
              </w:rPr>
              <w:t> 级淋巴液肿，其临床表现为肢体非</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5"/>
                <w:sz w:val="21"/>
              </w:rPr>
              <w:t>皮肿</w:t>
            </w:r>
          </w:p>
        </w:tc>
        <w:tc>
          <w:tcPr>
            <w:tcW w:w="7095" w:type="dxa"/>
          </w:tcPr>
          <w:p>
            <w:pPr>
              <w:pStyle w:val="TableParagraph"/>
              <w:spacing w:before="22"/>
              <w:ind w:left="107"/>
              <w:rPr>
                <w:sz w:val="21"/>
              </w:rPr>
            </w:pPr>
            <w:r>
              <w:rPr>
                <w:spacing w:val="-3"/>
                <w:sz w:val="21"/>
              </w:rPr>
              <w:t>凹陷性水肿伴畸形增大、硬皮症和疣状增生。此病症须经专科医生根据临床</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3"/>
                <w:sz w:val="21"/>
              </w:rPr>
              <w:t>表现和微丝蚴的化验结果确诊。</w:t>
            </w:r>
          </w:p>
        </w:tc>
      </w:tr>
      <w:tr>
        <w:trPr>
          <w:trHeight w:val="468" w:hRule="atLeast"/>
        </w:trPr>
        <w:tc>
          <w:tcPr>
            <w:tcW w:w="937" w:type="dxa"/>
          </w:tcPr>
          <w:p>
            <w:pPr>
              <w:pStyle w:val="TableParagraph"/>
              <w:spacing w:before="178"/>
              <w:ind w:left="50"/>
              <w:rPr>
                <w:b/>
                <w:sz w:val="21"/>
              </w:rPr>
            </w:pPr>
            <w:r>
              <w:rPr>
                <w:b/>
                <w:spacing w:val="-2"/>
                <w:sz w:val="21"/>
              </w:rPr>
              <w:t>9.8.32</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主动脉夹层血</w:t>
            </w:r>
          </w:p>
        </w:tc>
        <w:tc>
          <w:tcPr>
            <w:tcW w:w="7095" w:type="dxa"/>
          </w:tcPr>
          <w:p>
            <w:pPr>
              <w:pStyle w:val="TableParagraph"/>
              <w:spacing w:before="178"/>
              <w:ind w:left="107"/>
              <w:rPr>
                <w:sz w:val="21"/>
              </w:rPr>
            </w:pPr>
            <w:r>
              <w:rPr>
                <w:spacing w:val="-3"/>
                <w:sz w:val="21"/>
              </w:rPr>
              <w:t>是指主动脉壁在受到某些病理因素的破坏后，高速、高压的主动脉血流将其</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w w:val="100"/>
                <w:sz w:val="21"/>
              </w:rPr>
              <w:t>肿</w:t>
            </w:r>
          </w:p>
        </w:tc>
        <w:tc>
          <w:tcPr>
            <w:tcW w:w="7095" w:type="dxa"/>
          </w:tcPr>
          <w:p>
            <w:pPr>
              <w:pStyle w:val="TableParagraph"/>
              <w:spacing w:before="22"/>
              <w:ind w:left="107"/>
              <w:rPr>
                <w:sz w:val="21"/>
              </w:rPr>
            </w:pPr>
            <w:r>
              <w:rPr>
                <w:spacing w:val="-3"/>
                <w:sz w:val="21"/>
              </w:rPr>
              <w:t>内膜撕裂，以致主动脉腔内的血流通过主动脉内膜的破裂口进入主动脉内壁</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11"/>
                <w:sz w:val="21"/>
              </w:rPr>
              <w:t>而形成血肿。被保险人需通过 </w:t>
            </w:r>
            <w:r>
              <w:rPr>
                <w:spacing w:val="-8"/>
                <w:sz w:val="21"/>
              </w:rPr>
              <w:t>X</w:t>
            </w:r>
            <w:r>
              <w:rPr>
                <w:spacing w:val="-15"/>
                <w:sz w:val="21"/>
              </w:rPr>
              <w:t> 线断层扫描</w:t>
            </w:r>
            <w:r>
              <w:rPr>
                <w:spacing w:val="17"/>
                <w:sz w:val="21"/>
              </w:rPr>
              <w:t>（</w:t>
            </w:r>
            <w:r>
              <w:rPr>
                <w:spacing w:val="19"/>
                <w:sz w:val="21"/>
              </w:rPr>
              <w:t>CT</w:t>
            </w:r>
            <w:r>
              <w:rPr>
                <w:spacing w:val="-89"/>
                <w:sz w:val="21"/>
              </w:rPr>
              <w:t>）</w:t>
            </w:r>
            <w:r>
              <w:rPr>
                <w:spacing w:val="-8"/>
                <w:sz w:val="21"/>
              </w:rPr>
              <w:t>、核磁共振检查</w:t>
            </w:r>
            <w:r>
              <w:rPr>
                <w:spacing w:val="12"/>
                <w:sz w:val="21"/>
              </w:rPr>
              <w:t>（</w:t>
            </w:r>
            <w:r>
              <w:rPr>
                <w:spacing w:val="14"/>
                <w:sz w:val="21"/>
              </w:rPr>
              <w:t>MRI</w:t>
            </w:r>
            <w:r>
              <w:rPr>
                <w:spacing w:val="-94"/>
                <w:sz w:val="21"/>
              </w:rPr>
              <w:t>）</w:t>
            </w:r>
            <w:r>
              <w:rPr>
                <w:spacing w:val="-118"/>
                <w:sz w:val="21"/>
              </w:rPr>
              <w:t>、</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磁共振血管检验法（MRA）</w:t>
            </w:r>
            <w:r>
              <w:rPr>
                <w:spacing w:val="-3"/>
                <w:sz w:val="21"/>
              </w:rPr>
              <w:t>或血管扫描等检查支持诊断，并且实施了胸腹切</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3"/>
                <w:sz w:val="21"/>
              </w:rPr>
              <w:t>开的直视主动脉手术。</w:t>
            </w:r>
          </w:p>
        </w:tc>
      </w:tr>
      <w:tr>
        <w:trPr>
          <w:trHeight w:val="467" w:hRule="atLeast"/>
        </w:trPr>
        <w:tc>
          <w:tcPr>
            <w:tcW w:w="937" w:type="dxa"/>
          </w:tcPr>
          <w:p>
            <w:pPr>
              <w:pStyle w:val="TableParagraph"/>
              <w:spacing w:before="178"/>
              <w:ind w:left="50"/>
              <w:rPr>
                <w:b/>
                <w:sz w:val="21"/>
              </w:rPr>
            </w:pPr>
            <w:r>
              <w:rPr>
                <w:b/>
                <w:spacing w:val="-2"/>
                <w:sz w:val="21"/>
              </w:rPr>
              <w:t>9.8.33</w:t>
            </w:r>
          </w:p>
        </w:tc>
        <w:tc>
          <w:tcPr>
            <w:tcW w:w="1716" w:type="dxa"/>
          </w:tcPr>
          <w:p>
            <w:pPr>
              <w:pStyle w:val="TableParagraph"/>
              <w:spacing w:before="178"/>
              <w:ind w:left="250"/>
              <w:rPr>
                <w:rFonts w:ascii="楷体" w:eastAsia="楷体" w:hint="eastAsia"/>
                <w:b/>
                <w:sz w:val="21"/>
              </w:rPr>
            </w:pPr>
            <w:r>
              <w:rPr>
                <w:rFonts w:ascii="楷体" w:eastAsia="楷体" w:hint="eastAsia"/>
                <w:b/>
                <w:spacing w:val="-3"/>
                <w:sz w:val="21"/>
              </w:rPr>
              <w:t>克雅氏病</w:t>
            </w:r>
          </w:p>
        </w:tc>
        <w:tc>
          <w:tcPr>
            <w:tcW w:w="7095" w:type="dxa"/>
          </w:tcPr>
          <w:p>
            <w:pPr>
              <w:pStyle w:val="TableParagraph"/>
              <w:spacing w:before="178"/>
              <w:ind w:left="107"/>
              <w:rPr>
                <w:sz w:val="21"/>
              </w:rPr>
            </w:pPr>
            <w:r>
              <w:rPr>
                <w:spacing w:val="-3"/>
                <w:sz w:val="21"/>
              </w:rPr>
              <w:t>神经系统疾病及致命的成胶质状脑病，并有以下全部症状：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（1）</w:t>
            </w:r>
            <w:r>
              <w:rPr>
                <w:spacing w:val="-3"/>
                <w:sz w:val="21"/>
              </w:rPr>
              <w:t>不能控制的肌肉痉挛及震颤；</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（2）</w:t>
            </w:r>
            <w:r>
              <w:rPr>
                <w:spacing w:val="-4"/>
                <w:sz w:val="21"/>
              </w:rPr>
              <w:t>逐渐痴呆；</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（3）</w:t>
            </w:r>
            <w:r>
              <w:rPr>
                <w:spacing w:val="-3"/>
                <w:sz w:val="21"/>
              </w:rPr>
              <w:t>小脑功能不良，共济失调；</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（4）</w:t>
            </w:r>
            <w:r>
              <w:rPr>
                <w:spacing w:val="-4"/>
                <w:sz w:val="21"/>
              </w:rPr>
              <w:t>手足徐动症。</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3"/>
                <w:sz w:val="21"/>
              </w:rPr>
              <w:t>诊断必须由神经科专科医生基于以下检查报告作出：脑电图、脑脊液报告、</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电脑断层扫描(CT)及核磁共振检查(MRI</w:t>
            </w:r>
            <w:r>
              <w:rPr>
                <w:spacing w:val="-6"/>
                <w:sz w:val="21"/>
              </w:rPr>
              <w:t>)。</w:t>
            </w:r>
          </w:p>
        </w:tc>
      </w:tr>
      <w:tr>
        <w:trPr>
          <w:trHeight w:val="467" w:hRule="atLeast"/>
        </w:trPr>
        <w:tc>
          <w:tcPr>
            <w:tcW w:w="937" w:type="dxa"/>
          </w:tcPr>
          <w:p>
            <w:pPr>
              <w:pStyle w:val="TableParagraph"/>
              <w:spacing w:before="178"/>
              <w:ind w:left="50"/>
              <w:rPr>
                <w:b/>
                <w:sz w:val="21"/>
              </w:rPr>
            </w:pPr>
            <w:r>
              <w:rPr>
                <w:b/>
                <w:spacing w:val="-2"/>
                <w:sz w:val="21"/>
              </w:rPr>
              <w:t>9.8.34</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破裂脑动脉瘤</w:t>
            </w:r>
          </w:p>
        </w:tc>
        <w:tc>
          <w:tcPr>
            <w:tcW w:w="7095" w:type="dxa"/>
          </w:tcPr>
          <w:p>
            <w:pPr>
              <w:pStyle w:val="TableParagraph"/>
              <w:spacing w:before="178"/>
              <w:ind w:left="107"/>
              <w:rPr>
                <w:sz w:val="21"/>
              </w:rPr>
            </w:pPr>
            <w:r>
              <w:rPr>
                <w:spacing w:val="-3"/>
                <w:sz w:val="21"/>
              </w:rPr>
              <w:t>指因脑动脉瘤破裂造成蛛网膜下腔出血，被保险人实际接受了在全麻下进行</w:t>
            </w:r>
          </w:p>
        </w:tc>
      </w:tr>
      <w:tr>
        <w:trPr>
          <w:trHeight w:val="109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3"/>
                <w:sz w:val="21"/>
              </w:rPr>
              <w:t>夹闭手术</w:t>
            </w:r>
          </w:p>
        </w:tc>
        <w:tc>
          <w:tcPr>
            <w:tcW w:w="7095" w:type="dxa"/>
          </w:tcPr>
          <w:p>
            <w:pPr>
              <w:pStyle w:val="TableParagraph"/>
              <w:spacing w:before="22"/>
              <w:ind w:left="107"/>
              <w:rPr>
                <w:sz w:val="21"/>
              </w:rPr>
            </w:pPr>
            <w:r>
              <w:rPr>
                <w:spacing w:val="-3"/>
                <w:sz w:val="21"/>
              </w:rPr>
              <w:t>的开颅动脉夹闭手术。</w:t>
            </w:r>
          </w:p>
          <w:p>
            <w:pPr>
              <w:pStyle w:val="TableParagraph"/>
              <w:spacing w:line="266" w:lineRule="auto" w:before="33"/>
              <w:ind w:left="107" w:right="68"/>
              <w:rPr>
                <w:b/>
                <w:i/>
                <w:sz w:val="22"/>
              </w:rPr>
            </w:pPr>
            <w:r>
              <w:rPr>
                <w:b/>
                <w:i/>
                <w:spacing w:val="-2"/>
                <w:w w:val="95"/>
                <w:sz w:val="22"/>
              </w:rPr>
              <w:t>脑动脉瘤（未破裂）预防性手术、颅骨打孔手术、动脉瘤栓塞手术、血管内</w:t>
            </w:r>
            <w:r>
              <w:rPr>
                <w:b/>
                <w:i/>
                <w:spacing w:val="-2"/>
                <w:sz w:val="22"/>
              </w:rPr>
              <w:t>手</w:t>
            </w:r>
            <w:r>
              <w:rPr>
                <w:b/>
                <w:i/>
                <w:spacing w:val="-2"/>
                <w:sz w:val="22"/>
              </w:rPr>
              <w:t>术</w:t>
            </w:r>
            <w:r>
              <w:rPr>
                <w:b/>
                <w:i/>
                <w:spacing w:val="-2"/>
                <w:sz w:val="22"/>
              </w:rPr>
              <w:t>及</w:t>
            </w:r>
            <w:r>
              <w:rPr>
                <w:b/>
                <w:i/>
                <w:spacing w:val="-2"/>
                <w:sz w:val="22"/>
              </w:rPr>
              <w:t>其</w:t>
            </w:r>
            <w:r>
              <w:rPr>
                <w:b/>
                <w:i/>
                <w:spacing w:val="-2"/>
                <w:sz w:val="22"/>
              </w:rPr>
              <w:t>他</w:t>
            </w:r>
            <w:r>
              <w:rPr>
                <w:b/>
                <w:i/>
                <w:spacing w:val="-2"/>
                <w:sz w:val="22"/>
              </w:rPr>
              <w:t>颅</w:t>
            </w:r>
            <w:r>
              <w:rPr>
                <w:b/>
                <w:i/>
                <w:spacing w:val="-2"/>
                <w:sz w:val="22"/>
              </w:rPr>
              <w:t>脑</w:t>
            </w:r>
            <w:r>
              <w:rPr>
                <w:b/>
                <w:i/>
                <w:spacing w:val="-2"/>
                <w:sz w:val="22"/>
              </w:rPr>
              <w:t>手</w:t>
            </w:r>
            <w:r>
              <w:rPr>
                <w:b/>
                <w:i/>
                <w:spacing w:val="-2"/>
                <w:sz w:val="22"/>
              </w:rPr>
              <w:t>术不在</w:t>
            </w:r>
            <w:r>
              <w:rPr>
                <w:b/>
                <w:i/>
                <w:spacing w:val="-2"/>
                <w:sz w:val="22"/>
              </w:rPr>
              <w:t>保</w:t>
            </w:r>
            <w:r>
              <w:rPr>
                <w:b/>
                <w:i/>
                <w:spacing w:val="-2"/>
                <w:sz w:val="22"/>
              </w:rPr>
              <w:t>障</w:t>
            </w:r>
            <w:r>
              <w:rPr>
                <w:b/>
                <w:i/>
                <w:spacing w:val="-2"/>
                <w:sz w:val="22"/>
              </w:rPr>
              <w:t>范</w:t>
            </w:r>
            <w:r>
              <w:rPr>
                <w:b/>
                <w:i/>
                <w:spacing w:val="-2"/>
                <w:sz w:val="22"/>
              </w:rPr>
              <w:t>围</w:t>
            </w:r>
            <w:r>
              <w:rPr>
                <w:b/>
                <w:i/>
                <w:spacing w:val="-2"/>
                <w:sz w:val="22"/>
              </w:rPr>
              <w:t>内</w:t>
            </w:r>
            <w:r>
              <w:rPr>
                <w:b/>
                <w:i/>
                <w:spacing w:val="-2"/>
                <w:sz w:val="22"/>
              </w:rPr>
              <w:t>。</w:t>
            </w:r>
          </w:p>
        </w:tc>
      </w:tr>
      <w:tr>
        <w:trPr>
          <w:trHeight w:val="467" w:hRule="atLeast"/>
        </w:trPr>
        <w:tc>
          <w:tcPr>
            <w:tcW w:w="937" w:type="dxa"/>
          </w:tcPr>
          <w:p>
            <w:pPr>
              <w:pStyle w:val="TableParagraph"/>
              <w:spacing w:before="177"/>
              <w:ind w:left="50"/>
              <w:rPr>
                <w:b/>
                <w:sz w:val="21"/>
              </w:rPr>
            </w:pPr>
            <w:r>
              <w:rPr>
                <w:b/>
                <w:spacing w:val="-2"/>
                <w:sz w:val="21"/>
              </w:rPr>
              <w:t>9.8.35</w:t>
            </w:r>
          </w:p>
        </w:tc>
        <w:tc>
          <w:tcPr>
            <w:tcW w:w="1716" w:type="dxa"/>
          </w:tcPr>
          <w:p>
            <w:pPr>
              <w:pStyle w:val="TableParagraph"/>
              <w:spacing w:before="177"/>
              <w:ind w:left="250"/>
              <w:rPr>
                <w:rFonts w:ascii="楷体" w:eastAsia="楷体" w:hint="eastAsia"/>
                <w:b/>
                <w:sz w:val="21"/>
              </w:rPr>
            </w:pPr>
            <w:r>
              <w:rPr>
                <w:rFonts w:ascii="楷体" w:eastAsia="楷体" w:hint="eastAsia"/>
                <w:b/>
                <w:spacing w:val="11"/>
                <w:sz w:val="21"/>
              </w:rPr>
              <w:t>经输血导致的</w:t>
            </w:r>
          </w:p>
        </w:tc>
        <w:tc>
          <w:tcPr>
            <w:tcW w:w="7095" w:type="dxa"/>
          </w:tcPr>
          <w:p>
            <w:pPr>
              <w:pStyle w:val="TableParagraph"/>
              <w:spacing w:before="177"/>
              <w:ind w:left="107"/>
              <w:rPr>
                <w:sz w:val="21"/>
              </w:rPr>
            </w:pPr>
            <w:r>
              <w:rPr>
                <w:spacing w:val="-3"/>
                <w:sz w:val="21"/>
              </w:rPr>
              <w:t>是指被保险人感染上人类免疫缺陷病毒并且符合下列所有条件：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11"/>
                <w:sz w:val="21"/>
              </w:rPr>
              <w:t>人类免疫缺陷</w:t>
            </w:r>
          </w:p>
        </w:tc>
        <w:tc>
          <w:tcPr>
            <w:tcW w:w="7095" w:type="dxa"/>
          </w:tcPr>
          <w:p>
            <w:pPr>
              <w:pStyle w:val="TableParagraph"/>
              <w:spacing w:before="22"/>
              <w:ind w:left="107"/>
              <w:rPr>
                <w:sz w:val="21"/>
              </w:rPr>
            </w:pPr>
            <w:r>
              <w:rPr>
                <w:spacing w:val="-2"/>
                <w:sz w:val="21"/>
              </w:rPr>
              <w:t>（1）</w:t>
            </w:r>
            <w:r>
              <w:rPr>
                <w:spacing w:val="-3"/>
                <w:sz w:val="21"/>
              </w:rPr>
              <w:t>在保障起始日或复效日之后，被保险人因治疗必需而接受输血，并且</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3"/>
                <w:sz w:val="21"/>
              </w:rPr>
              <w:t>病毒感染</w:t>
            </w:r>
          </w:p>
        </w:tc>
        <w:tc>
          <w:tcPr>
            <w:tcW w:w="7095" w:type="dxa"/>
          </w:tcPr>
          <w:p>
            <w:pPr>
              <w:pStyle w:val="TableParagraph"/>
              <w:spacing w:before="22"/>
              <w:ind w:left="107"/>
              <w:rPr>
                <w:sz w:val="21"/>
              </w:rPr>
            </w:pPr>
            <w:r>
              <w:rPr>
                <w:spacing w:val="-3"/>
                <w:sz w:val="21"/>
              </w:rPr>
              <w:t>因输血而感染人类免疫缺陷病毒；</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（2）</w:t>
            </w:r>
            <w:r>
              <w:rPr>
                <w:spacing w:val="-3"/>
                <w:sz w:val="21"/>
              </w:rPr>
              <w:t>提供输血治疗的输血中心或医院出具该项输血感染属医疗责任事故的</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3"/>
                <w:sz w:val="21"/>
              </w:rPr>
              <w:t>报告，或者法院终审裁定为医疗责任并且不准上诉；</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（3）</w:t>
            </w:r>
            <w:r>
              <w:rPr>
                <w:spacing w:val="-3"/>
                <w:sz w:val="21"/>
              </w:rPr>
              <w:t>提供输血治疗的输血中心或医院必须拥有合法经营执照；</w:t>
            </w:r>
          </w:p>
        </w:tc>
      </w:tr>
      <w:tr>
        <w:trPr>
          <w:trHeight w:val="156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2"/>
              <w:ind w:left="107"/>
              <w:rPr>
                <w:sz w:val="21"/>
              </w:rPr>
            </w:pPr>
            <w:r>
              <w:rPr>
                <w:spacing w:val="-2"/>
                <w:sz w:val="21"/>
              </w:rPr>
              <w:t>（4）</w:t>
            </w:r>
            <w:r>
              <w:rPr>
                <w:spacing w:val="-3"/>
                <w:sz w:val="21"/>
              </w:rPr>
              <w:t>受感染的被保险人不是血友病患者。</w:t>
            </w:r>
          </w:p>
          <w:p>
            <w:pPr>
              <w:pStyle w:val="TableParagraph"/>
              <w:spacing w:line="310" w:lineRule="atLeast" w:before="4"/>
              <w:ind w:left="107" w:right="70"/>
              <w:rPr>
                <w:b/>
                <w:i/>
                <w:sz w:val="22"/>
              </w:rPr>
            </w:pPr>
            <w:r>
              <w:rPr>
                <w:b/>
                <w:i/>
                <w:spacing w:val="-6"/>
                <w:w w:val="95"/>
                <w:sz w:val="22"/>
              </w:rPr>
              <w:t>在任何治愈艾滋病或阻止人类免疫缺陷病毒病毒作用的疗法被发现以后，或</w:t>
            </w:r>
            <w:r>
              <w:rPr>
                <w:b/>
                <w:i/>
                <w:spacing w:val="-3"/>
                <w:w w:val="95"/>
                <w:sz w:val="22"/>
              </w:rPr>
              <w:t>能防止艾滋病发生的医疗方法被研究出来以后，本保障将不再予以赔付。</w:t>
            </w:r>
            <w:r>
              <w:rPr>
                <w:b/>
                <w:i/>
                <w:spacing w:val="-5"/>
                <w:w w:val="95"/>
                <w:sz w:val="22"/>
              </w:rPr>
              <w:t>任何因其他传播方式</w:t>
            </w:r>
            <w:r>
              <w:rPr>
                <w:b/>
                <w:i/>
                <w:spacing w:val="-3"/>
                <w:w w:val="95"/>
                <w:sz w:val="22"/>
              </w:rPr>
              <w:t>（</w:t>
            </w:r>
            <w:r>
              <w:rPr>
                <w:b/>
                <w:i/>
                <w:spacing w:val="-5"/>
                <w:w w:val="95"/>
                <w:sz w:val="22"/>
              </w:rPr>
              <w:t>包括：性传播或静脉注射毒品</w:t>
            </w:r>
            <w:r>
              <w:rPr>
                <w:b/>
                <w:i/>
                <w:spacing w:val="-15"/>
                <w:w w:val="95"/>
                <w:sz w:val="22"/>
              </w:rPr>
              <w:t>）</w:t>
            </w:r>
            <w:r>
              <w:rPr>
                <w:b/>
                <w:i/>
                <w:spacing w:val="-3"/>
                <w:w w:val="95"/>
                <w:sz w:val="22"/>
              </w:rPr>
              <w:t>导致的人类免疫缺陷</w:t>
            </w:r>
            <w:r>
              <w:rPr>
                <w:b/>
                <w:i/>
                <w:spacing w:val="-2"/>
                <w:w w:val="95"/>
                <w:sz w:val="22"/>
              </w:rPr>
              <w:t>病毒感染不在保障范围内。</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95" w:type="dxa"/>
          </w:tcPr>
          <w:p>
            <w:pPr>
              <w:pStyle w:val="TableParagraph"/>
              <w:spacing w:before="21"/>
              <w:ind w:left="107"/>
              <w:rPr>
                <w:sz w:val="21"/>
              </w:rPr>
            </w:pPr>
            <w:r>
              <w:rPr>
                <w:spacing w:val="-3"/>
                <w:sz w:val="21"/>
              </w:rPr>
              <w:t>我们拥有获得使用被保险人的血液样本的权利和能够对这些样本进行独立</w:t>
            </w:r>
          </w:p>
        </w:tc>
      </w:tr>
      <w:tr>
        <w:trPr>
          <w:trHeight w:val="261" w:hRule="atLeast"/>
        </w:trPr>
        <w:tc>
          <w:tcPr>
            <w:tcW w:w="937" w:type="dxa"/>
          </w:tcPr>
          <w:p>
            <w:pPr>
              <w:pStyle w:val="TableParagraph"/>
              <w:rPr>
                <w:rFonts w:ascii="Times New Roman"/>
                <w:sz w:val="18"/>
              </w:rPr>
            </w:pPr>
          </w:p>
        </w:tc>
        <w:tc>
          <w:tcPr>
            <w:tcW w:w="1716" w:type="dxa"/>
          </w:tcPr>
          <w:p>
            <w:pPr>
              <w:pStyle w:val="TableParagraph"/>
              <w:rPr>
                <w:rFonts w:ascii="Times New Roman"/>
                <w:sz w:val="18"/>
              </w:rPr>
            </w:pPr>
          </w:p>
        </w:tc>
        <w:tc>
          <w:tcPr>
            <w:tcW w:w="7095" w:type="dxa"/>
          </w:tcPr>
          <w:p>
            <w:pPr>
              <w:pStyle w:val="TableParagraph"/>
              <w:spacing w:line="220" w:lineRule="exact" w:before="22"/>
              <w:ind w:left="107"/>
              <w:rPr>
                <w:sz w:val="21"/>
              </w:rPr>
            </w:pPr>
            <w:r>
              <w:rPr>
                <w:spacing w:val="-4"/>
                <w:sz w:val="21"/>
              </w:rPr>
              <w:t>检验的权利。</w:t>
            </w:r>
          </w:p>
        </w:tc>
      </w:tr>
    </w:tbl>
    <w:p>
      <w:pPr>
        <w:spacing w:after="0" w:line="220" w:lineRule="exact"/>
        <w:rPr>
          <w:sz w:val="21"/>
        </w:rPr>
        <w:sectPr>
          <w:type w:val="continuous"/>
          <w:pgSz w:w="11910" w:h="16840"/>
          <w:pgMar w:top="1280" w:bottom="954"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26"/>
        <w:gridCol w:w="7169"/>
      </w:tblGrid>
      <w:tr>
        <w:trPr>
          <w:trHeight w:val="730"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line="241" w:lineRule="exact"/>
              <w:ind w:left="97"/>
              <w:rPr>
                <w:sz w:val="21"/>
              </w:rPr>
            </w:pPr>
            <w:r>
              <w:rPr>
                <w:spacing w:val="-3"/>
                <w:sz w:val="21"/>
              </w:rPr>
              <w:t>我们承担本项疾病责任不受本合同“责任免除”中“被保险人感染艾滋病病</w:t>
            </w:r>
          </w:p>
          <w:p>
            <w:pPr>
              <w:pStyle w:val="TableParagraph"/>
              <w:spacing w:before="43"/>
              <w:ind w:left="97"/>
              <w:rPr>
                <w:sz w:val="21"/>
              </w:rPr>
            </w:pPr>
            <w:r>
              <w:rPr>
                <w:spacing w:val="-3"/>
                <w:sz w:val="21"/>
              </w:rPr>
              <w:t>毒或患艾滋病”的限制。</w:t>
            </w:r>
          </w:p>
        </w:tc>
      </w:tr>
      <w:tr>
        <w:trPr>
          <w:trHeight w:val="467" w:hRule="atLeast"/>
        </w:trPr>
        <w:tc>
          <w:tcPr>
            <w:tcW w:w="937" w:type="dxa"/>
          </w:tcPr>
          <w:p>
            <w:pPr>
              <w:pStyle w:val="TableParagraph"/>
              <w:spacing w:before="178"/>
              <w:ind w:left="50"/>
              <w:rPr>
                <w:b/>
                <w:sz w:val="21"/>
              </w:rPr>
            </w:pPr>
            <w:r>
              <w:rPr>
                <w:b/>
                <w:spacing w:val="-2"/>
                <w:sz w:val="21"/>
              </w:rPr>
              <w:t>9.8.36</w:t>
            </w:r>
          </w:p>
        </w:tc>
        <w:tc>
          <w:tcPr>
            <w:tcW w:w="1726" w:type="dxa"/>
          </w:tcPr>
          <w:p>
            <w:pPr>
              <w:pStyle w:val="TableParagraph"/>
              <w:spacing w:before="178"/>
              <w:ind w:left="250"/>
              <w:rPr>
                <w:rFonts w:ascii="楷体" w:eastAsia="楷体" w:hint="eastAsia"/>
                <w:b/>
                <w:sz w:val="21"/>
              </w:rPr>
            </w:pPr>
            <w:r>
              <w:rPr>
                <w:rFonts w:ascii="楷体" w:eastAsia="楷体" w:hint="eastAsia"/>
                <w:b/>
                <w:spacing w:val="11"/>
                <w:sz w:val="21"/>
              </w:rPr>
              <w:t>原发性硬化性</w:t>
            </w:r>
          </w:p>
        </w:tc>
        <w:tc>
          <w:tcPr>
            <w:tcW w:w="7169" w:type="dxa"/>
          </w:tcPr>
          <w:p>
            <w:pPr>
              <w:pStyle w:val="TableParagraph"/>
              <w:spacing w:before="178"/>
              <w:ind w:left="97"/>
              <w:rPr>
                <w:sz w:val="21"/>
              </w:rPr>
            </w:pPr>
            <w:r>
              <w:rPr>
                <w:spacing w:val="-11"/>
                <w:sz w:val="21"/>
              </w:rPr>
              <w:t>指一种胆汁淤积综合征，其特征是肝内、肝外胆道因纤维化性炎症逐渐狭窄，</w:t>
            </w:r>
          </w:p>
        </w:tc>
      </w:tr>
      <w:tr>
        <w:trPr>
          <w:trHeight w:val="312" w:hRule="atLeast"/>
        </w:trPr>
        <w:tc>
          <w:tcPr>
            <w:tcW w:w="937" w:type="dxa"/>
          </w:tcPr>
          <w:p>
            <w:pPr>
              <w:pStyle w:val="TableParagraph"/>
              <w:rPr>
                <w:rFonts w:ascii="Times New Roman"/>
                <w:sz w:val="20"/>
              </w:rPr>
            </w:pPr>
          </w:p>
        </w:tc>
        <w:tc>
          <w:tcPr>
            <w:tcW w:w="1726" w:type="dxa"/>
          </w:tcPr>
          <w:p>
            <w:pPr>
              <w:pStyle w:val="TableParagraph"/>
              <w:spacing w:before="22"/>
              <w:ind w:left="250"/>
              <w:rPr>
                <w:rFonts w:ascii="楷体" w:eastAsia="楷体" w:hint="eastAsia"/>
                <w:b/>
                <w:sz w:val="21"/>
              </w:rPr>
            </w:pPr>
            <w:r>
              <w:rPr>
                <w:rFonts w:ascii="楷体" w:eastAsia="楷体" w:hint="eastAsia"/>
                <w:b/>
                <w:spacing w:val="-4"/>
                <w:sz w:val="21"/>
              </w:rPr>
              <w:t>胆管炎</w:t>
            </w:r>
          </w:p>
        </w:tc>
        <w:tc>
          <w:tcPr>
            <w:tcW w:w="7169" w:type="dxa"/>
          </w:tcPr>
          <w:p>
            <w:pPr>
              <w:pStyle w:val="TableParagraph"/>
              <w:spacing w:before="22"/>
              <w:ind w:left="97"/>
              <w:rPr>
                <w:sz w:val="21"/>
              </w:rPr>
            </w:pPr>
            <w:r>
              <w:rPr>
                <w:spacing w:val="-3"/>
                <w:sz w:val="21"/>
              </w:rPr>
              <w:t>并最终导致完全阻塞而发展为肝硬化。本疾病须经内镜逆行胰胆管造影等影</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3"/>
                <w:sz w:val="21"/>
              </w:rPr>
              <w:t>像学检查证实，并须满足下列全部条件：</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（1）</w:t>
            </w:r>
            <w:r>
              <w:rPr>
                <w:spacing w:val="-5"/>
                <w:sz w:val="21"/>
              </w:rPr>
              <w:t>总胆红素和直接胆红素同时升高，血清 </w:t>
            </w:r>
            <w:r>
              <w:rPr>
                <w:spacing w:val="-2"/>
                <w:sz w:val="21"/>
              </w:rPr>
              <w:t>ALP&gt;200U/L；</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（2）</w:t>
            </w:r>
            <w:r>
              <w:rPr>
                <w:spacing w:val="-4"/>
                <w:sz w:val="21"/>
              </w:rPr>
              <w:t>持续性黄疸病史；</w:t>
            </w:r>
          </w:p>
        </w:tc>
      </w:tr>
      <w:tr>
        <w:trPr>
          <w:trHeight w:val="780"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（3）</w:t>
            </w:r>
            <w:r>
              <w:rPr>
                <w:spacing w:val="-3"/>
                <w:sz w:val="21"/>
              </w:rPr>
              <w:t>出现胆汁性肝硬化或门脉高压。</w:t>
            </w:r>
          </w:p>
          <w:p>
            <w:pPr>
              <w:pStyle w:val="TableParagraph"/>
              <w:spacing w:before="33"/>
              <w:ind w:left="97"/>
              <w:rPr>
                <w:b/>
                <w:i/>
                <w:sz w:val="22"/>
              </w:rPr>
            </w:pPr>
            <w:r>
              <w:rPr>
                <w:b/>
                <w:i/>
                <w:spacing w:val="-3"/>
                <w:w w:val="95"/>
                <w:sz w:val="22"/>
              </w:rPr>
              <w:t>因肿瘤或胆管损伤等继发性的硬化性胆管炎不在保障范围内。</w:t>
            </w:r>
          </w:p>
        </w:tc>
      </w:tr>
      <w:tr>
        <w:trPr>
          <w:trHeight w:val="467" w:hRule="atLeast"/>
        </w:trPr>
        <w:tc>
          <w:tcPr>
            <w:tcW w:w="937" w:type="dxa"/>
          </w:tcPr>
          <w:p>
            <w:pPr>
              <w:pStyle w:val="TableParagraph"/>
              <w:spacing w:before="177"/>
              <w:ind w:left="50"/>
              <w:rPr>
                <w:b/>
                <w:sz w:val="21"/>
              </w:rPr>
            </w:pPr>
            <w:r>
              <w:rPr>
                <w:b/>
                <w:spacing w:val="-2"/>
                <w:sz w:val="21"/>
              </w:rPr>
              <w:t>9.8.37</w:t>
            </w:r>
          </w:p>
        </w:tc>
        <w:tc>
          <w:tcPr>
            <w:tcW w:w="1726" w:type="dxa"/>
          </w:tcPr>
          <w:p>
            <w:pPr>
              <w:pStyle w:val="TableParagraph"/>
              <w:spacing w:before="177"/>
              <w:ind w:left="250"/>
              <w:rPr>
                <w:rFonts w:ascii="楷体" w:eastAsia="楷体" w:hint="eastAsia"/>
                <w:b/>
                <w:sz w:val="21"/>
              </w:rPr>
            </w:pPr>
            <w:r>
              <w:rPr>
                <w:rFonts w:ascii="楷体" w:eastAsia="楷体" w:hint="eastAsia"/>
                <w:b/>
                <w:spacing w:val="11"/>
                <w:sz w:val="21"/>
              </w:rPr>
              <w:t>特发性慢性肾</w:t>
            </w:r>
          </w:p>
        </w:tc>
        <w:tc>
          <w:tcPr>
            <w:tcW w:w="7169" w:type="dxa"/>
          </w:tcPr>
          <w:p>
            <w:pPr>
              <w:pStyle w:val="TableParagraph"/>
              <w:spacing w:before="177"/>
              <w:ind w:left="97"/>
              <w:rPr>
                <w:sz w:val="21"/>
              </w:rPr>
            </w:pPr>
            <w:r>
              <w:rPr>
                <w:sz w:val="21"/>
              </w:rPr>
              <w:t>指自身免疫性肾上腺炎（既往称：特发性肾上腺皮质萎缩）</w:t>
            </w:r>
            <w:r>
              <w:rPr>
                <w:spacing w:val="-2"/>
                <w:sz w:val="21"/>
              </w:rPr>
              <w:t>导致肾上腺萎</w:t>
            </w:r>
          </w:p>
        </w:tc>
      </w:tr>
      <w:tr>
        <w:trPr>
          <w:trHeight w:val="312" w:hRule="atLeast"/>
        </w:trPr>
        <w:tc>
          <w:tcPr>
            <w:tcW w:w="937" w:type="dxa"/>
          </w:tcPr>
          <w:p>
            <w:pPr>
              <w:pStyle w:val="TableParagraph"/>
              <w:rPr>
                <w:rFonts w:ascii="Times New Roman"/>
                <w:sz w:val="20"/>
              </w:rPr>
            </w:pPr>
          </w:p>
        </w:tc>
        <w:tc>
          <w:tcPr>
            <w:tcW w:w="1726" w:type="dxa"/>
          </w:tcPr>
          <w:p>
            <w:pPr>
              <w:pStyle w:val="TableParagraph"/>
              <w:spacing w:before="22"/>
              <w:ind w:left="250"/>
              <w:rPr>
                <w:rFonts w:ascii="楷体" w:eastAsia="楷体" w:hint="eastAsia"/>
                <w:b/>
                <w:sz w:val="21"/>
              </w:rPr>
            </w:pPr>
            <w:r>
              <w:rPr>
                <w:rFonts w:ascii="楷体" w:eastAsia="楷体" w:hint="eastAsia"/>
                <w:b/>
                <w:spacing w:val="11"/>
                <w:sz w:val="21"/>
              </w:rPr>
              <w:t>上腺皮质功能</w:t>
            </w:r>
          </w:p>
        </w:tc>
        <w:tc>
          <w:tcPr>
            <w:tcW w:w="7169" w:type="dxa"/>
          </w:tcPr>
          <w:p>
            <w:pPr>
              <w:pStyle w:val="TableParagraph"/>
              <w:spacing w:before="22"/>
              <w:ind w:left="97"/>
              <w:rPr>
                <w:sz w:val="21"/>
              </w:rPr>
            </w:pPr>
            <w:r>
              <w:rPr>
                <w:spacing w:val="-3"/>
                <w:sz w:val="21"/>
              </w:rPr>
              <w:t>缩和慢性肾上腺皮质功能减退。须满足下列全部条件：</w:t>
            </w:r>
          </w:p>
        </w:tc>
      </w:tr>
      <w:tr>
        <w:trPr>
          <w:trHeight w:val="312" w:hRule="atLeast"/>
        </w:trPr>
        <w:tc>
          <w:tcPr>
            <w:tcW w:w="937" w:type="dxa"/>
          </w:tcPr>
          <w:p>
            <w:pPr>
              <w:pStyle w:val="TableParagraph"/>
              <w:rPr>
                <w:rFonts w:ascii="Times New Roman"/>
                <w:sz w:val="20"/>
              </w:rPr>
            </w:pPr>
          </w:p>
        </w:tc>
        <w:tc>
          <w:tcPr>
            <w:tcW w:w="1726" w:type="dxa"/>
          </w:tcPr>
          <w:p>
            <w:pPr>
              <w:pStyle w:val="TableParagraph"/>
              <w:spacing w:before="22"/>
              <w:ind w:left="250"/>
              <w:rPr>
                <w:rFonts w:ascii="楷体" w:eastAsia="楷体" w:hint="eastAsia"/>
                <w:b/>
                <w:sz w:val="21"/>
              </w:rPr>
            </w:pPr>
            <w:r>
              <w:rPr>
                <w:rFonts w:ascii="楷体" w:eastAsia="楷体" w:hint="eastAsia"/>
                <w:b/>
                <w:spacing w:val="-5"/>
                <w:sz w:val="21"/>
              </w:rPr>
              <w:t>减退</w:t>
            </w:r>
          </w:p>
        </w:tc>
        <w:tc>
          <w:tcPr>
            <w:tcW w:w="7169" w:type="dxa"/>
          </w:tcPr>
          <w:p>
            <w:pPr>
              <w:pStyle w:val="TableParagraph"/>
              <w:spacing w:before="22"/>
              <w:ind w:left="97"/>
              <w:rPr>
                <w:sz w:val="21"/>
              </w:rPr>
            </w:pPr>
            <w:r>
              <w:rPr>
                <w:spacing w:val="-2"/>
                <w:sz w:val="21"/>
              </w:rPr>
              <w:t>（1）</w:t>
            </w:r>
            <w:r>
              <w:rPr>
                <w:spacing w:val="-3"/>
                <w:sz w:val="21"/>
              </w:rPr>
              <w:t>明确诊断，符合所有以下诊断标准；</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①血浆促肾上腺皮质激素（ACTH）</w:t>
            </w:r>
            <w:r>
              <w:rPr>
                <w:spacing w:val="-7"/>
                <w:sz w:val="21"/>
              </w:rPr>
              <w:t>水平测定大于 </w:t>
            </w:r>
            <w:r>
              <w:rPr>
                <w:spacing w:val="-2"/>
                <w:sz w:val="21"/>
              </w:rPr>
              <w:t>100pg/ml；</w:t>
            </w:r>
          </w:p>
        </w:tc>
      </w:tr>
      <w:tr>
        <w:trPr>
          <w:trHeight w:val="311"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3"/>
                <w:sz w:val="21"/>
              </w:rPr>
              <w:t>②血浆和尿游离皮质醇及尿 </w:t>
            </w:r>
            <w:r>
              <w:rPr>
                <w:spacing w:val="-2"/>
                <w:sz w:val="21"/>
              </w:rPr>
              <w:t>17</w:t>
            </w:r>
            <w:r>
              <w:rPr>
                <w:spacing w:val="-5"/>
                <w:sz w:val="21"/>
              </w:rPr>
              <w:t> 羟皮质类固醇、</w:t>
            </w:r>
            <w:r>
              <w:rPr>
                <w:spacing w:val="-2"/>
                <w:sz w:val="21"/>
              </w:rPr>
              <w:t>17</w:t>
            </w:r>
            <w:r>
              <w:rPr>
                <w:spacing w:val="-6"/>
                <w:sz w:val="21"/>
              </w:rPr>
              <w:t> 酮皮质类固醇测定、血</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1"/>
                <w:sz w:val="21"/>
              </w:rPr>
              <w:t>浆肾素活性、血管紧张素Ⅱ和醛固酮测定，显示为原发性肾上腺皮质功能</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4"/>
                <w:sz w:val="21"/>
              </w:rPr>
              <w:t>减退症；</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z w:val="21"/>
              </w:rPr>
              <w:t>③促肾上腺皮质激素（ACTH）</w:t>
            </w:r>
            <w:r>
              <w:rPr>
                <w:spacing w:val="-1"/>
                <w:sz w:val="21"/>
              </w:rPr>
              <w:t>刺激试验显示为原发性肾上腺皮质功能减退</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5"/>
                <w:sz w:val="21"/>
              </w:rPr>
              <w:t>症。</w:t>
            </w:r>
          </w:p>
        </w:tc>
      </w:tr>
      <w:tr>
        <w:trPr>
          <w:trHeight w:val="1093"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（2）</w:t>
            </w:r>
            <w:r>
              <w:rPr>
                <w:spacing w:val="-6"/>
                <w:sz w:val="21"/>
              </w:rPr>
              <w:t>已经采用皮质类固醇替代治疗 </w:t>
            </w:r>
            <w:r>
              <w:rPr>
                <w:spacing w:val="-2"/>
                <w:sz w:val="21"/>
              </w:rPr>
              <w:t>180</w:t>
            </w:r>
            <w:r>
              <w:rPr>
                <w:spacing w:val="-14"/>
                <w:sz w:val="21"/>
              </w:rPr>
              <w:t> 天以上。</w:t>
            </w:r>
          </w:p>
          <w:p>
            <w:pPr>
              <w:pStyle w:val="TableParagraph"/>
              <w:spacing w:line="266" w:lineRule="auto" w:before="33"/>
              <w:ind w:left="97" w:right="214"/>
              <w:rPr>
                <w:b/>
                <w:i/>
                <w:sz w:val="22"/>
              </w:rPr>
            </w:pPr>
            <w:r>
              <w:rPr>
                <w:b/>
                <w:i/>
                <w:spacing w:val="-2"/>
                <w:w w:val="95"/>
                <w:sz w:val="22"/>
              </w:rPr>
              <w:t>肾上腺结核、艾滋病病毒（HIV）感染或者艾滋病、感染、肿瘤所致的原发</w:t>
            </w:r>
            <w:r>
              <w:rPr>
                <w:b/>
                <w:i/>
                <w:spacing w:val="-2"/>
                <w:w w:val="95"/>
                <w:sz w:val="22"/>
              </w:rPr>
              <w:t>性肾上腺皮质功能减退和继发性肾上腺皮质功能减退不在保障范围内。</w:t>
            </w:r>
          </w:p>
        </w:tc>
      </w:tr>
      <w:tr>
        <w:trPr>
          <w:trHeight w:val="467" w:hRule="atLeast"/>
        </w:trPr>
        <w:tc>
          <w:tcPr>
            <w:tcW w:w="937" w:type="dxa"/>
          </w:tcPr>
          <w:p>
            <w:pPr>
              <w:pStyle w:val="TableParagraph"/>
              <w:spacing w:before="177"/>
              <w:ind w:left="50"/>
              <w:rPr>
                <w:b/>
                <w:sz w:val="21"/>
              </w:rPr>
            </w:pPr>
            <w:r>
              <w:rPr>
                <w:b/>
                <w:spacing w:val="-2"/>
                <w:sz w:val="21"/>
              </w:rPr>
              <w:t>9.8.38</w:t>
            </w:r>
          </w:p>
        </w:tc>
        <w:tc>
          <w:tcPr>
            <w:tcW w:w="1726" w:type="dxa"/>
          </w:tcPr>
          <w:p>
            <w:pPr>
              <w:pStyle w:val="TableParagraph"/>
              <w:spacing w:before="177"/>
              <w:ind w:left="250"/>
              <w:rPr>
                <w:rFonts w:ascii="楷体" w:eastAsia="楷体" w:hint="eastAsia"/>
                <w:b/>
                <w:sz w:val="21"/>
              </w:rPr>
            </w:pPr>
            <w:r>
              <w:rPr>
                <w:rFonts w:ascii="楷体" w:eastAsia="楷体" w:hint="eastAsia"/>
                <w:b/>
                <w:spacing w:val="11"/>
                <w:sz w:val="21"/>
              </w:rPr>
              <w:t>系统性红斑狼</w:t>
            </w:r>
          </w:p>
        </w:tc>
        <w:tc>
          <w:tcPr>
            <w:tcW w:w="7169" w:type="dxa"/>
          </w:tcPr>
          <w:p>
            <w:pPr>
              <w:pStyle w:val="TableParagraph"/>
              <w:spacing w:before="177"/>
              <w:ind w:left="97"/>
              <w:rPr>
                <w:sz w:val="21"/>
              </w:rPr>
            </w:pPr>
            <w:r>
              <w:rPr>
                <w:spacing w:val="-3"/>
                <w:sz w:val="21"/>
              </w:rPr>
              <w:t>系统性红斑狼疮是由多种因素引起，累及多系统的自身免疫性疾病。其特点</w:t>
            </w:r>
          </w:p>
        </w:tc>
      </w:tr>
      <w:tr>
        <w:trPr>
          <w:trHeight w:val="312" w:hRule="atLeast"/>
        </w:trPr>
        <w:tc>
          <w:tcPr>
            <w:tcW w:w="937" w:type="dxa"/>
          </w:tcPr>
          <w:p>
            <w:pPr>
              <w:pStyle w:val="TableParagraph"/>
              <w:rPr>
                <w:rFonts w:ascii="Times New Roman"/>
                <w:sz w:val="20"/>
              </w:rPr>
            </w:pPr>
          </w:p>
        </w:tc>
        <w:tc>
          <w:tcPr>
            <w:tcW w:w="1726" w:type="dxa"/>
          </w:tcPr>
          <w:p>
            <w:pPr>
              <w:pStyle w:val="TableParagraph"/>
              <w:spacing w:before="22"/>
              <w:ind w:left="250"/>
              <w:rPr>
                <w:rFonts w:ascii="楷体" w:eastAsia="楷体" w:hint="eastAsia"/>
                <w:b/>
                <w:sz w:val="21"/>
              </w:rPr>
            </w:pPr>
            <w:r>
              <w:rPr>
                <w:rFonts w:ascii="楷体" w:eastAsia="楷体" w:hint="eastAsia"/>
                <w:b/>
                <w:spacing w:val="9"/>
                <w:sz w:val="21"/>
              </w:rPr>
              <w:t>疮－</w:t>
            </w:r>
            <w:r>
              <w:rPr>
                <w:rFonts w:ascii="楷体" w:eastAsia="楷体" w:hint="eastAsia"/>
                <w:b/>
                <w:sz w:val="21"/>
              </w:rPr>
              <w:t>（</w:t>
            </w:r>
            <w:r>
              <w:rPr>
                <w:rFonts w:ascii="楷体" w:eastAsia="楷体" w:hint="eastAsia"/>
                <w:b/>
                <w:spacing w:val="-13"/>
                <w:sz w:val="21"/>
              </w:rPr>
              <w:t> 并发</w:t>
            </w:r>
            <w:r>
              <w:rPr>
                <w:rFonts w:ascii="楷体" w:eastAsia="楷体" w:hint="eastAsia"/>
                <w:b/>
                <w:spacing w:val="-10"/>
                <w:sz w:val="21"/>
              </w:rPr>
              <w:t>）</w:t>
            </w:r>
          </w:p>
        </w:tc>
        <w:tc>
          <w:tcPr>
            <w:tcW w:w="7169" w:type="dxa"/>
          </w:tcPr>
          <w:p>
            <w:pPr>
              <w:pStyle w:val="TableParagraph"/>
              <w:spacing w:before="22"/>
              <w:ind w:left="97"/>
              <w:rPr>
                <w:sz w:val="21"/>
              </w:rPr>
            </w:pPr>
            <w:r>
              <w:rPr>
                <w:spacing w:val="-3"/>
                <w:sz w:val="21"/>
              </w:rPr>
              <w:t>是生成自身抗体对抗多种自身抗原，多见于育龄妇女。</w:t>
            </w:r>
          </w:p>
        </w:tc>
      </w:tr>
      <w:tr>
        <w:trPr>
          <w:trHeight w:val="936" w:hRule="atLeast"/>
        </w:trPr>
        <w:tc>
          <w:tcPr>
            <w:tcW w:w="937" w:type="dxa"/>
          </w:tcPr>
          <w:p>
            <w:pPr>
              <w:pStyle w:val="TableParagraph"/>
              <w:rPr>
                <w:rFonts w:ascii="Times New Roman"/>
                <w:sz w:val="20"/>
              </w:rPr>
            </w:pPr>
          </w:p>
        </w:tc>
        <w:tc>
          <w:tcPr>
            <w:tcW w:w="1726" w:type="dxa"/>
          </w:tcPr>
          <w:p>
            <w:pPr>
              <w:pStyle w:val="TableParagraph"/>
              <w:spacing w:line="278" w:lineRule="auto" w:before="22"/>
              <w:ind w:left="250" w:right="95"/>
              <w:rPr>
                <w:rFonts w:ascii="楷体" w:eastAsia="楷体" w:hint="eastAsia"/>
                <w:b/>
                <w:sz w:val="21"/>
              </w:rPr>
            </w:pPr>
            <w:r>
              <w:rPr>
                <w:rFonts w:ascii="楷体" w:eastAsia="楷体" w:hint="eastAsia"/>
                <w:b/>
                <w:sz w:val="21"/>
              </w:rPr>
              <w:t>III</w:t>
            </w:r>
            <w:r>
              <w:rPr>
                <w:rFonts w:ascii="楷体" w:eastAsia="楷体" w:hint="eastAsia"/>
                <w:b/>
                <w:spacing w:val="12"/>
                <w:sz w:val="21"/>
              </w:rPr>
              <w:t> 型或以上</w:t>
            </w:r>
            <w:r>
              <w:rPr>
                <w:rFonts w:ascii="楷体" w:eastAsia="楷体" w:hint="eastAsia"/>
                <w:b/>
                <w:spacing w:val="-2"/>
                <w:sz w:val="21"/>
              </w:rPr>
              <w:t>狼疮性肾炎</w:t>
            </w:r>
          </w:p>
        </w:tc>
        <w:tc>
          <w:tcPr>
            <w:tcW w:w="7169" w:type="dxa"/>
          </w:tcPr>
          <w:p>
            <w:pPr>
              <w:pStyle w:val="TableParagraph"/>
              <w:spacing w:before="22"/>
              <w:ind w:left="97"/>
              <w:rPr>
                <w:sz w:val="21"/>
              </w:rPr>
            </w:pPr>
            <w:r>
              <w:rPr>
                <w:spacing w:val="-6"/>
                <w:sz w:val="21"/>
              </w:rPr>
              <w:t>本合同所指的系统性红斑狼疮仅限于累及肾脏</w:t>
            </w:r>
            <w:r>
              <w:rPr>
                <w:spacing w:val="-2"/>
                <w:sz w:val="21"/>
              </w:rPr>
              <w:t>（</w:t>
            </w:r>
            <w:r>
              <w:rPr>
                <w:spacing w:val="-9"/>
                <w:sz w:val="21"/>
              </w:rPr>
              <w:t>经肾脏活检确认的，符合</w:t>
            </w:r>
            <w:r>
              <w:rPr>
                <w:spacing w:val="-5"/>
                <w:sz w:val="21"/>
              </w:rPr>
              <w:t>WHO</w:t>
            </w:r>
          </w:p>
          <w:p>
            <w:pPr>
              <w:pStyle w:val="TableParagraph"/>
              <w:spacing w:line="310" w:lineRule="atLeast" w:before="4"/>
              <w:ind w:left="97" w:right="152"/>
              <w:rPr>
                <w:b/>
                <w:i/>
                <w:sz w:val="22"/>
              </w:rPr>
            </w:pPr>
            <w:r>
              <w:rPr>
                <w:spacing w:val="-2"/>
                <w:w w:val="100"/>
                <w:sz w:val="21"/>
              </w:rPr>
              <w:t>诊断标准定义</w:t>
            </w:r>
            <w:r>
              <w:rPr>
                <w:w w:val="100"/>
                <w:sz w:val="21"/>
              </w:rPr>
              <w:t>I</w:t>
            </w:r>
            <w:r>
              <w:rPr>
                <w:spacing w:val="-3"/>
                <w:w w:val="100"/>
                <w:sz w:val="21"/>
              </w:rPr>
              <w:t>I</w:t>
            </w:r>
            <w:r>
              <w:rPr>
                <w:w w:val="100"/>
                <w:sz w:val="21"/>
              </w:rPr>
              <w:t>I</w:t>
            </w:r>
            <w:r>
              <w:rPr>
                <w:spacing w:val="-2"/>
                <w:w w:val="100"/>
                <w:sz w:val="21"/>
              </w:rPr>
              <w:t>型至</w:t>
            </w:r>
            <w:r>
              <w:rPr>
                <w:w w:val="100"/>
                <w:sz w:val="21"/>
              </w:rPr>
              <w:t>V</w:t>
            </w:r>
            <w:r>
              <w:rPr>
                <w:spacing w:val="-3"/>
                <w:w w:val="100"/>
                <w:sz w:val="21"/>
              </w:rPr>
              <w:t>型狼疮性肾炎</w:t>
            </w:r>
            <w:r>
              <w:rPr>
                <w:spacing w:val="-15"/>
                <w:w w:val="100"/>
                <w:sz w:val="21"/>
              </w:rPr>
              <w:t>）</w:t>
            </w:r>
            <w:r>
              <w:rPr>
                <w:spacing w:val="-5"/>
                <w:w w:val="100"/>
                <w:sz w:val="21"/>
              </w:rPr>
              <w:t>的系统性红斑狼疮。</w:t>
            </w:r>
            <w:r>
              <w:rPr>
                <w:b/>
                <w:i/>
                <w:w w:val="95"/>
                <w:sz w:val="22"/>
              </w:rPr>
              <w:t>其他类型的红斑</w:t>
            </w:r>
            <w:r>
              <w:rPr>
                <w:b/>
                <w:i/>
                <w:spacing w:val="-3"/>
                <w:w w:val="95"/>
                <w:sz w:val="22"/>
              </w:rPr>
              <w:t>性狼疮，如盘状狼疮、仅累及血液及关节的狼疮不在保障范围内。</w:t>
            </w:r>
          </w:p>
        </w:tc>
      </w:tr>
      <w:tr>
        <w:trPr>
          <w:trHeight w:val="311"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1"/>
              <w:ind w:left="97"/>
              <w:rPr>
                <w:sz w:val="21"/>
              </w:rPr>
            </w:pPr>
            <w:r>
              <w:rPr>
                <w:spacing w:val="-3"/>
                <w:sz w:val="21"/>
              </w:rPr>
              <w:t>本疾病必须由免疫和风湿科专科医生确诊。</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世界卫生组织（WHO）</w:t>
            </w:r>
            <w:r>
              <w:rPr>
                <w:spacing w:val="-4"/>
                <w:sz w:val="21"/>
              </w:rPr>
              <w:t>狼疮性肾炎分型：</w:t>
            </w:r>
          </w:p>
        </w:tc>
      </w:tr>
      <w:tr>
        <w:trPr>
          <w:trHeight w:val="311"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I型（微小病变型）</w:t>
            </w:r>
            <w:r>
              <w:rPr>
                <w:spacing w:val="-3"/>
                <w:sz w:val="21"/>
              </w:rPr>
              <w:t>镜下阴性，尿液正常</w:t>
            </w:r>
          </w:p>
        </w:tc>
      </w:tr>
      <w:tr>
        <w:trPr>
          <w:trHeight w:val="311"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II型（系膜病变型）</w:t>
            </w:r>
            <w:r>
              <w:rPr>
                <w:spacing w:val="-3"/>
                <w:sz w:val="21"/>
              </w:rPr>
              <w:t>中度蛋白尿，偶有尿沉渣改变</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III型（局灶及节段增生型）</w:t>
            </w:r>
            <w:r>
              <w:rPr>
                <w:spacing w:val="-3"/>
                <w:sz w:val="21"/>
              </w:rPr>
              <w:t>蛋白尿，尿沉渣改变</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IV</w:t>
            </w:r>
            <w:r>
              <w:rPr>
                <w:spacing w:val="-20"/>
                <w:sz w:val="21"/>
              </w:rPr>
              <w:t> 型</w:t>
            </w:r>
            <w:r>
              <w:rPr>
                <w:spacing w:val="-2"/>
                <w:sz w:val="21"/>
              </w:rPr>
              <w:t>（弥漫增生型）</w:t>
            </w:r>
            <w:r>
              <w:rPr>
                <w:spacing w:val="-3"/>
                <w:sz w:val="21"/>
              </w:rPr>
              <w:t>急性肾炎伴有尿沉渣改变及／或肾病综合征</w:t>
            </w:r>
          </w:p>
        </w:tc>
      </w:tr>
      <w:tr>
        <w:trPr>
          <w:trHeight w:val="468"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V</w:t>
            </w:r>
            <w:r>
              <w:rPr>
                <w:spacing w:val="-24"/>
                <w:sz w:val="21"/>
              </w:rPr>
              <w:t> 型</w:t>
            </w:r>
            <w:r>
              <w:rPr>
                <w:spacing w:val="-2"/>
                <w:sz w:val="21"/>
              </w:rPr>
              <w:t>（膜型）</w:t>
            </w:r>
            <w:r>
              <w:rPr>
                <w:spacing w:val="-3"/>
                <w:sz w:val="21"/>
              </w:rPr>
              <w:t>肾病综合征或重度蛋白尿</w:t>
            </w:r>
          </w:p>
        </w:tc>
      </w:tr>
      <w:tr>
        <w:trPr>
          <w:trHeight w:val="468" w:hRule="atLeast"/>
        </w:trPr>
        <w:tc>
          <w:tcPr>
            <w:tcW w:w="937" w:type="dxa"/>
          </w:tcPr>
          <w:p>
            <w:pPr>
              <w:pStyle w:val="TableParagraph"/>
              <w:spacing w:before="178"/>
              <w:ind w:left="50"/>
              <w:rPr>
                <w:b/>
                <w:sz w:val="21"/>
              </w:rPr>
            </w:pPr>
            <w:r>
              <w:rPr>
                <w:b/>
                <w:spacing w:val="-2"/>
                <w:sz w:val="21"/>
              </w:rPr>
              <w:t>9.8.39</w:t>
            </w:r>
          </w:p>
        </w:tc>
        <w:tc>
          <w:tcPr>
            <w:tcW w:w="1726" w:type="dxa"/>
          </w:tcPr>
          <w:p>
            <w:pPr>
              <w:pStyle w:val="TableParagraph"/>
              <w:spacing w:before="178"/>
              <w:ind w:left="250"/>
              <w:rPr>
                <w:rFonts w:ascii="楷体" w:eastAsia="楷体" w:hint="eastAsia"/>
                <w:b/>
                <w:sz w:val="21"/>
              </w:rPr>
            </w:pPr>
            <w:r>
              <w:rPr>
                <w:rFonts w:ascii="楷体" w:eastAsia="楷体" w:hint="eastAsia"/>
                <w:b/>
                <w:spacing w:val="11"/>
                <w:sz w:val="21"/>
              </w:rPr>
              <w:t>严重类风湿性</w:t>
            </w:r>
          </w:p>
        </w:tc>
        <w:tc>
          <w:tcPr>
            <w:tcW w:w="7169" w:type="dxa"/>
          </w:tcPr>
          <w:p>
            <w:pPr>
              <w:pStyle w:val="TableParagraph"/>
              <w:spacing w:before="178"/>
              <w:ind w:left="97"/>
              <w:rPr>
                <w:sz w:val="21"/>
              </w:rPr>
            </w:pPr>
            <w:r>
              <w:rPr>
                <w:spacing w:val="-3"/>
                <w:sz w:val="21"/>
              </w:rPr>
              <w:t>类风湿性关节炎为广泛分布的慢性进行性多关节病变，表现为关节严重变</w:t>
            </w:r>
          </w:p>
        </w:tc>
      </w:tr>
      <w:tr>
        <w:trPr>
          <w:trHeight w:val="312" w:hRule="atLeast"/>
        </w:trPr>
        <w:tc>
          <w:tcPr>
            <w:tcW w:w="937" w:type="dxa"/>
          </w:tcPr>
          <w:p>
            <w:pPr>
              <w:pStyle w:val="TableParagraph"/>
              <w:rPr>
                <w:rFonts w:ascii="Times New Roman"/>
                <w:sz w:val="20"/>
              </w:rPr>
            </w:pPr>
          </w:p>
        </w:tc>
        <w:tc>
          <w:tcPr>
            <w:tcW w:w="1726" w:type="dxa"/>
          </w:tcPr>
          <w:p>
            <w:pPr>
              <w:pStyle w:val="TableParagraph"/>
              <w:spacing w:before="22"/>
              <w:ind w:left="250"/>
              <w:rPr>
                <w:rFonts w:ascii="楷体" w:eastAsia="楷体" w:hint="eastAsia"/>
                <w:b/>
                <w:sz w:val="21"/>
              </w:rPr>
            </w:pPr>
            <w:r>
              <w:rPr>
                <w:rFonts w:ascii="楷体" w:eastAsia="楷体" w:hint="eastAsia"/>
                <w:b/>
                <w:spacing w:val="-4"/>
                <w:sz w:val="21"/>
              </w:rPr>
              <w:t>关节炎</w:t>
            </w:r>
          </w:p>
        </w:tc>
        <w:tc>
          <w:tcPr>
            <w:tcW w:w="7169" w:type="dxa"/>
          </w:tcPr>
          <w:p>
            <w:pPr>
              <w:pStyle w:val="TableParagraph"/>
              <w:spacing w:before="22"/>
              <w:ind w:left="97"/>
              <w:rPr>
                <w:sz w:val="21"/>
              </w:rPr>
            </w:pPr>
            <w:r>
              <w:rPr>
                <w:spacing w:val="-2"/>
                <w:sz w:val="21"/>
              </w:rPr>
              <w:t>形，侵犯至少三个主要关节或关节组（如：双手（多手指）关节、双足（</w:t>
            </w:r>
            <w:r>
              <w:rPr>
                <w:spacing w:val="-10"/>
                <w:sz w:val="21"/>
              </w:rPr>
              <w:t>多</w:t>
            </w:r>
          </w:p>
        </w:tc>
      </w:tr>
      <w:tr>
        <w:trPr>
          <w:trHeight w:val="311"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足趾）关节、双腕关节、双膝关节和双髋关节</w:t>
            </w:r>
            <w:r>
              <w:rPr>
                <w:spacing w:val="-106"/>
                <w:sz w:val="21"/>
              </w:rPr>
              <w:t>）</w:t>
            </w:r>
            <w:r>
              <w:rPr>
                <w:spacing w:val="-3"/>
                <w:sz w:val="21"/>
              </w:rPr>
              <w:t>。类风湿性关节炎必须明确</w:t>
            </w:r>
          </w:p>
        </w:tc>
      </w:tr>
      <w:tr>
        <w:trPr>
          <w:trHeight w:val="312"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5"/>
                <w:sz w:val="21"/>
              </w:rPr>
              <w:t>诊断并且已经达到类风湿性关节炎功能分级 </w:t>
            </w:r>
            <w:r>
              <w:rPr>
                <w:spacing w:val="-2"/>
                <w:sz w:val="21"/>
              </w:rPr>
              <w:t>III</w:t>
            </w:r>
            <w:r>
              <w:rPr>
                <w:spacing w:val="-9"/>
                <w:sz w:val="21"/>
              </w:rPr>
              <w:t> 级以上的功能障碍</w:t>
            </w:r>
            <w:r>
              <w:rPr>
                <w:spacing w:val="-2"/>
                <w:sz w:val="21"/>
              </w:rPr>
              <w:t>（</w:t>
            </w:r>
            <w:r>
              <w:rPr>
                <w:spacing w:val="-5"/>
                <w:sz w:val="21"/>
              </w:rPr>
              <w:t>关节活</w:t>
            </w:r>
          </w:p>
        </w:tc>
      </w:tr>
      <w:tr>
        <w:trPr>
          <w:trHeight w:val="311"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2"/>
                <w:sz w:val="21"/>
              </w:rPr>
              <w:t>动严重限制，不能完成大部分的日常工作和活动）</w:t>
            </w:r>
            <w:r>
              <w:rPr>
                <w:spacing w:val="-3"/>
                <w:sz w:val="21"/>
              </w:rPr>
              <w:t>并且自主生活能力完全丧</w:t>
            </w:r>
          </w:p>
        </w:tc>
      </w:tr>
      <w:tr>
        <w:trPr>
          <w:trHeight w:val="467" w:hRule="atLeast"/>
        </w:trPr>
        <w:tc>
          <w:tcPr>
            <w:tcW w:w="937" w:type="dxa"/>
          </w:tcPr>
          <w:p>
            <w:pPr>
              <w:pStyle w:val="TableParagraph"/>
              <w:rPr>
                <w:rFonts w:ascii="Times New Roman"/>
                <w:sz w:val="20"/>
              </w:rPr>
            </w:pPr>
          </w:p>
        </w:tc>
        <w:tc>
          <w:tcPr>
            <w:tcW w:w="1726" w:type="dxa"/>
          </w:tcPr>
          <w:p>
            <w:pPr>
              <w:pStyle w:val="TableParagraph"/>
              <w:rPr>
                <w:rFonts w:ascii="Times New Roman"/>
                <w:sz w:val="20"/>
              </w:rPr>
            </w:pPr>
          </w:p>
        </w:tc>
        <w:tc>
          <w:tcPr>
            <w:tcW w:w="7169" w:type="dxa"/>
          </w:tcPr>
          <w:p>
            <w:pPr>
              <w:pStyle w:val="TableParagraph"/>
              <w:spacing w:before="22"/>
              <w:ind w:left="97"/>
              <w:rPr>
                <w:sz w:val="21"/>
              </w:rPr>
            </w:pPr>
            <w:r>
              <w:rPr>
                <w:spacing w:val="-3"/>
                <w:sz w:val="21"/>
              </w:rPr>
              <w:t>失，无法独立完成六项基本日常生活活动中的三项或三项以上。</w:t>
            </w:r>
          </w:p>
        </w:tc>
      </w:tr>
      <w:tr>
        <w:trPr>
          <w:trHeight w:val="467" w:hRule="atLeast"/>
        </w:trPr>
        <w:tc>
          <w:tcPr>
            <w:tcW w:w="937" w:type="dxa"/>
          </w:tcPr>
          <w:p>
            <w:pPr>
              <w:pStyle w:val="TableParagraph"/>
              <w:spacing w:before="178"/>
              <w:ind w:left="50"/>
              <w:rPr>
                <w:b/>
                <w:sz w:val="21"/>
              </w:rPr>
            </w:pPr>
            <w:r>
              <w:rPr>
                <w:b/>
                <w:spacing w:val="-2"/>
                <w:sz w:val="21"/>
              </w:rPr>
              <w:t>9.8.40</w:t>
            </w:r>
          </w:p>
        </w:tc>
        <w:tc>
          <w:tcPr>
            <w:tcW w:w="1726" w:type="dxa"/>
          </w:tcPr>
          <w:p>
            <w:pPr>
              <w:pStyle w:val="TableParagraph"/>
              <w:spacing w:before="178"/>
              <w:ind w:left="250"/>
              <w:rPr>
                <w:rFonts w:ascii="楷体" w:eastAsia="楷体" w:hint="eastAsia"/>
                <w:b/>
                <w:sz w:val="21"/>
              </w:rPr>
            </w:pPr>
            <w:r>
              <w:rPr>
                <w:rFonts w:ascii="楷体" w:eastAsia="楷体" w:hint="eastAsia"/>
                <w:b/>
                <w:spacing w:val="11"/>
                <w:sz w:val="21"/>
              </w:rPr>
              <w:t>重症急性坏死</w:t>
            </w:r>
          </w:p>
        </w:tc>
        <w:tc>
          <w:tcPr>
            <w:tcW w:w="7169" w:type="dxa"/>
          </w:tcPr>
          <w:p>
            <w:pPr>
              <w:pStyle w:val="TableParagraph"/>
              <w:spacing w:before="178"/>
              <w:ind w:left="97"/>
              <w:rPr>
                <w:sz w:val="21"/>
              </w:rPr>
            </w:pPr>
            <w:r>
              <w:rPr>
                <w:spacing w:val="-3"/>
                <w:sz w:val="21"/>
              </w:rPr>
              <w:t>坏死性筋膜炎的诊断须同时符合下列要求：</w:t>
            </w:r>
          </w:p>
        </w:tc>
      </w:tr>
      <w:tr>
        <w:trPr>
          <w:trHeight w:val="261" w:hRule="atLeast"/>
        </w:trPr>
        <w:tc>
          <w:tcPr>
            <w:tcW w:w="937" w:type="dxa"/>
          </w:tcPr>
          <w:p>
            <w:pPr>
              <w:pStyle w:val="TableParagraph"/>
              <w:rPr>
                <w:rFonts w:ascii="Times New Roman"/>
                <w:sz w:val="18"/>
              </w:rPr>
            </w:pPr>
          </w:p>
        </w:tc>
        <w:tc>
          <w:tcPr>
            <w:tcW w:w="1726" w:type="dxa"/>
          </w:tcPr>
          <w:p>
            <w:pPr>
              <w:pStyle w:val="TableParagraph"/>
              <w:spacing w:line="220" w:lineRule="exact" w:before="22"/>
              <w:ind w:left="250"/>
              <w:rPr>
                <w:rFonts w:ascii="楷体" w:eastAsia="楷体" w:hint="eastAsia"/>
                <w:b/>
                <w:sz w:val="21"/>
              </w:rPr>
            </w:pPr>
            <w:r>
              <w:rPr>
                <w:rFonts w:ascii="楷体" w:eastAsia="楷体" w:hint="eastAsia"/>
                <w:b/>
                <w:spacing w:val="-3"/>
                <w:sz w:val="21"/>
              </w:rPr>
              <w:t>性筋膜炎</w:t>
            </w:r>
          </w:p>
        </w:tc>
        <w:tc>
          <w:tcPr>
            <w:tcW w:w="7169" w:type="dxa"/>
          </w:tcPr>
          <w:p>
            <w:pPr>
              <w:pStyle w:val="TableParagraph"/>
              <w:spacing w:line="220" w:lineRule="exact" w:before="22"/>
              <w:ind w:left="97"/>
              <w:rPr>
                <w:sz w:val="21"/>
              </w:rPr>
            </w:pPr>
            <w:r>
              <w:rPr>
                <w:spacing w:val="-2"/>
                <w:sz w:val="21"/>
              </w:rPr>
              <w:t>（1）</w:t>
            </w:r>
            <w:r>
              <w:rPr>
                <w:spacing w:val="-3"/>
                <w:sz w:val="21"/>
              </w:rPr>
              <w:t>符合坏死性筋膜炎的一般临床表现；</w:t>
            </w:r>
          </w:p>
        </w:tc>
      </w:tr>
    </w:tbl>
    <w:p>
      <w:pPr>
        <w:spacing w:after="0" w:line="220" w:lineRule="exact"/>
        <w:rPr>
          <w:sz w:val="21"/>
        </w:rPr>
        <w:sectPr>
          <w:type w:val="continuous"/>
          <w:pgSz w:w="11910" w:h="16840"/>
          <w:pgMar w:top="1280" w:bottom="280"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078"/>
      </w:tblGrid>
      <w:tr>
        <w:trPr>
          <w:trHeight w:val="1354"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numPr>
                <w:ilvl w:val="0"/>
                <w:numId w:val="40"/>
              </w:numPr>
              <w:tabs>
                <w:tab w:pos="637" w:val="left" w:leader="none"/>
              </w:tabs>
              <w:spacing w:line="241" w:lineRule="exact" w:before="0" w:after="0"/>
              <w:ind w:left="636" w:right="0" w:hanging="530"/>
              <w:jc w:val="left"/>
              <w:rPr>
                <w:sz w:val="21"/>
              </w:rPr>
            </w:pPr>
            <w:r>
              <w:rPr>
                <w:spacing w:val="-3"/>
                <w:sz w:val="21"/>
              </w:rPr>
              <w:t>细菌培养检出致病菌；</w:t>
            </w:r>
          </w:p>
          <w:p>
            <w:pPr>
              <w:pStyle w:val="TableParagraph"/>
              <w:numPr>
                <w:ilvl w:val="0"/>
                <w:numId w:val="40"/>
              </w:numPr>
              <w:tabs>
                <w:tab w:pos="637" w:val="left" w:leader="none"/>
              </w:tabs>
              <w:spacing w:line="278" w:lineRule="auto" w:before="43" w:after="0"/>
              <w:ind w:left="107" w:right="139" w:firstLine="0"/>
              <w:jc w:val="left"/>
              <w:rPr>
                <w:sz w:val="21"/>
              </w:rPr>
            </w:pPr>
            <w:r>
              <w:rPr>
                <w:spacing w:val="-2"/>
                <w:sz w:val="21"/>
              </w:rPr>
              <w:t>出现广泛性肌肉及软组织坏死，并导致身体受影响部位永久完全失去</w:t>
            </w:r>
            <w:r>
              <w:rPr>
                <w:spacing w:val="-4"/>
                <w:sz w:val="21"/>
              </w:rPr>
              <w:t>功能。</w:t>
            </w:r>
          </w:p>
          <w:p>
            <w:pPr>
              <w:pStyle w:val="TableParagraph"/>
              <w:spacing w:line="269" w:lineRule="exact"/>
              <w:ind w:left="107"/>
              <w:rPr>
                <w:sz w:val="21"/>
              </w:rPr>
            </w:pPr>
            <w:r>
              <w:rPr>
                <w:spacing w:val="-4"/>
                <w:sz w:val="21"/>
              </w:rPr>
              <w:t>所谓永久完全失去功能是指受影响部位的全部功能完全丧失超过 </w:t>
            </w:r>
            <w:r>
              <w:rPr>
                <w:spacing w:val="-2"/>
                <w:sz w:val="21"/>
              </w:rPr>
              <w:t>180</w:t>
            </w:r>
            <w:r>
              <w:rPr>
                <w:spacing w:val="-18"/>
                <w:sz w:val="21"/>
              </w:rPr>
              <w:t> 天。</w:t>
            </w:r>
          </w:p>
        </w:tc>
      </w:tr>
      <w:tr>
        <w:trPr>
          <w:trHeight w:val="467" w:hRule="atLeast"/>
        </w:trPr>
        <w:tc>
          <w:tcPr>
            <w:tcW w:w="937" w:type="dxa"/>
          </w:tcPr>
          <w:p>
            <w:pPr>
              <w:pStyle w:val="TableParagraph"/>
              <w:spacing w:before="178"/>
              <w:ind w:left="50"/>
              <w:rPr>
                <w:b/>
                <w:sz w:val="21"/>
              </w:rPr>
            </w:pPr>
            <w:r>
              <w:rPr>
                <w:b/>
                <w:spacing w:val="-2"/>
                <w:sz w:val="21"/>
              </w:rPr>
              <w:t>9.8.41</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急性坏死性胰</w:t>
            </w:r>
          </w:p>
        </w:tc>
        <w:tc>
          <w:tcPr>
            <w:tcW w:w="7078" w:type="dxa"/>
          </w:tcPr>
          <w:p>
            <w:pPr>
              <w:pStyle w:val="TableParagraph"/>
              <w:spacing w:before="178"/>
              <w:ind w:left="107"/>
              <w:rPr>
                <w:sz w:val="21"/>
              </w:rPr>
            </w:pPr>
            <w:r>
              <w:rPr>
                <w:spacing w:val="-3"/>
                <w:sz w:val="21"/>
              </w:rPr>
              <w:t>指被保险人因为急性出血坏死性胰腺炎已经接受了外科开腹手术治疗，以进</w:t>
            </w:r>
          </w:p>
        </w:tc>
      </w:tr>
      <w:tr>
        <w:trPr>
          <w:trHeight w:val="109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2"/>
                <w:sz w:val="21"/>
              </w:rPr>
              <w:t>腺炎开腹手术</w:t>
            </w:r>
          </w:p>
        </w:tc>
        <w:tc>
          <w:tcPr>
            <w:tcW w:w="7078" w:type="dxa"/>
          </w:tcPr>
          <w:p>
            <w:pPr>
              <w:pStyle w:val="TableParagraph"/>
              <w:spacing w:before="22"/>
              <w:ind w:left="107"/>
              <w:rPr>
                <w:sz w:val="21"/>
              </w:rPr>
            </w:pPr>
            <w:r>
              <w:rPr>
                <w:spacing w:val="-3"/>
                <w:sz w:val="21"/>
              </w:rPr>
              <w:t>行坏死组织清除、坏死病灶切除或胰腺切除。</w:t>
            </w:r>
          </w:p>
          <w:p>
            <w:pPr>
              <w:pStyle w:val="TableParagraph"/>
              <w:spacing w:line="266" w:lineRule="auto" w:before="33"/>
              <w:ind w:left="107" w:right="222"/>
              <w:rPr>
                <w:b/>
                <w:i/>
                <w:sz w:val="22"/>
              </w:rPr>
            </w:pPr>
            <w:r>
              <w:rPr>
                <w:b/>
                <w:i/>
                <w:spacing w:val="-2"/>
                <w:w w:val="95"/>
                <w:sz w:val="22"/>
              </w:rPr>
              <w:t>因饮酒所致的急性出血坏死性胰腺炎或经腹腔镜手术进行的治疗不在保障</w:t>
            </w:r>
            <w:r>
              <w:rPr>
                <w:b/>
                <w:i/>
                <w:spacing w:val="-4"/>
                <w:sz w:val="22"/>
              </w:rPr>
              <w:t>范</w:t>
            </w:r>
            <w:r>
              <w:rPr>
                <w:b/>
                <w:i/>
                <w:spacing w:val="-4"/>
                <w:sz w:val="22"/>
              </w:rPr>
              <w:t>围</w:t>
            </w:r>
            <w:r>
              <w:rPr>
                <w:b/>
                <w:i/>
                <w:spacing w:val="-4"/>
                <w:sz w:val="22"/>
              </w:rPr>
              <w:t>内</w:t>
            </w:r>
            <w:r>
              <w:rPr>
                <w:b/>
                <w:i/>
                <w:spacing w:val="-4"/>
                <w:sz w:val="22"/>
              </w:rPr>
              <w:t>。</w:t>
            </w:r>
          </w:p>
        </w:tc>
      </w:tr>
      <w:tr>
        <w:trPr>
          <w:trHeight w:val="467" w:hRule="atLeast"/>
        </w:trPr>
        <w:tc>
          <w:tcPr>
            <w:tcW w:w="937" w:type="dxa"/>
          </w:tcPr>
          <w:p>
            <w:pPr>
              <w:pStyle w:val="TableParagraph"/>
              <w:spacing w:before="177"/>
              <w:ind w:left="50"/>
              <w:rPr>
                <w:b/>
                <w:sz w:val="21"/>
              </w:rPr>
            </w:pPr>
            <w:r>
              <w:rPr>
                <w:b/>
                <w:spacing w:val="-2"/>
                <w:sz w:val="21"/>
              </w:rPr>
              <w:t>9.8.42</w:t>
            </w:r>
          </w:p>
        </w:tc>
        <w:tc>
          <w:tcPr>
            <w:tcW w:w="1716" w:type="dxa"/>
          </w:tcPr>
          <w:p>
            <w:pPr>
              <w:pStyle w:val="TableParagraph"/>
              <w:spacing w:before="177"/>
              <w:ind w:left="250"/>
              <w:rPr>
                <w:rFonts w:ascii="楷体" w:eastAsia="楷体" w:hint="eastAsia"/>
                <w:b/>
                <w:sz w:val="21"/>
              </w:rPr>
            </w:pPr>
            <w:r>
              <w:rPr>
                <w:rFonts w:ascii="楷体" w:eastAsia="楷体" w:hint="eastAsia"/>
                <w:b/>
                <w:spacing w:val="-2"/>
                <w:sz w:val="21"/>
              </w:rPr>
              <w:t>系统性硬皮病</w:t>
            </w:r>
          </w:p>
        </w:tc>
        <w:tc>
          <w:tcPr>
            <w:tcW w:w="7078" w:type="dxa"/>
          </w:tcPr>
          <w:p>
            <w:pPr>
              <w:pStyle w:val="TableParagraph"/>
              <w:spacing w:before="177"/>
              <w:ind w:left="107"/>
              <w:rPr>
                <w:sz w:val="21"/>
              </w:rPr>
            </w:pPr>
            <w:r>
              <w:rPr>
                <w:spacing w:val="-3"/>
                <w:sz w:val="21"/>
              </w:rPr>
              <w:t>指一种全身性的胶原血管性疾病，可以导致皮肤、血管及内脏器官进行性弥</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5"/>
                <w:sz w:val="21"/>
              </w:rPr>
              <w:t>漫性纤维化。诊断必须经活检及血清学检查证实，疾病必须是全身性，且须</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3"/>
                <w:sz w:val="21"/>
              </w:rPr>
              <w:t>满足下列至少一项条件：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（1）</w:t>
            </w:r>
            <w:r>
              <w:rPr>
                <w:spacing w:val="-3"/>
                <w:sz w:val="21"/>
              </w:rPr>
              <w:t>肺脏：肺部病变进而发展为肺间质纤维化和肺动脉高压；</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z w:val="21"/>
              </w:rPr>
              <w:t>（2）心脏：心功能受损达到美国纽约心脏病学会（New</w:t>
            </w:r>
            <w:r>
              <w:rPr>
                <w:spacing w:val="-22"/>
                <w:sz w:val="21"/>
              </w:rPr>
              <w:t> </w:t>
            </w:r>
            <w:r>
              <w:rPr>
                <w:sz w:val="21"/>
              </w:rPr>
              <w:t>York</w:t>
            </w:r>
            <w:r>
              <w:rPr>
                <w:spacing w:val="-19"/>
                <w:sz w:val="21"/>
              </w:rPr>
              <w:t> </w:t>
            </w:r>
            <w:r>
              <w:rPr>
                <w:spacing w:val="-2"/>
                <w:sz w:val="21"/>
              </w:rPr>
              <w:t>Heart</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Association，NYHA）</w:t>
            </w:r>
            <w:r>
              <w:rPr>
                <w:spacing w:val="-7"/>
                <w:sz w:val="21"/>
              </w:rPr>
              <w:t>心功能状态分级 </w:t>
            </w:r>
            <w:r>
              <w:rPr>
                <w:spacing w:val="-2"/>
                <w:sz w:val="21"/>
              </w:rPr>
              <w:t>IV</w:t>
            </w:r>
            <w:r>
              <w:rPr>
                <w:spacing w:val="-18"/>
                <w:sz w:val="21"/>
              </w:rPr>
              <w:t> 级；</w:t>
            </w:r>
          </w:p>
        </w:tc>
      </w:tr>
      <w:tr>
        <w:trPr>
          <w:trHeight w:val="1716"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（3）</w:t>
            </w:r>
            <w:r>
              <w:rPr>
                <w:spacing w:val="-3"/>
                <w:sz w:val="21"/>
              </w:rPr>
              <w:t>肾脏：肾脏受损导致双肾功能慢性不可逆衰竭，达到尿毒症期。</w:t>
            </w:r>
          </w:p>
          <w:p>
            <w:pPr>
              <w:pStyle w:val="TableParagraph"/>
              <w:spacing w:before="33"/>
              <w:ind w:left="107"/>
              <w:rPr>
                <w:b/>
                <w:i/>
                <w:sz w:val="22"/>
              </w:rPr>
            </w:pPr>
            <w:r>
              <w:rPr>
                <w:b/>
                <w:i/>
                <w:spacing w:val="-3"/>
                <w:w w:val="95"/>
                <w:sz w:val="22"/>
              </w:rPr>
              <w:t>以下情况不在保障范围内：</w:t>
            </w:r>
          </w:p>
          <w:p>
            <w:pPr>
              <w:pStyle w:val="TableParagraph"/>
              <w:numPr>
                <w:ilvl w:val="0"/>
                <w:numId w:val="41"/>
              </w:numPr>
              <w:tabs>
                <w:tab w:pos="637" w:val="left" w:leader="none"/>
              </w:tabs>
              <w:spacing w:line="240" w:lineRule="auto" w:before="30" w:after="0"/>
              <w:ind w:left="636" w:right="0" w:hanging="530"/>
              <w:jc w:val="left"/>
              <w:rPr>
                <w:b/>
                <w:i/>
                <w:sz w:val="22"/>
              </w:rPr>
            </w:pPr>
            <w:r>
              <w:rPr>
                <w:b/>
                <w:i/>
                <w:spacing w:val="-2"/>
                <w:w w:val="95"/>
                <w:sz w:val="22"/>
              </w:rPr>
              <w:t>局限性硬皮病（带状硬皮病或斑状损害</w:t>
            </w:r>
            <w:r>
              <w:rPr>
                <w:b/>
                <w:i/>
                <w:spacing w:val="-5"/>
                <w:w w:val="95"/>
                <w:sz w:val="22"/>
              </w:rPr>
              <w:t>）；</w:t>
            </w:r>
          </w:p>
          <w:p>
            <w:pPr>
              <w:pStyle w:val="TableParagraph"/>
              <w:numPr>
                <w:ilvl w:val="0"/>
                <w:numId w:val="41"/>
              </w:numPr>
              <w:tabs>
                <w:tab w:pos="637" w:val="left" w:leader="none"/>
              </w:tabs>
              <w:spacing w:line="240" w:lineRule="auto" w:before="30" w:after="0"/>
              <w:ind w:left="636" w:right="0" w:hanging="530"/>
              <w:jc w:val="left"/>
              <w:rPr>
                <w:b/>
                <w:i/>
                <w:sz w:val="22"/>
              </w:rPr>
            </w:pPr>
            <w:r>
              <w:rPr>
                <w:b/>
                <w:i/>
                <w:spacing w:val="-2"/>
                <w:w w:val="95"/>
                <w:sz w:val="22"/>
              </w:rPr>
              <w:t>嗜酸性筋膜炎；</w:t>
            </w:r>
          </w:p>
          <w:p>
            <w:pPr>
              <w:pStyle w:val="TableParagraph"/>
              <w:numPr>
                <w:ilvl w:val="0"/>
                <w:numId w:val="41"/>
              </w:numPr>
              <w:tabs>
                <w:tab w:pos="637" w:val="left" w:leader="none"/>
              </w:tabs>
              <w:spacing w:line="240" w:lineRule="auto" w:before="30" w:after="0"/>
              <w:ind w:left="636" w:right="0" w:hanging="530"/>
              <w:jc w:val="left"/>
              <w:rPr>
                <w:b/>
                <w:i/>
                <w:sz w:val="22"/>
              </w:rPr>
            </w:pPr>
            <w:r>
              <w:rPr>
                <w:b/>
                <w:i/>
                <w:w w:val="95"/>
                <w:sz w:val="22"/>
              </w:rPr>
              <w:t>CREST</w:t>
            </w:r>
            <w:r>
              <w:rPr>
                <w:b/>
                <w:i/>
                <w:spacing w:val="-54"/>
                <w:w w:val="95"/>
                <w:sz w:val="22"/>
              </w:rPr>
              <w:t> </w:t>
            </w:r>
            <w:r>
              <w:rPr>
                <w:b/>
                <w:i/>
                <w:spacing w:val="-3"/>
                <w:w w:val="95"/>
                <w:sz w:val="22"/>
              </w:rPr>
              <w:t>综合征。</w:t>
            </w:r>
          </w:p>
        </w:tc>
      </w:tr>
      <w:tr>
        <w:trPr>
          <w:trHeight w:val="467" w:hRule="atLeast"/>
        </w:trPr>
        <w:tc>
          <w:tcPr>
            <w:tcW w:w="937" w:type="dxa"/>
          </w:tcPr>
          <w:p>
            <w:pPr>
              <w:pStyle w:val="TableParagraph"/>
              <w:spacing w:before="177"/>
              <w:ind w:left="50"/>
              <w:rPr>
                <w:b/>
                <w:sz w:val="21"/>
              </w:rPr>
            </w:pPr>
            <w:r>
              <w:rPr>
                <w:b/>
                <w:spacing w:val="-2"/>
                <w:sz w:val="21"/>
              </w:rPr>
              <w:t>9.8.43</w:t>
            </w:r>
          </w:p>
        </w:tc>
        <w:tc>
          <w:tcPr>
            <w:tcW w:w="1716" w:type="dxa"/>
          </w:tcPr>
          <w:p>
            <w:pPr>
              <w:pStyle w:val="TableParagraph"/>
              <w:spacing w:before="177"/>
              <w:ind w:left="250"/>
              <w:rPr>
                <w:rFonts w:ascii="楷体" w:eastAsia="楷体" w:hint="eastAsia"/>
                <w:b/>
                <w:sz w:val="21"/>
              </w:rPr>
            </w:pPr>
            <w:r>
              <w:rPr>
                <w:rFonts w:ascii="楷体" w:eastAsia="楷体" w:hint="eastAsia"/>
                <w:b/>
                <w:spacing w:val="11"/>
                <w:sz w:val="21"/>
              </w:rPr>
              <w:t>慢性复发性胰</w:t>
            </w:r>
          </w:p>
        </w:tc>
        <w:tc>
          <w:tcPr>
            <w:tcW w:w="7078" w:type="dxa"/>
          </w:tcPr>
          <w:p>
            <w:pPr>
              <w:pStyle w:val="TableParagraph"/>
              <w:spacing w:before="177"/>
              <w:ind w:left="107"/>
              <w:rPr>
                <w:sz w:val="21"/>
              </w:rPr>
            </w:pPr>
            <w:r>
              <w:rPr>
                <w:spacing w:val="-3"/>
                <w:sz w:val="21"/>
              </w:rPr>
              <w:t>胰腺炎反复发作超过三次以上，诊断必须由消化科专科医生确诊并且由内窥</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5"/>
                <w:sz w:val="21"/>
              </w:rPr>
              <w:t>腺炎</w:t>
            </w:r>
          </w:p>
        </w:tc>
        <w:tc>
          <w:tcPr>
            <w:tcW w:w="7078" w:type="dxa"/>
          </w:tcPr>
          <w:p>
            <w:pPr>
              <w:pStyle w:val="TableParagraph"/>
              <w:spacing w:before="22"/>
              <w:ind w:left="107"/>
              <w:rPr>
                <w:sz w:val="21"/>
              </w:rPr>
            </w:pPr>
            <w:r>
              <w:rPr>
                <w:spacing w:val="-3"/>
                <w:sz w:val="21"/>
              </w:rPr>
              <w:t>镜逆行胰胆管造影证实。并满足下列全部条件：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（1）</w:t>
            </w:r>
            <w:r>
              <w:rPr>
                <w:spacing w:val="-3"/>
                <w:sz w:val="21"/>
              </w:rPr>
              <w:t>胰腺内分泌不足导致的糖尿病；</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（2）</w:t>
            </w:r>
            <w:r>
              <w:rPr>
                <w:spacing w:val="-3"/>
                <w:sz w:val="21"/>
              </w:rPr>
              <w:t>胰腺假性囊肿形成；</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（3）</w:t>
            </w:r>
            <w:r>
              <w:rPr>
                <w:spacing w:val="-4"/>
                <w:sz w:val="21"/>
              </w:rPr>
              <w:t>胰源性胸、腹水；</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（4）</w:t>
            </w:r>
            <w:r>
              <w:rPr>
                <w:spacing w:val="-3"/>
                <w:sz w:val="21"/>
              </w:rPr>
              <w:t>胰瘘：包括胰腺外瘘和内瘘；</w:t>
            </w:r>
          </w:p>
        </w:tc>
      </w:tr>
      <w:tr>
        <w:trPr>
          <w:trHeight w:val="78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（5）</w:t>
            </w:r>
            <w:r>
              <w:rPr>
                <w:spacing w:val="-3"/>
                <w:sz w:val="21"/>
              </w:rPr>
              <w:t>需要接受酶替代治疗。</w:t>
            </w:r>
          </w:p>
          <w:p>
            <w:pPr>
              <w:pStyle w:val="TableParagraph"/>
              <w:spacing w:before="33"/>
              <w:ind w:left="107"/>
              <w:rPr>
                <w:b/>
                <w:i/>
                <w:sz w:val="22"/>
              </w:rPr>
            </w:pPr>
            <w:r>
              <w:rPr>
                <w:b/>
                <w:i/>
                <w:spacing w:val="-3"/>
                <w:w w:val="95"/>
                <w:sz w:val="22"/>
              </w:rPr>
              <w:t>因酒精所致的慢性复发性胰腺炎不在保障范围内。</w:t>
            </w:r>
          </w:p>
        </w:tc>
      </w:tr>
      <w:tr>
        <w:trPr>
          <w:trHeight w:val="467" w:hRule="atLeast"/>
        </w:trPr>
        <w:tc>
          <w:tcPr>
            <w:tcW w:w="937" w:type="dxa"/>
          </w:tcPr>
          <w:p>
            <w:pPr>
              <w:pStyle w:val="TableParagraph"/>
              <w:spacing w:before="177"/>
              <w:ind w:left="50"/>
              <w:rPr>
                <w:b/>
                <w:sz w:val="21"/>
              </w:rPr>
            </w:pPr>
            <w:r>
              <w:rPr>
                <w:b/>
                <w:spacing w:val="-2"/>
                <w:sz w:val="21"/>
              </w:rPr>
              <w:t>9.8.44</w:t>
            </w:r>
          </w:p>
        </w:tc>
        <w:tc>
          <w:tcPr>
            <w:tcW w:w="1716" w:type="dxa"/>
          </w:tcPr>
          <w:p>
            <w:pPr>
              <w:pStyle w:val="TableParagraph"/>
              <w:spacing w:before="177"/>
              <w:ind w:left="250"/>
              <w:rPr>
                <w:rFonts w:ascii="楷体" w:eastAsia="楷体" w:hint="eastAsia"/>
                <w:b/>
                <w:sz w:val="21"/>
              </w:rPr>
            </w:pPr>
            <w:r>
              <w:rPr>
                <w:rFonts w:ascii="楷体" w:eastAsia="楷体" w:hint="eastAsia"/>
                <w:b/>
                <w:spacing w:val="-2"/>
                <w:sz w:val="21"/>
              </w:rPr>
              <w:t>严重肌营养不</w:t>
            </w:r>
          </w:p>
        </w:tc>
        <w:tc>
          <w:tcPr>
            <w:tcW w:w="7078" w:type="dxa"/>
          </w:tcPr>
          <w:p>
            <w:pPr>
              <w:pStyle w:val="TableParagraph"/>
              <w:spacing w:before="177"/>
              <w:ind w:left="107"/>
              <w:rPr>
                <w:sz w:val="21"/>
              </w:rPr>
            </w:pPr>
            <w:r>
              <w:rPr>
                <w:spacing w:val="-3"/>
                <w:sz w:val="21"/>
              </w:rPr>
              <w:t>指一组原发于肌肉的遗传性疾病，临床表现为与神经系统无关的肌肉无力和</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5"/>
                <w:sz w:val="21"/>
              </w:rPr>
              <w:t>良症</w:t>
            </w:r>
          </w:p>
        </w:tc>
        <w:tc>
          <w:tcPr>
            <w:tcW w:w="7078" w:type="dxa"/>
          </w:tcPr>
          <w:p>
            <w:pPr>
              <w:pStyle w:val="TableParagraph"/>
              <w:spacing w:before="22"/>
              <w:ind w:left="107"/>
              <w:rPr>
                <w:sz w:val="21"/>
              </w:rPr>
            </w:pPr>
            <w:r>
              <w:rPr>
                <w:spacing w:val="-3"/>
                <w:sz w:val="21"/>
              </w:rPr>
              <w:t>肌肉萎缩。须满足下列全部条件：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（1）</w:t>
            </w:r>
            <w:r>
              <w:rPr>
                <w:spacing w:val="-3"/>
                <w:sz w:val="21"/>
              </w:rPr>
              <w:t>肌肉组织活检结果满足肌营养不良症的肌肉细胞变性、坏死等阳性改</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5"/>
                <w:sz w:val="21"/>
              </w:rPr>
              <w:t>变；</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2"/>
                <w:sz w:val="21"/>
              </w:rPr>
              <w:t>（2）</w:t>
            </w:r>
            <w:r>
              <w:rPr>
                <w:spacing w:val="-3"/>
                <w:sz w:val="21"/>
              </w:rPr>
              <w:t>自主生活能力完全丧失，无法独立完成六项基本日常生活活动中的三</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4"/>
                <w:sz w:val="21"/>
              </w:rPr>
              <w:t>项或三项以上。</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3"/>
                <w:sz w:val="21"/>
              </w:rPr>
              <w:t>我们承担本项疾病责任不受本合同“责任免除”中“遗传性疾病，先天性畸</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3"/>
                <w:sz w:val="21"/>
              </w:rPr>
              <w:t>形、变形或染色体异常”的限制。</w:t>
            </w:r>
          </w:p>
        </w:tc>
      </w:tr>
      <w:tr>
        <w:trPr>
          <w:trHeight w:val="468" w:hRule="atLeast"/>
        </w:trPr>
        <w:tc>
          <w:tcPr>
            <w:tcW w:w="937" w:type="dxa"/>
          </w:tcPr>
          <w:p>
            <w:pPr>
              <w:pStyle w:val="TableParagraph"/>
              <w:spacing w:before="178"/>
              <w:ind w:left="50"/>
              <w:rPr>
                <w:b/>
                <w:sz w:val="21"/>
              </w:rPr>
            </w:pPr>
            <w:r>
              <w:rPr>
                <w:b/>
                <w:spacing w:val="-2"/>
                <w:sz w:val="21"/>
              </w:rPr>
              <w:t>9.8.45</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溶血性链球菌</w:t>
            </w:r>
          </w:p>
        </w:tc>
        <w:tc>
          <w:tcPr>
            <w:tcW w:w="7078" w:type="dxa"/>
          </w:tcPr>
          <w:p>
            <w:pPr>
              <w:pStyle w:val="TableParagraph"/>
              <w:spacing w:before="178"/>
              <w:ind w:left="107"/>
              <w:rPr>
                <w:sz w:val="21"/>
              </w:rPr>
            </w:pPr>
            <w:r>
              <w:rPr>
                <w:spacing w:val="-3"/>
                <w:sz w:val="21"/>
              </w:rPr>
              <w:t>肢体或躯干的浅筋膜和/或深筋膜受到溶血性链球菌的感染，病情在短时间</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2"/>
                <w:sz w:val="21"/>
              </w:rPr>
              <w:t>引起的坏疽</w:t>
            </w:r>
          </w:p>
        </w:tc>
        <w:tc>
          <w:tcPr>
            <w:tcW w:w="7078" w:type="dxa"/>
          </w:tcPr>
          <w:p>
            <w:pPr>
              <w:pStyle w:val="TableParagraph"/>
              <w:spacing w:before="22"/>
              <w:ind w:left="107"/>
              <w:rPr>
                <w:sz w:val="21"/>
              </w:rPr>
            </w:pPr>
            <w:r>
              <w:rPr>
                <w:spacing w:val="-4"/>
                <w:sz w:val="21"/>
              </w:rPr>
              <w:t>内急剧恶化，皮肤坏疽面积达到体表面积的 </w:t>
            </w:r>
            <w:r>
              <w:rPr>
                <w:spacing w:val="-2"/>
                <w:sz w:val="21"/>
              </w:rPr>
              <w:t>10</w:t>
            </w:r>
            <w:r>
              <w:rPr>
                <w:spacing w:val="-3"/>
                <w:sz w:val="21"/>
              </w:rPr>
              <w:t>%，已经立刻进行了手术及清</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078" w:type="dxa"/>
          </w:tcPr>
          <w:p>
            <w:pPr>
              <w:pStyle w:val="TableParagraph"/>
              <w:spacing w:before="22"/>
              <w:ind w:left="107"/>
              <w:rPr>
                <w:sz w:val="21"/>
              </w:rPr>
            </w:pPr>
            <w:r>
              <w:rPr>
                <w:spacing w:val="-3"/>
                <w:sz w:val="21"/>
              </w:rPr>
              <w:t>创术。最后的诊断必须由微生物或病理学专家进行相关检查后证实。</w:t>
            </w:r>
          </w:p>
        </w:tc>
      </w:tr>
      <w:tr>
        <w:trPr>
          <w:trHeight w:val="467" w:hRule="atLeast"/>
        </w:trPr>
        <w:tc>
          <w:tcPr>
            <w:tcW w:w="937" w:type="dxa"/>
          </w:tcPr>
          <w:p>
            <w:pPr>
              <w:pStyle w:val="TableParagraph"/>
              <w:spacing w:before="178"/>
              <w:ind w:left="50"/>
              <w:rPr>
                <w:b/>
                <w:sz w:val="21"/>
              </w:rPr>
            </w:pPr>
            <w:r>
              <w:rPr>
                <w:b/>
                <w:spacing w:val="-2"/>
                <w:sz w:val="21"/>
              </w:rPr>
              <w:t>9.8.46</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因职业关系导</w:t>
            </w:r>
          </w:p>
        </w:tc>
        <w:tc>
          <w:tcPr>
            <w:tcW w:w="7078" w:type="dxa"/>
          </w:tcPr>
          <w:p>
            <w:pPr>
              <w:pStyle w:val="TableParagraph"/>
              <w:spacing w:before="178"/>
              <w:ind w:left="107"/>
              <w:rPr>
                <w:sz w:val="21"/>
              </w:rPr>
            </w:pPr>
            <w:r>
              <w:rPr>
                <w:spacing w:val="-3"/>
                <w:sz w:val="21"/>
              </w:rPr>
              <w:t>被保险人在其常规职业工作过程中遭遇外伤，或职业需要处理血液或其它体</w:t>
            </w:r>
          </w:p>
        </w:tc>
      </w:tr>
      <w:tr>
        <w:trPr>
          <w:trHeight w:val="261" w:hRule="atLeast"/>
        </w:trPr>
        <w:tc>
          <w:tcPr>
            <w:tcW w:w="937" w:type="dxa"/>
          </w:tcPr>
          <w:p>
            <w:pPr>
              <w:pStyle w:val="TableParagraph"/>
              <w:rPr>
                <w:rFonts w:ascii="Times New Roman"/>
                <w:sz w:val="18"/>
              </w:rPr>
            </w:pPr>
          </w:p>
        </w:tc>
        <w:tc>
          <w:tcPr>
            <w:tcW w:w="1716" w:type="dxa"/>
          </w:tcPr>
          <w:p>
            <w:pPr>
              <w:pStyle w:val="TableParagraph"/>
              <w:spacing w:line="220" w:lineRule="exact" w:before="22"/>
              <w:ind w:left="250"/>
              <w:rPr>
                <w:rFonts w:ascii="楷体" w:eastAsia="楷体" w:hint="eastAsia"/>
                <w:b/>
                <w:sz w:val="21"/>
              </w:rPr>
            </w:pPr>
            <w:r>
              <w:rPr>
                <w:rFonts w:ascii="楷体" w:eastAsia="楷体" w:hint="eastAsia"/>
                <w:b/>
                <w:w w:val="95"/>
                <w:sz w:val="21"/>
              </w:rPr>
              <w:t>致</w:t>
            </w:r>
            <w:r>
              <w:rPr>
                <w:rFonts w:ascii="楷体" w:eastAsia="楷体" w:hint="eastAsia"/>
                <w:b/>
                <w:w w:val="95"/>
                <w:sz w:val="21"/>
              </w:rPr>
              <w:t>的</w:t>
            </w:r>
            <w:r>
              <w:rPr>
                <w:rFonts w:ascii="楷体" w:eastAsia="楷体" w:hint="eastAsia"/>
                <w:b/>
                <w:spacing w:val="-27"/>
                <w:w w:val="95"/>
                <w:sz w:val="21"/>
              </w:rPr>
              <w:t> </w:t>
            </w:r>
            <w:r>
              <w:rPr>
                <w:rFonts w:ascii="楷体" w:eastAsia="楷体" w:hint="eastAsia"/>
                <w:b/>
                <w:w w:val="95"/>
                <w:sz w:val="21"/>
              </w:rPr>
              <w:t>HIV</w:t>
            </w:r>
            <w:r>
              <w:rPr>
                <w:rFonts w:ascii="楷体" w:eastAsia="楷体" w:hint="eastAsia"/>
                <w:b/>
                <w:spacing w:val="-27"/>
                <w:w w:val="95"/>
                <w:sz w:val="21"/>
              </w:rPr>
              <w:t> </w:t>
            </w:r>
            <w:r>
              <w:rPr>
                <w:rFonts w:ascii="楷体" w:eastAsia="楷体" w:hint="eastAsia"/>
                <w:b/>
                <w:w w:val="95"/>
                <w:sz w:val="21"/>
              </w:rPr>
              <w:t>感</w:t>
            </w:r>
            <w:r>
              <w:rPr>
                <w:rFonts w:ascii="楷体" w:eastAsia="楷体" w:hint="eastAsia"/>
                <w:b/>
                <w:spacing w:val="-12"/>
                <w:w w:val="95"/>
                <w:sz w:val="21"/>
              </w:rPr>
              <w:t>染</w:t>
            </w:r>
          </w:p>
        </w:tc>
        <w:tc>
          <w:tcPr>
            <w:tcW w:w="7078" w:type="dxa"/>
          </w:tcPr>
          <w:p>
            <w:pPr>
              <w:pStyle w:val="TableParagraph"/>
              <w:spacing w:line="220" w:lineRule="exact" w:before="22"/>
              <w:ind w:left="107"/>
              <w:rPr>
                <w:sz w:val="21"/>
              </w:rPr>
            </w:pPr>
            <w:r>
              <w:rPr>
                <w:spacing w:val="-6"/>
                <w:sz w:val="21"/>
              </w:rPr>
              <w:t>液时感染上人类免疫缺陷病毒</w:t>
            </w:r>
            <w:r>
              <w:rPr>
                <w:spacing w:val="13"/>
                <w:sz w:val="21"/>
              </w:rPr>
              <w:t>（</w:t>
            </w:r>
            <w:r>
              <w:rPr>
                <w:spacing w:val="16"/>
                <w:sz w:val="21"/>
              </w:rPr>
              <w:t>HIV</w:t>
            </w:r>
            <w:r>
              <w:rPr>
                <w:spacing w:val="-92"/>
                <w:sz w:val="21"/>
              </w:rPr>
              <w:t>）</w:t>
            </w:r>
            <w:r>
              <w:rPr>
                <w:spacing w:val="-7"/>
                <w:sz w:val="21"/>
              </w:rPr>
              <w:t>。必须满足下列全部条件：</w:t>
            </w:r>
          </w:p>
        </w:tc>
      </w:tr>
    </w:tbl>
    <w:p>
      <w:pPr>
        <w:spacing w:after="0" w:line="220" w:lineRule="exact"/>
        <w:rPr>
          <w:sz w:val="21"/>
        </w:rPr>
        <w:sectPr>
          <w:type w:val="continuous"/>
          <w:pgSz w:w="11910" w:h="16840"/>
          <w:pgMar w:top="1280" w:bottom="280" w:left="680" w:right="460"/>
        </w:sectPr>
      </w:pPr>
    </w:p>
    <w:p>
      <w:pPr>
        <w:pStyle w:val="ListParagraph"/>
        <w:numPr>
          <w:ilvl w:val="1"/>
          <w:numId w:val="37"/>
        </w:numPr>
        <w:tabs>
          <w:tab w:pos="3815" w:val="left" w:leader="none"/>
        </w:tabs>
        <w:spacing w:line="278" w:lineRule="auto" w:before="52" w:after="0"/>
        <w:ind w:left="3285" w:right="649" w:firstLine="0"/>
        <w:jc w:val="left"/>
        <w:rPr>
          <w:sz w:val="21"/>
        </w:rPr>
      </w:pPr>
      <w:r>
        <w:rPr>
          <w:spacing w:val="-2"/>
          <w:sz w:val="21"/>
        </w:rPr>
        <w:t>感染必须是在被保险人正在从事其职业工作中发生，该职业必须属于</w:t>
      </w:r>
      <w:r>
        <w:rPr>
          <w:spacing w:val="-2"/>
          <w:sz w:val="21"/>
        </w:rPr>
        <w:t>下列限定职业范围内的职业；</w:t>
      </w:r>
    </w:p>
    <w:p>
      <w:pPr>
        <w:pStyle w:val="ListParagraph"/>
        <w:numPr>
          <w:ilvl w:val="1"/>
          <w:numId w:val="37"/>
        </w:numPr>
        <w:tabs>
          <w:tab w:pos="3815" w:val="left" w:leader="none"/>
        </w:tabs>
        <w:spacing w:line="240" w:lineRule="auto" w:before="0" w:after="0"/>
        <w:ind w:left="3814" w:right="0" w:hanging="530"/>
        <w:jc w:val="left"/>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1"/>
          <w:numId w:val="37"/>
        </w:numPr>
        <w:tabs>
          <w:tab w:pos="3815" w:val="left" w:leader="none"/>
        </w:tabs>
        <w:spacing w:line="278" w:lineRule="auto" w:before="43" w:after="0"/>
        <w:ind w:left="3285" w:right="560" w:firstLine="0"/>
        <w:jc w:val="left"/>
        <w:rPr>
          <w:sz w:val="21"/>
        </w:rPr>
      </w:pPr>
      <w:r>
        <w:rPr>
          <w:spacing w:val="-2"/>
          <w:sz w:val="21"/>
        </w:rPr>
        <w:t>必须提供被保险人在所报事故后发生的 </w:t>
      </w:r>
      <w:r>
        <w:rPr>
          <w:sz w:val="21"/>
        </w:rPr>
        <w:t>5</w:t>
      </w:r>
      <w:r>
        <w:rPr>
          <w:spacing w:val="-6"/>
          <w:sz w:val="21"/>
        </w:rPr>
        <w:t> 天以内进行的检查报告，该</w:t>
      </w:r>
      <w:r>
        <w:rPr>
          <w:spacing w:val="-2"/>
          <w:sz w:val="21"/>
        </w:rPr>
        <w:t>报告必须显示被保险人血液人类免疫缺陷病毒（HIV）阴性和/或人类免疫缺</w:t>
      </w:r>
      <w:r>
        <w:rPr>
          <w:spacing w:val="-2"/>
          <w:sz w:val="21"/>
        </w:rPr>
        <w:t>陷病毒（HIV）抗体阴性；</w:t>
      </w:r>
    </w:p>
    <w:p>
      <w:pPr>
        <w:pStyle w:val="ListParagraph"/>
        <w:numPr>
          <w:ilvl w:val="1"/>
          <w:numId w:val="37"/>
        </w:numPr>
        <w:tabs>
          <w:tab w:pos="3815" w:val="left" w:leader="none"/>
        </w:tabs>
        <w:spacing w:line="278" w:lineRule="auto" w:before="0" w:after="0"/>
        <w:ind w:left="3285" w:right="560" w:firstLine="0"/>
        <w:jc w:val="left"/>
        <w:rPr>
          <w:sz w:val="21"/>
        </w:rPr>
      </w:pPr>
      <w:r>
        <w:rPr>
          <w:spacing w:val="-3"/>
          <w:sz w:val="21"/>
        </w:rPr>
        <w:t>必须在事故发生后的 </w:t>
      </w:r>
      <w:r>
        <w:rPr>
          <w:sz w:val="21"/>
        </w:rPr>
        <w:t>12</w:t>
      </w:r>
      <w:r>
        <w:rPr>
          <w:spacing w:val="-5"/>
          <w:sz w:val="21"/>
        </w:rPr>
        <w:t> 个月内证实被保险人体内存在人类免疫缺陷</w:t>
      </w:r>
      <w:r>
        <w:rPr>
          <w:spacing w:val="-2"/>
          <w:sz w:val="21"/>
        </w:rPr>
        <w:t>病毒（HIV）或人类免疫缺陷病毒（HIV）抗体。</w:t>
      </w:r>
    </w:p>
    <w:p>
      <w:pPr>
        <w:pStyle w:val="BodyText"/>
        <w:spacing w:line="269" w:lineRule="exact"/>
        <w:ind w:left="3285"/>
      </w:pPr>
      <w:r>
        <w:rPr>
          <w:spacing w:val="-4"/>
        </w:rPr>
        <w:t>限定职业：</w:t>
      </w:r>
    </w:p>
    <w:p>
      <w:pPr>
        <w:pStyle w:val="BodyText"/>
        <w:spacing w:line="278" w:lineRule="auto" w:before="43"/>
        <w:ind w:left="3285" w:right="560"/>
      </w:pPr>
      <w:r>
        <w:rPr>
          <w:spacing w:val="-2"/>
        </w:rPr>
        <w:t>医生和牙科医生、护士、医院化验室工作人员、医院护工、医生助理和牙医</w:t>
      </w:r>
      <w:r>
        <w:rPr>
          <w:spacing w:val="-2"/>
        </w:rPr>
        <w:t>助理、救护车工作人员、助产士、消防队员、警察、狱警。</w:t>
      </w:r>
    </w:p>
    <w:p>
      <w:pPr>
        <w:spacing w:line="266" w:lineRule="auto" w:before="0"/>
        <w:ind w:left="3285" w:right="562" w:firstLine="0"/>
        <w:jc w:val="left"/>
        <w:rPr>
          <w:b/>
          <w:i/>
          <w:sz w:val="22"/>
        </w:rPr>
      </w:pPr>
      <w:r>
        <w:rPr>
          <w:b/>
          <w:i/>
          <w:spacing w:val="-6"/>
          <w:w w:val="95"/>
          <w:sz w:val="22"/>
        </w:rPr>
        <w:t>在任何治愈艾滋病或阻止人类免疫缺陷病毒病毒作用的疗法被发现以后，或</w:t>
      </w:r>
      <w:r>
        <w:rPr>
          <w:b/>
          <w:i/>
          <w:spacing w:val="-3"/>
          <w:w w:val="95"/>
          <w:sz w:val="22"/>
        </w:rPr>
        <w:t>能防止艾滋病发生的医疗方法被研究出来以后，本保障将不再予以赔付。</w:t>
      </w:r>
      <w:r>
        <w:rPr>
          <w:b/>
          <w:i/>
          <w:spacing w:val="-5"/>
          <w:w w:val="95"/>
          <w:sz w:val="22"/>
        </w:rPr>
        <w:t>任何因其他传播方式</w:t>
      </w:r>
      <w:r>
        <w:rPr>
          <w:b/>
          <w:i/>
          <w:spacing w:val="-3"/>
          <w:w w:val="95"/>
          <w:sz w:val="22"/>
        </w:rPr>
        <w:t>（</w:t>
      </w:r>
      <w:r>
        <w:rPr>
          <w:b/>
          <w:i/>
          <w:spacing w:val="-5"/>
          <w:w w:val="95"/>
          <w:sz w:val="22"/>
        </w:rPr>
        <w:t>包括：性传播或静脉注射毒品</w:t>
      </w:r>
      <w:r>
        <w:rPr>
          <w:b/>
          <w:i/>
          <w:spacing w:val="-15"/>
          <w:w w:val="95"/>
          <w:sz w:val="22"/>
        </w:rPr>
        <w:t>）</w:t>
      </w:r>
      <w:r>
        <w:rPr>
          <w:b/>
          <w:i/>
          <w:spacing w:val="-3"/>
          <w:w w:val="95"/>
          <w:sz w:val="22"/>
        </w:rPr>
        <w:t>导致的人类免疫缺陷</w:t>
      </w:r>
      <w:r>
        <w:rPr>
          <w:b/>
          <w:i/>
          <w:spacing w:val="-2"/>
          <w:w w:val="95"/>
          <w:sz w:val="22"/>
        </w:rPr>
        <w:t>病毒感染不在保障范围内。</w:t>
      </w:r>
    </w:p>
    <w:p>
      <w:pPr>
        <w:pStyle w:val="BodyText"/>
        <w:spacing w:line="278" w:lineRule="auto"/>
        <w:ind w:left="3285" w:right="752"/>
      </w:pPr>
      <w:r>
        <w:rPr>
          <w:spacing w:val="-2"/>
        </w:rPr>
        <w:t>我们拥有获得使用被保险人的血液样本的权利和能够对这些样本进行独立</w:t>
      </w:r>
      <w:r>
        <w:rPr>
          <w:spacing w:val="-2"/>
        </w:rPr>
        <w:t>检验的权利。</w:t>
      </w:r>
    </w:p>
    <w:p>
      <w:pPr>
        <w:pStyle w:val="BodyText"/>
        <w:spacing w:line="278" w:lineRule="auto"/>
        <w:ind w:left="3285" w:right="560"/>
      </w:pPr>
      <w:r>
        <w:rPr>
          <w:spacing w:val="-2"/>
        </w:rPr>
        <w:t>我们承担本项疾病责任不受本合同“责任免除”中“被保险人感染艾滋病病</w:t>
      </w:r>
      <w:r>
        <w:rPr>
          <w:spacing w:val="-2"/>
        </w:rPr>
        <w:t>毒或患艾滋病”的限制。</w:t>
      </w:r>
    </w:p>
    <w:p>
      <w:pPr>
        <w:pStyle w:val="BodyText"/>
        <w:spacing w:before="1"/>
        <w:rPr>
          <w:sz w:val="24"/>
        </w:rPr>
      </w:pPr>
    </w:p>
    <w:p>
      <w:pPr>
        <w:pStyle w:val="ListParagraph"/>
        <w:numPr>
          <w:ilvl w:val="2"/>
          <w:numId w:val="42"/>
        </w:numPr>
        <w:tabs>
          <w:tab w:pos="1713" w:val="left" w:leader="none"/>
          <w:tab w:pos="1714" w:val="left" w:leader="none"/>
          <w:tab w:pos="3285" w:val="left" w:leader="none"/>
        </w:tabs>
        <w:spacing w:line="266" w:lineRule="auto" w:before="0" w:after="0"/>
        <w:ind w:left="3285" w:right="558" w:hanging="2711"/>
        <w:jc w:val="left"/>
        <w:rPr>
          <w:b/>
          <w:i/>
          <w:sz w:val="22"/>
        </w:rPr>
      </w:pPr>
      <w:r>
        <w:rPr>
          <w:rFonts w:ascii="楷体" w:eastAsia="楷体" w:hint="eastAsia"/>
          <w:b/>
          <w:w w:val="100"/>
          <w:sz w:val="21"/>
        </w:rPr>
        <w:t>脊髓灰质炎</w:t>
      </w:r>
      <w:r>
        <w:rPr>
          <w:rFonts w:ascii="楷体" w:eastAsia="楷体" w:hint="eastAsia"/>
          <w:b/>
          <w:sz w:val="21"/>
        </w:rPr>
        <w:tab/>
      </w:r>
      <w:r>
        <w:rPr>
          <w:w w:val="100"/>
          <w:sz w:val="21"/>
        </w:rPr>
        <w:t>是由</w:t>
      </w:r>
      <w:r>
        <w:rPr>
          <w:spacing w:val="-3"/>
          <w:w w:val="100"/>
          <w:sz w:val="21"/>
        </w:rPr>
        <w:t>于</w:t>
      </w:r>
      <w:r>
        <w:rPr>
          <w:w w:val="100"/>
          <w:sz w:val="21"/>
        </w:rPr>
        <w:t>脊</w:t>
      </w:r>
      <w:r>
        <w:rPr>
          <w:spacing w:val="-3"/>
          <w:w w:val="100"/>
          <w:sz w:val="21"/>
        </w:rPr>
        <w:t>髓</w:t>
      </w:r>
      <w:r>
        <w:rPr>
          <w:w w:val="100"/>
          <w:sz w:val="21"/>
        </w:rPr>
        <w:t>灰</w:t>
      </w:r>
      <w:r>
        <w:rPr>
          <w:spacing w:val="-3"/>
          <w:w w:val="100"/>
          <w:sz w:val="21"/>
        </w:rPr>
        <w:t>质</w:t>
      </w:r>
      <w:r>
        <w:rPr>
          <w:w w:val="100"/>
          <w:sz w:val="21"/>
        </w:rPr>
        <w:t>炎</w:t>
      </w:r>
      <w:r>
        <w:rPr>
          <w:spacing w:val="-3"/>
          <w:w w:val="100"/>
          <w:sz w:val="21"/>
        </w:rPr>
        <w:t>病</w:t>
      </w:r>
      <w:r>
        <w:rPr>
          <w:w w:val="100"/>
          <w:sz w:val="21"/>
        </w:rPr>
        <w:t>毒</w:t>
      </w:r>
      <w:r>
        <w:rPr>
          <w:spacing w:val="-3"/>
          <w:w w:val="100"/>
          <w:sz w:val="21"/>
        </w:rPr>
        <w:t>感</w:t>
      </w:r>
      <w:r>
        <w:rPr>
          <w:w w:val="100"/>
          <w:sz w:val="21"/>
        </w:rPr>
        <w:t>染所</w:t>
      </w:r>
      <w:r>
        <w:rPr>
          <w:spacing w:val="-3"/>
          <w:w w:val="100"/>
          <w:sz w:val="21"/>
        </w:rPr>
        <w:t>致</w:t>
      </w:r>
      <w:r>
        <w:rPr>
          <w:w w:val="100"/>
          <w:sz w:val="21"/>
        </w:rPr>
        <w:t>的</w:t>
      </w:r>
      <w:r>
        <w:rPr>
          <w:spacing w:val="-3"/>
          <w:w w:val="100"/>
          <w:sz w:val="21"/>
        </w:rPr>
        <w:t>瘫</w:t>
      </w:r>
      <w:r>
        <w:rPr>
          <w:w w:val="100"/>
          <w:sz w:val="21"/>
        </w:rPr>
        <w:t>痪</w:t>
      </w:r>
      <w:r>
        <w:rPr>
          <w:spacing w:val="-3"/>
          <w:w w:val="100"/>
          <w:sz w:val="21"/>
        </w:rPr>
        <w:t>性</w:t>
      </w:r>
      <w:r>
        <w:rPr>
          <w:w w:val="100"/>
          <w:sz w:val="21"/>
        </w:rPr>
        <w:t>疾</w:t>
      </w:r>
      <w:r>
        <w:rPr>
          <w:spacing w:val="-3"/>
          <w:w w:val="100"/>
          <w:sz w:val="21"/>
        </w:rPr>
        <w:t>病</w:t>
      </w:r>
      <w:r>
        <w:rPr>
          <w:spacing w:val="-17"/>
          <w:w w:val="100"/>
          <w:sz w:val="21"/>
        </w:rPr>
        <w:t>，</w:t>
      </w:r>
      <w:r>
        <w:rPr>
          <w:spacing w:val="-3"/>
          <w:w w:val="100"/>
          <w:sz w:val="21"/>
        </w:rPr>
        <w:t>临</w:t>
      </w:r>
      <w:r>
        <w:rPr>
          <w:w w:val="100"/>
          <w:sz w:val="21"/>
        </w:rPr>
        <w:t>床表</w:t>
      </w:r>
      <w:r>
        <w:rPr>
          <w:spacing w:val="-3"/>
          <w:w w:val="100"/>
          <w:sz w:val="21"/>
        </w:rPr>
        <w:t>现</w:t>
      </w:r>
      <w:r>
        <w:rPr>
          <w:w w:val="100"/>
          <w:sz w:val="21"/>
        </w:rPr>
        <w:t>为</w:t>
      </w:r>
      <w:r>
        <w:rPr>
          <w:spacing w:val="-3"/>
          <w:w w:val="100"/>
          <w:sz w:val="21"/>
        </w:rPr>
        <w:t>运</w:t>
      </w:r>
      <w:r>
        <w:rPr>
          <w:w w:val="100"/>
          <w:sz w:val="21"/>
        </w:rPr>
        <w:t>动</w:t>
      </w:r>
      <w:r>
        <w:rPr>
          <w:spacing w:val="-3"/>
          <w:w w:val="100"/>
          <w:sz w:val="21"/>
        </w:rPr>
        <w:t>功</w:t>
      </w:r>
      <w:r>
        <w:rPr>
          <w:w w:val="100"/>
          <w:sz w:val="21"/>
        </w:rPr>
        <w:t>能</w:t>
      </w:r>
      <w:r>
        <w:rPr>
          <w:spacing w:val="-3"/>
          <w:w w:val="100"/>
          <w:sz w:val="21"/>
        </w:rPr>
        <w:t>损</w:t>
      </w:r>
      <w:r>
        <w:rPr>
          <w:w w:val="100"/>
          <w:sz w:val="21"/>
        </w:rPr>
        <w:t>害或呼吸</w:t>
      </w:r>
      <w:r>
        <w:rPr>
          <w:spacing w:val="-3"/>
          <w:w w:val="100"/>
          <w:sz w:val="21"/>
        </w:rPr>
        <w:t>无力</w:t>
      </w:r>
      <w:r>
        <w:rPr>
          <w:spacing w:val="-15"/>
          <w:w w:val="100"/>
          <w:sz w:val="21"/>
        </w:rPr>
        <w:t>。</w:t>
      </w:r>
      <w:r>
        <w:rPr>
          <w:spacing w:val="-3"/>
          <w:w w:val="100"/>
          <w:sz w:val="21"/>
        </w:rPr>
        <w:t>脊</w:t>
      </w:r>
      <w:r>
        <w:rPr>
          <w:w w:val="100"/>
          <w:sz w:val="21"/>
        </w:rPr>
        <w:t>髓</w:t>
      </w:r>
      <w:r>
        <w:rPr>
          <w:spacing w:val="-3"/>
          <w:w w:val="100"/>
          <w:sz w:val="21"/>
        </w:rPr>
        <w:t>灰</w:t>
      </w:r>
      <w:r>
        <w:rPr>
          <w:w w:val="100"/>
          <w:sz w:val="21"/>
        </w:rPr>
        <w:t>质炎</w:t>
      </w:r>
      <w:r>
        <w:rPr>
          <w:spacing w:val="-3"/>
          <w:w w:val="100"/>
          <w:sz w:val="21"/>
        </w:rPr>
        <w:t>必</w:t>
      </w:r>
      <w:r>
        <w:rPr>
          <w:w w:val="100"/>
          <w:sz w:val="21"/>
        </w:rPr>
        <w:t>须明</w:t>
      </w:r>
      <w:r>
        <w:rPr>
          <w:spacing w:val="-3"/>
          <w:w w:val="100"/>
          <w:sz w:val="21"/>
        </w:rPr>
        <w:t>确</w:t>
      </w:r>
      <w:r>
        <w:rPr>
          <w:w w:val="100"/>
          <w:sz w:val="21"/>
        </w:rPr>
        <w:t>诊</w:t>
      </w:r>
      <w:r>
        <w:rPr>
          <w:spacing w:val="-3"/>
          <w:w w:val="100"/>
          <w:sz w:val="21"/>
        </w:rPr>
        <w:t>断</w:t>
      </w:r>
      <w:r>
        <w:rPr>
          <w:spacing w:val="-17"/>
          <w:w w:val="100"/>
          <w:sz w:val="21"/>
        </w:rPr>
        <w:t>。</w:t>
      </w:r>
      <w:r>
        <w:rPr>
          <w:b/>
          <w:i/>
          <w:w w:val="95"/>
          <w:sz w:val="22"/>
        </w:rPr>
        <w:t>本合同仅</w:t>
      </w:r>
      <w:r>
        <w:rPr>
          <w:b/>
          <w:i/>
          <w:spacing w:val="-3"/>
          <w:w w:val="95"/>
          <w:sz w:val="22"/>
        </w:rPr>
        <w:t>对</w:t>
      </w:r>
      <w:r>
        <w:rPr>
          <w:b/>
          <w:i/>
          <w:w w:val="95"/>
          <w:sz w:val="22"/>
        </w:rPr>
        <w:t>脊髓灰质炎造成的</w:t>
      </w:r>
      <w:r>
        <w:rPr>
          <w:b/>
          <w:i/>
          <w:spacing w:val="-3"/>
          <w:w w:val="95"/>
          <w:sz w:val="22"/>
        </w:rPr>
        <w:t>神</w:t>
      </w:r>
      <w:r>
        <w:rPr>
          <w:b/>
          <w:i/>
          <w:w w:val="95"/>
          <w:sz w:val="22"/>
        </w:rPr>
        <w:t>经系统功能损害导致被</w:t>
      </w:r>
      <w:r>
        <w:rPr>
          <w:b/>
          <w:i/>
          <w:spacing w:val="-3"/>
          <w:w w:val="95"/>
          <w:sz w:val="22"/>
        </w:rPr>
        <w:t>保</w:t>
      </w:r>
      <w:r>
        <w:rPr>
          <w:b/>
          <w:i/>
          <w:w w:val="95"/>
          <w:sz w:val="22"/>
        </w:rPr>
        <w:t>险</w:t>
      </w:r>
      <w:r>
        <w:rPr>
          <w:b/>
          <w:i/>
          <w:spacing w:val="-3"/>
          <w:w w:val="95"/>
          <w:sz w:val="22"/>
        </w:rPr>
        <w:t>人</w:t>
      </w:r>
      <w:r>
        <w:rPr>
          <w:b/>
          <w:i/>
          <w:w w:val="95"/>
          <w:sz w:val="22"/>
        </w:rPr>
        <w:t>一肢或一肢以上肢</w:t>
      </w:r>
      <w:r>
        <w:rPr>
          <w:b/>
          <w:i/>
          <w:spacing w:val="-3"/>
          <w:w w:val="95"/>
          <w:sz w:val="22"/>
        </w:rPr>
        <w:t>体</w:t>
      </w:r>
      <w:r>
        <w:rPr>
          <w:b/>
          <w:i/>
          <w:w w:val="95"/>
          <w:sz w:val="22"/>
        </w:rPr>
        <w:t>随</w:t>
      </w:r>
      <w:r>
        <w:rPr>
          <w:b/>
          <w:i/>
          <w:spacing w:val="-3"/>
          <w:w w:val="95"/>
          <w:sz w:val="22"/>
        </w:rPr>
        <w:t>意</w:t>
      </w:r>
      <w:r>
        <w:rPr>
          <w:b/>
          <w:i/>
          <w:w w:val="95"/>
          <w:sz w:val="22"/>
        </w:rPr>
        <w:t>运动功能永久完全</w:t>
      </w:r>
      <w:r>
        <w:rPr>
          <w:b/>
          <w:i/>
          <w:spacing w:val="-3"/>
          <w:w w:val="95"/>
          <w:sz w:val="22"/>
        </w:rPr>
        <w:t>丧</w:t>
      </w:r>
      <w:r>
        <w:rPr>
          <w:b/>
          <w:i/>
          <w:w w:val="95"/>
          <w:sz w:val="22"/>
        </w:rPr>
        <w:t>失的情况予以理赔。</w:t>
      </w:r>
    </w:p>
    <w:p>
      <w:pPr>
        <w:pStyle w:val="BodyText"/>
        <w:spacing w:before="11"/>
        <w:ind w:left="3285"/>
      </w:pPr>
      <w:r>
        <w:rPr>
          <w:spacing w:val="-4"/>
        </w:rPr>
        <w:t>肢体随意运动功能永久完全丧失，指疾病确诊 </w:t>
      </w:r>
      <w:r>
        <w:rPr>
          <w:spacing w:val="-2"/>
        </w:rPr>
        <w:t>180</w:t>
      </w:r>
      <w:r>
        <w:rPr>
          <w:spacing w:val="-13"/>
        </w:rPr>
        <w:t> 天后或意外伤害发生 </w:t>
      </w:r>
      <w:r>
        <w:rPr>
          <w:spacing w:val="-5"/>
        </w:rPr>
        <w:t>180</w:t>
      </w:r>
    </w:p>
    <w:p>
      <w:pPr>
        <w:pStyle w:val="BodyText"/>
        <w:spacing w:line="278" w:lineRule="auto" w:before="43"/>
        <w:ind w:left="3285" w:right="541"/>
      </w:pPr>
      <w:r>
        <w:rPr>
          <w:spacing w:val="-2"/>
        </w:rPr>
        <w:t>天后，每肢三大关节中的两大关节仍然完全僵硬，或肢体肌力在 </w:t>
      </w:r>
      <w:r>
        <w:rPr/>
        <w:t>2</w:t>
      </w:r>
      <w:r>
        <w:rPr>
          <w:spacing w:val="-28"/>
        </w:rPr>
        <w:t> 级</w:t>
      </w:r>
      <w:r>
        <w:rPr/>
        <w:t>（含）</w:t>
      </w:r>
      <w:r>
        <w:rPr>
          <w:spacing w:val="-4"/>
        </w:rPr>
        <w:t>以下。</w:t>
      </w:r>
    </w:p>
    <w:p>
      <w:pPr>
        <w:pStyle w:val="BodyText"/>
        <w:spacing w:before="4"/>
        <w:rPr>
          <w:sz w:val="24"/>
        </w:rPr>
      </w:pPr>
    </w:p>
    <w:p>
      <w:pPr>
        <w:pStyle w:val="ListParagraph"/>
        <w:numPr>
          <w:ilvl w:val="2"/>
          <w:numId w:val="42"/>
        </w:numPr>
        <w:tabs>
          <w:tab w:pos="1713" w:val="left" w:leader="none"/>
          <w:tab w:pos="1714" w:val="left" w:leader="none"/>
          <w:tab w:pos="3285" w:val="left" w:leader="none"/>
        </w:tabs>
        <w:spacing w:line="278" w:lineRule="auto" w:before="0" w:after="0"/>
        <w:ind w:left="3285" w:right="558" w:hanging="2711"/>
        <w:jc w:val="left"/>
        <w:rPr>
          <w:sz w:val="21"/>
        </w:rPr>
      </w:pPr>
      <w:r>
        <w:rPr>
          <w:rFonts w:ascii="楷体" w:eastAsia="楷体" w:hint="eastAsia"/>
          <w:b/>
          <w:spacing w:val="-2"/>
          <w:sz w:val="21"/>
        </w:rPr>
        <w:t>植</w:t>
      </w:r>
      <w:r>
        <w:rPr>
          <w:rFonts w:ascii="楷体" w:eastAsia="楷体" w:hint="eastAsia"/>
          <w:b/>
          <w:spacing w:val="-2"/>
          <w:sz w:val="21"/>
        </w:rPr>
        <w:t>物</w:t>
      </w:r>
      <w:r>
        <w:rPr>
          <w:rFonts w:ascii="楷体" w:eastAsia="楷体" w:hint="eastAsia"/>
          <w:b/>
          <w:spacing w:val="-2"/>
          <w:sz w:val="21"/>
        </w:rPr>
        <w:t>人</w:t>
      </w:r>
      <w:r>
        <w:rPr>
          <w:rFonts w:ascii="楷体" w:eastAsia="楷体" w:hint="eastAsia"/>
          <w:b/>
          <w:spacing w:val="-2"/>
          <w:sz w:val="21"/>
        </w:rPr>
        <w:t>状</w:t>
      </w:r>
      <w:r>
        <w:rPr>
          <w:rFonts w:ascii="楷体" w:eastAsia="楷体" w:hint="eastAsia"/>
          <w:b/>
          <w:spacing w:val="-2"/>
          <w:sz w:val="21"/>
        </w:rPr>
        <w:t>态</w:t>
      </w:r>
      <w:r>
        <w:rPr>
          <w:rFonts w:ascii="楷体" w:eastAsia="楷体" w:hint="eastAsia"/>
          <w:b/>
          <w:sz w:val="21"/>
        </w:rPr>
        <w:tab/>
      </w:r>
      <w:r>
        <w:rPr>
          <w:spacing w:val="-2"/>
          <w:sz w:val="21"/>
        </w:rPr>
        <w:t>指</w:t>
      </w:r>
      <w:r>
        <w:rPr>
          <w:spacing w:val="-2"/>
          <w:sz w:val="21"/>
        </w:rPr>
        <w:t>脑</w:t>
      </w:r>
      <w:r>
        <w:rPr>
          <w:spacing w:val="-2"/>
          <w:sz w:val="21"/>
        </w:rPr>
        <w:t>皮质广泛性坏死而导</w:t>
      </w:r>
      <w:r>
        <w:rPr>
          <w:spacing w:val="-2"/>
          <w:sz w:val="21"/>
        </w:rPr>
        <w:t>致</w:t>
      </w:r>
      <w:r>
        <w:rPr>
          <w:spacing w:val="-2"/>
          <w:sz w:val="21"/>
        </w:rPr>
        <w:t>对</w:t>
      </w:r>
      <w:r>
        <w:rPr>
          <w:spacing w:val="-2"/>
          <w:sz w:val="21"/>
        </w:rPr>
        <w:t>自身及周边的认知能</w:t>
      </w:r>
      <w:r>
        <w:rPr>
          <w:spacing w:val="-2"/>
          <w:sz w:val="21"/>
        </w:rPr>
        <w:t>力</w:t>
      </w:r>
      <w:r>
        <w:rPr>
          <w:spacing w:val="-2"/>
          <w:sz w:val="21"/>
        </w:rPr>
        <w:t>完</w:t>
      </w:r>
      <w:r>
        <w:rPr>
          <w:spacing w:val="-2"/>
          <w:sz w:val="21"/>
        </w:rPr>
        <w:t>全丧失，但脑干</w:t>
      </w:r>
      <w:r>
        <w:rPr>
          <w:spacing w:val="-2"/>
          <w:sz w:val="21"/>
        </w:rPr>
        <w:t>功</w:t>
      </w:r>
      <w:r>
        <w:rPr>
          <w:spacing w:val="-2"/>
          <w:sz w:val="21"/>
        </w:rPr>
        <w:t>能</w:t>
      </w:r>
      <w:r>
        <w:rPr>
          <w:spacing w:val="-2"/>
          <w:sz w:val="21"/>
        </w:rPr>
        <w:t>依</w:t>
      </w:r>
      <w:r>
        <w:rPr>
          <w:spacing w:val="-2"/>
          <w:sz w:val="21"/>
        </w:rPr>
        <w:t>然</w:t>
      </w:r>
      <w:r>
        <w:rPr>
          <w:spacing w:val="-2"/>
          <w:sz w:val="21"/>
        </w:rPr>
        <w:t>存在。必须由神经专</w:t>
      </w:r>
      <w:r>
        <w:rPr>
          <w:spacing w:val="-2"/>
          <w:sz w:val="21"/>
        </w:rPr>
        <w:t>科</w:t>
      </w:r>
      <w:r>
        <w:rPr>
          <w:spacing w:val="-2"/>
          <w:sz w:val="21"/>
        </w:rPr>
        <w:t>医</w:t>
      </w:r>
      <w:r>
        <w:rPr>
          <w:spacing w:val="-2"/>
          <w:sz w:val="21"/>
        </w:rPr>
        <w:t>生明确诊断，并有头</w:t>
      </w:r>
      <w:r>
        <w:rPr>
          <w:spacing w:val="-2"/>
          <w:sz w:val="21"/>
        </w:rPr>
        <w:t>颅</w:t>
      </w:r>
      <w:r>
        <w:rPr>
          <w:spacing w:val="-2"/>
          <w:sz w:val="21"/>
        </w:rPr>
        <w:t>断</w:t>
      </w:r>
      <w:r>
        <w:rPr>
          <w:spacing w:val="-2"/>
          <w:sz w:val="21"/>
        </w:rPr>
        <w:t>层扫描</w:t>
      </w:r>
      <w:r>
        <w:rPr>
          <w:spacing w:val="24"/>
          <w:sz w:val="21"/>
        </w:rPr>
        <w:t>（</w:t>
      </w:r>
      <w:r>
        <w:rPr>
          <w:spacing w:val="25"/>
          <w:sz w:val="21"/>
        </w:rPr>
        <w:t>C</w:t>
      </w:r>
      <w:r>
        <w:rPr>
          <w:spacing w:val="23"/>
          <w:sz w:val="21"/>
        </w:rPr>
        <w:t>T</w:t>
      </w:r>
      <w:r>
        <w:rPr>
          <w:spacing w:val="-81"/>
          <w:sz w:val="21"/>
        </w:rPr>
        <w:t>）</w:t>
      </w:r>
      <w:r>
        <w:rPr>
          <w:spacing w:val="-2"/>
          <w:sz w:val="21"/>
        </w:rPr>
        <w:t>、</w:t>
      </w:r>
      <w:r>
        <w:rPr>
          <w:spacing w:val="-2"/>
          <w:sz w:val="21"/>
        </w:rPr>
        <w:t>核</w:t>
      </w:r>
      <w:r>
        <w:rPr>
          <w:spacing w:val="-2"/>
          <w:sz w:val="21"/>
        </w:rPr>
        <w:t>磁</w:t>
      </w:r>
      <w:r>
        <w:rPr>
          <w:spacing w:val="-2"/>
          <w:sz w:val="21"/>
        </w:rPr>
        <w:t>共</w:t>
      </w:r>
      <w:r>
        <w:rPr>
          <w:spacing w:val="-2"/>
          <w:sz w:val="21"/>
        </w:rPr>
        <w:t>振</w:t>
      </w:r>
      <w:r>
        <w:rPr>
          <w:spacing w:val="-2"/>
          <w:sz w:val="21"/>
        </w:rPr>
        <w:t>检查（MRI）或正电子</w:t>
      </w:r>
      <w:r>
        <w:rPr>
          <w:spacing w:val="-2"/>
          <w:sz w:val="21"/>
        </w:rPr>
        <w:t>发</w:t>
      </w:r>
      <w:r>
        <w:rPr>
          <w:spacing w:val="-2"/>
          <w:sz w:val="21"/>
        </w:rPr>
        <w:t>射</w:t>
      </w:r>
      <w:r>
        <w:rPr>
          <w:spacing w:val="-2"/>
          <w:sz w:val="21"/>
        </w:rPr>
        <w:t>断层扫描（PET）等影</w:t>
      </w:r>
      <w:r>
        <w:rPr>
          <w:spacing w:val="-2"/>
          <w:sz w:val="21"/>
        </w:rPr>
        <w:t>像</w:t>
      </w:r>
      <w:r>
        <w:rPr>
          <w:spacing w:val="-2"/>
          <w:sz w:val="21"/>
        </w:rPr>
        <w:t>学</w:t>
      </w:r>
      <w:r>
        <w:rPr>
          <w:spacing w:val="-2"/>
          <w:sz w:val="21"/>
        </w:rPr>
        <w:t>检查证</w:t>
      </w:r>
      <w:r>
        <w:rPr>
          <w:spacing w:val="-2"/>
          <w:sz w:val="21"/>
        </w:rPr>
        <w:t>实</w:t>
      </w:r>
      <w:r>
        <w:rPr>
          <w:spacing w:val="-2"/>
          <w:sz w:val="21"/>
        </w:rPr>
        <w:t>。</w:t>
      </w:r>
    </w:p>
    <w:p>
      <w:pPr>
        <w:spacing w:line="266" w:lineRule="auto" w:before="0"/>
        <w:ind w:left="3285" w:right="562" w:firstLine="0"/>
        <w:jc w:val="left"/>
        <w:rPr>
          <w:b/>
          <w:i/>
          <w:sz w:val="22"/>
        </w:rPr>
      </w:pPr>
      <w:r>
        <w:rPr>
          <w:b/>
          <w:i/>
          <w:spacing w:val="-2"/>
          <w:w w:val="95"/>
          <w:sz w:val="22"/>
        </w:rPr>
        <w:t>上述情况必须有至少一个月的病历记录加以证实。由于酗酒或滥用药物所致</w:t>
      </w:r>
      <w:r>
        <w:rPr>
          <w:b/>
          <w:i/>
          <w:spacing w:val="-2"/>
          <w:sz w:val="22"/>
        </w:rPr>
        <w:t>的</w:t>
      </w:r>
      <w:r>
        <w:rPr>
          <w:b/>
          <w:i/>
          <w:spacing w:val="-2"/>
          <w:sz w:val="22"/>
        </w:rPr>
        <w:t>植</w:t>
      </w:r>
      <w:r>
        <w:rPr>
          <w:b/>
          <w:i/>
          <w:spacing w:val="-2"/>
          <w:sz w:val="22"/>
        </w:rPr>
        <w:t>物</w:t>
      </w:r>
      <w:r>
        <w:rPr>
          <w:b/>
          <w:i/>
          <w:spacing w:val="-2"/>
          <w:sz w:val="22"/>
        </w:rPr>
        <w:t>人</w:t>
      </w:r>
      <w:r>
        <w:rPr>
          <w:b/>
          <w:i/>
          <w:spacing w:val="-2"/>
          <w:sz w:val="22"/>
        </w:rPr>
        <w:t>状</w:t>
      </w:r>
      <w:r>
        <w:rPr>
          <w:b/>
          <w:i/>
          <w:spacing w:val="-2"/>
          <w:sz w:val="22"/>
        </w:rPr>
        <w:t>态</w:t>
      </w:r>
      <w:r>
        <w:rPr>
          <w:b/>
          <w:i/>
          <w:spacing w:val="-2"/>
          <w:sz w:val="22"/>
        </w:rPr>
        <w:t>不</w:t>
      </w:r>
      <w:r>
        <w:rPr>
          <w:b/>
          <w:i/>
          <w:spacing w:val="-2"/>
          <w:sz w:val="22"/>
        </w:rPr>
        <w:t>在</w:t>
      </w:r>
      <w:r>
        <w:rPr>
          <w:b/>
          <w:i/>
          <w:spacing w:val="-2"/>
          <w:sz w:val="22"/>
        </w:rPr>
        <w:t>保障范</w:t>
      </w:r>
      <w:r>
        <w:rPr>
          <w:b/>
          <w:i/>
          <w:spacing w:val="-2"/>
          <w:sz w:val="22"/>
        </w:rPr>
        <w:t>围</w:t>
      </w:r>
      <w:r>
        <w:rPr>
          <w:b/>
          <w:i/>
          <w:spacing w:val="-2"/>
          <w:sz w:val="22"/>
        </w:rPr>
        <w:t>内</w:t>
      </w:r>
      <w:r>
        <w:rPr>
          <w:b/>
          <w:i/>
          <w:spacing w:val="-2"/>
          <w:sz w:val="22"/>
        </w:rPr>
        <w:t>。</w:t>
      </w:r>
    </w:p>
    <w:p>
      <w:pPr>
        <w:pStyle w:val="BodyText"/>
        <w:spacing w:before="2"/>
        <w:rPr>
          <w:b/>
          <w:i/>
          <w:sz w:val="24"/>
        </w:rPr>
      </w:pPr>
    </w:p>
    <w:p>
      <w:pPr>
        <w:pStyle w:val="ListParagraph"/>
        <w:numPr>
          <w:ilvl w:val="2"/>
          <w:numId w:val="42"/>
        </w:numPr>
        <w:tabs>
          <w:tab w:pos="1714" w:val="left" w:leader="none"/>
        </w:tabs>
        <w:spacing w:line="278" w:lineRule="auto" w:before="0" w:after="0"/>
        <w:ind w:left="3285" w:right="541" w:hanging="2711"/>
        <w:jc w:val="both"/>
        <w:rPr>
          <w:sz w:val="21"/>
        </w:rPr>
      </w:pPr>
      <w:r>
        <w:rPr>
          <w:rFonts w:ascii="楷体" w:eastAsia="楷体" w:hint="eastAsia"/>
          <w:b/>
          <w:sz w:val="21"/>
        </w:rPr>
        <w:t>库鲁病</w:t>
      </w:r>
      <w:r>
        <w:rPr>
          <w:rFonts w:ascii="楷体" w:eastAsia="楷体" w:hint="eastAsia"/>
          <w:b/>
          <w:spacing w:val="806"/>
          <w:sz w:val="21"/>
        </w:rPr>
        <w:t> </w:t>
      </w:r>
      <w:r>
        <w:rPr>
          <w:sz w:val="21"/>
        </w:rPr>
        <w:t>指一种亚急性传染性朊蛋白病。临床表现为共济失调、震颤、不自主运动，</w:t>
      </w:r>
      <w:r>
        <w:rPr>
          <w:spacing w:val="-2"/>
          <w:sz w:val="21"/>
        </w:rPr>
        <w:t>在病程晚期出现进行性加重的痴呆，神经异常。该疾病必须由医院根据致病</w:t>
      </w:r>
      <w:r>
        <w:rPr>
          <w:spacing w:val="-2"/>
          <w:sz w:val="21"/>
        </w:rPr>
        <w:t>蛋白的发现而明确诊断。</w:t>
      </w:r>
    </w:p>
    <w:p>
      <w:pPr>
        <w:pStyle w:val="BodyText"/>
        <w:spacing w:before="10"/>
        <w:rPr>
          <w:sz w:val="18"/>
        </w:rPr>
      </w:pPr>
    </w:p>
    <w:p>
      <w:pPr>
        <w:spacing w:after="0"/>
        <w:rPr>
          <w:sz w:val="18"/>
        </w:rPr>
        <w:sectPr>
          <w:pgSz w:w="11910" w:h="16840"/>
          <w:pgMar w:top="1200" w:bottom="280" w:left="680" w:right="460"/>
        </w:sectPr>
      </w:pPr>
    </w:p>
    <w:p>
      <w:pPr>
        <w:pStyle w:val="Heading2"/>
        <w:numPr>
          <w:ilvl w:val="2"/>
          <w:numId w:val="42"/>
        </w:numPr>
        <w:tabs>
          <w:tab w:pos="1714" w:val="left" w:leader="none"/>
        </w:tabs>
        <w:spacing w:line="278" w:lineRule="auto" w:before="72" w:after="0"/>
        <w:ind w:left="1713" w:right="0" w:hanging="1138"/>
        <w:jc w:val="both"/>
        <w:rPr>
          <w:rFonts w:ascii="楷体" w:eastAsia="楷体" w:hint="eastAsia"/>
        </w:rPr>
      </w:pPr>
      <w:r>
        <w:rPr>
          <w:rFonts w:ascii="楷体" w:eastAsia="楷体" w:hint="eastAsia"/>
          <w:spacing w:val="12"/>
        </w:rPr>
        <w:t>非阿尔茨海默</w:t>
      </w:r>
      <w:r>
        <w:rPr>
          <w:rFonts w:ascii="楷体" w:eastAsia="楷体" w:hint="eastAsia"/>
          <w:spacing w:val="12"/>
        </w:rPr>
        <w:t>病所致严重痴</w:t>
      </w:r>
      <w:r>
        <w:rPr>
          <w:rFonts w:ascii="楷体" w:eastAsia="楷体" w:hint="eastAsia"/>
          <w:spacing w:val="-10"/>
        </w:rPr>
        <w:t>呆</w:t>
      </w:r>
    </w:p>
    <w:p>
      <w:pPr>
        <w:pStyle w:val="BodyText"/>
        <w:spacing w:line="273" w:lineRule="auto" w:before="72"/>
        <w:ind w:left="175" w:right="457"/>
        <w:rPr>
          <w:b/>
          <w:i/>
          <w:sz w:val="22"/>
        </w:rPr>
      </w:pPr>
      <w:r>
        <w:rPr/>
        <w:br w:type="column"/>
      </w:r>
      <w:r>
        <w:rPr>
          <w:spacing w:val="-2"/>
        </w:rPr>
        <w:t>指因阿尔茨海默病以外的脑的器质性疾病造成脑功能衰竭导致永久不可逆</w:t>
      </w:r>
      <w:r>
        <w:rPr>
          <w:spacing w:val="80"/>
          <w:w w:val="150"/>
        </w:rPr>
        <w:t> </w:t>
      </w:r>
      <w:r>
        <w:rPr>
          <w:spacing w:val="-13"/>
        </w:rPr>
        <w:t>性的严重痴呆，临床表现为明显的认知能力障碍、行为异常和社交能力减退。</w:t>
      </w:r>
      <w:r>
        <w:rPr>
          <w:spacing w:val="-2"/>
        </w:rPr>
        <w:t>被保险人自主生活能力完全丧失，无法独立完成六项基本日常生活活动中的</w:t>
      </w:r>
      <w:r>
        <w:rPr>
          <w:spacing w:val="-2"/>
        </w:rPr>
        <w:t>三项或三项以上，日常生活必须持续受到他人监护。导致痴呆的疾病必须明</w:t>
      </w:r>
      <w:r>
        <w:rPr>
          <w:spacing w:val="-2"/>
        </w:rPr>
        <w:t>确诊断，并且由完整的临床、实验室和影像学检查结果证实。</w:t>
      </w:r>
      <w:r>
        <w:rPr>
          <w:b/>
          <w:i/>
          <w:spacing w:val="-2"/>
          <w:sz w:val="22"/>
        </w:rPr>
        <w:t>神</w:t>
      </w:r>
      <w:r>
        <w:rPr>
          <w:b/>
          <w:i/>
          <w:spacing w:val="-2"/>
          <w:sz w:val="22"/>
        </w:rPr>
        <w:t>经</w:t>
      </w:r>
      <w:r>
        <w:rPr>
          <w:b/>
          <w:i/>
          <w:spacing w:val="-2"/>
          <w:sz w:val="22"/>
        </w:rPr>
        <w:t>官</w:t>
      </w:r>
      <w:r>
        <w:rPr>
          <w:b/>
          <w:i/>
          <w:spacing w:val="-2"/>
          <w:sz w:val="22"/>
        </w:rPr>
        <w:t>能</w:t>
      </w:r>
      <w:r>
        <w:rPr>
          <w:b/>
          <w:i/>
          <w:spacing w:val="-2"/>
          <w:sz w:val="22"/>
        </w:rPr>
        <w:t>症</w:t>
      </w:r>
      <w:r>
        <w:rPr>
          <w:b/>
          <w:i/>
          <w:spacing w:val="-2"/>
          <w:sz w:val="22"/>
        </w:rPr>
        <w:t>和</w:t>
      </w:r>
      <w:r>
        <w:rPr>
          <w:b/>
          <w:i/>
          <w:spacing w:val="-2"/>
          <w:sz w:val="22"/>
        </w:rPr>
        <w:t>精</w:t>
      </w:r>
      <w:r>
        <w:rPr>
          <w:b/>
          <w:i/>
          <w:spacing w:val="-2"/>
          <w:sz w:val="22"/>
        </w:rPr>
        <w:t>神</w:t>
      </w:r>
      <w:r>
        <w:rPr>
          <w:b/>
          <w:i/>
          <w:spacing w:val="-2"/>
          <w:sz w:val="22"/>
        </w:rPr>
        <w:t>疾</w:t>
      </w:r>
      <w:r>
        <w:rPr>
          <w:b/>
          <w:i/>
          <w:spacing w:val="-2"/>
          <w:sz w:val="22"/>
        </w:rPr>
        <w:t>病</w:t>
      </w:r>
      <w:r>
        <w:rPr>
          <w:b/>
          <w:i/>
          <w:spacing w:val="-2"/>
          <w:sz w:val="22"/>
        </w:rPr>
        <w:t>不</w:t>
      </w:r>
      <w:r>
        <w:rPr>
          <w:b/>
          <w:i/>
          <w:spacing w:val="-2"/>
          <w:sz w:val="22"/>
        </w:rPr>
        <w:t>在</w:t>
      </w:r>
      <w:r>
        <w:rPr>
          <w:b/>
          <w:i/>
          <w:spacing w:val="-2"/>
          <w:sz w:val="22"/>
        </w:rPr>
        <w:t>保</w:t>
      </w:r>
      <w:r>
        <w:rPr>
          <w:b/>
          <w:i/>
          <w:spacing w:val="-2"/>
          <w:sz w:val="22"/>
        </w:rPr>
        <w:t>障</w:t>
      </w:r>
      <w:r>
        <w:rPr>
          <w:b/>
          <w:i/>
          <w:spacing w:val="-2"/>
          <w:sz w:val="22"/>
        </w:rPr>
        <w:t>范围内。</w:t>
      </w:r>
    </w:p>
    <w:p>
      <w:pPr>
        <w:spacing w:after="0" w:line="273" w:lineRule="auto"/>
        <w:rPr>
          <w:sz w:val="22"/>
        </w:rPr>
        <w:sectPr>
          <w:type w:val="continuous"/>
          <w:pgSz w:w="11910" w:h="16840"/>
          <w:pgMar w:top="460" w:bottom="280" w:left="680" w:right="460"/>
          <w:cols w:num="2" w:equalWidth="0">
            <w:col w:w="3071" w:space="40"/>
            <w:col w:w="7659"/>
          </w:cols>
        </w:sectPr>
      </w:pPr>
    </w:p>
    <w:p>
      <w:pPr>
        <w:pStyle w:val="BodyText"/>
        <w:spacing w:before="12"/>
        <w:rPr>
          <w:b/>
          <w:i/>
          <w:sz w:val="18"/>
        </w:rPr>
      </w:pPr>
    </w:p>
    <w:p>
      <w:pPr>
        <w:pStyle w:val="ListParagraph"/>
        <w:numPr>
          <w:ilvl w:val="2"/>
          <w:numId w:val="42"/>
        </w:numPr>
        <w:tabs>
          <w:tab w:pos="1713" w:val="left" w:leader="none"/>
          <w:tab w:pos="1714" w:val="left" w:leader="none"/>
        </w:tabs>
        <w:spacing w:line="240" w:lineRule="auto" w:before="72" w:after="0"/>
        <w:ind w:left="1713" w:right="0" w:hanging="1139"/>
        <w:jc w:val="left"/>
        <w:rPr>
          <w:sz w:val="21"/>
        </w:rPr>
      </w:pPr>
      <w:r>
        <w:rPr>
          <w:rFonts w:ascii="楷体" w:eastAsia="楷体" w:hint="eastAsia"/>
          <w:b/>
          <w:spacing w:val="18"/>
          <w:sz w:val="21"/>
        </w:rPr>
        <w:t>严重冠状动脉 </w:t>
      </w:r>
      <w:r>
        <w:rPr>
          <w:spacing w:val="-1"/>
          <w:sz w:val="21"/>
        </w:rPr>
        <w:t>指经冠状动脉造影检查明确诊断为主要血管严重狭窄性病变，须满足下列至</w:t>
      </w:r>
    </w:p>
    <w:p>
      <w:pPr>
        <w:spacing w:after="0" w:line="240" w:lineRule="auto"/>
        <w:jc w:val="left"/>
        <w:rPr>
          <w:sz w:val="21"/>
        </w:rPr>
        <w:sectPr>
          <w:type w:val="continuous"/>
          <w:pgSz w:w="11910" w:h="16840"/>
          <w:pgMar w:top="460" w:bottom="280"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145"/>
      </w:tblGrid>
      <w:tr>
        <w:trPr>
          <w:trHeight w:val="261" w:hRule="atLeast"/>
        </w:trPr>
        <w:tc>
          <w:tcPr>
            <w:tcW w:w="937" w:type="dxa"/>
            <w:vMerge w:val="restart"/>
          </w:tcPr>
          <w:p>
            <w:pPr>
              <w:pStyle w:val="TableParagraph"/>
              <w:rPr>
                <w:rFonts w:ascii="Times New Roman"/>
                <w:sz w:val="20"/>
              </w:rPr>
            </w:pPr>
          </w:p>
        </w:tc>
        <w:tc>
          <w:tcPr>
            <w:tcW w:w="1716" w:type="dxa"/>
          </w:tcPr>
          <w:p>
            <w:pPr>
              <w:pStyle w:val="TableParagraph"/>
              <w:spacing w:line="241" w:lineRule="exact"/>
              <w:ind w:left="250"/>
              <w:rPr>
                <w:rFonts w:ascii="楷体" w:eastAsia="楷体" w:hint="eastAsia"/>
                <w:b/>
                <w:sz w:val="21"/>
              </w:rPr>
            </w:pPr>
            <w:r>
              <w:rPr>
                <w:rFonts w:ascii="楷体" w:eastAsia="楷体" w:hint="eastAsia"/>
                <w:b/>
                <w:spacing w:val="11"/>
                <w:sz w:val="21"/>
              </w:rPr>
              <w:t>粥样硬化性心</w:t>
            </w:r>
          </w:p>
        </w:tc>
        <w:tc>
          <w:tcPr>
            <w:tcW w:w="7145" w:type="dxa"/>
          </w:tcPr>
          <w:p>
            <w:pPr>
              <w:pStyle w:val="TableParagraph"/>
              <w:spacing w:line="241" w:lineRule="exact"/>
              <w:ind w:left="107"/>
              <w:rPr>
                <w:sz w:val="21"/>
              </w:rPr>
            </w:pPr>
            <w:r>
              <w:rPr>
                <w:spacing w:val="-4"/>
                <w:sz w:val="21"/>
              </w:rPr>
              <w:t>少一项条件：</w:t>
            </w:r>
          </w:p>
        </w:tc>
      </w:tr>
      <w:tr>
        <w:trPr>
          <w:trHeight w:val="312" w:hRule="atLeast"/>
        </w:trPr>
        <w:tc>
          <w:tcPr>
            <w:tcW w:w="937" w:type="dxa"/>
            <w:vMerge/>
            <w:tcBorders>
              <w:top w:val="nil"/>
            </w:tcBorders>
          </w:tcPr>
          <w:p>
            <w:pPr>
              <w:rPr>
                <w:sz w:val="2"/>
                <w:szCs w:val="2"/>
              </w:rPr>
            </w:pPr>
          </w:p>
        </w:tc>
        <w:tc>
          <w:tcPr>
            <w:tcW w:w="1716" w:type="dxa"/>
          </w:tcPr>
          <w:p>
            <w:pPr>
              <w:pStyle w:val="TableParagraph"/>
              <w:spacing w:before="22"/>
              <w:ind w:left="250"/>
              <w:rPr>
                <w:rFonts w:ascii="楷体" w:eastAsia="楷体" w:hint="eastAsia"/>
                <w:b/>
                <w:sz w:val="21"/>
              </w:rPr>
            </w:pPr>
            <w:r>
              <w:rPr>
                <w:rFonts w:ascii="楷体" w:eastAsia="楷体" w:hint="eastAsia"/>
                <w:b/>
                <w:spacing w:val="-5"/>
                <w:sz w:val="21"/>
              </w:rPr>
              <w:t>脏病</w:t>
            </w:r>
          </w:p>
        </w:tc>
        <w:tc>
          <w:tcPr>
            <w:tcW w:w="7145" w:type="dxa"/>
          </w:tcPr>
          <w:p>
            <w:pPr>
              <w:pStyle w:val="TableParagraph"/>
              <w:spacing w:before="22"/>
              <w:ind w:left="107"/>
              <w:rPr>
                <w:sz w:val="21"/>
              </w:rPr>
            </w:pPr>
            <w:r>
              <w:rPr>
                <w:spacing w:val="-4"/>
                <w:sz w:val="21"/>
              </w:rPr>
              <w:t>（1）</w:t>
            </w:r>
            <w:r>
              <w:rPr>
                <w:spacing w:val="-6"/>
                <w:sz w:val="21"/>
              </w:rPr>
              <w:t>左冠状动脉主干和右冠状动脉中，一支血管管腔堵塞 </w:t>
            </w:r>
            <w:r>
              <w:rPr>
                <w:spacing w:val="-4"/>
                <w:sz w:val="21"/>
              </w:rPr>
              <w:t>75</w:t>
            </w:r>
            <w:r>
              <w:rPr>
                <w:spacing w:val="-5"/>
                <w:sz w:val="21"/>
              </w:rPr>
              <w:t>%以上，另一支</w:t>
            </w:r>
          </w:p>
        </w:tc>
      </w:tr>
      <w:tr>
        <w:trPr>
          <w:trHeight w:val="312" w:hRule="atLeast"/>
        </w:trPr>
        <w:tc>
          <w:tcPr>
            <w:tcW w:w="937" w:type="dxa"/>
            <w:vMerge/>
            <w:tcBorders>
              <w:top w:val="nil"/>
            </w:tcBorders>
          </w:tcPr>
          <w:p>
            <w:pPr>
              <w:rPr>
                <w:sz w:val="2"/>
                <w:szCs w:val="2"/>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9"/>
                <w:sz w:val="21"/>
              </w:rPr>
              <w:t>血管管腔堵塞 </w:t>
            </w:r>
            <w:r>
              <w:rPr>
                <w:spacing w:val="-2"/>
                <w:sz w:val="21"/>
              </w:rPr>
              <w:t>60%</w:t>
            </w:r>
            <w:r>
              <w:rPr>
                <w:spacing w:val="-5"/>
                <w:sz w:val="21"/>
              </w:rPr>
              <w:t>以上；</w:t>
            </w:r>
          </w:p>
        </w:tc>
      </w:tr>
      <w:tr>
        <w:trPr>
          <w:trHeight w:val="311" w:hRule="atLeast"/>
        </w:trPr>
        <w:tc>
          <w:tcPr>
            <w:tcW w:w="937" w:type="dxa"/>
            <w:vMerge/>
            <w:tcBorders>
              <w:top w:val="nil"/>
            </w:tcBorders>
          </w:tcPr>
          <w:p>
            <w:pPr>
              <w:rPr>
                <w:sz w:val="2"/>
                <w:szCs w:val="2"/>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（2）</w:t>
            </w:r>
            <w:r>
              <w:rPr>
                <w:spacing w:val="-4"/>
                <w:sz w:val="21"/>
              </w:rPr>
              <w:t>左前降支、左旋支和右冠状动脉中，至少一支血管官腔堵塞 </w:t>
            </w:r>
            <w:r>
              <w:rPr>
                <w:spacing w:val="-2"/>
                <w:sz w:val="21"/>
              </w:rPr>
              <w:t>75</w:t>
            </w:r>
            <w:r>
              <w:rPr>
                <w:spacing w:val="-4"/>
                <w:sz w:val="21"/>
              </w:rPr>
              <w:t>%以上，</w:t>
            </w:r>
          </w:p>
        </w:tc>
      </w:tr>
      <w:tr>
        <w:trPr>
          <w:trHeight w:val="1092" w:hRule="atLeast"/>
        </w:trPr>
        <w:tc>
          <w:tcPr>
            <w:tcW w:w="937" w:type="dxa"/>
            <w:vMerge/>
            <w:tcBorders>
              <w:top w:val="nil"/>
            </w:tcBorders>
          </w:tcPr>
          <w:p>
            <w:pPr>
              <w:rPr>
                <w:sz w:val="2"/>
                <w:szCs w:val="2"/>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6"/>
                <w:sz w:val="21"/>
              </w:rPr>
              <w:t>其他两支血管官腔堵塞 </w:t>
            </w:r>
            <w:r>
              <w:rPr>
                <w:spacing w:val="-2"/>
                <w:sz w:val="21"/>
              </w:rPr>
              <w:t>60</w:t>
            </w:r>
            <w:r>
              <w:rPr>
                <w:spacing w:val="-4"/>
                <w:sz w:val="21"/>
              </w:rPr>
              <w:t>%以上。</w:t>
            </w:r>
          </w:p>
          <w:p>
            <w:pPr>
              <w:pStyle w:val="TableParagraph"/>
              <w:spacing w:line="266" w:lineRule="auto" w:before="33"/>
              <w:ind w:left="107" w:right="120"/>
              <w:rPr>
                <w:b/>
                <w:i/>
                <w:sz w:val="22"/>
              </w:rPr>
            </w:pPr>
            <w:r>
              <w:rPr>
                <w:b/>
                <w:i/>
                <w:spacing w:val="-2"/>
                <w:w w:val="95"/>
                <w:sz w:val="22"/>
              </w:rPr>
              <w:t>左前降支的分支血管、左旋支的分支血管及右冠状动脉的分支血管的狭窄不</w:t>
            </w:r>
            <w:r>
              <w:rPr>
                <w:b/>
                <w:i/>
                <w:spacing w:val="-2"/>
                <w:sz w:val="22"/>
              </w:rPr>
              <w:t>作</w:t>
            </w:r>
            <w:r>
              <w:rPr>
                <w:b/>
                <w:i/>
                <w:spacing w:val="-2"/>
                <w:sz w:val="22"/>
              </w:rPr>
              <w:t>为</w:t>
            </w:r>
            <w:r>
              <w:rPr>
                <w:b/>
                <w:i/>
                <w:spacing w:val="-2"/>
                <w:sz w:val="22"/>
              </w:rPr>
              <w:t>本</w:t>
            </w:r>
            <w:r>
              <w:rPr>
                <w:b/>
                <w:i/>
                <w:spacing w:val="-2"/>
                <w:sz w:val="22"/>
              </w:rPr>
              <w:t>保</w:t>
            </w:r>
            <w:r>
              <w:rPr>
                <w:b/>
                <w:i/>
                <w:spacing w:val="-2"/>
                <w:sz w:val="22"/>
              </w:rPr>
              <w:t>障</w:t>
            </w:r>
            <w:r>
              <w:rPr>
                <w:b/>
                <w:i/>
                <w:spacing w:val="-2"/>
                <w:sz w:val="22"/>
              </w:rPr>
              <w:t>的</w:t>
            </w:r>
            <w:r>
              <w:rPr>
                <w:b/>
                <w:i/>
                <w:spacing w:val="-2"/>
                <w:sz w:val="22"/>
              </w:rPr>
              <w:t>衡</w:t>
            </w:r>
            <w:r>
              <w:rPr>
                <w:b/>
                <w:i/>
                <w:spacing w:val="-2"/>
                <w:sz w:val="22"/>
              </w:rPr>
              <w:t>量</w:t>
            </w:r>
            <w:r>
              <w:rPr>
                <w:b/>
                <w:i/>
                <w:spacing w:val="-2"/>
                <w:sz w:val="22"/>
              </w:rPr>
              <w:t>指</w:t>
            </w:r>
            <w:r>
              <w:rPr>
                <w:b/>
                <w:i/>
                <w:spacing w:val="-2"/>
                <w:sz w:val="22"/>
              </w:rPr>
              <w:t>标</w:t>
            </w:r>
            <w:r>
              <w:rPr>
                <w:b/>
                <w:i/>
                <w:spacing w:val="-2"/>
                <w:sz w:val="22"/>
              </w:rPr>
              <w:t>。</w:t>
            </w:r>
          </w:p>
        </w:tc>
      </w:tr>
      <w:tr>
        <w:trPr>
          <w:trHeight w:val="467" w:hRule="atLeast"/>
        </w:trPr>
        <w:tc>
          <w:tcPr>
            <w:tcW w:w="937" w:type="dxa"/>
          </w:tcPr>
          <w:p>
            <w:pPr>
              <w:pStyle w:val="TableParagraph"/>
              <w:spacing w:before="177"/>
              <w:ind w:left="50"/>
              <w:rPr>
                <w:b/>
                <w:sz w:val="21"/>
              </w:rPr>
            </w:pPr>
            <w:r>
              <w:rPr>
                <w:b/>
                <w:spacing w:val="-2"/>
                <w:sz w:val="21"/>
              </w:rPr>
              <w:t>9.8.52</w:t>
            </w:r>
          </w:p>
        </w:tc>
        <w:tc>
          <w:tcPr>
            <w:tcW w:w="1716" w:type="dxa"/>
          </w:tcPr>
          <w:p>
            <w:pPr>
              <w:pStyle w:val="TableParagraph"/>
              <w:spacing w:before="177"/>
              <w:ind w:left="250"/>
              <w:rPr>
                <w:rFonts w:ascii="楷体" w:eastAsia="楷体" w:hint="eastAsia"/>
                <w:b/>
                <w:sz w:val="21"/>
              </w:rPr>
            </w:pPr>
            <w:r>
              <w:rPr>
                <w:rFonts w:ascii="楷体" w:eastAsia="楷体" w:hint="eastAsia"/>
                <w:b/>
                <w:spacing w:val="-2"/>
                <w:sz w:val="21"/>
              </w:rPr>
              <w:t>多发性硬化</w:t>
            </w:r>
          </w:p>
        </w:tc>
        <w:tc>
          <w:tcPr>
            <w:tcW w:w="7145" w:type="dxa"/>
          </w:tcPr>
          <w:p>
            <w:pPr>
              <w:pStyle w:val="TableParagraph"/>
              <w:spacing w:before="177"/>
              <w:ind w:left="107"/>
              <w:rPr>
                <w:sz w:val="21"/>
              </w:rPr>
            </w:pPr>
            <w:r>
              <w:rPr>
                <w:spacing w:val="-2"/>
                <w:sz w:val="21"/>
              </w:rPr>
              <w:t>被保险人因脑及脊髓内的脱髓鞘病变而出现神经系统多灶性（多发性）</w:t>
            </w:r>
            <w:r>
              <w:rPr>
                <w:spacing w:val="-6"/>
                <w:sz w:val="21"/>
              </w:rPr>
              <w:t>多时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相（</w:t>
            </w:r>
            <w:r>
              <w:rPr>
                <w:spacing w:val="-20"/>
                <w:sz w:val="21"/>
              </w:rPr>
              <w:t>至少 </w:t>
            </w:r>
            <w:r>
              <w:rPr>
                <w:spacing w:val="-2"/>
                <w:sz w:val="21"/>
              </w:rPr>
              <w:t>6</w:t>
            </w:r>
            <w:r>
              <w:rPr>
                <w:spacing w:val="-10"/>
                <w:sz w:val="21"/>
              </w:rPr>
              <w:t> 个月以内有一次以上</w:t>
            </w:r>
            <w:r>
              <w:rPr>
                <w:spacing w:val="-2"/>
                <w:sz w:val="21"/>
              </w:rPr>
              <w:t>（不包含一次）的发作）</w:t>
            </w:r>
            <w:r>
              <w:rPr>
                <w:spacing w:val="-3"/>
                <w:sz w:val="21"/>
              </w:rPr>
              <w:t>的病变，须由计算</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6"/>
                <w:sz w:val="21"/>
              </w:rPr>
              <w:t>机断层扫描</w:t>
            </w:r>
            <w:r>
              <w:rPr>
                <w:spacing w:val="20"/>
                <w:sz w:val="21"/>
              </w:rPr>
              <w:t>（</w:t>
            </w:r>
            <w:r>
              <w:rPr>
                <w:spacing w:val="21"/>
                <w:sz w:val="21"/>
              </w:rPr>
              <w:t>C</w:t>
            </w:r>
            <w:r>
              <w:rPr>
                <w:spacing w:val="18"/>
                <w:sz w:val="21"/>
              </w:rPr>
              <w:t>T</w:t>
            </w:r>
            <w:r>
              <w:rPr>
                <w:spacing w:val="-85"/>
                <w:sz w:val="21"/>
              </w:rPr>
              <w:t>）</w:t>
            </w:r>
            <w:r>
              <w:rPr>
                <w:spacing w:val="-6"/>
                <w:sz w:val="21"/>
              </w:rPr>
              <w:t>、核磁共振检查（MRI）或正电子发射断层扫描（PET）</w:t>
            </w:r>
            <w:r>
              <w:rPr>
                <w:spacing w:val="-10"/>
                <w:sz w:val="21"/>
              </w:rPr>
              <w:t>等</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3"/>
                <w:sz w:val="21"/>
              </w:rPr>
              <w:t>影像学检查证实，且已经造成自主生活能力完全丧失，无法独立完成六项基</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4"/>
                <w:sz w:val="21"/>
              </w:rPr>
              <w:t>本日常生活活动中的三项或三项以上，持续至少 </w:t>
            </w:r>
            <w:r>
              <w:rPr>
                <w:spacing w:val="-2"/>
                <w:sz w:val="21"/>
              </w:rPr>
              <w:t>180</w:t>
            </w:r>
            <w:r>
              <w:rPr>
                <w:spacing w:val="-20"/>
                <w:sz w:val="21"/>
              </w:rPr>
              <w:t> 天。</w:t>
            </w:r>
          </w:p>
        </w:tc>
      </w:tr>
      <w:tr>
        <w:trPr>
          <w:trHeight w:val="468" w:hRule="atLeast"/>
        </w:trPr>
        <w:tc>
          <w:tcPr>
            <w:tcW w:w="937" w:type="dxa"/>
          </w:tcPr>
          <w:p>
            <w:pPr>
              <w:pStyle w:val="TableParagraph"/>
              <w:spacing w:before="178"/>
              <w:ind w:left="50"/>
              <w:rPr>
                <w:b/>
                <w:sz w:val="21"/>
              </w:rPr>
            </w:pPr>
            <w:r>
              <w:rPr>
                <w:b/>
                <w:spacing w:val="-2"/>
                <w:sz w:val="21"/>
              </w:rPr>
              <w:t>9.8.53</w:t>
            </w:r>
          </w:p>
        </w:tc>
        <w:tc>
          <w:tcPr>
            <w:tcW w:w="1716" w:type="dxa"/>
          </w:tcPr>
          <w:p>
            <w:pPr>
              <w:pStyle w:val="TableParagraph"/>
              <w:spacing w:before="178"/>
              <w:ind w:left="250"/>
              <w:rPr>
                <w:rFonts w:ascii="楷体" w:eastAsia="楷体" w:hint="eastAsia"/>
                <w:b/>
                <w:sz w:val="21"/>
              </w:rPr>
            </w:pPr>
            <w:r>
              <w:rPr>
                <w:rFonts w:ascii="楷体" w:eastAsia="楷体" w:hint="eastAsia"/>
                <w:b/>
                <w:spacing w:val="17"/>
                <w:sz w:val="21"/>
              </w:rPr>
              <w:t>全身性</w:t>
            </w:r>
            <w:r>
              <w:rPr>
                <w:rFonts w:ascii="楷体" w:eastAsia="楷体" w:hint="eastAsia"/>
                <w:b/>
                <w:spacing w:val="16"/>
                <w:sz w:val="21"/>
              </w:rPr>
              <w:t>（</w:t>
            </w:r>
            <w:r>
              <w:rPr>
                <w:rFonts w:ascii="楷体" w:eastAsia="楷体" w:hint="eastAsia"/>
                <w:b/>
                <w:spacing w:val="19"/>
                <w:sz w:val="21"/>
              </w:rPr>
              <w:t>型</w:t>
            </w:r>
            <w:r>
              <w:rPr>
                <w:rFonts w:ascii="楷体" w:eastAsia="楷体" w:hint="eastAsia"/>
                <w:b/>
                <w:spacing w:val="-10"/>
                <w:sz w:val="21"/>
              </w:rPr>
              <w:t>）</w:t>
            </w:r>
          </w:p>
        </w:tc>
        <w:tc>
          <w:tcPr>
            <w:tcW w:w="7145" w:type="dxa"/>
          </w:tcPr>
          <w:p>
            <w:pPr>
              <w:pStyle w:val="TableParagraph"/>
              <w:spacing w:before="178"/>
              <w:ind w:left="107"/>
              <w:rPr>
                <w:sz w:val="21"/>
              </w:rPr>
            </w:pPr>
            <w:r>
              <w:rPr>
                <w:spacing w:val="-3"/>
                <w:sz w:val="21"/>
              </w:rPr>
              <w:t>是指一种神经与肌肉接头部位传递障碍的自身免疫性疾病，须经神经科医生</w:t>
            </w:r>
          </w:p>
        </w:tc>
      </w:tr>
      <w:tr>
        <w:trPr>
          <w:trHeight w:val="311"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2"/>
                <w:sz w:val="21"/>
              </w:rPr>
              <w:t>重症肌无力</w:t>
            </w:r>
          </w:p>
        </w:tc>
        <w:tc>
          <w:tcPr>
            <w:tcW w:w="7145" w:type="dxa"/>
          </w:tcPr>
          <w:p>
            <w:pPr>
              <w:pStyle w:val="TableParagraph"/>
              <w:spacing w:before="22"/>
              <w:ind w:left="107"/>
              <w:rPr>
                <w:sz w:val="21"/>
              </w:rPr>
            </w:pPr>
            <w:r>
              <w:rPr>
                <w:spacing w:val="-3"/>
                <w:sz w:val="21"/>
              </w:rPr>
              <w:t>确诊。其诊断必须同时具有下列情况：</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（1）</w:t>
            </w:r>
            <w:r>
              <w:rPr>
                <w:spacing w:val="-3"/>
                <w:sz w:val="21"/>
              </w:rPr>
              <w:t>经药物、胸腺手术治疗一年以上无法控制病情，丧失正常工作能力；</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（2）</w:t>
            </w:r>
            <w:r>
              <w:rPr>
                <w:spacing w:val="-3"/>
                <w:sz w:val="21"/>
              </w:rPr>
              <w:t>出现延髓肌受累引起的构音困难、进食呛咳，或由于肌无力累及延髓</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3"/>
                <w:sz w:val="21"/>
              </w:rPr>
              <w:t>肌、呼吸肌而致机体呼吸功能不正常的危急状态即肌无力危象；</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（3）</w:t>
            </w:r>
            <w:r>
              <w:rPr>
                <w:spacing w:val="-3"/>
                <w:sz w:val="21"/>
              </w:rPr>
              <w:t>症状缓解、复发及恶化交替出现，临床接受新斯的明等抗胆碱酯酶药</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4"/>
                <w:sz w:val="21"/>
              </w:rPr>
              <w:t>物治疗的病史。</w:t>
            </w:r>
          </w:p>
        </w:tc>
      </w:tr>
      <w:tr>
        <w:trPr>
          <w:trHeight w:val="467" w:hRule="atLeast"/>
        </w:trPr>
        <w:tc>
          <w:tcPr>
            <w:tcW w:w="937" w:type="dxa"/>
          </w:tcPr>
          <w:p>
            <w:pPr>
              <w:pStyle w:val="TableParagraph"/>
              <w:spacing w:before="178"/>
              <w:ind w:left="50"/>
              <w:rPr>
                <w:b/>
                <w:sz w:val="21"/>
              </w:rPr>
            </w:pPr>
            <w:r>
              <w:rPr>
                <w:b/>
                <w:spacing w:val="-2"/>
                <w:sz w:val="21"/>
              </w:rPr>
              <w:t>9.8.54</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严重心肌病</w:t>
            </w:r>
          </w:p>
        </w:tc>
        <w:tc>
          <w:tcPr>
            <w:tcW w:w="7145" w:type="dxa"/>
          </w:tcPr>
          <w:p>
            <w:pPr>
              <w:pStyle w:val="TableParagraph"/>
              <w:spacing w:before="178"/>
              <w:ind w:left="107"/>
              <w:rPr>
                <w:sz w:val="21"/>
              </w:rPr>
            </w:pPr>
            <w:r>
              <w:rPr>
                <w:spacing w:val="-3"/>
                <w:sz w:val="21"/>
              </w:rPr>
              <w:t>指不明原因引起的一类心肌病变，包括原发性扩张型心肌病、原发性肥厚型</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3"/>
                <w:sz w:val="21"/>
              </w:rPr>
              <w:t>心肌病及原发性限制型心肌病三种，病变必须已造成事实上心室功能障碍而</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z w:val="21"/>
              </w:rPr>
              <w:t>出现明显的心功能衰竭，达到美国纽约心脏病学会（New</w:t>
            </w:r>
            <w:r>
              <w:rPr>
                <w:spacing w:val="-17"/>
                <w:sz w:val="21"/>
              </w:rPr>
              <w:t> </w:t>
            </w:r>
            <w:r>
              <w:rPr>
                <w:sz w:val="21"/>
              </w:rPr>
              <w:t>York</w:t>
            </w:r>
            <w:r>
              <w:rPr>
                <w:spacing w:val="-16"/>
                <w:sz w:val="21"/>
              </w:rPr>
              <w:t> </w:t>
            </w:r>
            <w:r>
              <w:rPr>
                <w:spacing w:val="-2"/>
                <w:sz w:val="21"/>
              </w:rPr>
              <w:t>Heart</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Association，NYHA）</w:t>
            </w:r>
            <w:r>
              <w:rPr>
                <w:spacing w:val="-8"/>
                <w:sz w:val="21"/>
              </w:rPr>
              <w:t>心功能状态分级 </w:t>
            </w:r>
            <w:r>
              <w:rPr>
                <w:spacing w:val="-2"/>
                <w:sz w:val="21"/>
              </w:rPr>
              <w:t>IV</w:t>
            </w:r>
            <w:r>
              <w:rPr>
                <w:spacing w:val="-10"/>
                <w:sz w:val="21"/>
              </w:rPr>
              <w:t> 级，且有相关住院医疗记录显示四</w:t>
            </w:r>
          </w:p>
        </w:tc>
      </w:tr>
      <w:tr>
        <w:trPr>
          <w:trHeight w:val="109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3"/>
                <w:sz w:val="21"/>
              </w:rPr>
              <w:t>级心功能衰竭状态持续至少一百八十天。</w:t>
            </w:r>
          </w:p>
          <w:p>
            <w:pPr>
              <w:pStyle w:val="TableParagraph"/>
              <w:spacing w:line="266" w:lineRule="auto" w:before="33"/>
              <w:ind w:left="107" w:right="121"/>
              <w:rPr>
                <w:b/>
                <w:i/>
                <w:sz w:val="22"/>
              </w:rPr>
            </w:pPr>
            <w:r>
              <w:rPr>
                <w:b/>
                <w:i/>
                <w:spacing w:val="-2"/>
                <w:w w:val="95"/>
                <w:sz w:val="22"/>
              </w:rPr>
              <w:t>本疾病须经专科医生明确诊断。继发于全身性疾病或其它器官系统疾病造成</w:t>
            </w:r>
            <w:r>
              <w:rPr>
                <w:b/>
                <w:i/>
                <w:spacing w:val="-2"/>
                <w:sz w:val="22"/>
              </w:rPr>
              <w:t>的</w:t>
            </w:r>
            <w:r>
              <w:rPr>
                <w:b/>
                <w:i/>
                <w:spacing w:val="-2"/>
                <w:sz w:val="22"/>
              </w:rPr>
              <w:t>心</w:t>
            </w:r>
            <w:r>
              <w:rPr>
                <w:b/>
                <w:i/>
                <w:spacing w:val="-2"/>
                <w:sz w:val="22"/>
              </w:rPr>
              <w:t>肌</w:t>
            </w:r>
            <w:r>
              <w:rPr>
                <w:b/>
                <w:i/>
                <w:spacing w:val="-2"/>
                <w:sz w:val="22"/>
              </w:rPr>
              <w:t>病</w:t>
            </w:r>
            <w:r>
              <w:rPr>
                <w:b/>
                <w:i/>
                <w:spacing w:val="-2"/>
                <w:sz w:val="22"/>
              </w:rPr>
              <w:t>变</w:t>
            </w:r>
            <w:r>
              <w:rPr>
                <w:b/>
                <w:i/>
                <w:spacing w:val="-2"/>
                <w:sz w:val="22"/>
              </w:rPr>
              <w:t>不</w:t>
            </w:r>
            <w:r>
              <w:rPr>
                <w:b/>
                <w:i/>
                <w:spacing w:val="-2"/>
                <w:sz w:val="22"/>
              </w:rPr>
              <w:t>在</w:t>
            </w:r>
            <w:r>
              <w:rPr>
                <w:b/>
                <w:i/>
                <w:spacing w:val="-2"/>
                <w:sz w:val="22"/>
              </w:rPr>
              <w:t>保</w:t>
            </w:r>
            <w:r>
              <w:rPr>
                <w:b/>
                <w:i/>
                <w:spacing w:val="-2"/>
                <w:sz w:val="22"/>
              </w:rPr>
              <w:t>障范围</w:t>
            </w:r>
            <w:r>
              <w:rPr>
                <w:b/>
                <w:i/>
                <w:spacing w:val="-2"/>
                <w:sz w:val="22"/>
              </w:rPr>
              <w:t>内</w:t>
            </w:r>
            <w:r>
              <w:rPr>
                <w:b/>
                <w:i/>
                <w:spacing w:val="-2"/>
                <w:sz w:val="22"/>
              </w:rPr>
              <w:t>。</w:t>
            </w:r>
          </w:p>
        </w:tc>
      </w:tr>
      <w:tr>
        <w:trPr>
          <w:trHeight w:val="467" w:hRule="atLeast"/>
        </w:trPr>
        <w:tc>
          <w:tcPr>
            <w:tcW w:w="937" w:type="dxa"/>
          </w:tcPr>
          <w:p>
            <w:pPr>
              <w:pStyle w:val="TableParagraph"/>
              <w:spacing w:before="177"/>
              <w:ind w:left="50"/>
              <w:rPr>
                <w:b/>
                <w:sz w:val="21"/>
              </w:rPr>
            </w:pPr>
            <w:r>
              <w:rPr>
                <w:b/>
                <w:spacing w:val="-2"/>
                <w:sz w:val="21"/>
              </w:rPr>
              <w:t>9.8.55</w:t>
            </w:r>
          </w:p>
        </w:tc>
        <w:tc>
          <w:tcPr>
            <w:tcW w:w="1716" w:type="dxa"/>
          </w:tcPr>
          <w:p>
            <w:pPr>
              <w:pStyle w:val="TableParagraph"/>
              <w:spacing w:before="177"/>
              <w:ind w:left="250"/>
              <w:rPr>
                <w:rFonts w:ascii="楷体" w:eastAsia="楷体" w:hint="eastAsia"/>
                <w:b/>
                <w:sz w:val="21"/>
              </w:rPr>
            </w:pPr>
            <w:r>
              <w:rPr>
                <w:rFonts w:ascii="楷体" w:eastAsia="楷体" w:hint="eastAsia"/>
                <w:b/>
                <w:spacing w:val="-2"/>
                <w:sz w:val="21"/>
              </w:rPr>
              <w:t>严重心肌炎</w:t>
            </w:r>
          </w:p>
        </w:tc>
        <w:tc>
          <w:tcPr>
            <w:tcW w:w="7145" w:type="dxa"/>
          </w:tcPr>
          <w:p>
            <w:pPr>
              <w:pStyle w:val="TableParagraph"/>
              <w:spacing w:before="177"/>
              <w:ind w:left="107"/>
              <w:rPr>
                <w:sz w:val="21"/>
              </w:rPr>
            </w:pPr>
            <w:r>
              <w:rPr>
                <w:spacing w:val="-3"/>
                <w:sz w:val="21"/>
              </w:rPr>
              <w:t>指心肌局限性或弥漫性的急性或慢性炎症病变，导致心脏功能障碍，达到美</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z w:val="21"/>
              </w:rPr>
              <w:t>国纽约心脏病学会（New</w:t>
            </w:r>
            <w:r>
              <w:rPr>
                <w:spacing w:val="-21"/>
                <w:sz w:val="21"/>
              </w:rPr>
              <w:t> </w:t>
            </w:r>
            <w:r>
              <w:rPr>
                <w:sz w:val="21"/>
              </w:rPr>
              <w:t>York</w:t>
            </w:r>
            <w:r>
              <w:rPr>
                <w:spacing w:val="-20"/>
                <w:sz w:val="21"/>
              </w:rPr>
              <w:t> </w:t>
            </w:r>
            <w:r>
              <w:rPr>
                <w:sz w:val="21"/>
              </w:rPr>
              <w:t>Heart</w:t>
            </w:r>
            <w:r>
              <w:rPr>
                <w:spacing w:val="-20"/>
                <w:sz w:val="21"/>
              </w:rPr>
              <w:t> </w:t>
            </w:r>
            <w:r>
              <w:rPr>
                <w:sz w:val="21"/>
              </w:rPr>
              <w:t>Association，NYHA）</w:t>
            </w:r>
            <w:r>
              <w:rPr>
                <w:spacing w:val="-2"/>
                <w:sz w:val="21"/>
              </w:rPr>
              <w:t>心功能状态分级</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IV</w:t>
            </w:r>
            <w:r>
              <w:rPr>
                <w:spacing w:val="-13"/>
                <w:sz w:val="21"/>
              </w:rPr>
              <w:t> 级，且需持续至少 </w:t>
            </w:r>
            <w:r>
              <w:rPr>
                <w:spacing w:val="-2"/>
                <w:sz w:val="21"/>
              </w:rPr>
              <w:t>90</w:t>
            </w:r>
            <w:r>
              <w:rPr>
                <w:spacing w:val="-22"/>
                <w:sz w:val="21"/>
              </w:rPr>
              <w:t> 天。</w:t>
            </w:r>
          </w:p>
        </w:tc>
      </w:tr>
      <w:tr>
        <w:trPr>
          <w:trHeight w:val="468" w:hRule="atLeast"/>
        </w:trPr>
        <w:tc>
          <w:tcPr>
            <w:tcW w:w="937" w:type="dxa"/>
          </w:tcPr>
          <w:p>
            <w:pPr>
              <w:pStyle w:val="TableParagraph"/>
              <w:spacing w:before="178"/>
              <w:ind w:left="50"/>
              <w:rPr>
                <w:b/>
                <w:sz w:val="21"/>
              </w:rPr>
            </w:pPr>
            <w:r>
              <w:rPr>
                <w:b/>
                <w:spacing w:val="-2"/>
                <w:sz w:val="21"/>
              </w:rPr>
              <w:t>9.8.56</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肺淋巴管肌瘤</w:t>
            </w:r>
          </w:p>
        </w:tc>
        <w:tc>
          <w:tcPr>
            <w:tcW w:w="7145" w:type="dxa"/>
          </w:tcPr>
          <w:p>
            <w:pPr>
              <w:pStyle w:val="TableParagraph"/>
              <w:spacing w:before="178"/>
              <w:ind w:left="107"/>
              <w:rPr>
                <w:sz w:val="21"/>
              </w:rPr>
            </w:pPr>
            <w:r>
              <w:rPr>
                <w:spacing w:val="-3"/>
                <w:sz w:val="21"/>
              </w:rPr>
              <w:t>肺淋巴管肌瘤病是一种弥漫性肺部疾病，主要病理改变为肺间质、支气管、</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w w:val="100"/>
                <w:sz w:val="21"/>
              </w:rPr>
              <w:t>病</w:t>
            </w:r>
          </w:p>
        </w:tc>
        <w:tc>
          <w:tcPr>
            <w:tcW w:w="7145" w:type="dxa"/>
          </w:tcPr>
          <w:p>
            <w:pPr>
              <w:pStyle w:val="TableParagraph"/>
              <w:spacing w:before="22"/>
              <w:ind w:left="107"/>
              <w:rPr>
                <w:sz w:val="21"/>
              </w:rPr>
            </w:pPr>
            <w:r>
              <w:rPr>
                <w:spacing w:val="-3"/>
                <w:sz w:val="21"/>
              </w:rPr>
              <w:t>血管和淋巴管内出现未成熟的平滑肌异常增生，同时需满足下列全部条件：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（1）</w:t>
            </w:r>
            <w:r>
              <w:rPr>
                <w:spacing w:val="-3"/>
                <w:sz w:val="21"/>
              </w:rPr>
              <w:t>经组织病理学诊断；</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（2）CT</w:t>
            </w:r>
            <w:r>
              <w:rPr>
                <w:spacing w:val="-10"/>
                <w:sz w:val="21"/>
              </w:rPr>
              <w:t> 显示双肺弥漫性囊性改变；</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2"/>
                <w:sz w:val="21"/>
              </w:rPr>
              <w:t>（3）</w:t>
            </w:r>
            <w:r>
              <w:rPr>
                <w:spacing w:val="-3"/>
                <w:sz w:val="21"/>
              </w:rPr>
              <w:t>休息时出现呼吸困难或并经医院的专科医生认可有必要进行肺移植手</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45" w:type="dxa"/>
          </w:tcPr>
          <w:p>
            <w:pPr>
              <w:pStyle w:val="TableParagraph"/>
              <w:spacing w:before="22"/>
              <w:ind w:left="107"/>
              <w:rPr>
                <w:sz w:val="21"/>
              </w:rPr>
            </w:pPr>
            <w:r>
              <w:rPr>
                <w:spacing w:val="-5"/>
                <w:sz w:val="21"/>
              </w:rPr>
              <w:t>术。</w:t>
            </w:r>
          </w:p>
        </w:tc>
      </w:tr>
      <w:tr>
        <w:trPr>
          <w:trHeight w:val="467" w:hRule="atLeast"/>
        </w:trPr>
        <w:tc>
          <w:tcPr>
            <w:tcW w:w="937" w:type="dxa"/>
          </w:tcPr>
          <w:p>
            <w:pPr>
              <w:pStyle w:val="TableParagraph"/>
              <w:spacing w:before="178"/>
              <w:ind w:left="50"/>
              <w:rPr>
                <w:b/>
                <w:sz w:val="21"/>
              </w:rPr>
            </w:pPr>
            <w:r>
              <w:rPr>
                <w:b/>
                <w:spacing w:val="-2"/>
                <w:sz w:val="21"/>
              </w:rPr>
              <w:t>9.8.57</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侵蚀性葡萄胎</w:t>
            </w:r>
          </w:p>
        </w:tc>
        <w:tc>
          <w:tcPr>
            <w:tcW w:w="7145" w:type="dxa"/>
          </w:tcPr>
          <w:p>
            <w:pPr>
              <w:pStyle w:val="TableParagraph"/>
              <w:spacing w:before="178"/>
              <w:ind w:left="107"/>
              <w:rPr>
                <w:sz w:val="21"/>
              </w:rPr>
            </w:pPr>
            <w:r>
              <w:rPr>
                <w:spacing w:val="-3"/>
                <w:sz w:val="21"/>
              </w:rPr>
              <w:t>该类疾病是指异常增生的绒毛组织浸润性生长浸入子宫肌层或转移至其他</w:t>
            </w:r>
          </w:p>
        </w:tc>
      </w:tr>
      <w:tr>
        <w:trPr>
          <w:trHeight w:val="780" w:hRule="atLeast"/>
        </w:trPr>
        <w:tc>
          <w:tcPr>
            <w:tcW w:w="937" w:type="dxa"/>
          </w:tcPr>
          <w:p>
            <w:pPr>
              <w:pStyle w:val="TableParagraph"/>
              <w:rPr>
                <w:rFonts w:ascii="Times New Roman"/>
                <w:sz w:val="20"/>
              </w:rPr>
            </w:pPr>
          </w:p>
        </w:tc>
        <w:tc>
          <w:tcPr>
            <w:tcW w:w="1716" w:type="dxa"/>
          </w:tcPr>
          <w:p>
            <w:pPr>
              <w:pStyle w:val="TableParagraph"/>
              <w:spacing w:line="278" w:lineRule="auto" w:before="22"/>
              <w:ind w:left="250" w:right="105"/>
              <w:rPr>
                <w:rFonts w:ascii="楷体" w:eastAsia="楷体" w:hint="eastAsia"/>
                <w:b/>
                <w:sz w:val="21"/>
              </w:rPr>
            </w:pPr>
            <w:r>
              <w:rPr>
                <w:rFonts w:ascii="楷体" w:eastAsia="楷体" w:hint="eastAsia"/>
                <w:b/>
                <w:sz w:val="21"/>
              </w:rPr>
              <w:t>（</w:t>
            </w:r>
            <w:r>
              <w:rPr>
                <w:rFonts w:ascii="楷体" w:eastAsia="楷体" w:hint="eastAsia"/>
                <w:b/>
                <w:spacing w:val="-5"/>
                <w:sz w:val="21"/>
              </w:rPr>
              <w:t> 或称恶性葡</w:t>
            </w:r>
            <w:r>
              <w:rPr>
                <w:rFonts w:ascii="楷体" w:eastAsia="楷体" w:hint="eastAsia"/>
                <w:b/>
                <w:spacing w:val="-4"/>
                <w:sz w:val="21"/>
              </w:rPr>
              <w:t>萄胎）</w:t>
            </w:r>
          </w:p>
        </w:tc>
        <w:tc>
          <w:tcPr>
            <w:tcW w:w="7145" w:type="dxa"/>
          </w:tcPr>
          <w:p>
            <w:pPr>
              <w:pStyle w:val="TableParagraph"/>
              <w:spacing w:line="268" w:lineRule="auto" w:before="22"/>
              <w:ind w:left="107" w:right="117"/>
              <w:rPr>
                <w:b/>
                <w:i/>
                <w:sz w:val="22"/>
              </w:rPr>
            </w:pPr>
            <w:r>
              <w:rPr>
                <w:spacing w:val="-2"/>
                <w:sz w:val="21"/>
              </w:rPr>
              <w:t>器官或组织的葡萄胎，经组织病理学检查明确诊断，并已经进行化疗或手术</w:t>
            </w:r>
            <w:r>
              <w:rPr>
                <w:spacing w:val="-2"/>
                <w:sz w:val="21"/>
              </w:rPr>
              <w:t>治疗的。</w:t>
            </w:r>
            <w:r>
              <w:rPr>
                <w:b/>
                <w:i/>
                <w:spacing w:val="-2"/>
                <w:sz w:val="22"/>
              </w:rPr>
              <w:t>流</w:t>
            </w:r>
            <w:r>
              <w:rPr>
                <w:b/>
                <w:i/>
                <w:spacing w:val="-2"/>
                <w:sz w:val="22"/>
              </w:rPr>
              <w:t>产</w:t>
            </w:r>
            <w:r>
              <w:rPr>
                <w:b/>
                <w:i/>
                <w:spacing w:val="-2"/>
                <w:sz w:val="22"/>
              </w:rPr>
              <w:t>手</w:t>
            </w:r>
            <w:r>
              <w:rPr>
                <w:b/>
                <w:i/>
                <w:spacing w:val="-2"/>
                <w:sz w:val="22"/>
              </w:rPr>
              <w:t>术</w:t>
            </w:r>
            <w:r>
              <w:rPr>
                <w:b/>
                <w:i/>
                <w:spacing w:val="-2"/>
                <w:sz w:val="22"/>
              </w:rPr>
              <w:t>不</w:t>
            </w:r>
            <w:r>
              <w:rPr>
                <w:b/>
                <w:i/>
                <w:spacing w:val="-2"/>
                <w:sz w:val="22"/>
              </w:rPr>
              <w:t>在</w:t>
            </w:r>
            <w:r>
              <w:rPr>
                <w:b/>
                <w:i/>
                <w:spacing w:val="-2"/>
                <w:sz w:val="22"/>
              </w:rPr>
              <w:t>保</w:t>
            </w:r>
            <w:r>
              <w:rPr>
                <w:b/>
                <w:i/>
                <w:spacing w:val="-2"/>
                <w:sz w:val="22"/>
              </w:rPr>
              <w:t>障</w:t>
            </w:r>
            <w:r>
              <w:rPr>
                <w:b/>
                <w:i/>
                <w:spacing w:val="-2"/>
                <w:sz w:val="22"/>
              </w:rPr>
              <w:t>范</w:t>
            </w:r>
            <w:r>
              <w:rPr>
                <w:b/>
                <w:i/>
                <w:spacing w:val="-2"/>
                <w:sz w:val="22"/>
              </w:rPr>
              <w:t>围</w:t>
            </w:r>
            <w:r>
              <w:rPr>
                <w:b/>
                <w:i/>
                <w:spacing w:val="-2"/>
                <w:sz w:val="22"/>
              </w:rPr>
              <w:t>内</w:t>
            </w:r>
            <w:r>
              <w:rPr>
                <w:b/>
                <w:i/>
                <w:spacing w:val="-2"/>
                <w:sz w:val="22"/>
              </w:rPr>
              <w:t>。</w:t>
            </w:r>
          </w:p>
        </w:tc>
      </w:tr>
      <w:tr>
        <w:trPr>
          <w:trHeight w:val="416" w:hRule="atLeast"/>
        </w:trPr>
        <w:tc>
          <w:tcPr>
            <w:tcW w:w="937" w:type="dxa"/>
          </w:tcPr>
          <w:p>
            <w:pPr>
              <w:pStyle w:val="TableParagraph"/>
              <w:spacing w:line="220" w:lineRule="exact" w:before="177"/>
              <w:ind w:left="50"/>
              <w:rPr>
                <w:b/>
                <w:sz w:val="21"/>
              </w:rPr>
            </w:pPr>
            <w:r>
              <w:rPr>
                <w:b/>
                <w:spacing w:val="-2"/>
                <w:sz w:val="21"/>
              </w:rPr>
              <w:t>9.8.58</w:t>
            </w:r>
          </w:p>
        </w:tc>
        <w:tc>
          <w:tcPr>
            <w:tcW w:w="1716" w:type="dxa"/>
          </w:tcPr>
          <w:p>
            <w:pPr>
              <w:pStyle w:val="TableParagraph"/>
              <w:spacing w:line="220" w:lineRule="exact" w:before="177"/>
              <w:ind w:left="250"/>
              <w:rPr>
                <w:rFonts w:ascii="楷体" w:hAnsi="楷体" w:eastAsia="楷体" w:hint="eastAsia"/>
                <w:b/>
                <w:sz w:val="21"/>
              </w:rPr>
            </w:pPr>
            <w:r>
              <w:rPr>
                <w:rFonts w:ascii="楷体" w:hAnsi="楷体" w:eastAsia="楷体" w:hint="eastAsia"/>
                <w:b/>
                <w:spacing w:val="11"/>
                <w:sz w:val="21"/>
              </w:rPr>
              <w:t>Ⅲ度房室传导</w:t>
            </w:r>
          </w:p>
        </w:tc>
        <w:tc>
          <w:tcPr>
            <w:tcW w:w="7145" w:type="dxa"/>
          </w:tcPr>
          <w:p>
            <w:pPr>
              <w:pStyle w:val="TableParagraph"/>
              <w:spacing w:line="220" w:lineRule="exact" w:before="177"/>
              <w:ind w:left="107"/>
              <w:rPr>
                <w:sz w:val="21"/>
              </w:rPr>
            </w:pPr>
            <w:r>
              <w:rPr>
                <w:spacing w:val="-3"/>
                <w:sz w:val="21"/>
              </w:rPr>
              <w:t>指心房激动在房室交界区、房室束及其分支内发生阻滞，不能正常地传到心</w:t>
            </w:r>
          </w:p>
        </w:tc>
      </w:tr>
    </w:tbl>
    <w:p>
      <w:pPr>
        <w:spacing w:after="0" w:line="220" w:lineRule="exact"/>
        <w:rPr>
          <w:sz w:val="21"/>
        </w:rPr>
        <w:sectPr>
          <w:pgSz w:w="11910" w:h="16840"/>
          <w:pgMar w:top="1280" w:bottom="1190"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184"/>
      </w:tblGrid>
      <w:tr>
        <w:trPr>
          <w:trHeight w:val="261" w:hRule="atLeast"/>
        </w:trPr>
        <w:tc>
          <w:tcPr>
            <w:tcW w:w="937" w:type="dxa"/>
          </w:tcPr>
          <w:p>
            <w:pPr>
              <w:pStyle w:val="TableParagraph"/>
              <w:rPr>
                <w:rFonts w:ascii="Times New Roman"/>
                <w:sz w:val="18"/>
              </w:rPr>
            </w:pPr>
          </w:p>
        </w:tc>
        <w:tc>
          <w:tcPr>
            <w:tcW w:w="1716" w:type="dxa"/>
          </w:tcPr>
          <w:p>
            <w:pPr>
              <w:pStyle w:val="TableParagraph"/>
              <w:spacing w:line="241" w:lineRule="exact"/>
              <w:ind w:left="250"/>
              <w:rPr>
                <w:rFonts w:ascii="楷体" w:eastAsia="楷体" w:hint="eastAsia"/>
                <w:b/>
                <w:sz w:val="21"/>
              </w:rPr>
            </w:pPr>
            <w:r>
              <w:rPr>
                <w:rFonts w:ascii="楷体" w:eastAsia="楷体" w:hint="eastAsia"/>
                <w:b/>
                <w:spacing w:val="-5"/>
                <w:sz w:val="21"/>
              </w:rPr>
              <w:t>阻滞</w:t>
            </w:r>
          </w:p>
        </w:tc>
        <w:tc>
          <w:tcPr>
            <w:tcW w:w="7184" w:type="dxa"/>
          </w:tcPr>
          <w:p>
            <w:pPr>
              <w:pStyle w:val="TableParagraph"/>
              <w:spacing w:line="241" w:lineRule="exact"/>
              <w:ind w:left="107"/>
              <w:rPr>
                <w:sz w:val="21"/>
              </w:rPr>
            </w:pPr>
            <w:r>
              <w:rPr>
                <w:spacing w:val="-3"/>
                <w:sz w:val="21"/>
              </w:rPr>
              <w:t>室的心脏传导性疾病，须满足下列所有条件：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（1）心电图显示房室搏动彼此独立，心室率&lt;50</w:t>
            </w:r>
            <w:r>
              <w:rPr>
                <w:spacing w:val="-10"/>
                <w:sz w:val="21"/>
              </w:rPr>
              <w:t> 次/分钟；</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（2）</w:t>
            </w:r>
            <w:r>
              <w:rPr>
                <w:spacing w:val="-3"/>
                <w:sz w:val="21"/>
              </w:rPr>
              <w:t>出现阿-斯综合征或心力衰竭的表现；</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（3）</w:t>
            </w:r>
            <w:r>
              <w:rPr>
                <w:spacing w:val="-3"/>
                <w:sz w:val="21"/>
              </w:rPr>
              <w:t>必须持续性依赖心脏起搏器维持心脏正常功能，且已经放置心脏起搏</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5"/>
                <w:sz w:val="21"/>
              </w:rPr>
              <w:t>器。</w:t>
            </w:r>
          </w:p>
        </w:tc>
      </w:tr>
      <w:tr>
        <w:trPr>
          <w:trHeight w:val="467" w:hRule="atLeast"/>
        </w:trPr>
        <w:tc>
          <w:tcPr>
            <w:tcW w:w="937" w:type="dxa"/>
          </w:tcPr>
          <w:p>
            <w:pPr>
              <w:pStyle w:val="TableParagraph"/>
              <w:spacing w:before="178"/>
              <w:ind w:left="50"/>
              <w:rPr>
                <w:b/>
                <w:sz w:val="21"/>
              </w:rPr>
            </w:pPr>
            <w:r>
              <w:rPr>
                <w:b/>
                <w:spacing w:val="-2"/>
                <w:sz w:val="21"/>
              </w:rPr>
              <w:t>9.8.59</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感染性心内膜</w:t>
            </w:r>
          </w:p>
        </w:tc>
        <w:tc>
          <w:tcPr>
            <w:tcW w:w="7184" w:type="dxa"/>
          </w:tcPr>
          <w:p>
            <w:pPr>
              <w:pStyle w:val="TableParagraph"/>
              <w:spacing w:before="178"/>
              <w:ind w:left="107"/>
              <w:rPr>
                <w:sz w:val="21"/>
              </w:rPr>
            </w:pPr>
            <w:r>
              <w:rPr>
                <w:spacing w:val="-4"/>
                <w:sz w:val="21"/>
              </w:rPr>
              <w:t>指因细菌、真菌和其他微生物（如病毒、立克次体、衣原体、螺旋体等）</w:t>
            </w:r>
            <w:r>
              <w:rPr>
                <w:spacing w:val="-10"/>
                <w:sz w:val="21"/>
              </w:rPr>
              <w:t>直</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w w:val="100"/>
                <w:sz w:val="21"/>
              </w:rPr>
              <w:t>炎</w:t>
            </w:r>
          </w:p>
        </w:tc>
        <w:tc>
          <w:tcPr>
            <w:tcW w:w="7184" w:type="dxa"/>
          </w:tcPr>
          <w:p>
            <w:pPr>
              <w:pStyle w:val="TableParagraph"/>
              <w:spacing w:before="22"/>
              <w:ind w:left="107"/>
              <w:rPr>
                <w:sz w:val="21"/>
              </w:rPr>
            </w:pPr>
            <w:r>
              <w:rPr>
                <w:spacing w:val="-3"/>
                <w:sz w:val="21"/>
              </w:rPr>
              <w:t>接感染而产生心瓣膜或心室壁内膜的炎症，须经心脏专科医生确诊，并符合</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4"/>
                <w:sz w:val="21"/>
              </w:rPr>
              <w:t>以下所有条件：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（1）</w:t>
            </w:r>
            <w:r>
              <w:rPr>
                <w:spacing w:val="-3"/>
                <w:sz w:val="21"/>
              </w:rPr>
              <w:t>血液培养测试结果为阳性，并至少符合以下条件之一：</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1.1</w:t>
            </w:r>
            <w:r>
              <w:rPr>
                <w:spacing w:val="-9"/>
                <w:sz w:val="21"/>
              </w:rPr>
              <w:t> 微生物：在赘生物，栓塞的赘生物或心脏内脓肿培养或组织检查证实有</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4"/>
                <w:sz w:val="21"/>
              </w:rPr>
              <w:t>微生物；</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1.2</w:t>
            </w:r>
            <w:r>
              <w:rPr>
                <w:spacing w:val="-9"/>
                <w:sz w:val="21"/>
              </w:rPr>
              <w:t> 病理性病灶：组织检查证实赘生物或心脏内脓肿有活动性心内膜炎；</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1.3</w:t>
            </w:r>
            <w:r>
              <w:rPr>
                <w:spacing w:val="-9"/>
                <w:sz w:val="21"/>
              </w:rPr>
              <w:t> 分别两次血液培养证实有典型的微生物且与心内膜炎符合；</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1.4</w:t>
            </w:r>
            <w:r>
              <w:rPr>
                <w:spacing w:val="-9"/>
                <w:sz w:val="21"/>
              </w:rPr>
              <w:t> 持续血液培养证实有微生物阳性反应，且与心内膜炎符合。</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4"/>
                <w:sz w:val="21"/>
              </w:rPr>
              <w:t>（2）心内膜炎引起中度心瓣膜关闭不全（</w:t>
            </w:r>
            <w:r>
              <w:rPr>
                <w:spacing w:val="-10"/>
                <w:sz w:val="21"/>
              </w:rPr>
              <w:t>指返流指数 </w:t>
            </w:r>
            <w:r>
              <w:rPr>
                <w:spacing w:val="-4"/>
                <w:sz w:val="21"/>
              </w:rPr>
              <w:t>20%或以上）</w:t>
            </w:r>
            <w:r>
              <w:rPr>
                <w:spacing w:val="-6"/>
                <w:sz w:val="21"/>
              </w:rPr>
              <w:t>或中度心</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6"/>
                <w:sz w:val="21"/>
              </w:rPr>
              <w:t>瓣膜狭窄（</w:t>
            </w:r>
            <w:r>
              <w:rPr>
                <w:spacing w:val="-9"/>
                <w:sz w:val="21"/>
              </w:rPr>
              <w:t>指心瓣膜开口范围小于或等于正常的 </w:t>
            </w:r>
            <w:r>
              <w:rPr>
                <w:spacing w:val="19"/>
                <w:sz w:val="21"/>
              </w:rPr>
              <w:t>30</w:t>
            </w:r>
            <w:r>
              <w:rPr>
                <w:spacing w:val="22"/>
                <w:sz w:val="21"/>
              </w:rPr>
              <w:t>%</w:t>
            </w:r>
            <w:r>
              <w:rPr>
                <w:spacing w:val="-84"/>
                <w:sz w:val="21"/>
              </w:rPr>
              <w:t>）</w:t>
            </w:r>
            <w:r>
              <w:rPr>
                <w:spacing w:val="-116"/>
                <w:sz w:val="21"/>
              </w:rPr>
              <w:t>。</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（3）</w:t>
            </w:r>
            <w:r>
              <w:rPr>
                <w:spacing w:val="-3"/>
                <w:sz w:val="21"/>
              </w:rPr>
              <w:t>心内膜炎及心瓣膜损毁程度需经由心脏专科医生确诊。</w:t>
            </w:r>
          </w:p>
        </w:tc>
      </w:tr>
      <w:tr>
        <w:trPr>
          <w:trHeight w:val="468" w:hRule="atLeast"/>
        </w:trPr>
        <w:tc>
          <w:tcPr>
            <w:tcW w:w="937" w:type="dxa"/>
          </w:tcPr>
          <w:p>
            <w:pPr>
              <w:pStyle w:val="TableParagraph"/>
              <w:spacing w:before="178"/>
              <w:ind w:left="50"/>
              <w:rPr>
                <w:b/>
                <w:sz w:val="21"/>
              </w:rPr>
            </w:pPr>
            <w:r>
              <w:rPr>
                <w:b/>
                <w:spacing w:val="-2"/>
                <w:sz w:val="21"/>
              </w:rPr>
              <w:t>9.8.60</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肝豆状核变性</w:t>
            </w:r>
          </w:p>
        </w:tc>
        <w:tc>
          <w:tcPr>
            <w:tcW w:w="7184" w:type="dxa"/>
          </w:tcPr>
          <w:p>
            <w:pPr>
              <w:pStyle w:val="TableParagraph"/>
              <w:spacing w:before="178"/>
              <w:ind w:left="107"/>
              <w:rPr>
                <w:sz w:val="21"/>
              </w:rPr>
            </w:pPr>
            <w:r>
              <w:rPr>
                <w:spacing w:val="-3"/>
                <w:sz w:val="21"/>
              </w:rPr>
              <w:t>肝豆状核变性是一种可能危及生命的铜代谢疾病，以铜沉积造成的渐进性肝</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3"/>
                <w:sz w:val="21"/>
              </w:rPr>
              <w:t>功能损害及/或神经功能恶化为特征。必须由医院的专科医生通过肝脏活组</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4"/>
                <w:sz w:val="21"/>
              </w:rPr>
              <w:t>织检查结果确定诊断并配合螯合剂治疗持续至少 </w:t>
            </w:r>
            <w:r>
              <w:rPr>
                <w:spacing w:val="-2"/>
                <w:sz w:val="21"/>
              </w:rPr>
              <w:t>6</w:t>
            </w:r>
            <w:r>
              <w:rPr>
                <w:spacing w:val="-15"/>
                <w:sz w:val="21"/>
              </w:rPr>
              <w:t> 个月。</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3"/>
                <w:sz w:val="21"/>
              </w:rPr>
              <w:t>我们承担本项疾病责任不受本合同“责任免除”中“遗传性疾病，先天性畸</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3"/>
                <w:sz w:val="21"/>
              </w:rPr>
              <w:t>形、变形或染色体异常”的限制。</w:t>
            </w:r>
          </w:p>
        </w:tc>
      </w:tr>
      <w:tr>
        <w:trPr>
          <w:trHeight w:val="468" w:hRule="atLeast"/>
        </w:trPr>
        <w:tc>
          <w:tcPr>
            <w:tcW w:w="937" w:type="dxa"/>
          </w:tcPr>
          <w:p>
            <w:pPr>
              <w:pStyle w:val="TableParagraph"/>
              <w:spacing w:before="178"/>
              <w:ind w:left="50"/>
              <w:rPr>
                <w:b/>
                <w:sz w:val="21"/>
              </w:rPr>
            </w:pPr>
            <w:r>
              <w:rPr>
                <w:b/>
                <w:spacing w:val="-2"/>
                <w:sz w:val="21"/>
              </w:rPr>
              <w:t>9.8.61</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肺源性心脏病</w:t>
            </w:r>
          </w:p>
        </w:tc>
        <w:tc>
          <w:tcPr>
            <w:tcW w:w="7184" w:type="dxa"/>
          </w:tcPr>
          <w:p>
            <w:pPr>
              <w:pStyle w:val="TableParagraph"/>
              <w:spacing w:before="178"/>
              <w:ind w:left="107"/>
              <w:rPr>
                <w:sz w:val="21"/>
              </w:rPr>
            </w:pPr>
            <w:r>
              <w:rPr>
                <w:spacing w:val="-3"/>
                <w:sz w:val="21"/>
              </w:rPr>
              <w:t>因慢性肺部疾病导致慢性心功能损害造成永久不可逆性的心功能衰竭，并且</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3"/>
                <w:sz w:val="21"/>
              </w:rPr>
              <w:t>满足以下所有条件：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（1）</w:t>
            </w:r>
            <w:r>
              <w:rPr>
                <w:spacing w:val="-4"/>
                <w:sz w:val="21"/>
              </w:rPr>
              <w:t>心导管检查报告显示静息状态下肺动脉平均压不低于 </w:t>
            </w:r>
            <w:r>
              <w:rPr>
                <w:spacing w:val="-2"/>
                <w:sz w:val="21"/>
              </w:rPr>
              <w:t>40mmHg；</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z w:val="21"/>
              </w:rPr>
              <w:t>（2）心功能衰竭程度达到美国纽约心脏病学会（New</w:t>
            </w:r>
            <w:r>
              <w:rPr>
                <w:spacing w:val="-21"/>
                <w:sz w:val="21"/>
              </w:rPr>
              <w:t> </w:t>
            </w:r>
            <w:r>
              <w:rPr>
                <w:sz w:val="21"/>
              </w:rPr>
              <w:t>York</w:t>
            </w:r>
            <w:r>
              <w:rPr>
                <w:spacing w:val="-18"/>
                <w:sz w:val="21"/>
              </w:rPr>
              <w:t> </w:t>
            </w:r>
            <w:r>
              <w:rPr>
                <w:spacing w:val="-2"/>
                <w:sz w:val="21"/>
              </w:rPr>
              <w:t>Heart</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Association，NYHA）</w:t>
            </w:r>
            <w:r>
              <w:rPr>
                <w:spacing w:val="-3"/>
                <w:sz w:val="21"/>
              </w:rPr>
              <w:t>心功能状态分级Ⅳ级，被保险人永久不可逆性的体力</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3"/>
                <w:sz w:val="21"/>
              </w:rPr>
              <w:t>活动能力受限，不能从事任何体力活动。</w:t>
            </w:r>
          </w:p>
        </w:tc>
      </w:tr>
      <w:tr>
        <w:trPr>
          <w:trHeight w:val="467" w:hRule="atLeast"/>
        </w:trPr>
        <w:tc>
          <w:tcPr>
            <w:tcW w:w="937" w:type="dxa"/>
          </w:tcPr>
          <w:p>
            <w:pPr>
              <w:pStyle w:val="TableParagraph"/>
              <w:spacing w:before="178"/>
              <w:ind w:left="50"/>
              <w:rPr>
                <w:b/>
                <w:sz w:val="21"/>
              </w:rPr>
            </w:pPr>
            <w:r>
              <w:rPr>
                <w:b/>
                <w:spacing w:val="-2"/>
                <w:sz w:val="21"/>
              </w:rPr>
              <w:t>9.8.62</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肾髓质囊性病</w:t>
            </w:r>
          </w:p>
        </w:tc>
        <w:tc>
          <w:tcPr>
            <w:tcW w:w="7184" w:type="dxa"/>
          </w:tcPr>
          <w:p>
            <w:pPr>
              <w:pStyle w:val="TableParagraph"/>
              <w:spacing w:before="178"/>
              <w:ind w:left="107"/>
              <w:rPr>
                <w:sz w:val="21"/>
              </w:rPr>
            </w:pPr>
            <w:r>
              <w:rPr>
                <w:spacing w:val="-3"/>
                <w:sz w:val="21"/>
              </w:rPr>
              <w:t>肾髓质囊性病的诊断须同时符合下列要求：</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（1）</w:t>
            </w:r>
            <w:r>
              <w:rPr>
                <w:spacing w:val="-3"/>
                <w:sz w:val="21"/>
              </w:rPr>
              <w:t>肾髓质有囊肿、肾小管萎缩及间质纤维化等病理改变；</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（2）</w:t>
            </w:r>
            <w:r>
              <w:rPr>
                <w:spacing w:val="-4"/>
                <w:sz w:val="21"/>
              </w:rPr>
              <w:t>肾功能衰竭；</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（3）</w:t>
            </w:r>
            <w:r>
              <w:rPr>
                <w:spacing w:val="-3"/>
                <w:sz w:val="21"/>
              </w:rPr>
              <w:t>诊断须由肾组织活检确定。</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3"/>
                <w:sz w:val="21"/>
              </w:rPr>
              <w:t>我们承担本项疾病责任不受本合同“责任免除”中“遗传性疾病，先天性畸</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3"/>
                <w:sz w:val="21"/>
              </w:rPr>
              <w:t>形、变形或染色体异常”的限制。</w:t>
            </w:r>
          </w:p>
        </w:tc>
      </w:tr>
      <w:tr>
        <w:trPr>
          <w:trHeight w:val="467" w:hRule="atLeast"/>
        </w:trPr>
        <w:tc>
          <w:tcPr>
            <w:tcW w:w="937" w:type="dxa"/>
          </w:tcPr>
          <w:p>
            <w:pPr>
              <w:pStyle w:val="TableParagraph"/>
              <w:spacing w:before="178"/>
              <w:ind w:left="50"/>
              <w:rPr>
                <w:b/>
                <w:sz w:val="21"/>
              </w:rPr>
            </w:pPr>
            <w:r>
              <w:rPr>
                <w:b/>
                <w:spacing w:val="-2"/>
                <w:sz w:val="21"/>
              </w:rPr>
              <w:t>9.8.63</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严重继发性肺</w:t>
            </w:r>
          </w:p>
        </w:tc>
        <w:tc>
          <w:tcPr>
            <w:tcW w:w="7184" w:type="dxa"/>
          </w:tcPr>
          <w:p>
            <w:pPr>
              <w:pStyle w:val="TableParagraph"/>
              <w:spacing w:before="178"/>
              <w:ind w:left="107"/>
              <w:rPr>
                <w:sz w:val="21"/>
              </w:rPr>
            </w:pPr>
            <w:r>
              <w:rPr>
                <w:spacing w:val="-3"/>
                <w:sz w:val="21"/>
              </w:rPr>
              <w:t>继发性肺动脉压力持续增高，导致右心室肥厚，已经造成永久不可逆性的体</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3"/>
                <w:sz w:val="21"/>
              </w:rPr>
              <w:t>动脉高压</w:t>
            </w:r>
          </w:p>
        </w:tc>
        <w:tc>
          <w:tcPr>
            <w:tcW w:w="7184" w:type="dxa"/>
          </w:tcPr>
          <w:p>
            <w:pPr>
              <w:pStyle w:val="TableParagraph"/>
              <w:spacing w:before="22"/>
              <w:ind w:left="107"/>
              <w:rPr>
                <w:sz w:val="21"/>
              </w:rPr>
            </w:pPr>
            <w:r>
              <w:rPr>
                <w:spacing w:val="-2"/>
                <w:sz w:val="21"/>
              </w:rPr>
              <w:t>力活动能力受限，达到美国纽约心脏病学会（New</w:t>
            </w:r>
            <w:r>
              <w:rPr>
                <w:spacing w:val="-33"/>
                <w:sz w:val="21"/>
              </w:rPr>
              <w:t> </w:t>
            </w:r>
            <w:r>
              <w:rPr>
                <w:spacing w:val="-2"/>
                <w:sz w:val="21"/>
              </w:rPr>
              <w:t>York</w:t>
            </w:r>
            <w:r>
              <w:rPr>
                <w:spacing w:val="-31"/>
                <w:sz w:val="21"/>
              </w:rPr>
              <w:t> </w:t>
            </w:r>
            <w:r>
              <w:rPr>
                <w:spacing w:val="-2"/>
                <w:sz w:val="21"/>
              </w:rPr>
              <w:t>Heart</w:t>
            </w:r>
            <w:r>
              <w:rPr>
                <w:spacing w:val="-30"/>
                <w:sz w:val="21"/>
              </w:rPr>
              <w:t> </w:t>
            </w:r>
            <w:r>
              <w:rPr>
                <w:spacing w:val="-2"/>
                <w:sz w:val="21"/>
              </w:rPr>
              <w:t>Association，</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2"/>
                <w:sz w:val="21"/>
              </w:rPr>
              <w:t>NYHA）</w:t>
            </w:r>
            <w:r>
              <w:rPr>
                <w:spacing w:val="-7"/>
                <w:sz w:val="21"/>
              </w:rPr>
              <w:t>心功能状态分级 </w:t>
            </w:r>
            <w:r>
              <w:rPr>
                <w:spacing w:val="-2"/>
                <w:sz w:val="21"/>
              </w:rPr>
              <w:t>IV</w:t>
            </w:r>
            <w:r>
              <w:rPr>
                <w:spacing w:val="-10"/>
                <w:sz w:val="21"/>
              </w:rPr>
              <w:t> 级。诊断需要由心脏科专科医生确诊，并且心导</w:t>
            </w:r>
          </w:p>
        </w:tc>
      </w:tr>
      <w:tr>
        <w:trPr>
          <w:trHeight w:val="78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4" w:type="dxa"/>
          </w:tcPr>
          <w:p>
            <w:pPr>
              <w:pStyle w:val="TableParagraph"/>
              <w:spacing w:before="22"/>
              <w:ind w:left="107"/>
              <w:rPr>
                <w:sz w:val="21"/>
              </w:rPr>
            </w:pPr>
            <w:r>
              <w:rPr>
                <w:spacing w:val="-4"/>
                <w:sz w:val="21"/>
              </w:rPr>
              <w:t>管检查报告显示静息状态下肺动脉平均压超过 </w:t>
            </w:r>
            <w:r>
              <w:rPr>
                <w:spacing w:val="-2"/>
                <w:sz w:val="21"/>
              </w:rPr>
              <w:t>36mmHg</w:t>
            </w:r>
            <w:r>
              <w:rPr>
                <w:spacing w:val="-10"/>
                <w:sz w:val="21"/>
              </w:rPr>
              <w:t>。</w:t>
            </w:r>
          </w:p>
          <w:p>
            <w:pPr>
              <w:pStyle w:val="TableParagraph"/>
              <w:spacing w:before="32"/>
              <w:ind w:left="107"/>
              <w:rPr>
                <w:b/>
                <w:i/>
                <w:sz w:val="22"/>
              </w:rPr>
            </w:pPr>
            <w:r>
              <w:rPr>
                <w:b/>
                <w:i/>
                <w:spacing w:val="-3"/>
                <w:w w:val="95"/>
                <w:sz w:val="22"/>
              </w:rPr>
              <w:t>所有先天性心脏疾病直接或间接引起的肺动脉高压不在保障范围内。</w:t>
            </w:r>
          </w:p>
        </w:tc>
      </w:tr>
      <w:tr>
        <w:trPr>
          <w:trHeight w:val="416" w:hRule="atLeast"/>
        </w:trPr>
        <w:tc>
          <w:tcPr>
            <w:tcW w:w="937" w:type="dxa"/>
          </w:tcPr>
          <w:p>
            <w:pPr>
              <w:pStyle w:val="TableParagraph"/>
              <w:spacing w:line="220" w:lineRule="exact" w:before="177"/>
              <w:ind w:left="50"/>
              <w:rPr>
                <w:b/>
                <w:sz w:val="21"/>
              </w:rPr>
            </w:pPr>
            <w:r>
              <w:rPr>
                <w:b/>
                <w:spacing w:val="-2"/>
                <w:sz w:val="21"/>
              </w:rPr>
              <w:t>9.8.64</w:t>
            </w:r>
          </w:p>
        </w:tc>
        <w:tc>
          <w:tcPr>
            <w:tcW w:w="1716" w:type="dxa"/>
          </w:tcPr>
          <w:p>
            <w:pPr>
              <w:pStyle w:val="TableParagraph"/>
              <w:spacing w:line="220" w:lineRule="exact" w:before="177"/>
              <w:ind w:left="250"/>
              <w:rPr>
                <w:rFonts w:ascii="楷体" w:eastAsia="楷体" w:hint="eastAsia"/>
                <w:b/>
                <w:sz w:val="21"/>
              </w:rPr>
            </w:pPr>
            <w:r>
              <w:rPr>
                <w:rFonts w:ascii="楷体" w:eastAsia="楷体" w:hint="eastAsia"/>
                <w:b/>
                <w:spacing w:val="11"/>
                <w:sz w:val="21"/>
              </w:rPr>
              <w:t>进行性核上性</w:t>
            </w:r>
          </w:p>
        </w:tc>
        <w:tc>
          <w:tcPr>
            <w:tcW w:w="7184" w:type="dxa"/>
          </w:tcPr>
          <w:p>
            <w:pPr>
              <w:pStyle w:val="TableParagraph"/>
              <w:spacing w:line="220" w:lineRule="exact" w:before="177"/>
              <w:ind w:left="107"/>
              <w:rPr>
                <w:sz w:val="21"/>
              </w:rPr>
            </w:pPr>
            <w:r>
              <w:rPr>
                <w:spacing w:val="-3"/>
                <w:sz w:val="21"/>
              </w:rPr>
              <w:t>一种隐袭起病、逐渐加重的神经系统变性疾病。本疾病必须由医院的神经科</w:t>
            </w:r>
          </w:p>
        </w:tc>
      </w:tr>
    </w:tbl>
    <w:p>
      <w:pPr>
        <w:spacing w:after="0" w:line="220" w:lineRule="exact"/>
        <w:rPr>
          <w:sz w:val="21"/>
        </w:rPr>
        <w:sectPr>
          <w:type w:val="continuous"/>
          <w:pgSz w:w="11910" w:h="16840"/>
          <w:pgMar w:top="1280" w:bottom="280"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7"/>
        <w:gridCol w:w="7079"/>
      </w:tblGrid>
      <w:tr>
        <w:trPr>
          <w:trHeight w:val="1354" w:hRule="atLeast"/>
        </w:trPr>
        <w:tc>
          <w:tcPr>
            <w:tcW w:w="937" w:type="dxa"/>
          </w:tcPr>
          <w:p>
            <w:pPr>
              <w:pStyle w:val="TableParagraph"/>
              <w:rPr>
                <w:rFonts w:ascii="Times New Roman"/>
                <w:sz w:val="20"/>
              </w:rPr>
            </w:pPr>
          </w:p>
        </w:tc>
        <w:tc>
          <w:tcPr>
            <w:tcW w:w="1717" w:type="dxa"/>
          </w:tcPr>
          <w:p>
            <w:pPr>
              <w:pStyle w:val="TableParagraph"/>
              <w:spacing w:line="241" w:lineRule="exact"/>
              <w:ind w:left="250"/>
              <w:rPr>
                <w:rFonts w:ascii="楷体" w:eastAsia="楷体" w:hint="eastAsia"/>
                <w:b/>
                <w:sz w:val="21"/>
              </w:rPr>
            </w:pPr>
            <w:r>
              <w:rPr>
                <w:rFonts w:ascii="楷体" w:eastAsia="楷体" w:hint="eastAsia"/>
                <w:b/>
                <w:spacing w:val="-5"/>
                <w:sz w:val="21"/>
              </w:rPr>
              <w:t>麻痹</w:t>
            </w:r>
          </w:p>
        </w:tc>
        <w:tc>
          <w:tcPr>
            <w:tcW w:w="7079" w:type="dxa"/>
          </w:tcPr>
          <w:p>
            <w:pPr>
              <w:pStyle w:val="TableParagraph"/>
              <w:spacing w:line="241" w:lineRule="exact"/>
              <w:ind w:left="106"/>
              <w:rPr>
                <w:sz w:val="21"/>
              </w:rPr>
            </w:pPr>
            <w:r>
              <w:rPr>
                <w:spacing w:val="-3"/>
                <w:sz w:val="21"/>
              </w:rPr>
              <w:t>专科医生确诊，并须满足下列所有条件：</w:t>
            </w:r>
          </w:p>
          <w:p>
            <w:pPr>
              <w:pStyle w:val="TableParagraph"/>
              <w:numPr>
                <w:ilvl w:val="0"/>
                <w:numId w:val="43"/>
              </w:numPr>
              <w:tabs>
                <w:tab w:pos="636" w:val="left" w:leader="none"/>
              </w:tabs>
              <w:spacing w:line="240" w:lineRule="auto" w:before="43" w:after="0"/>
              <w:ind w:left="635" w:right="0" w:hanging="530"/>
              <w:jc w:val="left"/>
              <w:rPr>
                <w:sz w:val="21"/>
              </w:rPr>
            </w:pPr>
            <w:r>
              <w:rPr>
                <w:spacing w:val="-4"/>
                <w:sz w:val="21"/>
              </w:rPr>
              <w:t>步态共济失调；</w:t>
            </w:r>
          </w:p>
          <w:p>
            <w:pPr>
              <w:pStyle w:val="TableParagraph"/>
              <w:numPr>
                <w:ilvl w:val="0"/>
                <w:numId w:val="43"/>
              </w:numPr>
              <w:tabs>
                <w:tab w:pos="636" w:val="left" w:leader="none"/>
              </w:tabs>
              <w:spacing w:line="240" w:lineRule="auto" w:before="43" w:after="0"/>
              <w:ind w:left="635" w:right="0" w:hanging="530"/>
              <w:jc w:val="left"/>
              <w:rPr>
                <w:sz w:val="21"/>
              </w:rPr>
            </w:pPr>
            <w:r>
              <w:rPr>
                <w:spacing w:val="-3"/>
                <w:sz w:val="21"/>
              </w:rPr>
              <w:t>对称性眼球垂直运动障碍；</w:t>
            </w:r>
          </w:p>
          <w:p>
            <w:pPr>
              <w:pStyle w:val="TableParagraph"/>
              <w:numPr>
                <w:ilvl w:val="0"/>
                <w:numId w:val="43"/>
              </w:numPr>
              <w:tabs>
                <w:tab w:pos="636" w:val="left" w:leader="none"/>
              </w:tabs>
              <w:spacing w:line="240" w:lineRule="auto" w:before="43" w:after="0"/>
              <w:ind w:left="635" w:right="0" w:hanging="530"/>
              <w:jc w:val="left"/>
              <w:rPr>
                <w:sz w:val="21"/>
              </w:rPr>
            </w:pPr>
            <w:r>
              <w:rPr>
                <w:spacing w:val="-3"/>
                <w:sz w:val="21"/>
              </w:rPr>
              <w:t>假性球麻痹，表现为构音障碍和吞咽困难。</w:t>
            </w:r>
          </w:p>
        </w:tc>
      </w:tr>
      <w:tr>
        <w:trPr>
          <w:trHeight w:val="467" w:hRule="atLeast"/>
        </w:trPr>
        <w:tc>
          <w:tcPr>
            <w:tcW w:w="937" w:type="dxa"/>
          </w:tcPr>
          <w:p>
            <w:pPr>
              <w:pStyle w:val="TableParagraph"/>
              <w:spacing w:before="178"/>
              <w:ind w:left="50"/>
              <w:rPr>
                <w:b/>
                <w:sz w:val="21"/>
              </w:rPr>
            </w:pPr>
            <w:r>
              <w:rPr>
                <w:b/>
                <w:spacing w:val="-2"/>
                <w:sz w:val="21"/>
              </w:rPr>
              <w:t>9.8.65</w:t>
            </w:r>
          </w:p>
        </w:tc>
        <w:tc>
          <w:tcPr>
            <w:tcW w:w="1717" w:type="dxa"/>
          </w:tcPr>
          <w:p>
            <w:pPr>
              <w:pStyle w:val="TableParagraph"/>
              <w:spacing w:before="178"/>
              <w:ind w:left="250"/>
              <w:rPr>
                <w:rFonts w:ascii="楷体" w:eastAsia="楷体" w:hint="eastAsia"/>
                <w:b/>
                <w:sz w:val="21"/>
              </w:rPr>
            </w:pPr>
            <w:r>
              <w:rPr>
                <w:rFonts w:ascii="楷体" w:eastAsia="楷体" w:hint="eastAsia"/>
                <w:b/>
                <w:spacing w:val="11"/>
                <w:sz w:val="21"/>
              </w:rPr>
              <w:t>失去一肢及一</w:t>
            </w:r>
          </w:p>
        </w:tc>
        <w:tc>
          <w:tcPr>
            <w:tcW w:w="7079" w:type="dxa"/>
          </w:tcPr>
          <w:p>
            <w:pPr>
              <w:pStyle w:val="TableParagraph"/>
              <w:spacing w:before="178"/>
              <w:ind w:left="106"/>
              <w:rPr>
                <w:sz w:val="21"/>
              </w:rPr>
            </w:pPr>
            <w:r>
              <w:rPr>
                <w:spacing w:val="-3"/>
                <w:sz w:val="21"/>
              </w:rPr>
              <w:t>因疾病或者意外伤害导致单眼视力丧失及任何一肢自腕关节或者踝关节近</w:t>
            </w:r>
          </w:p>
        </w:tc>
      </w:tr>
      <w:tr>
        <w:trPr>
          <w:trHeight w:val="312" w:hRule="atLeast"/>
        </w:trPr>
        <w:tc>
          <w:tcPr>
            <w:tcW w:w="937" w:type="dxa"/>
          </w:tcPr>
          <w:p>
            <w:pPr>
              <w:pStyle w:val="TableParagraph"/>
              <w:rPr>
                <w:rFonts w:ascii="Times New Roman"/>
                <w:sz w:val="20"/>
              </w:rPr>
            </w:pPr>
          </w:p>
        </w:tc>
        <w:tc>
          <w:tcPr>
            <w:tcW w:w="1717" w:type="dxa"/>
          </w:tcPr>
          <w:p>
            <w:pPr>
              <w:pStyle w:val="TableParagraph"/>
              <w:spacing w:before="22"/>
              <w:ind w:left="250"/>
              <w:rPr>
                <w:rFonts w:ascii="楷体" w:eastAsia="楷体" w:hint="eastAsia"/>
                <w:b/>
                <w:sz w:val="21"/>
              </w:rPr>
            </w:pPr>
            <w:r>
              <w:rPr>
                <w:rFonts w:ascii="楷体" w:eastAsia="楷体" w:hint="eastAsia"/>
                <w:b/>
                <w:w w:val="100"/>
                <w:sz w:val="21"/>
              </w:rPr>
              <w:t>眼</w:t>
            </w:r>
          </w:p>
        </w:tc>
        <w:tc>
          <w:tcPr>
            <w:tcW w:w="7079" w:type="dxa"/>
          </w:tcPr>
          <w:p>
            <w:pPr>
              <w:pStyle w:val="TableParagraph"/>
              <w:spacing w:before="22"/>
              <w:ind w:left="106"/>
              <w:rPr>
                <w:sz w:val="21"/>
              </w:rPr>
            </w:pPr>
            <w:r>
              <w:rPr>
                <w:spacing w:val="-2"/>
                <w:sz w:val="21"/>
              </w:rPr>
              <w:t>端（靠近躯干端）</w:t>
            </w:r>
            <w:r>
              <w:rPr>
                <w:spacing w:val="-3"/>
                <w:sz w:val="21"/>
              </w:rPr>
              <w:t>以上完全性断离。单眼视力丧失指单眼视力永久不可逆性</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3"/>
                <w:sz w:val="21"/>
              </w:rPr>
              <w:t>丧失，患眼须满足下列至少一项条件：</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（1）</w:t>
            </w:r>
            <w:r>
              <w:rPr>
                <w:spacing w:val="-3"/>
                <w:sz w:val="21"/>
              </w:rPr>
              <w:t>眼球缺失或者摘除；</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（2）矫正视力低于0.02（</w:t>
            </w:r>
            <w:r>
              <w:rPr>
                <w:spacing w:val="-3"/>
                <w:sz w:val="21"/>
              </w:rPr>
              <w:t>采用国际标准视力表，如果使用其它视力表应进</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行换算</w:t>
            </w:r>
            <w:r>
              <w:rPr>
                <w:spacing w:val="-111"/>
                <w:sz w:val="21"/>
              </w:rPr>
              <w:t>）</w:t>
            </w:r>
            <w:r>
              <w:rPr>
                <w:spacing w:val="-5"/>
                <w:sz w:val="21"/>
              </w:rPr>
              <w:t>；</w:t>
            </w:r>
          </w:p>
        </w:tc>
      </w:tr>
      <w:tr>
        <w:trPr>
          <w:trHeight w:val="468"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（3）</w:t>
            </w:r>
            <w:r>
              <w:rPr>
                <w:spacing w:val="-10"/>
                <w:sz w:val="21"/>
              </w:rPr>
              <w:t>视野半径小于 </w:t>
            </w:r>
            <w:r>
              <w:rPr>
                <w:spacing w:val="-2"/>
                <w:sz w:val="21"/>
              </w:rPr>
              <w:t>5</w:t>
            </w:r>
            <w:r>
              <w:rPr>
                <w:spacing w:val="-20"/>
                <w:sz w:val="21"/>
              </w:rPr>
              <w:t> 度。</w:t>
            </w:r>
          </w:p>
        </w:tc>
      </w:tr>
      <w:tr>
        <w:trPr>
          <w:trHeight w:val="468" w:hRule="atLeast"/>
        </w:trPr>
        <w:tc>
          <w:tcPr>
            <w:tcW w:w="937" w:type="dxa"/>
          </w:tcPr>
          <w:p>
            <w:pPr>
              <w:pStyle w:val="TableParagraph"/>
              <w:spacing w:before="178"/>
              <w:ind w:left="50"/>
              <w:rPr>
                <w:b/>
                <w:sz w:val="21"/>
              </w:rPr>
            </w:pPr>
            <w:r>
              <w:rPr>
                <w:b/>
                <w:spacing w:val="-2"/>
                <w:sz w:val="21"/>
              </w:rPr>
              <w:t>9.8.66</w:t>
            </w:r>
          </w:p>
        </w:tc>
        <w:tc>
          <w:tcPr>
            <w:tcW w:w="1717" w:type="dxa"/>
          </w:tcPr>
          <w:p>
            <w:pPr>
              <w:pStyle w:val="TableParagraph"/>
              <w:spacing w:before="178"/>
              <w:ind w:left="250"/>
              <w:rPr>
                <w:rFonts w:ascii="楷体" w:eastAsia="楷体" w:hint="eastAsia"/>
                <w:b/>
                <w:sz w:val="21"/>
              </w:rPr>
            </w:pPr>
            <w:r>
              <w:rPr>
                <w:rFonts w:ascii="楷体" w:eastAsia="楷体" w:hint="eastAsia"/>
                <w:b/>
                <w:spacing w:val="-2"/>
                <w:sz w:val="21"/>
              </w:rPr>
              <w:t>嗜铬细胞瘤</w:t>
            </w:r>
          </w:p>
        </w:tc>
        <w:tc>
          <w:tcPr>
            <w:tcW w:w="7079" w:type="dxa"/>
          </w:tcPr>
          <w:p>
            <w:pPr>
              <w:pStyle w:val="TableParagraph"/>
              <w:spacing w:before="178"/>
              <w:ind w:left="106"/>
              <w:rPr>
                <w:sz w:val="21"/>
              </w:rPr>
            </w:pPr>
            <w:r>
              <w:rPr>
                <w:spacing w:val="-2"/>
                <w:sz w:val="21"/>
              </w:rPr>
              <w:t>是指肾上腺或肾上腺外嗜铬组织出现的以分</w:t>
            </w:r>
            <w:r>
              <w:rPr>
                <w:rFonts w:ascii="Dotum" w:eastAsia="Dotum"/>
                <w:spacing w:val="-2"/>
                <w:sz w:val="21"/>
              </w:rPr>
              <w:t>泌</w:t>
            </w:r>
            <w:r>
              <w:rPr>
                <w:spacing w:val="-3"/>
                <w:sz w:val="21"/>
              </w:rPr>
              <w:t>过多的儿茶酚胺为表现的神</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1"/>
              <w:ind w:left="106"/>
              <w:rPr>
                <w:sz w:val="21"/>
              </w:rPr>
            </w:pPr>
            <w:r>
              <w:rPr>
                <w:spacing w:val="-3"/>
                <w:sz w:val="21"/>
              </w:rPr>
              <w:t>经内分泌肿瘤，嗜铬细胞瘤必须由内分泌专科医生诊断，并且满足以下所有</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4"/>
                <w:sz w:val="21"/>
              </w:rPr>
              <w:t>条件：</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（1）</w:t>
            </w:r>
            <w:r>
              <w:rPr>
                <w:spacing w:val="-3"/>
                <w:sz w:val="21"/>
              </w:rPr>
              <w:t>临床有高血压症候群表现；</w:t>
            </w:r>
          </w:p>
        </w:tc>
      </w:tr>
      <w:tr>
        <w:trPr>
          <w:trHeight w:val="463"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（2）</w:t>
            </w:r>
            <w:r>
              <w:rPr>
                <w:spacing w:val="-3"/>
                <w:sz w:val="21"/>
              </w:rPr>
              <w:t>已经实施了嗜铬细胞瘤切除手术。</w:t>
            </w:r>
          </w:p>
        </w:tc>
      </w:tr>
      <w:tr>
        <w:trPr>
          <w:trHeight w:val="468" w:hRule="atLeast"/>
        </w:trPr>
        <w:tc>
          <w:tcPr>
            <w:tcW w:w="937" w:type="dxa"/>
          </w:tcPr>
          <w:p>
            <w:pPr>
              <w:pStyle w:val="TableParagraph"/>
              <w:spacing w:before="3"/>
              <w:rPr>
                <w:sz w:val="14"/>
              </w:rPr>
            </w:pPr>
          </w:p>
          <w:p>
            <w:pPr>
              <w:pStyle w:val="TableParagraph"/>
              <w:spacing w:line="266" w:lineRule="exact"/>
              <w:ind w:left="50"/>
              <w:rPr>
                <w:b/>
                <w:sz w:val="21"/>
              </w:rPr>
            </w:pPr>
            <w:r>
              <w:rPr>
                <w:b/>
                <w:spacing w:val="-2"/>
                <w:sz w:val="21"/>
              </w:rPr>
              <w:t>9.8.67</w:t>
            </w:r>
          </w:p>
        </w:tc>
        <w:tc>
          <w:tcPr>
            <w:tcW w:w="1717" w:type="dxa"/>
          </w:tcPr>
          <w:p>
            <w:pPr>
              <w:pStyle w:val="TableParagraph"/>
              <w:spacing w:before="3"/>
              <w:rPr>
                <w:sz w:val="14"/>
              </w:rPr>
            </w:pPr>
          </w:p>
          <w:p>
            <w:pPr>
              <w:pStyle w:val="TableParagraph"/>
              <w:spacing w:line="266" w:lineRule="exact"/>
              <w:ind w:left="250"/>
              <w:rPr>
                <w:rFonts w:ascii="楷体" w:eastAsia="楷体" w:hint="eastAsia"/>
                <w:b/>
                <w:sz w:val="21"/>
              </w:rPr>
            </w:pPr>
            <w:r>
              <w:rPr>
                <w:rFonts w:ascii="楷体" w:eastAsia="楷体" w:hint="eastAsia"/>
                <w:b/>
                <w:spacing w:val="-2"/>
                <w:sz w:val="21"/>
              </w:rPr>
              <w:t>心脏粘液瘤</w:t>
            </w:r>
          </w:p>
        </w:tc>
        <w:tc>
          <w:tcPr>
            <w:tcW w:w="7079" w:type="dxa"/>
          </w:tcPr>
          <w:p>
            <w:pPr>
              <w:pStyle w:val="TableParagraph"/>
              <w:spacing w:line="276" w:lineRule="exact" w:before="173"/>
              <w:ind w:left="106"/>
              <w:rPr>
                <w:b/>
                <w:i/>
                <w:sz w:val="22"/>
              </w:rPr>
            </w:pPr>
            <w:r>
              <w:rPr>
                <w:w w:val="95"/>
                <w:sz w:val="21"/>
              </w:rPr>
              <w:t>为</w:t>
            </w:r>
            <w:r>
              <w:rPr>
                <w:w w:val="95"/>
                <w:sz w:val="21"/>
              </w:rPr>
              <w:t>了</w:t>
            </w:r>
            <w:r>
              <w:rPr>
                <w:w w:val="95"/>
                <w:sz w:val="21"/>
              </w:rPr>
              <w:t>治疗心脏粘液瘤，实</w:t>
            </w:r>
            <w:r>
              <w:rPr>
                <w:w w:val="95"/>
                <w:sz w:val="21"/>
              </w:rPr>
              <w:t>际</w:t>
            </w:r>
            <w:r>
              <w:rPr>
                <w:w w:val="95"/>
                <w:sz w:val="21"/>
              </w:rPr>
              <w:t>实</w:t>
            </w:r>
            <w:r>
              <w:rPr>
                <w:w w:val="95"/>
                <w:sz w:val="21"/>
              </w:rPr>
              <w:t>施了开胸开心心脏粘</w:t>
            </w:r>
            <w:r>
              <w:rPr>
                <w:w w:val="95"/>
                <w:sz w:val="21"/>
              </w:rPr>
              <w:t>液</w:t>
            </w:r>
            <w:r>
              <w:rPr>
                <w:w w:val="95"/>
                <w:sz w:val="21"/>
              </w:rPr>
              <w:t>瘤</w:t>
            </w:r>
            <w:r>
              <w:rPr>
                <w:w w:val="95"/>
                <w:sz w:val="21"/>
              </w:rPr>
              <w:t>切除手术。</w:t>
            </w:r>
            <w:r>
              <w:rPr>
                <w:b/>
                <w:i/>
                <w:spacing w:val="-3"/>
                <w:w w:val="95"/>
                <w:sz w:val="22"/>
              </w:rPr>
              <w:t>经导管介</w:t>
            </w:r>
          </w:p>
        </w:tc>
      </w:tr>
      <w:tr>
        <w:trPr>
          <w:trHeight w:val="47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16"/>
              <w:ind w:left="106"/>
              <w:rPr>
                <w:b/>
                <w:i/>
                <w:sz w:val="22"/>
              </w:rPr>
            </w:pPr>
            <w:r>
              <w:rPr>
                <w:b/>
                <w:i/>
                <w:spacing w:val="-3"/>
                <w:w w:val="95"/>
                <w:sz w:val="22"/>
              </w:rPr>
              <w:t>入手术治疗不在保障范围内。</w:t>
            </w:r>
          </w:p>
        </w:tc>
      </w:tr>
      <w:tr>
        <w:trPr>
          <w:trHeight w:val="467" w:hRule="atLeast"/>
        </w:trPr>
        <w:tc>
          <w:tcPr>
            <w:tcW w:w="937" w:type="dxa"/>
          </w:tcPr>
          <w:p>
            <w:pPr>
              <w:pStyle w:val="TableParagraph"/>
              <w:spacing w:before="177"/>
              <w:ind w:left="50"/>
              <w:rPr>
                <w:b/>
                <w:sz w:val="21"/>
              </w:rPr>
            </w:pPr>
            <w:r>
              <w:rPr>
                <w:b/>
                <w:spacing w:val="-2"/>
                <w:sz w:val="21"/>
              </w:rPr>
              <w:t>9.8.68</w:t>
            </w:r>
          </w:p>
        </w:tc>
        <w:tc>
          <w:tcPr>
            <w:tcW w:w="1717" w:type="dxa"/>
          </w:tcPr>
          <w:p>
            <w:pPr>
              <w:pStyle w:val="TableParagraph"/>
              <w:spacing w:before="177"/>
              <w:ind w:left="250"/>
              <w:rPr>
                <w:rFonts w:ascii="楷体" w:eastAsia="楷体" w:hint="eastAsia"/>
                <w:b/>
                <w:sz w:val="21"/>
              </w:rPr>
            </w:pPr>
            <w:r>
              <w:rPr>
                <w:rFonts w:ascii="楷体" w:eastAsia="楷体" w:hint="eastAsia"/>
                <w:b/>
                <w:spacing w:val="-3"/>
                <w:sz w:val="21"/>
              </w:rPr>
              <w:t>颅脑手术</w:t>
            </w:r>
          </w:p>
        </w:tc>
        <w:tc>
          <w:tcPr>
            <w:tcW w:w="7079" w:type="dxa"/>
          </w:tcPr>
          <w:p>
            <w:pPr>
              <w:pStyle w:val="TableParagraph"/>
              <w:spacing w:before="177"/>
              <w:ind w:left="106"/>
              <w:rPr>
                <w:sz w:val="21"/>
              </w:rPr>
            </w:pPr>
            <w:r>
              <w:rPr>
                <w:spacing w:val="-2"/>
                <w:sz w:val="21"/>
              </w:rPr>
              <w:t>被保险人确已实施全麻下的开颅手术（</w:t>
            </w:r>
            <w:r>
              <w:rPr>
                <w:spacing w:val="-3"/>
                <w:sz w:val="21"/>
              </w:rPr>
              <w:t>不包括颅骨钻孔手术和经鼻蝶窦入颅</w:t>
            </w:r>
          </w:p>
        </w:tc>
      </w:tr>
      <w:tr>
        <w:trPr>
          <w:trHeight w:val="307"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line="265" w:lineRule="exact" w:before="22"/>
              <w:ind w:left="106"/>
              <w:rPr>
                <w:sz w:val="21"/>
              </w:rPr>
            </w:pPr>
            <w:r>
              <w:rPr>
                <w:spacing w:val="-2"/>
                <w:sz w:val="21"/>
              </w:rPr>
              <w:t>手术）</w:t>
            </w:r>
            <w:r>
              <w:rPr>
                <w:spacing w:val="-10"/>
                <w:sz w:val="21"/>
              </w:rPr>
              <w:t>。</w:t>
            </w:r>
          </w:p>
        </w:tc>
      </w:tr>
      <w:tr>
        <w:trPr>
          <w:trHeight w:val="313"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line="276" w:lineRule="exact" w:before="17"/>
              <w:ind w:left="106"/>
              <w:rPr>
                <w:b/>
                <w:i/>
                <w:sz w:val="22"/>
              </w:rPr>
            </w:pPr>
            <w:r>
              <w:rPr>
                <w:b/>
                <w:i/>
                <w:spacing w:val="-3"/>
                <w:w w:val="95"/>
                <w:sz w:val="22"/>
              </w:rPr>
              <w:t>因外伤而实施的脑外科手术不在保障范围内。</w:t>
            </w:r>
          </w:p>
        </w:tc>
      </w:tr>
      <w:tr>
        <w:trPr>
          <w:trHeight w:val="316"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line="281" w:lineRule="exact" w:before="16"/>
              <w:ind w:left="106"/>
              <w:rPr>
                <w:b/>
                <w:i/>
                <w:sz w:val="22"/>
              </w:rPr>
            </w:pPr>
            <w:r>
              <w:rPr>
                <w:b/>
                <w:i/>
                <w:spacing w:val="-3"/>
                <w:w w:val="95"/>
                <w:sz w:val="22"/>
              </w:rPr>
              <w:t>神经微血管减压术不在保障范围内。</w:t>
            </w:r>
          </w:p>
        </w:tc>
      </w:tr>
      <w:tr>
        <w:trPr>
          <w:trHeight w:val="467"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1"/>
              <w:ind w:left="106"/>
              <w:rPr>
                <w:sz w:val="21"/>
              </w:rPr>
            </w:pPr>
            <w:r>
              <w:rPr>
                <w:spacing w:val="-3"/>
                <w:sz w:val="21"/>
              </w:rPr>
              <w:t>理赔时必须提供由神经外科医生出具的诊断书及手术报告。</w:t>
            </w:r>
          </w:p>
        </w:tc>
      </w:tr>
      <w:tr>
        <w:trPr>
          <w:trHeight w:val="467" w:hRule="atLeast"/>
        </w:trPr>
        <w:tc>
          <w:tcPr>
            <w:tcW w:w="937" w:type="dxa"/>
          </w:tcPr>
          <w:p>
            <w:pPr>
              <w:pStyle w:val="TableParagraph"/>
              <w:spacing w:before="178"/>
              <w:ind w:left="50"/>
              <w:rPr>
                <w:b/>
                <w:sz w:val="21"/>
              </w:rPr>
            </w:pPr>
            <w:r>
              <w:rPr>
                <w:b/>
                <w:spacing w:val="-2"/>
                <w:sz w:val="21"/>
              </w:rPr>
              <w:t>9.8.69</w:t>
            </w:r>
          </w:p>
        </w:tc>
        <w:tc>
          <w:tcPr>
            <w:tcW w:w="1717" w:type="dxa"/>
          </w:tcPr>
          <w:p>
            <w:pPr>
              <w:pStyle w:val="TableParagraph"/>
              <w:spacing w:before="178"/>
              <w:ind w:left="250"/>
              <w:rPr>
                <w:rFonts w:ascii="楷体" w:eastAsia="楷体" w:hint="eastAsia"/>
                <w:b/>
                <w:sz w:val="21"/>
              </w:rPr>
            </w:pPr>
            <w:r>
              <w:rPr>
                <w:rFonts w:ascii="楷体" w:eastAsia="楷体" w:hint="eastAsia"/>
                <w:b/>
                <w:spacing w:val="11"/>
                <w:sz w:val="21"/>
              </w:rPr>
              <w:t>严重自身免疫</w:t>
            </w:r>
          </w:p>
        </w:tc>
        <w:tc>
          <w:tcPr>
            <w:tcW w:w="7079" w:type="dxa"/>
          </w:tcPr>
          <w:p>
            <w:pPr>
              <w:pStyle w:val="TableParagraph"/>
              <w:spacing w:before="178"/>
              <w:ind w:left="106"/>
              <w:rPr>
                <w:sz w:val="21"/>
              </w:rPr>
            </w:pPr>
            <w:r>
              <w:rPr>
                <w:spacing w:val="-3"/>
                <w:sz w:val="21"/>
              </w:rPr>
              <w:t>自身免疫性肝炎是一种原因不明的慢性肝脏的坏死性炎性疾病，机体免疫机</w:t>
            </w:r>
          </w:p>
        </w:tc>
      </w:tr>
      <w:tr>
        <w:trPr>
          <w:trHeight w:val="312" w:hRule="atLeast"/>
        </w:trPr>
        <w:tc>
          <w:tcPr>
            <w:tcW w:w="937" w:type="dxa"/>
          </w:tcPr>
          <w:p>
            <w:pPr>
              <w:pStyle w:val="TableParagraph"/>
              <w:rPr>
                <w:rFonts w:ascii="Times New Roman"/>
                <w:sz w:val="20"/>
              </w:rPr>
            </w:pPr>
          </w:p>
        </w:tc>
        <w:tc>
          <w:tcPr>
            <w:tcW w:w="1717" w:type="dxa"/>
          </w:tcPr>
          <w:p>
            <w:pPr>
              <w:pStyle w:val="TableParagraph"/>
              <w:spacing w:before="22"/>
              <w:ind w:left="250"/>
              <w:rPr>
                <w:rFonts w:ascii="楷体" w:eastAsia="楷体" w:hint="eastAsia"/>
                <w:b/>
                <w:sz w:val="21"/>
              </w:rPr>
            </w:pPr>
            <w:r>
              <w:rPr>
                <w:rFonts w:ascii="楷体" w:eastAsia="楷体" w:hint="eastAsia"/>
                <w:b/>
                <w:spacing w:val="-4"/>
                <w:sz w:val="21"/>
              </w:rPr>
              <w:t>性肝炎</w:t>
            </w:r>
          </w:p>
        </w:tc>
        <w:tc>
          <w:tcPr>
            <w:tcW w:w="7079" w:type="dxa"/>
          </w:tcPr>
          <w:p>
            <w:pPr>
              <w:pStyle w:val="TableParagraph"/>
              <w:spacing w:before="22"/>
              <w:ind w:left="106"/>
              <w:rPr>
                <w:sz w:val="21"/>
              </w:rPr>
            </w:pPr>
            <w:r>
              <w:rPr>
                <w:spacing w:val="-3"/>
                <w:sz w:val="21"/>
              </w:rPr>
              <w:t>制被破坏，产生针对肝脏自身抗原的抗体导致自身免疫反应，从而破坏肝细</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3"/>
                <w:sz w:val="21"/>
              </w:rPr>
              <w:t>胞造成肝脏炎症坏死，进而发展为肝硬化。必须满足所有以下条件：</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（1）高γ</w:t>
            </w:r>
            <w:r>
              <w:rPr>
                <w:spacing w:val="-4"/>
                <w:sz w:val="21"/>
              </w:rPr>
              <w:t>球蛋白血症；</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4"/>
                <w:sz w:val="21"/>
              </w:rPr>
              <w:t>（2）</w:t>
            </w:r>
            <w:r>
              <w:rPr>
                <w:spacing w:val="-6"/>
                <w:sz w:val="21"/>
              </w:rPr>
              <w:t>血液中存在高水平的自身免疫抗体，如 </w:t>
            </w:r>
            <w:r>
              <w:rPr>
                <w:spacing w:val="-4"/>
                <w:sz w:val="21"/>
              </w:rPr>
              <w:t>ANA（抗核抗体</w:t>
            </w:r>
            <w:r>
              <w:rPr>
                <w:spacing w:val="-106"/>
                <w:sz w:val="21"/>
              </w:rPr>
              <w:t>）</w:t>
            </w:r>
            <w:r>
              <w:rPr>
                <w:spacing w:val="-4"/>
                <w:sz w:val="21"/>
              </w:rPr>
              <w:t>、SMA（</w:t>
            </w:r>
            <w:r>
              <w:rPr>
                <w:spacing w:val="-6"/>
                <w:sz w:val="21"/>
              </w:rPr>
              <w:t>抗平滑</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肌抗体</w:t>
            </w:r>
            <w:r>
              <w:rPr>
                <w:spacing w:val="-106"/>
                <w:sz w:val="21"/>
              </w:rPr>
              <w:t>）</w:t>
            </w:r>
            <w:r>
              <w:rPr>
                <w:spacing w:val="-18"/>
                <w:sz w:val="21"/>
              </w:rPr>
              <w:t>、抗 </w:t>
            </w:r>
            <w:r>
              <w:rPr>
                <w:spacing w:val="-2"/>
                <w:sz w:val="21"/>
              </w:rPr>
              <w:t>LKM1</w:t>
            </w:r>
            <w:r>
              <w:rPr>
                <w:spacing w:val="-11"/>
                <w:sz w:val="21"/>
              </w:rPr>
              <w:t> 抗体或抗-</w:t>
            </w:r>
            <w:r>
              <w:rPr>
                <w:spacing w:val="-2"/>
                <w:sz w:val="21"/>
              </w:rPr>
              <w:t>SLA/LP</w:t>
            </w:r>
            <w:r>
              <w:rPr>
                <w:spacing w:val="-16"/>
                <w:sz w:val="21"/>
              </w:rPr>
              <w:t> 抗体；</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（3）</w:t>
            </w:r>
            <w:r>
              <w:rPr>
                <w:spacing w:val="-3"/>
                <w:sz w:val="21"/>
              </w:rPr>
              <w:t>肝脏活检证实免疫性肝炎；</w:t>
            </w:r>
          </w:p>
        </w:tc>
      </w:tr>
      <w:tr>
        <w:trPr>
          <w:trHeight w:val="468"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（4）</w:t>
            </w:r>
            <w:r>
              <w:rPr>
                <w:spacing w:val="-3"/>
                <w:sz w:val="21"/>
              </w:rPr>
              <w:t>临床已经出现腹水、食道静脉曲张和脾肿大等肝硬化表现。</w:t>
            </w:r>
          </w:p>
        </w:tc>
      </w:tr>
      <w:tr>
        <w:trPr>
          <w:trHeight w:val="468" w:hRule="atLeast"/>
        </w:trPr>
        <w:tc>
          <w:tcPr>
            <w:tcW w:w="937" w:type="dxa"/>
          </w:tcPr>
          <w:p>
            <w:pPr>
              <w:pStyle w:val="TableParagraph"/>
              <w:spacing w:before="178"/>
              <w:ind w:left="50"/>
              <w:rPr>
                <w:b/>
                <w:sz w:val="21"/>
              </w:rPr>
            </w:pPr>
            <w:r>
              <w:rPr>
                <w:b/>
                <w:spacing w:val="-2"/>
                <w:sz w:val="21"/>
              </w:rPr>
              <w:t>9.8.70</w:t>
            </w:r>
          </w:p>
        </w:tc>
        <w:tc>
          <w:tcPr>
            <w:tcW w:w="1717" w:type="dxa"/>
          </w:tcPr>
          <w:p>
            <w:pPr>
              <w:pStyle w:val="TableParagraph"/>
              <w:spacing w:before="178"/>
              <w:ind w:left="250"/>
              <w:rPr>
                <w:rFonts w:ascii="楷体" w:eastAsia="楷体" w:hint="eastAsia"/>
                <w:b/>
                <w:sz w:val="21"/>
              </w:rPr>
            </w:pPr>
            <w:r>
              <w:rPr>
                <w:rFonts w:ascii="楷体" w:eastAsia="楷体" w:hint="eastAsia"/>
                <w:b/>
                <w:spacing w:val="11"/>
                <w:sz w:val="21"/>
              </w:rPr>
              <w:t>原发性骨髓纤</w:t>
            </w:r>
          </w:p>
        </w:tc>
        <w:tc>
          <w:tcPr>
            <w:tcW w:w="7079" w:type="dxa"/>
          </w:tcPr>
          <w:p>
            <w:pPr>
              <w:pStyle w:val="TableParagraph"/>
              <w:spacing w:before="178"/>
              <w:ind w:left="106"/>
              <w:rPr>
                <w:sz w:val="21"/>
              </w:rPr>
            </w:pPr>
            <w:r>
              <w:rPr>
                <w:spacing w:val="-3"/>
                <w:sz w:val="21"/>
              </w:rPr>
              <w:t>原发性骨髓纤维化为原因不明的骨髓中成纤维细胞增殖，伴有髓外造血，表</w:t>
            </w:r>
          </w:p>
        </w:tc>
      </w:tr>
      <w:tr>
        <w:trPr>
          <w:trHeight w:val="312" w:hRule="atLeast"/>
        </w:trPr>
        <w:tc>
          <w:tcPr>
            <w:tcW w:w="937" w:type="dxa"/>
          </w:tcPr>
          <w:p>
            <w:pPr>
              <w:pStyle w:val="TableParagraph"/>
              <w:rPr>
                <w:rFonts w:ascii="Times New Roman"/>
                <w:sz w:val="20"/>
              </w:rPr>
            </w:pPr>
          </w:p>
        </w:tc>
        <w:tc>
          <w:tcPr>
            <w:tcW w:w="1717" w:type="dxa"/>
          </w:tcPr>
          <w:p>
            <w:pPr>
              <w:pStyle w:val="TableParagraph"/>
              <w:spacing w:before="22"/>
              <w:ind w:left="250"/>
              <w:rPr>
                <w:rFonts w:ascii="楷体" w:eastAsia="楷体" w:hint="eastAsia"/>
                <w:b/>
                <w:sz w:val="21"/>
              </w:rPr>
            </w:pPr>
            <w:r>
              <w:rPr>
                <w:rFonts w:ascii="楷体" w:eastAsia="楷体" w:hint="eastAsia"/>
                <w:b/>
                <w:spacing w:val="-5"/>
                <w:sz w:val="21"/>
              </w:rPr>
              <w:t>维化</w:t>
            </w:r>
          </w:p>
        </w:tc>
        <w:tc>
          <w:tcPr>
            <w:tcW w:w="7079" w:type="dxa"/>
          </w:tcPr>
          <w:p>
            <w:pPr>
              <w:pStyle w:val="TableParagraph"/>
              <w:spacing w:before="22"/>
              <w:ind w:left="106"/>
              <w:rPr>
                <w:sz w:val="21"/>
              </w:rPr>
            </w:pPr>
            <w:r>
              <w:rPr>
                <w:spacing w:val="-3"/>
                <w:sz w:val="21"/>
              </w:rPr>
              <w:t>现为进行性贫血、脾肿大等症状。本疾病须根据骨髓的活组织检查和周围血</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3"/>
                <w:sz w:val="21"/>
              </w:rPr>
              <w:t>象检查由医院血液科专科医生明确诊断，并至少符合下列条件中的三项，且</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6"/>
                <w:sz w:val="21"/>
              </w:rPr>
              <w:t>符合条件的状态持续 </w:t>
            </w:r>
            <w:r>
              <w:rPr>
                <w:spacing w:val="-2"/>
                <w:sz w:val="21"/>
              </w:rPr>
              <w:t>180</w:t>
            </w:r>
            <w:r>
              <w:rPr>
                <w:spacing w:val="-10"/>
                <w:sz w:val="21"/>
              </w:rPr>
              <w:t> 天及以上，并已经实际实施了针对此症的治疗：</w:t>
            </w:r>
          </w:p>
        </w:tc>
      </w:tr>
      <w:tr>
        <w:trPr>
          <w:trHeight w:val="623"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（1）血红蛋白&lt;100g/L；</w:t>
            </w:r>
          </w:p>
          <w:p>
            <w:pPr>
              <w:pStyle w:val="TableParagraph"/>
              <w:spacing w:before="33"/>
              <w:ind w:left="106"/>
              <w:rPr>
                <w:sz w:val="21"/>
              </w:rPr>
            </w:pPr>
            <w:r>
              <w:rPr>
                <w:spacing w:val="-2"/>
                <w:sz w:val="21"/>
              </w:rPr>
              <w:t>（2）白细胞计数&gt;25*10</w:t>
            </w:r>
            <w:r>
              <w:rPr>
                <w:spacing w:val="-2"/>
                <w:position w:val="11"/>
                <w:sz w:val="11"/>
              </w:rPr>
              <w:t>9</w:t>
            </w:r>
            <w:r>
              <w:rPr>
                <w:spacing w:val="-2"/>
                <w:sz w:val="21"/>
              </w:rPr>
              <w:t>/L；</w:t>
            </w:r>
          </w:p>
        </w:tc>
      </w:tr>
      <w:tr>
        <w:trPr>
          <w:trHeight w:val="619"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079" w:type="dxa"/>
          </w:tcPr>
          <w:p>
            <w:pPr>
              <w:pStyle w:val="TableParagraph"/>
              <w:spacing w:before="22"/>
              <w:ind w:left="106"/>
              <w:rPr>
                <w:sz w:val="21"/>
              </w:rPr>
            </w:pPr>
            <w:r>
              <w:rPr>
                <w:spacing w:val="-2"/>
                <w:sz w:val="21"/>
              </w:rPr>
              <w:t>（3）</w:t>
            </w:r>
            <w:r>
              <w:rPr>
                <w:spacing w:val="-3"/>
                <w:sz w:val="21"/>
              </w:rPr>
              <w:t>外周血原始细胞≥</w:t>
            </w:r>
            <w:r>
              <w:rPr>
                <w:spacing w:val="-4"/>
                <w:sz w:val="21"/>
              </w:rPr>
              <w:t>1%；</w:t>
            </w:r>
          </w:p>
          <w:p>
            <w:pPr>
              <w:pStyle w:val="TableParagraph"/>
              <w:spacing w:line="275" w:lineRule="exact" w:before="32"/>
              <w:ind w:left="106"/>
              <w:rPr>
                <w:sz w:val="21"/>
              </w:rPr>
            </w:pPr>
            <w:r>
              <w:rPr>
                <w:spacing w:val="-2"/>
                <w:sz w:val="21"/>
              </w:rPr>
              <w:t>（4）血小板计数&lt;100*10</w:t>
            </w:r>
            <w:r>
              <w:rPr>
                <w:spacing w:val="-2"/>
                <w:position w:val="11"/>
                <w:sz w:val="11"/>
              </w:rPr>
              <w:t>9</w:t>
            </w:r>
            <w:r>
              <w:rPr>
                <w:spacing w:val="-2"/>
                <w:sz w:val="21"/>
              </w:rPr>
              <w:t>/L</w:t>
            </w:r>
            <w:r>
              <w:rPr>
                <w:spacing w:val="-10"/>
                <w:sz w:val="21"/>
              </w:rPr>
              <w:t>。</w:t>
            </w:r>
          </w:p>
        </w:tc>
      </w:tr>
      <w:tr>
        <w:trPr>
          <w:trHeight w:val="268" w:hRule="atLeast"/>
        </w:trPr>
        <w:tc>
          <w:tcPr>
            <w:tcW w:w="937" w:type="dxa"/>
          </w:tcPr>
          <w:p>
            <w:pPr>
              <w:pStyle w:val="TableParagraph"/>
              <w:rPr>
                <w:rFonts w:ascii="Times New Roman"/>
                <w:sz w:val="18"/>
              </w:rPr>
            </w:pPr>
          </w:p>
        </w:tc>
        <w:tc>
          <w:tcPr>
            <w:tcW w:w="1717" w:type="dxa"/>
          </w:tcPr>
          <w:p>
            <w:pPr>
              <w:pStyle w:val="TableParagraph"/>
              <w:rPr>
                <w:rFonts w:ascii="Times New Roman"/>
                <w:sz w:val="18"/>
              </w:rPr>
            </w:pPr>
          </w:p>
        </w:tc>
        <w:tc>
          <w:tcPr>
            <w:tcW w:w="7079" w:type="dxa"/>
          </w:tcPr>
          <w:p>
            <w:pPr>
              <w:pStyle w:val="TableParagraph"/>
              <w:spacing w:line="231" w:lineRule="exact" w:before="17"/>
              <w:ind w:left="106"/>
              <w:rPr>
                <w:b/>
                <w:i/>
                <w:sz w:val="22"/>
              </w:rPr>
            </w:pPr>
            <w:r>
              <w:rPr>
                <w:b/>
                <w:i/>
                <w:spacing w:val="-3"/>
                <w:w w:val="95"/>
                <w:sz w:val="22"/>
              </w:rPr>
              <w:t>任何其它病因导致的继发性骨髓纤维化不在保障范围内。</w:t>
            </w:r>
          </w:p>
        </w:tc>
      </w:tr>
    </w:tbl>
    <w:p>
      <w:pPr>
        <w:spacing w:after="0" w:line="231" w:lineRule="exact"/>
        <w:rPr>
          <w:sz w:val="22"/>
        </w:rPr>
        <w:sectPr>
          <w:type w:val="continuous"/>
          <w:pgSz w:w="11910" w:h="16840"/>
          <w:pgMar w:top="1280" w:bottom="1188"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7"/>
        <w:gridCol w:w="7184"/>
      </w:tblGrid>
      <w:tr>
        <w:trPr>
          <w:trHeight w:val="261" w:hRule="atLeast"/>
        </w:trPr>
        <w:tc>
          <w:tcPr>
            <w:tcW w:w="937" w:type="dxa"/>
          </w:tcPr>
          <w:p>
            <w:pPr>
              <w:pStyle w:val="TableParagraph"/>
              <w:spacing w:line="241" w:lineRule="exact"/>
              <w:ind w:left="50"/>
              <w:rPr>
                <w:b/>
                <w:sz w:val="21"/>
              </w:rPr>
            </w:pPr>
            <w:r>
              <w:rPr>
                <w:b/>
                <w:spacing w:val="-2"/>
                <w:sz w:val="21"/>
              </w:rPr>
              <w:t>9.8.71</w:t>
            </w:r>
          </w:p>
        </w:tc>
        <w:tc>
          <w:tcPr>
            <w:tcW w:w="1717" w:type="dxa"/>
          </w:tcPr>
          <w:p>
            <w:pPr>
              <w:pStyle w:val="TableParagraph"/>
              <w:spacing w:line="241" w:lineRule="exact"/>
              <w:ind w:left="250"/>
              <w:rPr>
                <w:rFonts w:ascii="楷体" w:eastAsia="楷体" w:hint="eastAsia"/>
                <w:b/>
                <w:sz w:val="21"/>
              </w:rPr>
            </w:pPr>
            <w:r>
              <w:rPr>
                <w:rFonts w:ascii="楷体" w:eastAsia="楷体" w:hint="eastAsia"/>
                <w:b/>
                <w:spacing w:val="11"/>
                <w:sz w:val="21"/>
              </w:rPr>
              <w:t>严重获得性或</w:t>
            </w:r>
          </w:p>
        </w:tc>
        <w:tc>
          <w:tcPr>
            <w:tcW w:w="7184" w:type="dxa"/>
          </w:tcPr>
          <w:p>
            <w:pPr>
              <w:pStyle w:val="TableParagraph"/>
              <w:spacing w:line="241" w:lineRule="exact"/>
              <w:ind w:left="106"/>
              <w:rPr>
                <w:sz w:val="21"/>
              </w:rPr>
            </w:pPr>
            <w:r>
              <w:rPr>
                <w:spacing w:val="-3"/>
                <w:sz w:val="21"/>
              </w:rPr>
              <w:t>因获得性或继发性原因导致双肺肺泡和细支气管腔内充满不可溶性富磷脂</w:t>
            </w:r>
          </w:p>
        </w:tc>
      </w:tr>
      <w:tr>
        <w:trPr>
          <w:trHeight w:val="312" w:hRule="atLeast"/>
        </w:trPr>
        <w:tc>
          <w:tcPr>
            <w:tcW w:w="937" w:type="dxa"/>
          </w:tcPr>
          <w:p>
            <w:pPr>
              <w:pStyle w:val="TableParagraph"/>
              <w:rPr>
                <w:rFonts w:ascii="Times New Roman"/>
                <w:sz w:val="20"/>
              </w:rPr>
            </w:pPr>
          </w:p>
        </w:tc>
        <w:tc>
          <w:tcPr>
            <w:tcW w:w="1717" w:type="dxa"/>
          </w:tcPr>
          <w:p>
            <w:pPr>
              <w:pStyle w:val="TableParagraph"/>
              <w:spacing w:before="22"/>
              <w:ind w:left="250"/>
              <w:rPr>
                <w:rFonts w:ascii="楷体" w:eastAsia="楷体" w:hint="eastAsia"/>
                <w:b/>
                <w:sz w:val="21"/>
              </w:rPr>
            </w:pPr>
            <w:r>
              <w:rPr>
                <w:rFonts w:ascii="楷体" w:eastAsia="楷体" w:hint="eastAsia"/>
                <w:b/>
                <w:spacing w:val="11"/>
                <w:sz w:val="21"/>
              </w:rPr>
              <w:t>继发性肺泡蛋</w:t>
            </w:r>
          </w:p>
        </w:tc>
        <w:tc>
          <w:tcPr>
            <w:tcW w:w="7184" w:type="dxa"/>
          </w:tcPr>
          <w:p>
            <w:pPr>
              <w:pStyle w:val="TableParagraph"/>
              <w:spacing w:before="22"/>
              <w:ind w:left="106"/>
              <w:rPr>
                <w:sz w:val="21"/>
              </w:rPr>
            </w:pPr>
            <w:r>
              <w:rPr>
                <w:spacing w:val="-3"/>
                <w:sz w:val="21"/>
              </w:rPr>
              <w:t>蛋白的疾病。理赔时须满足下列所有条件：</w:t>
            </w:r>
          </w:p>
        </w:tc>
      </w:tr>
      <w:tr>
        <w:trPr>
          <w:trHeight w:val="311" w:hRule="atLeast"/>
        </w:trPr>
        <w:tc>
          <w:tcPr>
            <w:tcW w:w="937" w:type="dxa"/>
          </w:tcPr>
          <w:p>
            <w:pPr>
              <w:pStyle w:val="TableParagraph"/>
              <w:rPr>
                <w:rFonts w:ascii="Times New Roman"/>
                <w:sz w:val="20"/>
              </w:rPr>
            </w:pPr>
          </w:p>
        </w:tc>
        <w:tc>
          <w:tcPr>
            <w:tcW w:w="1717" w:type="dxa"/>
          </w:tcPr>
          <w:p>
            <w:pPr>
              <w:pStyle w:val="TableParagraph"/>
              <w:spacing w:before="22"/>
              <w:ind w:left="250"/>
              <w:rPr>
                <w:rFonts w:ascii="楷体" w:eastAsia="楷体" w:hint="eastAsia"/>
                <w:b/>
                <w:sz w:val="21"/>
              </w:rPr>
            </w:pPr>
            <w:r>
              <w:rPr>
                <w:rFonts w:ascii="楷体" w:eastAsia="楷体" w:hint="eastAsia"/>
                <w:b/>
                <w:spacing w:val="-2"/>
                <w:sz w:val="21"/>
              </w:rPr>
              <w:t>白质沉积症</w:t>
            </w:r>
          </w:p>
        </w:tc>
        <w:tc>
          <w:tcPr>
            <w:tcW w:w="7184" w:type="dxa"/>
          </w:tcPr>
          <w:p>
            <w:pPr>
              <w:pStyle w:val="TableParagraph"/>
              <w:spacing w:before="22"/>
              <w:ind w:left="106"/>
              <w:rPr>
                <w:sz w:val="21"/>
              </w:rPr>
            </w:pPr>
            <w:r>
              <w:rPr>
                <w:spacing w:val="-2"/>
                <w:sz w:val="21"/>
              </w:rPr>
              <w:t>（1）</w:t>
            </w:r>
            <w:r>
              <w:rPr>
                <w:spacing w:val="-3"/>
                <w:sz w:val="21"/>
              </w:rPr>
              <w:t>支气管镜活检或开胸肺活检病理检查证实肺泡内充满有过碘酸雪夫</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（PAS）</w:t>
            </w:r>
            <w:r>
              <w:rPr>
                <w:spacing w:val="-3"/>
                <w:sz w:val="21"/>
              </w:rPr>
              <w:t>染色阳性的蛋白样物质；</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（2）</w:t>
            </w:r>
            <w:r>
              <w:rPr>
                <w:spacing w:val="-3"/>
                <w:sz w:val="21"/>
              </w:rPr>
              <w:t>被保险人因中重度呼吸困难或低氧血症而实际已进行全身麻醉下的全</w:t>
            </w:r>
          </w:p>
        </w:tc>
      </w:tr>
      <w:tr>
        <w:trPr>
          <w:trHeight w:val="468"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4"/>
                <w:sz w:val="21"/>
              </w:rPr>
              <w:t>肺灌洗治疗。</w:t>
            </w:r>
          </w:p>
        </w:tc>
      </w:tr>
      <w:tr>
        <w:trPr>
          <w:trHeight w:val="467" w:hRule="atLeast"/>
        </w:trPr>
        <w:tc>
          <w:tcPr>
            <w:tcW w:w="937" w:type="dxa"/>
          </w:tcPr>
          <w:p>
            <w:pPr>
              <w:pStyle w:val="TableParagraph"/>
              <w:spacing w:before="178"/>
              <w:ind w:left="50"/>
              <w:rPr>
                <w:b/>
                <w:sz w:val="21"/>
              </w:rPr>
            </w:pPr>
            <w:r>
              <w:rPr>
                <w:b/>
                <w:spacing w:val="-2"/>
                <w:sz w:val="21"/>
              </w:rPr>
              <w:t>9.8.72</w:t>
            </w:r>
          </w:p>
        </w:tc>
        <w:tc>
          <w:tcPr>
            <w:tcW w:w="1717" w:type="dxa"/>
          </w:tcPr>
          <w:p>
            <w:pPr>
              <w:pStyle w:val="TableParagraph"/>
              <w:spacing w:before="178"/>
              <w:ind w:left="250"/>
              <w:rPr>
                <w:rFonts w:ascii="楷体" w:eastAsia="楷体" w:hint="eastAsia"/>
                <w:b/>
                <w:sz w:val="21"/>
              </w:rPr>
            </w:pPr>
            <w:r>
              <w:rPr>
                <w:rFonts w:ascii="楷体" w:eastAsia="楷体" w:hint="eastAsia"/>
                <w:b/>
                <w:spacing w:val="11"/>
                <w:sz w:val="21"/>
              </w:rPr>
              <w:t>严重慢性缩窄</w:t>
            </w:r>
          </w:p>
        </w:tc>
        <w:tc>
          <w:tcPr>
            <w:tcW w:w="7184" w:type="dxa"/>
          </w:tcPr>
          <w:p>
            <w:pPr>
              <w:pStyle w:val="TableParagraph"/>
              <w:spacing w:before="178"/>
              <w:ind w:left="106"/>
              <w:rPr>
                <w:sz w:val="21"/>
              </w:rPr>
            </w:pPr>
            <w:r>
              <w:rPr>
                <w:spacing w:val="-3"/>
                <w:sz w:val="21"/>
              </w:rPr>
              <w:t>由于慢性心包炎症导致心包脏层和壁层广泛瘢痕粘连、增厚和钙化，心包腔</w:t>
            </w:r>
          </w:p>
        </w:tc>
      </w:tr>
      <w:tr>
        <w:trPr>
          <w:trHeight w:val="312" w:hRule="atLeast"/>
        </w:trPr>
        <w:tc>
          <w:tcPr>
            <w:tcW w:w="937" w:type="dxa"/>
          </w:tcPr>
          <w:p>
            <w:pPr>
              <w:pStyle w:val="TableParagraph"/>
              <w:rPr>
                <w:rFonts w:ascii="Times New Roman"/>
                <w:sz w:val="20"/>
              </w:rPr>
            </w:pPr>
          </w:p>
        </w:tc>
        <w:tc>
          <w:tcPr>
            <w:tcW w:w="1717" w:type="dxa"/>
          </w:tcPr>
          <w:p>
            <w:pPr>
              <w:pStyle w:val="TableParagraph"/>
              <w:spacing w:before="22"/>
              <w:ind w:left="250"/>
              <w:rPr>
                <w:rFonts w:ascii="楷体" w:eastAsia="楷体" w:hint="eastAsia"/>
                <w:b/>
                <w:sz w:val="21"/>
              </w:rPr>
            </w:pPr>
            <w:r>
              <w:rPr>
                <w:rFonts w:ascii="楷体" w:eastAsia="楷体" w:hint="eastAsia"/>
                <w:b/>
                <w:spacing w:val="-3"/>
                <w:sz w:val="21"/>
              </w:rPr>
              <w:t>性心包炎</w:t>
            </w:r>
          </w:p>
        </w:tc>
        <w:tc>
          <w:tcPr>
            <w:tcW w:w="7184" w:type="dxa"/>
          </w:tcPr>
          <w:p>
            <w:pPr>
              <w:pStyle w:val="TableParagraph"/>
              <w:spacing w:before="22"/>
              <w:ind w:left="106"/>
              <w:rPr>
                <w:sz w:val="21"/>
              </w:rPr>
            </w:pPr>
            <w:r>
              <w:rPr>
                <w:spacing w:val="-7"/>
                <w:sz w:val="21"/>
              </w:rPr>
              <w:t>闭塞，形成一个纤维瘢痕外壳，使心脏和大血管根部受压，阻碍心脏的舒张。</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被保险人被明确诊断为慢性缩窄性心包炎且必须满足以下所有条件：</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z w:val="21"/>
              </w:rPr>
              <w:t>（1）心功能衰竭达到美国纽约心脏病学会（New</w:t>
            </w:r>
            <w:r>
              <w:rPr>
                <w:spacing w:val="-21"/>
                <w:sz w:val="21"/>
              </w:rPr>
              <w:t> </w:t>
            </w:r>
            <w:r>
              <w:rPr>
                <w:sz w:val="21"/>
              </w:rPr>
              <w:t>York</w:t>
            </w:r>
            <w:r>
              <w:rPr>
                <w:spacing w:val="-18"/>
                <w:sz w:val="21"/>
              </w:rPr>
              <w:t> </w:t>
            </w:r>
            <w:r>
              <w:rPr>
                <w:sz w:val="21"/>
              </w:rPr>
              <w:t>Heart</w:t>
            </w:r>
            <w:r>
              <w:rPr>
                <w:spacing w:val="-19"/>
                <w:sz w:val="21"/>
              </w:rPr>
              <w:t> </w:t>
            </w:r>
            <w:r>
              <w:rPr>
                <w:spacing w:val="-2"/>
                <w:sz w:val="21"/>
              </w:rPr>
              <w:t>Association，</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NYHA）</w:t>
            </w:r>
            <w:r>
              <w:rPr>
                <w:spacing w:val="-8"/>
                <w:sz w:val="21"/>
              </w:rPr>
              <w:t>心功能状态分级 </w:t>
            </w:r>
            <w:r>
              <w:rPr>
                <w:spacing w:val="-2"/>
                <w:sz w:val="21"/>
              </w:rPr>
              <w:t>IV</w:t>
            </w:r>
            <w:r>
              <w:rPr>
                <w:spacing w:val="-16"/>
                <w:sz w:val="21"/>
              </w:rPr>
              <w:t> 级，并持续 </w:t>
            </w:r>
            <w:r>
              <w:rPr>
                <w:spacing w:val="-2"/>
                <w:sz w:val="21"/>
              </w:rPr>
              <w:t>180</w:t>
            </w:r>
            <w:r>
              <w:rPr>
                <w:spacing w:val="-14"/>
                <w:sz w:val="21"/>
              </w:rPr>
              <w:t> 天以上；</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（2）</w:t>
            </w:r>
            <w:r>
              <w:rPr>
                <w:spacing w:val="-3"/>
                <w:sz w:val="21"/>
              </w:rPr>
              <w:t>实际接受了以下任何一种手术路径的心包剥脱或心包切除手术。</w:t>
            </w:r>
          </w:p>
        </w:tc>
      </w:tr>
      <w:tr>
        <w:trPr>
          <w:trHeight w:val="780"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手术路径：胸骨正中切口；双侧前胸切口；左前胸肋间切口。</w:t>
            </w:r>
          </w:p>
          <w:p>
            <w:pPr>
              <w:pStyle w:val="TableParagraph"/>
              <w:spacing w:before="33"/>
              <w:ind w:left="106"/>
              <w:rPr>
                <w:b/>
                <w:i/>
                <w:sz w:val="22"/>
              </w:rPr>
            </w:pPr>
            <w:r>
              <w:rPr>
                <w:b/>
                <w:i/>
                <w:spacing w:val="-3"/>
                <w:w w:val="95"/>
                <w:sz w:val="22"/>
              </w:rPr>
              <w:t>经胸腔镜、胸壁打孔进行的手术、心包粘连松解手术不在保障范围内。</w:t>
            </w:r>
          </w:p>
        </w:tc>
      </w:tr>
      <w:tr>
        <w:trPr>
          <w:trHeight w:val="467" w:hRule="atLeast"/>
        </w:trPr>
        <w:tc>
          <w:tcPr>
            <w:tcW w:w="937" w:type="dxa"/>
          </w:tcPr>
          <w:p>
            <w:pPr>
              <w:pStyle w:val="TableParagraph"/>
              <w:spacing w:before="177"/>
              <w:ind w:left="50"/>
              <w:rPr>
                <w:b/>
                <w:sz w:val="21"/>
              </w:rPr>
            </w:pPr>
            <w:r>
              <w:rPr>
                <w:b/>
                <w:spacing w:val="-2"/>
                <w:sz w:val="21"/>
              </w:rPr>
              <w:t>9.8.73</w:t>
            </w:r>
          </w:p>
        </w:tc>
        <w:tc>
          <w:tcPr>
            <w:tcW w:w="1717" w:type="dxa"/>
          </w:tcPr>
          <w:p>
            <w:pPr>
              <w:pStyle w:val="TableParagraph"/>
              <w:spacing w:before="177"/>
              <w:ind w:left="250"/>
              <w:rPr>
                <w:rFonts w:ascii="楷体" w:eastAsia="楷体" w:hint="eastAsia"/>
                <w:b/>
                <w:sz w:val="21"/>
              </w:rPr>
            </w:pPr>
            <w:r>
              <w:rPr>
                <w:rFonts w:ascii="楷体" w:eastAsia="楷体" w:hint="eastAsia"/>
                <w:b/>
                <w:spacing w:val="-2"/>
                <w:sz w:val="21"/>
              </w:rPr>
              <w:t>席汉氏综合征</w:t>
            </w:r>
          </w:p>
        </w:tc>
        <w:tc>
          <w:tcPr>
            <w:tcW w:w="7184" w:type="dxa"/>
          </w:tcPr>
          <w:p>
            <w:pPr>
              <w:pStyle w:val="TableParagraph"/>
              <w:spacing w:before="177"/>
              <w:ind w:left="106"/>
              <w:rPr>
                <w:sz w:val="21"/>
              </w:rPr>
            </w:pPr>
            <w:r>
              <w:rPr>
                <w:spacing w:val="-3"/>
                <w:sz w:val="21"/>
              </w:rPr>
              <w:t>指因产后大出血并发休克、全身循环衰竭、弥漫性血管内凝血导致脑垂体缺</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血坏死和垂体分泌激素不足，造成性腺、甲状腺、肾上腺皮质功能减退。必</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须满足下列所有条件：</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（1）</w:t>
            </w:r>
            <w:r>
              <w:rPr>
                <w:spacing w:val="-3"/>
                <w:sz w:val="21"/>
              </w:rPr>
              <w:t>产后大出血休克病史；</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（2）严重腺垂体功能破坏，破坏程度&gt;95%；</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（3）</w:t>
            </w:r>
            <w:r>
              <w:rPr>
                <w:spacing w:val="-3"/>
                <w:sz w:val="21"/>
              </w:rPr>
              <w:t>影像学检查显示脑垂体严重萎缩或消失；</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（4）</w:t>
            </w:r>
            <w:r>
              <w:rPr>
                <w:spacing w:val="-4"/>
                <w:sz w:val="21"/>
              </w:rPr>
              <w:t>实验室检查显示：</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6"/>
                <w:sz w:val="21"/>
              </w:rPr>
              <w:t>①垂体前叶激素全面低下（</w:t>
            </w:r>
            <w:r>
              <w:rPr>
                <w:spacing w:val="-7"/>
                <w:sz w:val="21"/>
              </w:rPr>
              <w:t>包括生长激素、促甲状腺素、促肾上腺皮质激素、</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卵泡刺激素和黄体生成素</w:t>
            </w:r>
            <w:r>
              <w:rPr>
                <w:spacing w:val="-108"/>
                <w:sz w:val="21"/>
              </w:rPr>
              <w:t>）</w:t>
            </w:r>
            <w:r>
              <w:rPr>
                <w:spacing w:val="-5"/>
                <w:sz w:val="21"/>
              </w:rPr>
              <w:t>；和</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②性激素、甲状腺素、肾上腺皮质激素全面低下；</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2"/>
                <w:sz w:val="21"/>
              </w:rPr>
              <w:t>（5）</w:t>
            </w:r>
            <w:r>
              <w:rPr>
                <w:spacing w:val="-3"/>
                <w:sz w:val="21"/>
              </w:rPr>
              <w:t>需要终身激素替代治疗以维持身体功能，持续服用各种替代激素超过</w:t>
            </w:r>
          </w:p>
        </w:tc>
      </w:tr>
      <w:tr>
        <w:trPr>
          <w:trHeight w:val="468"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4"/>
                <w:sz w:val="21"/>
              </w:rPr>
              <w:t>一年。</w:t>
            </w:r>
          </w:p>
        </w:tc>
      </w:tr>
      <w:tr>
        <w:trPr>
          <w:trHeight w:val="468" w:hRule="atLeast"/>
        </w:trPr>
        <w:tc>
          <w:tcPr>
            <w:tcW w:w="937" w:type="dxa"/>
          </w:tcPr>
          <w:p>
            <w:pPr>
              <w:pStyle w:val="TableParagraph"/>
              <w:spacing w:before="178"/>
              <w:ind w:left="50"/>
              <w:rPr>
                <w:b/>
                <w:sz w:val="21"/>
              </w:rPr>
            </w:pPr>
            <w:r>
              <w:rPr>
                <w:b/>
                <w:spacing w:val="-2"/>
                <w:sz w:val="21"/>
              </w:rPr>
              <w:t>9.8.74</w:t>
            </w:r>
          </w:p>
        </w:tc>
        <w:tc>
          <w:tcPr>
            <w:tcW w:w="1717" w:type="dxa"/>
          </w:tcPr>
          <w:p>
            <w:pPr>
              <w:pStyle w:val="TableParagraph"/>
              <w:spacing w:before="178"/>
              <w:ind w:left="250"/>
              <w:rPr>
                <w:rFonts w:ascii="楷体" w:eastAsia="楷体" w:hint="eastAsia"/>
                <w:b/>
                <w:sz w:val="21"/>
              </w:rPr>
            </w:pPr>
            <w:r>
              <w:rPr>
                <w:rFonts w:ascii="楷体" w:eastAsia="楷体" w:hint="eastAsia"/>
                <w:b/>
                <w:spacing w:val="-2"/>
                <w:sz w:val="21"/>
              </w:rPr>
              <w:t>胆道重建手术</w:t>
            </w:r>
          </w:p>
        </w:tc>
        <w:tc>
          <w:tcPr>
            <w:tcW w:w="7184" w:type="dxa"/>
          </w:tcPr>
          <w:p>
            <w:pPr>
              <w:pStyle w:val="TableParagraph"/>
              <w:spacing w:before="178"/>
              <w:ind w:left="106"/>
              <w:rPr>
                <w:sz w:val="21"/>
              </w:rPr>
            </w:pPr>
            <w:r>
              <w:rPr>
                <w:spacing w:val="-3"/>
                <w:sz w:val="21"/>
              </w:rPr>
              <w:t>指胆道创伤导致接受涉及胆总管小肠吻合术的胆道重建手术。手术必须在专</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科医生认为是医疗所需的情况下进行。</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手术原因须满足下列条件之一：晚期梗阻性黄疸内引流、胆管癌根治术、胰</w:t>
            </w:r>
          </w:p>
        </w:tc>
      </w:tr>
      <w:tr>
        <w:trPr>
          <w:trHeight w:val="1093"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十二指肠切除术和肝移植术。</w:t>
            </w:r>
          </w:p>
          <w:p>
            <w:pPr>
              <w:pStyle w:val="TableParagraph"/>
              <w:spacing w:line="266" w:lineRule="auto" w:before="33"/>
              <w:ind w:left="106" w:right="160"/>
              <w:rPr>
                <w:b/>
                <w:i/>
                <w:sz w:val="22"/>
              </w:rPr>
            </w:pPr>
            <w:r>
              <w:rPr>
                <w:b/>
                <w:i/>
                <w:spacing w:val="-2"/>
                <w:w w:val="95"/>
                <w:sz w:val="22"/>
              </w:rPr>
              <w:t>胆道闭锁、胆管扩张症、胆管囊肿、胆管狭窄、肝内外胆管结石均</w:t>
            </w:r>
            <w:r>
              <w:rPr>
                <w:rFonts w:ascii="Arial" w:eastAsia="Arial"/>
                <w:b/>
                <w:i/>
                <w:spacing w:val="-2"/>
                <w:w w:val="95"/>
                <w:sz w:val="22"/>
              </w:rPr>
              <w:t>不</w:t>
            </w:r>
            <w:r>
              <w:rPr>
                <w:b/>
                <w:i/>
                <w:spacing w:val="-29"/>
                <w:w w:val="95"/>
                <w:sz w:val="22"/>
              </w:rPr>
              <w:t>在保障</w:t>
            </w:r>
            <w:r>
              <w:rPr>
                <w:b/>
                <w:i/>
                <w:spacing w:val="-4"/>
                <w:sz w:val="22"/>
              </w:rPr>
              <w:t>范</w:t>
            </w:r>
            <w:r>
              <w:rPr>
                <w:b/>
                <w:i/>
                <w:spacing w:val="-4"/>
                <w:sz w:val="22"/>
              </w:rPr>
              <w:t>围</w:t>
            </w:r>
            <w:r>
              <w:rPr>
                <w:b/>
                <w:i/>
                <w:spacing w:val="-4"/>
                <w:sz w:val="22"/>
              </w:rPr>
              <w:t>内</w:t>
            </w:r>
            <w:r>
              <w:rPr>
                <w:b/>
                <w:i/>
                <w:spacing w:val="-4"/>
                <w:sz w:val="22"/>
              </w:rPr>
              <w:t>。</w:t>
            </w:r>
          </w:p>
        </w:tc>
      </w:tr>
      <w:tr>
        <w:trPr>
          <w:trHeight w:val="467" w:hRule="atLeast"/>
        </w:trPr>
        <w:tc>
          <w:tcPr>
            <w:tcW w:w="937" w:type="dxa"/>
          </w:tcPr>
          <w:p>
            <w:pPr>
              <w:pStyle w:val="TableParagraph"/>
              <w:spacing w:before="177"/>
              <w:ind w:left="50"/>
              <w:rPr>
                <w:b/>
                <w:sz w:val="21"/>
              </w:rPr>
            </w:pPr>
            <w:r>
              <w:rPr>
                <w:b/>
                <w:spacing w:val="-2"/>
                <w:sz w:val="21"/>
              </w:rPr>
              <w:t>9.8.75</w:t>
            </w:r>
          </w:p>
        </w:tc>
        <w:tc>
          <w:tcPr>
            <w:tcW w:w="1717" w:type="dxa"/>
          </w:tcPr>
          <w:p>
            <w:pPr>
              <w:pStyle w:val="TableParagraph"/>
              <w:spacing w:before="177"/>
              <w:ind w:left="250"/>
              <w:rPr>
                <w:rFonts w:ascii="楷体" w:eastAsia="楷体" w:hint="eastAsia"/>
                <w:b/>
                <w:sz w:val="21"/>
              </w:rPr>
            </w:pPr>
            <w:r>
              <w:rPr>
                <w:rFonts w:ascii="楷体" w:eastAsia="楷体" w:hint="eastAsia"/>
                <w:b/>
                <w:spacing w:val="-2"/>
                <w:sz w:val="21"/>
              </w:rPr>
              <w:t>主动脉夹层瘤</w:t>
            </w:r>
          </w:p>
        </w:tc>
        <w:tc>
          <w:tcPr>
            <w:tcW w:w="7184" w:type="dxa"/>
          </w:tcPr>
          <w:p>
            <w:pPr>
              <w:pStyle w:val="TableParagraph"/>
              <w:spacing w:before="177"/>
              <w:ind w:left="106"/>
              <w:rPr>
                <w:sz w:val="21"/>
              </w:rPr>
            </w:pPr>
            <w:r>
              <w:rPr>
                <w:spacing w:val="-3"/>
                <w:sz w:val="21"/>
              </w:rPr>
              <w:t>指主动脉的内膜破裂导致血液流入主动脉壁中形成夹层动脉瘤。在本定义</w:t>
            </w:r>
          </w:p>
        </w:tc>
      </w:tr>
      <w:tr>
        <w:trPr>
          <w:trHeight w:val="312"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中，主动脉指胸主动脉及腹主动脉而非其旁支。诊断必须由专科医生通过检</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5"/>
                <w:sz w:val="21"/>
              </w:rPr>
              <w:t>验结果证实，检查包括超声心动图、数字减影血管造影，核磁共振检查及磁</w:t>
            </w:r>
          </w:p>
        </w:tc>
      </w:tr>
      <w:tr>
        <w:trPr>
          <w:trHeight w:val="468"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共振血管造影或心导管检查的证明，并有必要进行紧急修补手术。</w:t>
            </w:r>
          </w:p>
        </w:tc>
      </w:tr>
      <w:tr>
        <w:trPr>
          <w:trHeight w:val="467" w:hRule="atLeast"/>
        </w:trPr>
        <w:tc>
          <w:tcPr>
            <w:tcW w:w="937" w:type="dxa"/>
          </w:tcPr>
          <w:p>
            <w:pPr>
              <w:pStyle w:val="TableParagraph"/>
              <w:spacing w:before="178"/>
              <w:ind w:left="50"/>
              <w:rPr>
                <w:b/>
                <w:sz w:val="21"/>
              </w:rPr>
            </w:pPr>
            <w:r>
              <w:rPr>
                <w:b/>
                <w:spacing w:val="-2"/>
                <w:sz w:val="21"/>
              </w:rPr>
              <w:t>9.8.76</w:t>
            </w:r>
          </w:p>
        </w:tc>
        <w:tc>
          <w:tcPr>
            <w:tcW w:w="1717" w:type="dxa"/>
          </w:tcPr>
          <w:p>
            <w:pPr>
              <w:pStyle w:val="TableParagraph"/>
              <w:spacing w:before="178"/>
              <w:ind w:left="250"/>
              <w:rPr>
                <w:rFonts w:ascii="楷体" w:eastAsia="楷体" w:hint="eastAsia"/>
                <w:b/>
                <w:sz w:val="21"/>
              </w:rPr>
            </w:pPr>
            <w:r>
              <w:rPr>
                <w:rFonts w:ascii="楷体" w:eastAsia="楷体" w:hint="eastAsia"/>
                <w:b/>
                <w:spacing w:val="11"/>
                <w:sz w:val="21"/>
              </w:rPr>
              <w:t>肌萎缩脊髓侧</w:t>
            </w:r>
          </w:p>
        </w:tc>
        <w:tc>
          <w:tcPr>
            <w:tcW w:w="7184" w:type="dxa"/>
          </w:tcPr>
          <w:p>
            <w:pPr>
              <w:pStyle w:val="TableParagraph"/>
              <w:spacing w:before="178"/>
              <w:ind w:left="106"/>
              <w:rPr>
                <w:sz w:val="21"/>
              </w:rPr>
            </w:pPr>
            <w:r>
              <w:rPr>
                <w:spacing w:val="-10"/>
                <w:sz w:val="21"/>
              </w:rPr>
              <w:t>以肌肉无力及萎缩为特征，并有以下情况作为证明：脊髓前角细胞功能失调、</w:t>
            </w:r>
          </w:p>
        </w:tc>
      </w:tr>
      <w:tr>
        <w:trPr>
          <w:trHeight w:val="311" w:hRule="atLeast"/>
        </w:trPr>
        <w:tc>
          <w:tcPr>
            <w:tcW w:w="937" w:type="dxa"/>
          </w:tcPr>
          <w:p>
            <w:pPr>
              <w:pStyle w:val="TableParagraph"/>
              <w:rPr>
                <w:rFonts w:ascii="Times New Roman"/>
                <w:sz w:val="20"/>
              </w:rPr>
            </w:pPr>
          </w:p>
        </w:tc>
        <w:tc>
          <w:tcPr>
            <w:tcW w:w="1717" w:type="dxa"/>
          </w:tcPr>
          <w:p>
            <w:pPr>
              <w:pStyle w:val="TableParagraph"/>
              <w:spacing w:before="22"/>
              <w:ind w:left="250"/>
              <w:rPr>
                <w:rFonts w:ascii="楷体" w:eastAsia="楷体" w:hint="eastAsia"/>
                <w:b/>
                <w:sz w:val="21"/>
              </w:rPr>
            </w:pPr>
            <w:r>
              <w:rPr>
                <w:rFonts w:ascii="楷体" w:eastAsia="楷体" w:hint="eastAsia"/>
                <w:b/>
                <w:spacing w:val="-2"/>
                <w:sz w:val="21"/>
              </w:rPr>
              <w:t>索硬化后遗症</w:t>
            </w:r>
          </w:p>
        </w:tc>
        <w:tc>
          <w:tcPr>
            <w:tcW w:w="7184" w:type="dxa"/>
          </w:tcPr>
          <w:p>
            <w:pPr>
              <w:pStyle w:val="TableParagraph"/>
              <w:spacing w:before="22"/>
              <w:ind w:left="106"/>
              <w:rPr>
                <w:sz w:val="21"/>
              </w:rPr>
            </w:pPr>
            <w:r>
              <w:rPr>
                <w:spacing w:val="-3"/>
                <w:sz w:val="21"/>
              </w:rPr>
              <w:t>可见的肌肉颤动、痉挛、过度活跃之深层肌腱反射和外部足底反射、影响皮</w:t>
            </w:r>
          </w:p>
        </w:tc>
      </w:tr>
      <w:tr>
        <w:trPr>
          <w:trHeight w:val="311" w:hRule="atLeast"/>
        </w:trPr>
        <w:tc>
          <w:tcPr>
            <w:tcW w:w="937" w:type="dxa"/>
          </w:tcPr>
          <w:p>
            <w:pPr>
              <w:pStyle w:val="TableParagraph"/>
              <w:rPr>
                <w:rFonts w:ascii="Times New Roman"/>
                <w:sz w:val="20"/>
              </w:rPr>
            </w:pPr>
          </w:p>
        </w:tc>
        <w:tc>
          <w:tcPr>
            <w:tcW w:w="1717" w:type="dxa"/>
          </w:tcPr>
          <w:p>
            <w:pPr>
              <w:pStyle w:val="TableParagraph"/>
              <w:rPr>
                <w:rFonts w:ascii="Times New Roman"/>
                <w:sz w:val="20"/>
              </w:rPr>
            </w:pPr>
          </w:p>
        </w:tc>
        <w:tc>
          <w:tcPr>
            <w:tcW w:w="7184" w:type="dxa"/>
          </w:tcPr>
          <w:p>
            <w:pPr>
              <w:pStyle w:val="TableParagraph"/>
              <w:spacing w:before="22"/>
              <w:ind w:left="106"/>
              <w:rPr>
                <w:sz w:val="21"/>
              </w:rPr>
            </w:pPr>
            <w:r>
              <w:rPr>
                <w:spacing w:val="-3"/>
                <w:sz w:val="21"/>
              </w:rPr>
              <w:t>质脊髓束、构音障碍及吞咽困难。必须由医院专科医生以适当的神经肌肉检</w:t>
            </w:r>
          </w:p>
        </w:tc>
      </w:tr>
      <w:tr>
        <w:trPr>
          <w:trHeight w:val="261" w:hRule="atLeast"/>
        </w:trPr>
        <w:tc>
          <w:tcPr>
            <w:tcW w:w="937" w:type="dxa"/>
          </w:tcPr>
          <w:p>
            <w:pPr>
              <w:pStyle w:val="TableParagraph"/>
              <w:rPr>
                <w:rFonts w:ascii="Times New Roman"/>
                <w:sz w:val="18"/>
              </w:rPr>
            </w:pPr>
          </w:p>
        </w:tc>
        <w:tc>
          <w:tcPr>
            <w:tcW w:w="1717" w:type="dxa"/>
          </w:tcPr>
          <w:p>
            <w:pPr>
              <w:pStyle w:val="TableParagraph"/>
              <w:rPr>
                <w:rFonts w:ascii="Times New Roman"/>
                <w:sz w:val="18"/>
              </w:rPr>
            </w:pPr>
          </w:p>
        </w:tc>
        <w:tc>
          <w:tcPr>
            <w:tcW w:w="7184" w:type="dxa"/>
          </w:tcPr>
          <w:p>
            <w:pPr>
              <w:pStyle w:val="TableParagraph"/>
              <w:spacing w:line="220" w:lineRule="exact" w:before="22"/>
              <w:ind w:left="106"/>
              <w:rPr>
                <w:sz w:val="21"/>
              </w:rPr>
            </w:pPr>
            <w:r>
              <w:rPr>
                <w:spacing w:val="-2"/>
                <w:sz w:val="21"/>
              </w:rPr>
              <w:t>查如肌电图（EMG）证实。本疾病必须导致严重的生理功能损坏（</w:t>
            </w:r>
            <w:r>
              <w:rPr>
                <w:spacing w:val="-4"/>
                <w:sz w:val="21"/>
              </w:rPr>
              <w:t>由被保险</w:t>
            </w:r>
          </w:p>
        </w:tc>
      </w:tr>
    </w:tbl>
    <w:p>
      <w:pPr>
        <w:spacing w:after="0" w:line="220" w:lineRule="exact"/>
        <w:rPr>
          <w:sz w:val="21"/>
        </w:rPr>
        <w:sectPr>
          <w:type w:val="continuous"/>
          <w:pgSz w:w="11910" w:h="16840"/>
          <w:pgMar w:top="1580" w:bottom="969"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716"/>
        <w:gridCol w:w="7181"/>
      </w:tblGrid>
      <w:tr>
        <w:trPr>
          <w:trHeight w:val="730"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line="241" w:lineRule="exact"/>
              <w:ind w:left="107"/>
              <w:rPr>
                <w:sz w:val="21"/>
              </w:rPr>
            </w:pPr>
            <w:r>
              <w:rPr>
                <w:spacing w:val="-3"/>
                <w:sz w:val="21"/>
              </w:rPr>
              <w:t>人永久性无法独立完成六项基本日常生活活动中的三项或三项以上作为证</w:t>
            </w:r>
          </w:p>
          <w:p>
            <w:pPr>
              <w:pStyle w:val="TableParagraph"/>
              <w:spacing w:before="43"/>
              <w:ind w:left="107"/>
              <w:rPr>
                <w:sz w:val="21"/>
              </w:rPr>
            </w:pPr>
            <w:r>
              <w:rPr>
                <w:sz w:val="21"/>
              </w:rPr>
              <w:t>明</w:t>
            </w:r>
            <w:r>
              <w:rPr>
                <w:spacing w:val="-106"/>
                <w:sz w:val="21"/>
              </w:rPr>
              <w:t>）</w:t>
            </w:r>
            <w:r>
              <w:rPr>
                <w:spacing w:val="-10"/>
                <w:sz w:val="21"/>
              </w:rPr>
              <w:t>。</w:t>
            </w:r>
          </w:p>
        </w:tc>
      </w:tr>
      <w:tr>
        <w:trPr>
          <w:trHeight w:val="467" w:hRule="atLeast"/>
        </w:trPr>
        <w:tc>
          <w:tcPr>
            <w:tcW w:w="937" w:type="dxa"/>
          </w:tcPr>
          <w:p>
            <w:pPr>
              <w:pStyle w:val="TableParagraph"/>
              <w:spacing w:before="178"/>
              <w:ind w:left="50"/>
              <w:rPr>
                <w:b/>
                <w:sz w:val="21"/>
              </w:rPr>
            </w:pPr>
            <w:r>
              <w:rPr>
                <w:b/>
                <w:spacing w:val="-2"/>
                <w:sz w:val="21"/>
              </w:rPr>
              <w:t>9.8.77</w:t>
            </w:r>
          </w:p>
        </w:tc>
        <w:tc>
          <w:tcPr>
            <w:tcW w:w="1716" w:type="dxa"/>
          </w:tcPr>
          <w:p>
            <w:pPr>
              <w:pStyle w:val="TableParagraph"/>
              <w:spacing w:before="178"/>
              <w:ind w:left="250"/>
              <w:rPr>
                <w:rFonts w:ascii="楷体" w:eastAsia="楷体" w:hint="eastAsia"/>
                <w:b/>
                <w:sz w:val="21"/>
              </w:rPr>
            </w:pPr>
            <w:r>
              <w:rPr>
                <w:rFonts w:ascii="楷体" w:eastAsia="楷体" w:hint="eastAsia"/>
                <w:b/>
                <w:spacing w:val="11"/>
                <w:sz w:val="21"/>
              </w:rPr>
              <w:t>严重结核性脑</w:t>
            </w:r>
          </w:p>
        </w:tc>
        <w:tc>
          <w:tcPr>
            <w:tcW w:w="7181" w:type="dxa"/>
          </w:tcPr>
          <w:p>
            <w:pPr>
              <w:pStyle w:val="TableParagraph"/>
              <w:spacing w:before="178"/>
              <w:ind w:left="107"/>
              <w:rPr>
                <w:sz w:val="21"/>
              </w:rPr>
            </w:pPr>
            <w:r>
              <w:rPr>
                <w:spacing w:val="-3"/>
                <w:sz w:val="21"/>
              </w:rPr>
              <w:t>由结核杆菌引起的脑膜和脊膜的非化脓性炎症性疾病。需满足以下全部条</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5"/>
                <w:sz w:val="21"/>
              </w:rPr>
              <w:t>膜炎</w:t>
            </w:r>
          </w:p>
        </w:tc>
        <w:tc>
          <w:tcPr>
            <w:tcW w:w="7181" w:type="dxa"/>
          </w:tcPr>
          <w:p>
            <w:pPr>
              <w:pStyle w:val="TableParagraph"/>
              <w:spacing w:before="22"/>
              <w:ind w:left="107"/>
              <w:rPr>
                <w:sz w:val="21"/>
              </w:rPr>
            </w:pPr>
            <w:r>
              <w:rPr>
                <w:spacing w:val="-5"/>
                <w:sz w:val="21"/>
              </w:rPr>
              <w:t>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（1）</w:t>
            </w:r>
            <w:r>
              <w:rPr>
                <w:spacing w:val="-3"/>
                <w:sz w:val="21"/>
              </w:rPr>
              <w:t>出现颅内压明显增高，表现头痛、呕吐和视乳头水肿；</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（2）</w:t>
            </w:r>
            <w:r>
              <w:rPr>
                <w:spacing w:val="-3"/>
                <w:sz w:val="21"/>
              </w:rPr>
              <w:t>出现部分性、全身性癫痫发作或癫痫持续状态；</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（3）</w:t>
            </w:r>
            <w:r>
              <w:rPr>
                <w:spacing w:val="-4"/>
                <w:sz w:val="21"/>
              </w:rPr>
              <w:t>昏睡或意识模糊；</w:t>
            </w:r>
          </w:p>
        </w:tc>
      </w:tr>
      <w:tr>
        <w:trPr>
          <w:trHeight w:val="46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（4）</w:t>
            </w:r>
            <w:r>
              <w:rPr>
                <w:spacing w:val="-3"/>
                <w:sz w:val="21"/>
              </w:rPr>
              <w:t>视力减退、复视和面神经麻痹。</w:t>
            </w:r>
          </w:p>
        </w:tc>
      </w:tr>
      <w:tr>
        <w:trPr>
          <w:trHeight w:val="467" w:hRule="atLeast"/>
        </w:trPr>
        <w:tc>
          <w:tcPr>
            <w:tcW w:w="937" w:type="dxa"/>
          </w:tcPr>
          <w:p>
            <w:pPr>
              <w:pStyle w:val="TableParagraph"/>
              <w:spacing w:before="178"/>
              <w:ind w:left="50"/>
              <w:rPr>
                <w:b/>
                <w:sz w:val="21"/>
              </w:rPr>
            </w:pPr>
            <w:r>
              <w:rPr>
                <w:b/>
                <w:spacing w:val="-2"/>
                <w:sz w:val="21"/>
              </w:rPr>
              <w:t>9.8.78</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严重肠道疾病</w:t>
            </w:r>
          </w:p>
        </w:tc>
        <w:tc>
          <w:tcPr>
            <w:tcW w:w="7181" w:type="dxa"/>
          </w:tcPr>
          <w:p>
            <w:pPr>
              <w:pStyle w:val="TableParagraph"/>
              <w:spacing w:before="178"/>
              <w:ind w:left="107"/>
              <w:rPr>
                <w:sz w:val="21"/>
              </w:rPr>
            </w:pPr>
            <w:r>
              <w:rPr>
                <w:spacing w:val="-3"/>
                <w:sz w:val="21"/>
              </w:rPr>
              <w:t>严重肠道疾病或意外伤害导致小肠损害并发症，本疾病须满足以下所有条</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4"/>
                <w:sz w:val="21"/>
              </w:rPr>
              <w:t>并发症</w:t>
            </w:r>
          </w:p>
        </w:tc>
        <w:tc>
          <w:tcPr>
            <w:tcW w:w="7181" w:type="dxa"/>
          </w:tcPr>
          <w:p>
            <w:pPr>
              <w:pStyle w:val="TableParagraph"/>
              <w:spacing w:before="22"/>
              <w:ind w:left="107"/>
              <w:rPr>
                <w:sz w:val="21"/>
              </w:rPr>
            </w:pPr>
            <w:r>
              <w:rPr>
                <w:spacing w:val="-5"/>
                <w:sz w:val="21"/>
              </w:rPr>
              <w:t>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（1）</w:t>
            </w:r>
            <w:r>
              <w:rPr>
                <w:spacing w:val="-3"/>
                <w:sz w:val="21"/>
              </w:rPr>
              <w:t>至少切除了三分之二小肠；</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（2）</w:t>
            </w:r>
            <w:r>
              <w:rPr>
                <w:spacing w:val="-3"/>
                <w:sz w:val="21"/>
              </w:rPr>
              <w:t>完全肠外营养支持三个月以上。</w:t>
            </w:r>
          </w:p>
        </w:tc>
      </w:tr>
      <w:tr>
        <w:trPr>
          <w:trHeight w:val="467" w:hRule="atLeast"/>
        </w:trPr>
        <w:tc>
          <w:tcPr>
            <w:tcW w:w="937" w:type="dxa"/>
          </w:tcPr>
          <w:p>
            <w:pPr>
              <w:pStyle w:val="TableParagraph"/>
              <w:spacing w:before="178"/>
              <w:ind w:left="50"/>
              <w:rPr>
                <w:b/>
                <w:sz w:val="21"/>
              </w:rPr>
            </w:pPr>
            <w:r>
              <w:rPr>
                <w:b/>
                <w:spacing w:val="-2"/>
                <w:sz w:val="21"/>
              </w:rPr>
              <w:t>9.8.79</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瑞氏综合征</w:t>
            </w:r>
          </w:p>
        </w:tc>
        <w:tc>
          <w:tcPr>
            <w:tcW w:w="7181" w:type="dxa"/>
          </w:tcPr>
          <w:p>
            <w:pPr>
              <w:pStyle w:val="TableParagraph"/>
              <w:spacing w:before="178"/>
              <w:ind w:left="107"/>
              <w:rPr>
                <w:sz w:val="21"/>
              </w:rPr>
            </w:pPr>
            <w:r>
              <w:rPr>
                <w:spacing w:val="-10"/>
                <w:sz w:val="21"/>
              </w:rPr>
              <w:t>瑞氏综合征是线粒体功能障碍性疾病。导致脂肪代谢障碍，引起短链脂肪酸、</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3"/>
                <w:sz w:val="21"/>
              </w:rPr>
              <w:t>血氨升高，造成脑水肿。主要临床表现为急性发热、反复呕吐、惊厥及意识</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4"/>
                <w:sz w:val="21"/>
              </w:rPr>
              <w:t>障碍等等。</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3"/>
                <w:sz w:val="21"/>
              </w:rPr>
              <w:t>肝脏活检是确诊的重要手段。瑞氏综合征需由三级医院的专科医生确诊，并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3"/>
                <w:sz w:val="21"/>
              </w:rPr>
              <w:t>符合下列所有条件：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（1）</w:t>
            </w:r>
            <w:r>
              <w:rPr>
                <w:spacing w:val="-3"/>
                <w:sz w:val="21"/>
              </w:rPr>
              <w:t>有脑水肿和颅内压升高的脑脊液检查和影像学检查证据；</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（2）</w:t>
            </w:r>
            <w:r>
              <w:rPr>
                <w:spacing w:val="-8"/>
                <w:sz w:val="21"/>
              </w:rPr>
              <w:t>血氨超过正常值的 </w:t>
            </w:r>
            <w:r>
              <w:rPr>
                <w:spacing w:val="-2"/>
                <w:sz w:val="21"/>
              </w:rPr>
              <w:t>3</w:t>
            </w:r>
            <w:r>
              <w:rPr>
                <w:spacing w:val="-20"/>
                <w:sz w:val="21"/>
              </w:rPr>
              <w:t> 倍；</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（3）</w:t>
            </w:r>
            <w:r>
              <w:rPr>
                <w:spacing w:val="-5"/>
                <w:sz w:val="21"/>
              </w:rPr>
              <w:t>临床出现昏迷，病程至少达到疾病分期第 </w:t>
            </w:r>
            <w:r>
              <w:rPr>
                <w:spacing w:val="-2"/>
                <w:sz w:val="21"/>
              </w:rPr>
              <w:t>3</w:t>
            </w:r>
            <w:r>
              <w:rPr>
                <w:spacing w:val="-20"/>
                <w:sz w:val="21"/>
              </w:rPr>
              <w:t> 期。</w:t>
            </w:r>
          </w:p>
        </w:tc>
      </w:tr>
      <w:tr>
        <w:trPr>
          <w:trHeight w:val="468" w:hRule="atLeast"/>
        </w:trPr>
        <w:tc>
          <w:tcPr>
            <w:tcW w:w="937" w:type="dxa"/>
          </w:tcPr>
          <w:p>
            <w:pPr>
              <w:pStyle w:val="TableParagraph"/>
              <w:spacing w:before="178"/>
              <w:ind w:left="50"/>
              <w:rPr>
                <w:b/>
                <w:sz w:val="21"/>
              </w:rPr>
            </w:pPr>
            <w:r>
              <w:rPr>
                <w:b/>
                <w:spacing w:val="-2"/>
                <w:sz w:val="21"/>
              </w:rPr>
              <w:t>9.8.80</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严重骨髓异常</w:t>
            </w:r>
          </w:p>
        </w:tc>
        <w:tc>
          <w:tcPr>
            <w:tcW w:w="7181" w:type="dxa"/>
          </w:tcPr>
          <w:p>
            <w:pPr>
              <w:pStyle w:val="TableParagraph"/>
              <w:spacing w:before="178"/>
              <w:ind w:left="107"/>
              <w:rPr>
                <w:sz w:val="21"/>
              </w:rPr>
            </w:pPr>
            <w:r>
              <w:rPr>
                <w:spacing w:val="-2"/>
                <w:sz w:val="21"/>
              </w:rPr>
              <w:t>严重骨髓异常增生综合征是指符合世界卫生组织（WHO）2008</w:t>
            </w:r>
            <w:r>
              <w:rPr>
                <w:spacing w:val="-8"/>
                <w:sz w:val="21"/>
              </w:rPr>
              <w:t> 年分型方案中</w:t>
            </w:r>
          </w:p>
        </w:tc>
      </w:tr>
      <w:tr>
        <w:trPr>
          <w:trHeight w:val="312" w:hRule="atLeast"/>
        </w:trPr>
        <w:tc>
          <w:tcPr>
            <w:tcW w:w="937" w:type="dxa"/>
          </w:tcPr>
          <w:p>
            <w:pPr>
              <w:pStyle w:val="TableParagraph"/>
              <w:rPr>
                <w:rFonts w:ascii="Times New Roman"/>
                <w:sz w:val="20"/>
              </w:rPr>
            </w:pPr>
          </w:p>
        </w:tc>
        <w:tc>
          <w:tcPr>
            <w:tcW w:w="1716" w:type="dxa"/>
          </w:tcPr>
          <w:p>
            <w:pPr>
              <w:pStyle w:val="TableParagraph"/>
              <w:spacing w:before="22"/>
              <w:ind w:left="250"/>
              <w:rPr>
                <w:rFonts w:ascii="楷体" w:eastAsia="楷体" w:hint="eastAsia"/>
                <w:b/>
                <w:sz w:val="21"/>
              </w:rPr>
            </w:pPr>
            <w:r>
              <w:rPr>
                <w:rFonts w:ascii="楷体" w:eastAsia="楷体" w:hint="eastAsia"/>
                <w:b/>
                <w:spacing w:val="-2"/>
                <w:sz w:val="21"/>
              </w:rPr>
              <w:t>增生综合征</w:t>
            </w:r>
          </w:p>
        </w:tc>
        <w:tc>
          <w:tcPr>
            <w:tcW w:w="7181" w:type="dxa"/>
          </w:tcPr>
          <w:p>
            <w:pPr>
              <w:pStyle w:val="TableParagraph"/>
              <w:spacing w:before="22"/>
              <w:ind w:left="107"/>
              <w:rPr>
                <w:sz w:val="21"/>
              </w:rPr>
            </w:pPr>
            <w:r>
              <w:rPr>
                <w:spacing w:val="-2"/>
                <w:sz w:val="21"/>
              </w:rPr>
              <w:t>的难治性贫血细胞减少伴原始细胞增多-1（RAEB-</w:t>
            </w:r>
            <w:r>
              <w:rPr>
                <w:spacing w:val="-3"/>
                <w:sz w:val="21"/>
              </w:rPr>
              <w:t>1</w:t>
            </w:r>
            <w:r>
              <w:rPr>
                <w:spacing w:val="-108"/>
                <w:sz w:val="21"/>
              </w:rPr>
              <w:t>）</w:t>
            </w:r>
            <w:r>
              <w:rPr>
                <w:spacing w:val="-3"/>
                <w:sz w:val="21"/>
              </w:rPr>
              <w:t>、难治性贫血细胞减少</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伴原始细胞增多-2（RAEB-</w:t>
            </w:r>
            <w:r>
              <w:rPr>
                <w:sz w:val="21"/>
              </w:rPr>
              <w:t>2</w:t>
            </w:r>
            <w:r>
              <w:rPr>
                <w:spacing w:val="-106"/>
                <w:sz w:val="21"/>
              </w:rPr>
              <w:t>）</w:t>
            </w:r>
            <w:r>
              <w:rPr>
                <w:spacing w:val="-2"/>
                <w:sz w:val="21"/>
              </w:rPr>
              <w:t>、MDS-未分类（MDS-</w:t>
            </w:r>
            <w:r>
              <w:rPr>
                <w:sz w:val="21"/>
              </w:rPr>
              <w:t>U</w:t>
            </w:r>
            <w:r>
              <w:rPr>
                <w:spacing w:val="-108"/>
                <w:sz w:val="21"/>
              </w:rPr>
              <w:t>）</w:t>
            </w:r>
            <w:r>
              <w:rPr>
                <w:spacing w:val="-2"/>
                <w:sz w:val="21"/>
              </w:rPr>
              <w:t>、MDS</w:t>
            </w:r>
            <w:r>
              <w:rPr>
                <w:spacing w:val="-20"/>
                <w:sz w:val="21"/>
              </w:rPr>
              <w:t> 伴单纯 </w:t>
            </w:r>
            <w:r>
              <w:rPr>
                <w:spacing w:val="-2"/>
                <w:sz w:val="21"/>
              </w:rPr>
              <w:t>5q</w:t>
            </w:r>
            <w:r>
              <w:rPr>
                <w:spacing w:val="-4"/>
                <w:sz w:val="21"/>
              </w:rPr>
              <w:t>-，且需</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3"/>
                <w:sz w:val="21"/>
              </w:rPr>
              <w:t>满足下列所有条件：</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（1）</w:t>
            </w:r>
            <w:r>
              <w:rPr>
                <w:spacing w:val="-3"/>
                <w:sz w:val="21"/>
              </w:rPr>
              <w:t>由设有专门血液病专科的公立三级甲等医院中血液病专科的主治级别</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4"/>
                <w:sz w:val="21"/>
              </w:rPr>
              <w:t>以上的医生确诊；</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（2）</w:t>
            </w:r>
            <w:r>
              <w:rPr>
                <w:spacing w:val="-3"/>
                <w:sz w:val="21"/>
              </w:rPr>
              <w:t>骨髓穿刺或骨髓活检结果支持诊断；</w:t>
            </w:r>
          </w:p>
        </w:tc>
      </w:tr>
      <w:tr>
        <w:trPr>
          <w:trHeight w:val="464"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（3）</w:t>
            </w:r>
            <w:r>
              <w:rPr>
                <w:spacing w:val="-3"/>
                <w:sz w:val="21"/>
              </w:rPr>
              <w:t>被保险人已持续接受一个月以上的化疗或已接受骨髓移植治疗。</w:t>
            </w:r>
          </w:p>
        </w:tc>
      </w:tr>
      <w:tr>
        <w:trPr>
          <w:trHeight w:val="939" w:hRule="atLeast"/>
        </w:trPr>
        <w:tc>
          <w:tcPr>
            <w:tcW w:w="937" w:type="dxa"/>
          </w:tcPr>
          <w:p>
            <w:pPr>
              <w:pStyle w:val="TableParagraph"/>
              <w:spacing w:before="1"/>
              <w:rPr>
                <w:sz w:val="14"/>
              </w:rPr>
            </w:pPr>
          </w:p>
          <w:p>
            <w:pPr>
              <w:pStyle w:val="TableParagraph"/>
              <w:spacing w:before="1"/>
              <w:ind w:left="50"/>
              <w:rPr>
                <w:b/>
                <w:sz w:val="21"/>
              </w:rPr>
            </w:pPr>
            <w:r>
              <w:rPr>
                <w:b/>
                <w:spacing w:val="-2"/>
                <w:sz w:val="21"/>
              </w:rPr>
              <w:t>9.8.81</w:t>
            </w:r>
          </w:p>
        </w:tc>
        <w:tc>
          <w:tcPr>
            <w:tcW w:w="1716" w:type="dxa"/>
          </w:tcPr>
          <w:p>
            <w:pPr>
              <w:pStyle w:val="TableParagraph"/>
              <w:spacing w:before="1"/>
              <w:rPr>
                <w:sz w:val="14"/>
              </w:rPr>
            </w:pPr>
          </w:p>
          <w:p>
            <w:pPr>
              <w:pStyle w:val="TableParagraph"/>
              <w:spacing w:before="1"/>
              <w:ind w:left="250"/>
              <w:rPr>
                <w:rFonts w:ascii="楷体" w:eastAsia="楷体" w:hint="eastAsia"/>
                <w:b/>
                <w:sz w:val="21"/>
              </w:rPr>
            </w:pPr>
            <w:r>
              <w:rPr>
                <w:rFonts w:ascii="楷体" w:eastAsia="楷体" w:hint="eastAsia"/>
                <w:b/>
                <w:spacing w:val="-2"/>
                <w:sz w:val="21"/>
              </w:rPr>
              <w:t>严重面部烧伤</w:t>
            </w:r>
          </w:p>
        </w:tc>
        <w:tc>
          <w:tcPr>
            <w:tcW w:w="7181" w:type="dxa"/>
          </w:tcPr>
          <w:p>
            <w:pPr>
              <w:pStyle w:val="TableParagraph"/>
              <w:spacing w:before="1"/>
              <w:rPr>
                <w:sz w:val="14"/>
              </w:rPr>
            </w:pPr>
          </w:p>
          <w:p>
            <w:pPr>
              <w:pStyle w:val="TableParagraph"/>
              <w:spacing w:line="278" w:lineRule="auto" w:before="1"/>
              <w:ind w:left="107" w:right="242"/>
              <w:rPr>
                <w:sz w:val="21"/>
              </w:rPr>
            </w:pPr>
            <w:r>
              <w:rPr>
                <w:spacing w:val="-8"/>
                <w:sz w:val="21"/>
              </w:rPr>
              <w:t>指烧伤程度为 </w:t>
            </w:r>
            <w:r>
              <w:rPr>
                <w:rFonts w:ascii="Times New Roman" w:eastAsia="Times New Roman"/>
                <w:sz w:val="21"/>
              </w:rPr>
              <w:t>III</w:t>
            </w:r>
            <w:r>
              <w:rPr>
                <w:rFonts w:ascii="Times New Roman" w:eastAsia="Times New Roman"/>
                <w:spacing w:val="-14"/>
                <w:sz w:val="21"/>
              </w:rPr>
              <w:t> </w:t>
            </w:r>
            <w:r>
              <w:rPr>
                <w:spacing w:val="-14"/>
                <w:sz w:val="21"/>
              </w:rPr>
              <w:t>度，且 </w:t>
            </w:r>
            <w:r>
              <w:rPr>
                <w:rFonts w:ascii="Times New Roman" w:eastAsia="Times New Roman"/>
                <w:sz w:val="21"/>
              </w:rPr>
              <w:t>III</w:t>
            </w:r>
            <w:r>
              <w:rPr>
                <w:rFonts w:ascii="Times New Roman" w:eastAsia="Times New Roman"/>
                <w:spacing w:val="-13"/>
                <w:sz w:val="21"/>
              </w:rPr>
              <w:t> </w:t>
            </w:r>
            <w:r>
              <w:rPr>
                <w:spacing w:val="-4"/>
                <w:sz w:val="21"/>
              </w:rPr>
              <w:t>度烧伤的面积达到面部表面积的 </w:t>
            </w:r>
            <w:r>
              <w:rPr>
                <w:sz w:val="21"/>
              </w:rPr>
              <w:t>80</w:t>
            </w:r>
            <w:r>
              <w:rPr>
                <w:spacing w:val="-18"/>
                <w:sz w:val="21"/>
              </w:rPr>
              <w:t>％或 </w:t>
            </w:r>
            <w:r>
              <w:rPr>
                <w:sz w:val="21"/>
              </w:rPr>
              <w:t>80％以</w:t>
            </w:r>
            <w:r>
              <w:rPr>
                <w:spacing w:val="-6"/>
                <w:sz w:val="21"/>
              </w:rPr>
              <w:t>上。</w:t>
            </w:r>
          </w:p>
        </w:tc>
      </w:tr>
      <w:tr>
        <w:trPr>
          <w:trHeight w:val="468" w:hRule="atLeast"/>
        </w:trPr>
        <w:tc>
          <w:tcPr>
            <w:tcW w:w="937" w:type="dxa"/>
          </w:tcPr>
          <w:p>
            <w:pPr>
              <w:pStyle w:val="TableParagraph"/>
              <w:spacing w:before="178"/>
              <w:ind w:left="50"/>
              <w:rPr>
                <w:b/>
                <w:sz w:val="21"/>
              </w:rPr>
            </w:pPr>
            <w:r>
              <w:rPr>
                <w:b/>
                <w:spacing w:val="-2"/>
                <w:sz w:val="21"/>
              </w:rPr>
              <w:t>9.8.82</w:t>
            </w:r>
          </w:p>
        </w:tc>
        <w:tc>
          <w:tcPr>
            <w:tcW w:w="1716" w:type="dxa"/>
          </w:tcPr>
          <w:p>
            <w:pPr>
              <w:pStyle w:val="TableParagraph"/>
              <w:spacing w:before="178"/>
              <w:ind w:left="250"/>
              <w:rPr>
                <w:rFonts w:ascii="楷体" w:eastAsia="楷体" w:hint="eastAsia"/>
                <w:b/>
                <w:sz w:val="21"/>
              </w:rPr>
            </w:pPr>
            <w:r>
              <w:rPr>
                <w:rFonts w:ascii="楷体" w:eastAsia="楷体" w:hint="eastAsia"/>
                <w:b/>
                <w:spacing w:val="-2"/>
                <w:sz w:val="21"/>
              </w:rPr>
              <w:t>严重川崎病</w:t>
            </w:r>
          </w:p>
        </w:tc>
        <w:tc>
          <w:tcPr>
            <w:tcW w:w="7181" w:type="dxa"/>
          </w:tcPr>
          <w:p>
            <w:pPr>
              <w:pStyle w:val="TableParagraph"/>
              <w:spacing w:before="178"/>
              <w:ind w:left="107"/>
              <w:rPr>
                <w:sz w:val="21"/>
              </w:rPr>
            </w:pPr>
            <w:r>
              <w:rPr>
                <w:spacing w:val="-3"/>
                <w:sz w:val="21"/>
              </w:rPr>
              <w:t>是一种血管炎综合征，临床表现为急性发热，皮肤粘膜病损和淋巴结肿大。</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3"/>
                <w:sz w:val="21"/>
              </w:rPr>
              <w:t>本疾病须经专科医生明确诊断，同时须由血管造影或超声心动图检查证实，</w:t>
            </w:r>
          </w:p>
        </w:tc>
      </w:tr>
      <w:tr>
        <w:trPr>
          <w:trHeight w:val="312"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3"/>
                <w:sz w:val="21"/>
              </w:rPr>
              <w:t>满足下列至少一项条件：</w:t>
            </w:r>
          </w:p>
        </w:tc>
      </w:tr>
      <w:tr>
        <w:trPr>
          <w:trHeight w:val="311"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（1）</w:t>
            </w:r>
            <w:r>
              <w:rPr>
                <w:spacing w:val="-4"/>
                <w:sz w:val="21"/>
              </w:rPr>
              <w:t>伴有冠状动脉瘤，且冠状动脉瘤于最初急性发病后持续至少 </w:t>
            </w:r>
            <w:r>
              <w:rPr>
                <w:spacing w:val="-2"/>
                <w:sz w:val="21"/>
              </w:rPr>
              <w:t>180</w:t>
            </w:r>
            <w:r>
              <w:rPr>
                <w:spacing w:val="-18"/>
                <w:sz w:val="21"/>
              </w:rPr>
              <w:t> 天；</w:t>
            </w:r>
          </w:p>
        </w:tc>
      </w:tr>
      <w:tr>
        <w:trPr>
          <w:trHeight w:val="468"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before="22"/>
              <w:ind w:left="107"/>
              <w:rPr>
                <w:sz w:val="21"/>
              </w:rPr>
            </w:pPr>
            <w:r>
              <w:rPr>
                <w:spacing w:val="-2"/>
                <w:sz w:val="21"/>
              </w:rPr>
              <w:t>（2）</w:t>
            </w:r>
            <w:r>
              <w:rPr>
                <w:spacing w:val="-3"/>
                <w:sz w:val="21"/>
              </w:rPr>
              <w:t>伴有冠状动脉瘤，且实际接受了对冠状动脉瘤进行的手术治疗。</w:t>
            </w:r>
          </w:p>
        </w:tc>
      </w:tr>
      <w:tr>
        <w:trPr>
          <w:trHeight w:val="467" w:hRule="atLeast"/>
        </w:trPr>
        <w:tc>
          <w:tcPr>
            <w:tcW w:w="937" w:type="dxa"/>
          </w:tcPr>
          <w:p>
            <w:pPr>
              <w:pStyle w:val="TableParagraph"/>
              <w:spacing w:before="178"/>
              <w:ind w:left="50"/>
              <w:rPr>
                <w:b/>
                <w:sz w:val="21"/>
              </w:rPr>
            </w:pPr>
            <w:r>
              <w:rPr>
                <w:b/>
                <w:spacing w:val="-2"/>
                <w:sz w:val="21"/>
              </w:rPr>
              <w:t>9.8.83</w:t>
            </w:r>
          </w:p>
        </w:tc>
        <w:tc>
          <w:tcPr>
            <w:tcW w:w="1716" w:type="dxa"/>
          </w:tcPr>
          <w:p>
            <w:pPr>
              <w:pStyle w:val="TableParagraph"/>
              <w:spacing w:before="178"/>
              <w:ind w:left="250"/>
              <w:rPr>
                <w:rFonts w:ascii="楷体" w:eastAsia="楷体" w:hint="eastAsia"/>
                <w:b/>
                <w:sz w:val="21"/>
              </w:rPr>
            </w:pPr>
            <w:r>
              <w:rPr>
                <w:rFonts w:ascii="楷体" w:eastAsia="楷体" w:hint="eastAsia"/>
                <w:b/>
                <w:spacing w:val="-3"/>
                <w:sz w:val="21"/>
              </w:rPr>
              <w:t>脑型疟疾</w:t>
            </w:r>
          </w:p>
        </w:tc>
        <w:tc>
          <w:tcPr>
            <w:tcW w:w="7181" w:type="dxa"/>
          </w:tcPr>
          <w:p>
            <w:pPr>
              <w:pStyle w:val="TableParagraph"/>
              <w:spacing w:before="178"/>
              <w:ind w:left="107"/>
              <w:rPr>
                <w:sz w:val="21"/>
              </w:rPr>
            </w:pPr>
            <w:r>
              <w:rPr>
                <w:spacing w:val="-3"/>
                <w:sz w:val="21"/>
              </w:rPr>
              <w:t>恶性疟原虫严重感染导致的脑病或脑型疟疾，以昏迷为主要特征。脑型疟疾</w:t>
            </w:r>
          </w:p>
        </w:tc>
      </w:tr>
      <w:tr>
        <w:trPr>
          <w:trHeight w:val="307" w:hRule="atLeast"/>
        </w:trPr>
        <w:tc>
          <w:tcPr>
            <w:tcW w:w="937" w:type="dxa"/>
          </w:tcPr>
          <w:p>
            <w:pPr>
              <w:pStyle w:val="TableParagraph"/>
              <w:rPr>
                <w:rFonts w:ascii="Times New Roman"/>
                <w:sz w:val="20"/>
              </w:rPr>
            </w:pPr>
          </w:p>
        </w:tc>
        <w:tc>
          <w:tcPr>
            <w:tcW w:w="1716" w:type="dxa"/>
          </w:tcPr>
          <w:p>
            <w:pPr>
              <w:pStyle w:val="TableParagraph"/>
              <w:rPr>
                <w:rFonts w:ascii="Times New Roman"/>
                <w:sz w:val="20"/>
              </w:rPr>
            </w:pPr>
          </w:p>
        </w:tc>
        <w:tc>
          <w:tcPr>
            <w:tcW w:w="7181" w:type="dxa"/>
          </w:tcPr>
          <w:p>
            <w:pPr>
              <w:pStyle w:val="TableParagraph"/>
              <w:spacing w:line="265" w:lineRule="exact" w:before="22"/>
              <w:ind w:left="107"/>
              <w:rPr>
                <w:sz w:val="21"/>
              </w:rPr>
            </w:pPr>
            <w:r>
              <w:rPr>
                <w:spacing w:val="-3"/>
                <w:sz w:val="21"/>
              </w:rPr>
              <w:t>的诊断须由专科医生确认，且外周血涂片存在恶性疟原虫。</w:t>
            </w:r>
          </w:p>
        </w:tc>
      </w:tr>
      <w:tr>
        <w:trPr>
          <w:trHeight w:val="268" w:hRule="atLeast"/>
        </w:trPr>
        <w:tc>
          <w:tcPr>
            <w:tcW w:w="937" w:type="dxa"/>
          </w:tcPr>
          <w:p>
            <w:pPr>
              <w:pStyle w:val="TableParagraph"/>
              <w:rPr>
                <w:rFonts w:ascii="Times New Roman"/>
                <w:sz w:val="18"/>
              </w:rPr>
            </w:pPr>
          </w:p>
        </w:tc>
        <w:tc>
          <w:tcPr>
            <w:tcW w:w="1716" w:type="dxa"/>
          </w:tcPr>
          <w:p>
            <w:pPr>
              <w:pStyle w:val="TableParagraph"/>
              <w:rPr>
                <w:rFonts w:ascii="Times New Roman"/>
                <w:sz w:val="18"/>
              </w:rPr>
            </w:pPr>
          </w:p>
        </w:tc>
        <w:tc>
          <w:tcPr>
            <w:tcW w:w="7181" w:type="dxa"/>
          </w:tcPr>
          <w:p>
            <w:pPr>
              <w:pStyle w:val="TableParagraph"/>
              <w:spacing w:line="231" w:lineRule="exact" w:before="17"/>
              <w:ind w:left="107"/>
              <w:rPr>
                <w:b/>
                <w:i/>
                <w:sz w:val="22"/>
              </w:rPr>
            </w:pPr>
            <w:r>
              <w:rPr>
                <w:b/>
                <w:i/>
                <w:spacing w:val="-3"/>
                <w:w w:val="95"/>
                <w:sz w:val="22"/>
              </w:rPr>
              <w:t>其他明确病因导致的脑病不在保障范围内。</w:t>
            </w:r>
          </w:p>
        </w:tc>
      </w:tr>
    </w:tbl>
    <w:p>
      <w:pPr>
        <w:spacing w:after="0" w:line="231" w:lineRule="exact"/>
        <w:rPr>
          <w:sz w:val="22"/>
        </w:rPr>
        <w:sectPr>
          <w:type w:val="continuous"/>
          <w:pgSz w:w="11910" w:h="16840"/>
          <w:pgMar w:top="1280" w:bottom="1499"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24"/>
      </w:tblGrid>
      <w:tr>
        <w:trPr>
          <w:trHeight w:val="261" w:hRule="atLeast"/>
        </w:trPr>
        <w:tc>
          <w:tcPr>
            <w:tcW w:w="937" w:type="dxa"/>
          </w:tcPr>
          <w:p>
            <w:pPr>
              <w:pStyle w:val="TableParagraph"/>
              <w:spacing w:line="241" w:lineRule="exact"/>
              <w:ind w:left="50"/>
              <w:rPr>
                <w:b/>
                <w:sz w:val="21"/>
              </w:rPr>
            </w:pPr>
            <w:r>
              <w:rPr>
                <w:b/>
                <w:spacing w:val="-2"/>
                <w:sz w:val="21"/>
              </w:rPr>
              <w:t>9.8.84</w:t>
            </w:r>
          </w:p>
        </w:tc>
        <w:tc>
          <w:tcPr>
            <w:tcW w:w="1671" w:type="dxa"/>
          </w:tcPr>
          <w:p>
            <w:pPr>
              <w:pStyle w:val="TableParagraph"/>
              <w:spacing w:line="241" w:lineRule="exact"/>
              <w:ind w:left="250"/>
              <w:rPr>
                <w:rFonts w:ascii="楷体" w:eastAsia="楷体" w:hint="eastAsia"/>
                <w:b/>
                <w:sz w:val="21"/>
              </w:rPr>
            </w:pPr>
            <w:r>
              <w:rPr>
                <w:rFonts w:ascii="楷体" w:eastAsia="楷体" w:hint="eastAsia"/>
                <w:b/>
                <w:spacing w:val="-2"/>
                <w:sz w:val="21"/>
              </w:rPr>
              <w:t>重症手足口病</w:t>
            </w:r>
          </w:p>
        </w:tc>
        <w:tc>
          <w:tcPr>
            <w:tcW w:w="7224" w:type="dxa"/>
          </w:tcPr>
          <w:p>
            <w:pPr>
              <w:pStyle w:val="TableParagraph"/>
              <w:spacing w:line="241" w:lineRule="exact"/>
              <w:ind w:left="152"/>
              <w:rPr>
                <w:sz w:val="21"/>
              </w:rPr>
            </w:pPr>
            <w:r>
              <w:rPr>
                <w:spacing w:val="-3"/>
                <w:sz w:val="21"/>
              </w:rPr>
              <w:t>由肠道病毒引起的急性传染病，主要症状表现为手、足、口腔等部位的斑丘</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3"/>
                <w:sz w:val="21"/>
              </w:rPr>
              <w:t>疹、疱疹。经专科医生确诊为患有手足口病，并伴有下列三项中的任意一项</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4"/>
                <w:sz w:val="21"/>
              </w:rPr>
              <w:t>并发症：</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2"/>
                <w:sz w:val="21"/>
              </w:rPr>
              <w:t>（1）</w:t>
            </w:r>
            <w:r>
              <w:rPr>
                <w:spacing w:val="-3"/>
                <w:sz w:val="21"/>
              </w:rPr>
              <w:t>有脑膜炎或脑炎并发症，且导致意识障碍或瘫痪的临床表现及实验室</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4"/>
                <w:sz w:val="21"/>
              </w:rPr>
              <w:t>检查证据；</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2"/>
                <w:sz w:val="21"/>
              </w:rPr>
              <w:t>（2）</w:t>
            </w:r>
            <w:r>
              <w:rPr>
                <w:spacing w:val="-3"/>
                <w:sz w:val="21"/>
              </w:rPr>
              <w:t>有肺炎或肺水肿并发症，且导致呼吸衰竭的临床表现及实验室检查证</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5"/>
                <w:sz w:val="21"/>
              </w:rPr>
              <w:t>据；</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2"/>
                <w:sz w:val="21"/>
              </w:rPr>
              <w:t>（3）</w:t>
            </w:r>
            <w:r>
              <w:rPr>
                <w:spacing w:val="-3"/>
                <w:sz w:val="21"/>
              </w:rPr>
              <w:t>有心肌炎并发症，且导致心脏扩大或心力衰竭的临床表现及实验室检</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4"/>
                <w:sz w:val="21"/>
              </w:rPr>
              <w:t>查证据。</w:t>
            </w:r>
          </w:p>
        </w:tc>
      </w:tr>
      <w:tr>
        <w:trPr>
          <w:trHeight w:val="467" w:hRule="atLeast"/>
        </w:trPr>
        <w:tc>
          <w:tcPr>
            <w:tcW w:w="937" w:type="dxa"/>
          </w:tcPr>
          <w:p>
            <w:pPr>
              <w:pStyle w:val="TableParagraph"/>
              <w:spacing w:before="178"/>
              <w:ind w:left="50"/>
              <w:rPr>
                <w:b/>
                <w:sz w:val="21"/>
              </w:rPr>
            </w:pPr>
            <w:r>
              <w:rPr>
                <w:b/>
                <w:spacing w:val="-2"/>
                <w:sz w:val="21"/>
              </w:rPr>
              <w:t>9.8.85</w:t>
            </w:r>
          </w:p>
        </w:tc>
        <w:tc>
          <w:tcPr>
            <w:tcW w:w="1671" w:type="dxa"/>
          </w:tcPr>
          <w:p>
            <w:pPr>
              <w:pStyle w:val="TableParagraph"/>
              <w:spacing w:before="178"/>
              <w:ind w:left="250"/>
              <w:rPr>
                <w:rFonts w:ascii="楷体" w:eastAsia="楷体" w:hint="eastAsia"/>
                <w:b/>
                <w:sz w:val="21"/>
              </w:rPr>
            </w:pPr>
            <w:r>
              <w:rPr>
                <w:rFonts w:ascii="楷体" w:eastAsia="楷体" w:hint="eastAsia"/>
                <w:b/>
                <w:spacing w:val="-3"/>
                <w:sz w:val="21"/>
              </w:rPr>
              <w:t>严重哮喘</w:t>
            </w:r>
          </w:p>
        </w:tc>
        <w:tc>
          <w:tcPr>
            <w:tcW w:w="7224" w:type="dxa"/>
          </w:tcPr>
          <w:p>
            <w:pPr>
              <w:pStyle w:val="TableParagraph"/>
              <w:spacing w:before="178"/>
              <w:ind w:left="152"/>
              <w:rPr>
                <w:sz w:val="21"/>
              </w:rPr>
            </w:pPr>
            <w:r>
              <w:rPr>
                <w:spacing w:val="-3"/>
                <w:sz w:val="21"/>
              </w:rPr>
              <w:t>指一种反复发作的严重支气管阻塞性疾病，经专科医生确诊，且必须同时符</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4"/>
                <w:sz w:val="21"/>
              </w:rPr>
              <w:t>合下列标准：</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2"/>
                <w:sz w:val="21"/>
              </w:rPr>
              <w:t>（1）</w:t>
            </w:r>
            <w:r>
              <w:rPr>
                <w:spacing w:val="-3"/>
                <w:sz w:val="21"/>
              </w:rPr>
              <w:t>过去两年中曾因哮喘持续状态住院治疗，且使用类固醇激素治疗持续</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4"/>
                <w:sz w:val="21"/>
              </w:rPr>
              <w:t>至少六个月；</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2"/>
                <w:sz w:val="21"/>
              </w:rPr>
              <w:t>（2）</w:t>
            </w:r>
            <w:r>
              <w:rPr>
                <w:spacing w:val="-3"/>
                <w:sz w:val="21"/>
              </w:rPr>
              <w:t>因慢性过度换气导致胸廓畸形；</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2"/>
                <w:sz w:val="21"/>
              </w:rPr>
              <w:t>（3）</w:t>
            </w:r>
            <w:r>
              <w:rPr>
                <w:spacing w:val="-3"/>
                <w:sz w:val="21"/>
              </w:rPr>
              <w:t>在家中需要医生处方的氧气治疗法；</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1"/>
              <w:ind w:left="152"/>
              <w:rPr>
                <w:sz w:val="21"/>
              </w:rPr>
            </w:pPr>
            <w:r>
              <w:rPr>
                <w:spacing w:val="-2"/>
                <w:position w:val="1"/>
                <w:sz w:val="21"/>
              </w:rPr>
              <w:t>（3）FEV</w:t>
            </w:r>
            <w:r>
              <w:rPr>
                <w:spacing w:val="-2"/>
                <w:sz w:val="11"/>
              </w:rPr>
              <w:t>1</w:t>
            </w:r>
            <w:r>
              <w:rPr>
                <w:spacing w:val="-2"/>
                <w:position w:val="1"/>
                <w:sz w:val="21"/>
              </w:rPr>
              <w:t>（</w:t>
            </w:r>
            <w:r>
              <w:rPr>
                <w:spacing w:val="-26"/>
                <w:position w:val="1"/>
                <w:sz w:val="21"/>
              </w:rPr>
              <w:t>第 </w:t>
            </w:r>
            <w:r>
              <w:rPr>
                <w:spacing w:val="-2"/>
                <w:position w:val="1"/>
                <w:sz w:val="21"/>
              </w:rPr>
              <w:t>1</w:t>
            </w:r>
            <w:r>
              <w:rPr>
                <w:spacing w:val="-9"/>
                <w:position w:val="1"/>
                <w:sz w:val="21"/>
              </w:rPr>
              <w:t> 秒用力呼气容积</w:t>
            </w:r>
            <w:r>
              <w:rPr>
                <w:spacing w:val="-2"/>
                <w:position w:val="1"/>
                <w:sz w:val="21"/>
              </w:rPr>
              <w:t>）&lt;60</w:t>
            </w:r>
            <w:r>
              <w:rPr>
                <w:spacing w:val="-10"/>
                <w:position w:val="1"/>
                <w:sz w:val="21"/>
              </w:rPr>
              <w:t>%预计值或 </w:t>
            </w:r>
            <w:r>
              <w:rPr>
                <w:spacing w:val="-2"/>
                <w:position w:val="1"/>
                <w:sz w:val="21"/>
              </w:rPr>
              <w:t>PEF（最大呼气流量）&lt;60%</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4"/>
                <w:sz w:val="21"/>
              </w:rPr>
              <w:t>个人最佳值；</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1"/>
              <w:ind w:left="152"/>
              <w:rPr>
                <w:sz w:val="21"/>
              </w:rPr>
            </w:pPr>
            <w:r>
              <w:rPr>
                <w:spacing w:val="-2"/>
                <w:position w:val="1"/>
                <w:sz w:val="21"/>
              </w:rPr>
              <w:t>（4）FEV</w:t>
            </w:r>
            <w:r>
              <w:rPr>
                <w:spacing w:val="-2"/>
                <w:sz w:val="11"/>
              </w:rPr>
              <w:t>1</w:t>
            </w:r>
            <w:r>
              <w:rPr>
                <w:spacing w:val="-27"/>
                <w:sz w:val="11"/>
              </w:rPr>
              <w:t> </w:t>
            </w:r>
            <w:r>
              <w:rPr>
                <w:spacing w:val="-24"/>
                <w:position w:val="1"/>
                <w:sz w:val="21"/>
              </w:rPr>
              <w:t>或 </w:t>
            </w:r>
            <w:r>
              <w:rPr>
                <w:spacing w:val="-2"/>
                <w:position w:val="1"/>
                <w:sz w:val="21"/>
              </w:rPr>
              <w:t>PEF</w:t>
            </w:r>
            <w:r>
              <w:rPr>
                <w:spacing w:val="-12"/>
                <w:position w:val="1"/>
                <w:sz w:val="21"/>
              </w:rPr>
              <w:t> 变异率&gt;</w:t>
            </w:r>
            <w:r>
              <w:rPr>
                <w:spacing w:val="-2"/>
                <w:position w:val="1"/>
                <w:sz w:val="21"/>
              </w:rPr>
              <w:t>30</w:t>
            </w:r>
            <w:r>
              <w:rPr>
                <w:spacing w:val="-6"/>
                <w:position w:val="1"/>
                <w:sz w:val="21"/>
              </w:rPr>
              <w:t>%。</w:t>
            </w:r>
          </w:p>
          <w:p>
            <w:pPr>
              <w:pStyle w:val="TableParagraph"/>
              <w:spacing w:before="34"/>
              <w:ind w:left="152"/>
              <w:rPr>
                <w:b/>
                <w:i/>
                <w:sz w:val="22"/>
              </w:rPr>
            </w:pPr>
            <w:r>
              <w:rPr>
                <w:b/>
                <w:i/>
                <w:spacing w:val="-3"/>
                <w:w w:val="95"/>
                <w:sz w:val="22"/>
              </w:rPr>
              <w:t>被保险人申请理赔时年龄必须在年满二十五周岁之前。</w:t>
            </w:r>
          </w:p>
        </w:tc>
      </w:tr>
      <w:tr>
        <w:trPr>
          <w:trHeight w:val="779" w:hRule="atLeast"/>
        </w:trPr>
        <w:tc>
          <w:tcPr>
            <w:tcW w:w="937" w:type="dxa"/>
          </w:tcPr>
          <w:p>
            <w:pPr>
              <w:pStyle w:val="TableParagraph"/>
              <w:spacing w:before="177"/>
              <w:ind w:left="50"/>
              <w:rPr>
                <w:b/>
                <w:sz w:val="21"/>
              </w:rPr>
            </w:pPr>
            <w:r>
              <w:rPr>
                <w:b/>
                <w:spacing w:val="-2"/>
                <w:sz w:val="21"/>
              </w:rPr>
              <w:t>9.8.86</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骨生长不全症</w:t>
            </w:r>
          </w:p>
        </w:tc>
        <w:tc>
          <w:tcPr>
            <w:tcW w:w="7224" w:type="dxa"/>
          </w:tcPr>
          <w:p>
            <w:pPr>
              <w:pStyle w:val="TableParagraph"/>
              <w:spacing w:line="310" w:lineRule="atLeast" w:before="136"/>
              <w:ind w:left="152" w:right="48"/>
              <w:rPr>
                <w:sz w:val="21"/>
              </w:rPr>
            </w:pPr>
            <w:r>
              <w:rPr>
                <w:spacing w:val="-5"/>
                <w:sz w:val="21"/>
              </w:rPr>
              <w:t>指一种胶原病，特征为骨易碎，骨质疏松和易骨折。该病有 </w:t>
            </w:r>
            <w:r>
              <w:rPr>
                <w:spacing w:val="-2"/>
                <w:sz w:val="21"/>
              </w:rPr>
              <w:t>4</w:t>
            </w:r>
            <w:r>
              <w:rPr>
                <w:spacing w:val="-14"/>
                <w:sz w:val="21"/>
              </w:rPr>
              <w:t> 种类型：</w:t>
            </w:r>
            <w:r>
              <w:rPr>
                <w:spacing w:val="-2"/>
                <w:sz w:val="21"/>
              </w:rPr>
              <w:t>I</w:t>
            </w:r>
            <w:r>
              <w:rPr>
                <w:spacing w:val="-20"/>
                <w:sz w:val="21"/>
              </w:rPr>
              <w:t> 型、</w:t>
            </w:r>
            <w:r>
              <w:rPr>
                <w:spacing w:val="-2"/>
                <w:sz w:val="21"/>
              </w:rPr>
              <w:t> </w:t>
            </w:r>
            <w:r>
              <w:rPr>
                <w:w w:val="95"/>
                <w:sz w:val="21"/>
              </w:rPr>
              <w:t>II</w:t>
            </w:r>
            <w:r>
              <w:rPr>
                <w:spacing w:val="-7"/>
                <w:w w:val="95"/>
                <w:sz w:val="21"/>
              </w:rPr>
              <w:t> 型</w:t>
            </w:r>
            <w:r>
              <w:rPr>
                <w:w w:val="95"/>
                <w:sz w:val="21"/>
              </w:rPr>
              <w:t>、</w:t>
            </w:r>
            <w:r>
              <w:rPr>
                <w:w w:val="95"/>
                <w:sz w:val="21"/>
              </w:rPr>
              <w:t>III</w:t>
            </w:r>
            <w:r>
              <w:rPr>
                <w:spacing w:val="-6"/>
                <w:w w:val="95"/>
                <w:sz w:val="21"/>
              </w:rPr>
              <w:t> 型、</w:t>
            </w:r>
            <w:r>
              <w:rPr>
                <w:w w:val="95"/>
                <w:sz w:val="21"/>
              </w:rPr>
              <w:t>IV</w:t>
            </w:r>
            <w:r>
              <w:rPr>
                <w:spacing w:val="-6"/>
                <w:w w:val="95"/>
                <w:sz w:val="21"/>
              </w:rPr>
              <w:t> 型。</w:t>
            </w:r>
            <w:r>
              <w:rPr>
                <w:b/>
                <w:i/>
                <w:spacing w:val="-5"/>
                <w:w w:val="95"/>
                <w:sz w:val="22"/>
              </w:rPr>
              <w:t>只保障 </w:t>
            </w:r>
            <w:r>
              <w:rPr>
                <w:b/>
                <w:i/>
                <w:w w:val="95"/>
                <w:sz w:val="22"/>
              </w:rPr>
              <w:t>III</w:t>
            </w:r>
            <w:r>
              <w:rPr>
                <w:b/>
                <w:i/>
                <w:spacing w:val="-19"/>
                <w:w w:val="95"/>
                <w:sz w:val="22"/>
              </w:rPr>
              <w:t> </w:t>
            </w:r>
            <w:r>
              <w:rPr>
                <w:b/>
                <w:i/>
                <w:w w:val="95"/>
                <w:sz w:val="22"/>
              </w:rPr>
              <w:t>型成骨不全的情形</w:t>
            </w:r>
            <w:r>
              <w:rPr>
                <w:w w:val="95"/>
                <w:sz w:val="21"/>
              </w:rPr>
              <w:t>。其主要临床特点</w:t>
            </w:r>
            <w:r>
              <w:rPr>
                <w:w w:val="95"/>
                <w:sz w:val="21"/>
              </w:rPr>
              <w:t>有</w:t>
            </w:r>
            <w:r>
              <w:rPr>
                <w:spacing w:val="-10"/>
                <w:w w:val="95"/>
                <w:sz w:val="21"/>
              </w:rPr>
              <w:t>：</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1"/>
              <w:ind w:left="152"/>
              <w:rPr>
                <w:sz w:val="21"/>
              </w:rPr>
            </w:pPr>
            <w:r>
              <w:rPr>
                <w:spacing w:val="-2"/>
                <w:sz w:val="21"/>
              </w:rPr>
              <w:t>发展迟缓、多发性骨折、进行性脊柱后侧凸及听力损害。III</w:t>
            </w:r>
            <w:r>
              <w:rPr>
                <w:spacing w:val="-8"/>
                <w:sz w:val="21"/>
              </w:rPr>
              <w:t> 型成骨不全的</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2"/>
                <w:sz w:val="21"/>
              </w:rPr>
              <w:t>诊断必须根据身体检查，家族史，X</w:t>
            </w:r>
            <w:r>
              <w:rPr>
                <w:spacing w:val="-9"/>
                <w:sz w:val="21"/>
              </w:rPr>
              <w:t> 线检查和皮肤活检报告资料确诊。</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3"/>
                <w:sz w:val="21"/>
              </w:rPr>
              <w:t>我们承担本项疾病责任不受本合同“责任免除”中“遗传性疾病、先天性畸</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3"/>
                <w:sz w:val="21"/>
              </w:rPr>
              <w:t>形、变形或染色体异常”的限制。</w:t>
            </w:r>
          </w:p>
        </w:tc>
      </w:tr>
      <w:tr>
        <w:trPr>
          <w:trHeight w:val="467" w:hRule="atLeast"/>
        </w:trPr>
        <w:tc>
          <w:tcPr>
            <w:tcW w:w="937" w:type="dxa"/>
          </w:tcPr>
          <w:p>
            <w:pPr>
              <w:pStyle w:val="TableParagraph"/>
              <w:spacing w:before="178"/>
              <w:ind w:left="50"/>
              <w:rPr>
                <w:b/>
                <w:sz w:val="21"/>
              </w:rPr>
            </w:pPr>
            <w:r>
              <w:rPr>
                <w:b/>
                <w:spacing w:val="-2"/>
                <w:sz w:val="21"/>
              </w:rPr>
              <w:t>9.8.87</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器官移植导致</w:t>
            </w:r>
          </w:p>
        </w:tc>
        <w:tc>
          <w:tcPr>
            <w:tcW w:w="7224" w:type="dxa"/>
          </w:tcPr>
          <w:p>
            <w:pPr>
              <w:pStyle w:val="TableParagraph"/>
              <w:spacing w:before="178"/>
              <w:ind w:left="152"/>
              <w:rPr>
                <w:sz w:val="21"/>
              </w:rPr>
            </w:pPr>
            <w:r>
              <w:rPr>
                <w:spacing w:val="-6"/>
                <w:sz w:val="21"/>
              </w:rPr>
              <w:t>指因进行器官移植而感染上人类免疫缺陷病毒</w:t>
            </w:r>
            <w:r>
              <w:rPr>
                <w:spacing w:val="11"/>
                <w:sz w:val="21"/>
              </w:rPr>
              <w:t>（</w:t>
            </w:r>
            <w:r>
              <w:rPr>
                <w:spacing w:val="14"/>
                <w:sz w:val="21"/>
              </w:rPr>
              <w:t>HI</w:t>
            </w:r>
            <w:r>
              <w:rPr>
                <w:spacing w:val="11"/>
                <w:sz w:val="21"/>
              </w:rPr>
              <w:t>V</w:t>
            </w:r>
            <w:r>
              <w:rPr>
                <w:spacing w:val="-92"/>
                <w:sz w:val="21"/>
              </w:rPr>
              <w:t>）</w:t>
            </w:r>
            <w:r>
              <w:rPr>
                <w:spacing w:val="-7"/>
                <w:sz w:val="21"/>
              </w:rPr>
              <w:t>，且须满足下列全部条</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16"/>
                <w:w w:val="95"/>
                <w:sz w:val="21"/>
              </w:rPr>
              <w:t>的 </w:t>
            </w:r>
            <w:r>
              <w:rPr>
                <w:rFonts w:ascii="楷体" w:eastAsia="楷体" w:hint="eastAsia"/>
                <w:b/>
                <w:w w:val="95"/>
                <w:sz w:val="21"/>
              </w:rPr>
              <w:t>HIV</w:t>
            </w:r>
            <w:r>
              <w:rPr>
                <w:rFonts w:ascii="楷体" w:eastAsia="楷体" w:hint="eastAsia"/>
                <w:b/>
                <w:spacing w:val="-32"/>
                <w:w w:val="95"/>
                <w:sz w:val="21"/>
              </w:rPr>
              <w:t> </w:t>
            </w:r>
            <w:r>
              <w:rPr>
                <w:rFonts w:ascii="楷体" w:eastAsia="楷体" w:hint="eastAsia"/>
                <w:b/>
                <w:w w:val="95"/>
                <w:sz w:val="21"/>
              </w:rPr>
              <w:t>感</w:t>
            </w:r>
            <w:r>
              <w:rPr>
                <w:rFonts w:ascii="楷体" w:eastAsia="楷体" w:hint="eastAsia"/>
                <w:b/>
                <w:spacing w:val="-10"/>
                <w:w w:val="95"/>
                <w:sz w:val="21"/>
              </w:rPr>
              <w:t>染</w:t>
            </w:r>
          </w:p>
        </w:tc>
        <w:tc>
          <w:tcPr>
            <w:tcW w:w="7224" w:type="dxa"/>
          </w:tcPr>
          <w:p>
            <w:pPr>
              <w:pStyle w:val="TableParagraph"/>
              <w:spacing w:before="22"/>
              <w:ind w:left="152"/>
              <w:rPr>
                <w:sz w:val="21"/>
              </w:rPr>
            </w:pPr>
            <w:r>
              <w:rPr>
                <w:spacing w:val="-5"/>
                <w:sz w:val="21"/>
              </w:rPr>
              <w:t>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2"/>
                <w:sz w:val="21"/>
              </w:rPr>
              <w:t>（1）</w:t>
            </w:r>
            <w:r>
              <w:rPr>
                <w:spacing w:val="-3"/>
                <w:sz w:val="21"/>
              </w:rPr>
              <w:t>在保障起始日或复效日之后，被保险人因治疗必需而实施器官移植，</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3"/>
                <w:sz w:val="21"/>
              </w:rPr>
              <w:t>并且因器官移植而感染人类免疫缺陷病毒；</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2"/>
                <w:sz w:val="21"/>
              </w:rPr>
              <w:t>（2）</w:t>
            </w:r>
            <w:r>
              <w:rPr>
                <w:spacing w:val="-3"/>
                <w:sz w:val="21"/>
              </w:rPr>
              <w:t>提供器官移植治疗的器官移植中心或医院出具该项器官移植感染，属</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3"/>
                <w:sz w:val="21"/>
              </w:rPr>
              <w:t>于医疗责任事故的报告，或者法院终审裁定为医疗责任并且不准上诉；</w:t>
            </w:r>
          </w:p>
        </w:tc>
      </w:tr>
      <w:tr>
        <w:trPr>
          <w:trHeight w:val="156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line="266" w:lineRule="auto" w:before="22"/>
              <w:ind w:left="152" w:right="154"/>
              <w:rPr>
                <w:b/>
                <w:i/>
                <w:sz w:val="22"/>
              </w:rPr>
            </w:pPr>
            <w:r>
              <w:rPr>
                <w:w w:val="100"/>
                <w:sz w:val="21"/>
              </w:rPr>
              <w:t>（3</w:t>
            </w:r>
            <w:r>
              <w:rPr>
                <w:spacing w:val="-3"/>
                <w:w w:val="100"/>
                <w:sz w:val="21"/>
              </w:rPr>
              <w:t>）提供器官移植治疗的器官移植中心或医院必须拥有合法经营执照。</w:t>
            </w:r>
            <w:r>
              <w:rPr>
                <w:w w:val="100"/>
                <w:sz w:val="21"/>
              </w:rPr>
              <w:t>  </w:t>
            </w:r>
            <w:r>
              <w:rPr>
                <w:b/>
                <w:i/>
                <w:spacing w:val="-6"/>
                <w:w w:val="95"/>
                <w:sz w:val="22"/>
              </w:rPr>
              <w:t>在任何治愈艾滋病或阻止人类免疫缺陷病毒病毒作用的疗法被发现以后，或</w:t>
            </w:r>
            <w:r>
              <w:rPr>
                <w:b/>
                <w:i/>
                <w:spacing w:val="-3"/>
                <w:w w:val="95"/>
                <w:sz w:val="22"/>
              </w:rPr>
              <w:t>能防止艾滋病发生的医疗方法被研究出来以后，本保障将不再予以赔付。</w:t>
            </w:r>
            <w:r>
              <w:rPr>
                <w:b/>
                <w:i/>
                <w:spacing w:val="-5"/>
                <w:w w:val="95"/>
                <w:sz w:val="22"/>
              </w:rPr>
              <w:t>任何因其他传播方式</w:t>
            </w:r>
            <w:r>
              <w:rPr>
                <w:b/>
                <w:i/>
                <w:spacing w:val="-3"/>
                <w:w w:val="95"/>
                <w:sz w:val="22"/>
              </w:rPr>
              <w:t>（</w:t>
            </w:r>
            <w:r>
              <w:rPr>
                <w:b/>
                <w:i/>
                <w:spacing w:val="-5"/>
                <w:w w:val="95"/>
                <w:sz w:val="22"/>
              </w:rPr>
              <w:t>包括：性传播或静脉注射毒品</w:t>
            </w:r>
            <w:r>
              <w:rPr>
                <w:b/>
                <w:i/>
                <w:spacing w:val="-15"/>
                <w:w w:val="95"/>
                <w:sz w:val="22"/>
              </w:rPr>
              <w:t>）</w:t>
            </w:r>
            <w:r>
              <w:rPr>
                <w:b/>
                <w:i/>
                <w:spacing w:val="-3"/>
                <w:w w:val="95"/>
                <w:sz w:val="22"/>
              </w:rPr>
              <w:t>导致的人类免疫缺陷</w:t>
            </w:r>
          </w:p>
          <w:p>
            <w:pPr>
              <w:pStyle w:val="TableParagraph"/>
              <w:spacing w:line="281" w:lineRule="exact" w:before="1"/>
              <w:ind w:left="152"/>
              <w:rPr>
                <w:b/>
                <w:i/>
                <w:sz w:val="22"/>
              </w:rPr>
            </w:pPr>
            <w:r>
              <w:rPr>
                <w:b/>
                <w:i/>
                <w:spacing w:val="-3"/>
                <w:w w:val="95"/>
                <w:sz w:val="22"/>
              </w:rPr>
              <w:t>病毒感染不在保障范围内。</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1"/>
              <w:ind w:left="152"/>
              <w:rPr>
                <w:sz w:val="21"/>
              </w:rPr>
            </w:pPr>
            <w:r>
              <w:rPr>
                <w:spacing w:val="-3"/>
                <w:sz w:val="21"/>
              </w:rPr>
              <w:t>我们拥有获得使用被保险人的血液样本的权利和能够对这些样本进行独立</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4"/>
                <w:sz w:val="21"/>
              </w:rPr>
              <w:t>检验的权利。</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3"/>
                <w:sz w:val="21"/>
              </w:rPr>
              <w:t>我们承担本项疾病责任不受本合同“责任免除”中“被保险人感染艾滋病病</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4" w:type="dxa"/>
          </w:tcPr>
          <w:p>
            <w:pPr>
              <w:pStyle w:val="TableParagraph"/>
              <w:spacing w:before="22"/>
              <w:ind w:left="152"/>
              <w:rPr>
                <w:sz w:val="21"/>
              </w:rPr>
            </w:pPr>
            <w:r>
              <w:rPr>
                <w:spacing w:val="-3"/>
                <w:sz w:val="21"/>
              </w:rPr>
              <w:t>毒或患艾滋病”的限制。</w:t>
            </w:r>
          </w:p>
        </w:tc>
      </w:tr>
      <w:tr>
        <w:trPr>
          <w:trHeight w:val="467" w:hRule="atLeast"/>
        </w:trPr>
        <w:tc>
          <w:tcPr>
            <w:tcW w:w="937" w:type="dxa"/>
          </w:tcPr>
          <w:p>
            <w:pPr>
              <w:pStyle w:val="TableParagraph"/>
              <w:spacing w:before="178"/>
              <w:ind w:left="50"/>
              <w:rPr>
                <w:b/>
                <w:sz w:val="21"/>
              </w:rPr>
            </w:pPr>
            <w:r>
              <w:rPr>
                <w:b/>
                <w:spacing w:val="-2"/>
                <w:sz w:val="21"/>
              </w:rPr>
              <w:t>9.8.88</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进行性多灶性</w:t>
            </w:r>
          </w:p>
        </w:tc>
        <w:tc>
          <w:tcPr>
            <w:tcW w:w="7224" w:type="dxa"/>
          </w:tcPr>
          <w:p>
            <w:pPr>
              <w:pStyle w:val="TableParagraph"/>
              <w:spacing w:before="178"/>
              <w:ind w:left="152"/>
              <w:rPr>
                <w:sz w:val="21"/>
              </w:rPr>
            </w:pPr>
            <w:r>
              <w:rPr>
                <w:spacing w:val="-3"/>
                <w:sz w:val="21"/>
              </w:rPr>
              <w:t>是一种亚急性脱髓鞘性脑病，常常发现于免疫缺陷的病人。必须由神经科专</w:t>
            </w:r>
          </w:p>
        </w:tc>
      </w:tr>
      <w:tr>
        <w:trPr>
          <w:trHeight w:val="261" w:hRule="atLeast"/>
        </w:trPr>
        <w:tc>
          <w:tcPr>
            <w:tcW w:w="937" w:type="dxa"/>
          </w:tcPr>
          <w:p>
            <w:pPr>
              <w:pStyle w:val="TableParagraph"/>
              <w:rPr>
                <w:rFonts w:ascii="Times New Roman"/>
                <w:sz w:val="18"/>
              </w:rPr>
            </w:pPr>
          </w:p>
        </w:tc>
        <w:tc>
          <w:tcPr>
            <w:tcW w:w="1671" w:type="dxa"/>
          </w:tcPr>
          <w:p>
            <w:pPr>
              <w:pStyle w:val="TableParagraph"/>
              <w:spacing w:line="220" w:lineRule="exact" w:before="22"/>
              <w:ind w:left="250"/>
              <w:rPr>
                <w:rFonts w:ascii="楷体" w:eastAsia="楷体" w:hint="eastAsia"/>
                <w:b/>
                <w:sz w:val="21"/>
              </w:rPr>
            </w:pPr>
            <w:r>
              <w:rPr>
                <w:rFonts w:ascii="楷体" w:eastAsia="楷体" w:hint="eastAsia"/>
                <w:b/>
                <w:spacing w:val="-3"/>
                <w:sz w:val="21"/>
              </w:rPr>
              <w:t>白质脑病</w:t>
            </w:r>
          </w:p>
        </w:tc>
        <w:tc>
          <w:tcPr>
            <w:tcW w:w="7224" w:type="dxa"/>
          </w:tcPr>
          <w:p>
            <w:pPr>
              <w:pStyle w:val="TableParagraph"/>
              <w:spacing w:line="220" w:lineRule="exact" w:before="22"/>
              <w:ind w:left="152"/>
              <w:rPr>
                <w:sz w:val="21"/>
              </w:rPr>
            </w:pPr>
            <w:r>
              <w:rPr>
                <w:spacing w:val="-3"/>
                <w:sz w:val="21"/>
              </w:rPr>
              <w:t>科医生根据脑组织活检确诊。</w:t>
            </w:r>
          </w:p>
        </w:tc>
      </w:tr>
    </w:tbl>
    <w:p>
      <w:pPr>
        <w:spacing w:after="0" w:line="220" w:lineRule="exact"/>
        <w:rPr>
          <w:sz w:val="21"/>
        </w:rPr>
        <w:sectPr>
          <w:type w:val="continuous"/>
          <w:pgSz w:w="11910" w:h="16840"/>
          <w:pgMar w:top="1280" w:bottom="1192" w:left="680" w:right="460"/>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229"/>
      </w:tblGrid>
      <w:tr>
        <w:trPr>
          <w:trHeight w:val="261" w:hRule="atLeast"/>
        </w:trPr>
        <w:tc>
          <w:tcPr>
            <w:tcW w:w="937" w:type="dxa"/>
          </w:tcPr>
          <w:p>
            <w:pPr>
              <w:pStyle w:val="TableParagraph"/>
              <w:spacing w:line="241" w:lineRule="exact"/>
              <w:ind w:left="50"/>
              <w:rPr>
                <w:b/>
                <w:sz w:val="21"/>
              </w:rPr>
            </w:pPr>
            <w:r>
              <w:rPr>
                <w:b/>
                <w:spacing w:val="-2"/>
                <w:sz w:val="21"/>
              </w:rPr>
              <w:t>9.8.89</w:t>
            </w:r>
          </w:p>
        </w:tc>
        <w:tc>
          <w:tcPr>
            <w:tcW w:w="1671" w:type="dxa"/>
          </w:tcPr>
          <w:p>
            <w:pPr>
              <w:pStyle w:val="TableParagraph"/>
              <w:spacing w:line="241" w:lineRule="exact"/>
              <w:ind w:left="250"/>
              <w:rPr>
                <w:rFonts w:ascii="楷体" w:eastAsia="楷体" w:hint="eastAsia"/>
                <w:b/>
                <w:sz w:val="21"/>
              </w:rPr>
            </w:pPr>
            <w:r>
              <w:rPr>
                <w:rFonts w:ascii="楷体" w:eastAsia="楷体" w:hint="eastAsia"/>
                <w:b/>
                <w:spacing w:val="-2"/>
                <w:sz w:val="21"/>
              </w:rPr>
              <w:t>脊髓小脑变性</w:t>
            </w:r>
          </w:p>
        </w:tc>
        <w:tc>
          <w:tcPr>
            <w:tcW w:w="7229" w:type="dxa"/>
          </w:tcPr>
          <w:p>
            <w:pPr>
              <w:pStyle w:val="TableParagraph"/>
              <w:spacing w:line="241" w:lineRule="exact"/>
              <w:ind w:left="152"/>
              <w:rPr>
                <w:sz w:val="21"/>
              </w:rPr>
            </w:pPr>
            <w:r>
              <w:rPr>
                <w:spacing w:val="-3"/>
                <w:sz w:val="21"/>
              </w:rPr>
              <w:t>脊髓小脑变性症为一组以小脑萎缩和共济失调为主要临床特点的疾病。必须</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w w:val="100"/>
                <w:sz w:val="21"/>
              </w:rPr>
              <w:t>症</w:t>
            </w:r>
          </w:p>
        </w:tc>
        <w:tc>
          <w:tcPr>
            <w:tcW w:w="7229" w:type="dxa"/>
          </w:tcPr>
          <w:p>
            <w:pPr>
              <w:pStyle w:val="TableParagraph"/>
              <w:spacing w:before="22"/>
              <w:ind w:left="152"/>
              <w:rPr>
                <w:sz w:val="21"/>
              </w:rPr>
            </w:pPr>
            <w:r>
              <w:rPr>
                <w:spacing w:val="-3"/>
                <w:sz w:val="21"/>
              </w:rPr>
              <w:t>符合所有以下条件：</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2"/>
                <w:sz w:val="21"/>
              </w:rPr>
              <w:t>（1）</w:t>
            </w:r>
            <w:r>
              <w:rPr>
                <w:spacing w:val="-3"/>
                <w:sz w:val="21"/>
              </w:rPr>
              <w:t>脊髓小脑变性症必须由专科医生诊断，并有以下证据支持：</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2"/>
                <w:sz w:val="21"/>
              </w:rPr>
              <w:t>1.1</w:t>
            </w:r>
            <w:r>
              <w:rPr>
                <w:spacing w:val="-10"/>
                <w:sz w:val="21"/>
              </w:rPr>
              <w:t> 影像学检查证实存在小脑萎缩；</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2"/>
                <w:sz w:val="21"/>
              </w:rPr>
              <w:t>1.2</w:t>
            </w:r>
            <w:r>
              <w:rPr>
                <w:spacing w:val="-9"/>
                <w:sz w:val="21"/>
              </w:rPr>
              <w:t> 临床表现存在共济失调、语言障碍和肌张力异常。</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2"/>
                <w:sz w:val="21"/>
              </w:rPr>
              <w:t>（2）</w:t>
            </w:r>
            <w:r>
              <w:rPr>
                <w:spacing w:val="-3"/>
                <w:sz w:val="21"/>
              </w:rPr>
              <w:t>被保险人运动功能严重障碍，自主生活能力完全丧失，无法独立完成</w:t>
            </w:r>
          </w:p>
        </w:tc>
      </w:tr>
      <w:tr>
        <w:trPr>
          <w:trHeight w:val="467"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3"/>
                <w:sz w:val="21"/>
              </w:rPr>
              <w:t>六项基本日常生活活动中的三项或三项以上。</w:t>
            </w:r>
          </w:p>
        </w:tc>
      </w:tr>
      <w:tr>
        <w:trPr>
          <w:trHeight w:val="467" w:hRule="atLeast"/>
        </w:trPr>
        <w:tc>
          <w:tcPr>
            <w:tcW w:w="937" w:type="dxa"/>
          </w:tcPr>
          <w:p>
            <w:pPr>
              <w:pStyle w:val="TableParagraph"/>
              <w:spacing w:before="178"/>
              <w:ind w:left="50"/>
              <w:rPr>
                <w:b/>
                <w:sz w:val="21"/>
              </w:rPr>
            </w:pPr>
            <w:r>
              <w:rPr>
                <w:b/>
                <w:spacing w:val="-2"/>
                <w:sz w:val="21"/>
              </w:rPr>
              <w:t>9.8.90</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婴儿进行性脊</w:t>
            </w:r>
          </w:p>
        </w:tc>
        <w:tc>
          <w:tcPr>
            <w:tcW w:w="7229" w:type="dxa"/>
          </w:tcPr>
          <w:p>
            <w:pPr>
              <w:pStyle w:val="TableParagraph"/>
              <w:spacing w:before="178"/>
              <w:ind w:left="152"/>
              <w:rPr>
                <w:sz w:val="21"/>
              </w:rPr>
            </w:pPr>
            <w:r>
              <w:rPr>
                <w:spacing w:val="-3"/>
                <w:sz w:val="21"/>
              </w:rPr>
              <w:t>是累及脊髓前角细胞及延髓运动核的神经元退行性变性病。在出生后两年内</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3"/>
                <w:sz w:val="21"/>
              </w:rPr>
              <w:t>肌萎缩症</w:t>
            </w:r>
          </w:p>
        </w:tc>
        <w:tc>
          <w:tcPr>
            <w:tcW w:w="7229" w:type="dxa"/>
          </w:tcPr>
          <w:p>
            <w:pPr>
              <w:pStyle w:val="TableParagraph"/>
              <w:spacing w:before="22"/>
              <w:ind w:left="152"/>
              <w:rPr>
                <w:sz w:val="21"/>
              </w:rPr>
            </w:pPr>
            <w:r>
              <w:rPr>
                <w:spacing w:val="-3"/>
                <w:sz w:val="21"/>
              </w:rPr>
              <w:t>出现的脊髓和脑干颅神经前角细胞进行性机能障碍，伴随肌肉无力和延髓机</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4"/>
                <w:sz w:val="21"/>
              </w:rPr>
              <w:t>能障碍。</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3"/>
                <w:sz w:val="21"/>
              </w:rPr>
              <w:t>我们承担本项疾病责任不受本合同“责任免除”中“遗传性疾病、先天性畸</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3"/>
                <w:sz w:val="21"/>
              </w:rPr>
              <w:t>形、变形或染色体异常”的限制。</w:t>
            </w:r>
          </w:p>
        </w:tc>
      </w:tr>
      <w:tr>
        <w:trPr>
          <w:trHeight w:val="467" w:hRule="atLeast"/>
        </w:trPr>
        <w:tc>
          <w:tcPr>
            <w:tcW w:w="937" w:type="dxa"/>
          </w:tcPr>
          <w:p>
            <w:pPr>
              <w:pStyle w:val="TableParagraph"/>
              <w:spacing w:before="178"/>
              <w:ind w:left="50"/>
              <w:rPr>
                <w:b/>
                <w:sz w:val="21"/>
              </w:rPr>
            </w:pPr>
            <w:r>
              <w:rPr>
                <w:b/>
                <w:spacing w:val="-2"/>
                <w:sz w:val="21"/>
              </w:rPr>
              <w:t>9.8.91</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多处臂丛神经</w:t>
            </w:r>
          </w:p>
        </w:tc>
        <w:tc>
          <w:tcPr>
            <w:tcW w:w="7229" w:type="dxa"/>
          </w:tcPr>
          <w:p>
            <w:pPr>
              <w:pStyle w:val="TableParagraph"/>
              <w:spacing w:before="178"/>
              <w:ind w:left="152"/>
              <w:rPr>
                <w:sz w:val="21"/>
              </w:rPr>
            </w:pPr>
            <w:r>
              <w:rPr>
                <w:spacing w:val="-3"/>
                <w:sz w:val="21"/>
              </w:rPr>
              <w:t>由于疾病或意外导致两侧臂丛神经根性撕脱，所造成的双侧手臂感觉功能与</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3"/>
                <w:sz w:val="21"/>
              </w:rPr>
              <w:t>根性撕脱</w:t>
            </w:r>
          </w:p>
        </w:tc>
        <w:tc>
          <w:tcPr>
            <w:tcW w:w="7229" w:type="dxa"/>
          </w:tcPr>
          <w:p>
            <w:pPr>
              <w:pStyle w:val="TableParagraph"/>
              <w:spacing w:before="22"/>
              <w:ind w:left="152"/>
              <w:rPr>
                <w:sz w:val="21"/>
              </w:rPr>
            </w:pPr>
            <w:r>
              <w:rPr>
                <w:spacing w:val="-3"/>
                <w:sz w:val="21"/>
              </w:rPr>
              <w:t>运动功能完全永久性丧失。须由医院专科医生明确诊断，并且有电生理检查</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4"/>
                <w:sz w:val="21"/>
              </w:rPr>
              <w:t>结果证实。</w:t>
            </w:r>
          </w:p>
        </w:tc>
      </w:tr>
      <w:tr>
        <w:trPr>
          <w:trHeight w:val="468" w:hRule="atLeast"/>
        </w:trPr>
        <w:tc>
          <w:tcPr>
            <w:tcW w:w="937" w:type="dxa"/>
          </w:tcPr>
          <w:p>
            <w:pPr>
              <w:pStyle w:val="TableParagraph"/>
              <w:spacing w:before="178"/>
              <w:ind w:left="50"/>
              <w:rPr>
                <w:b/>
                <w:sz w:val="21"/>
              </w:rPr>
            </w:pPr>
            <w:r>
              <w:rPr>
                <w:b/>
                <w:spacing w:val="-2"/>
                <w:sz w:val="21"/>
              </w:rPr>
              <w:t>9.8.92</w:t>
            </w:r>
          </w:p>
        </w:tc>
        <w:tc>
          <w:tcPr>
            <w:tcW w:w="1671" w:type="dxa"/>
          </w:tcPr>
          <w:p>
            <w:pPr>
              <w:pStyle w:val="TableParagraph"/>
              <w:spacing w:before="178"/>
              <w:ind w:left="250"/>
              <w:rPr>
                <w:rFonts w:ascii="楷体" w:eastAsia="楷体" w:hint="eastAsia"/>
                <w:b/>
                <w:sz w:val="21"/>
              </w:rPr>
            </w:pPr>
            <w:r>
              <w:rPr>
                <w:rFonts w:ascii="楷体" w:eastAsia="楷体" w:hint="eastAsia"/>
                <w:b/>
                <w:w w:val="95"/>
                <w:sz w:val="21"/>
              </w:rPr>
              <w:t>Brugada</w:t>
            </w:r>
            <w:r>
              <w:rPr>
                <w:rFonts w:ascii="楷体" w:eastAsia="楷体" w:hint="eastAsia"/>
                <w:b/>
                <w:spacing w:val="-6"/>
                <w:w w:val="95"/>
                <w:sz w:val="21"/>
              </w:rPr>
              <w:t> </w:t>
            </w:r>
            <w:r>
              <w:rPr>
                <w:rFonts w:ascii="楷体" w:eastAsia="楷体" w:hint="eastAsia"/>
                <w:b/>
                <w:w w:val="95"/>
                <w:sz w:val="21"/>
              </w:rPr>
              <w:t>综</w:t>
            </w:r>
            <w:r>
              <w:rPr>
                <w:rFonts w:ascii="楷体" w:eastAsia="楷体" w:hint="eastAsia"/>
                <w:b/>
                <w:spacing w:val="-10"/>
                <w:w w:val="95"/>
                <w:sz w:val="21"/>
              </w:rPr>
              <w:t>合</w:t>
            </w:r>
          </w:p>
        </w:tc>
        <w:tc>
          <w:tcPr>
            <w:tcW w:w="7229" w:type="dxa"/>
          </w:tcPr>
          <w:p>
            <w:pPr>
              <w:pStyle w:val="TableParagraph"/>
              <w:spacing w:before="178"/>
              <w:ind w:left="152"/>
              <w:rPr>
                <w:sz w:val="21"/>
              </w:rPr>
            </w:pPr>
            <w:r>
              <w:rPr>
                <w:spacing w:val="-3"/>
                <w:sz w:val="21"/>
              </w:rPr>
              <w:t>由心脏科专科医生根据临床症状和典型心电图表现明确诊断，并且经专科医</w:t>
            </w:r>
          </w:p>
        </w:tc>
      </w:tr>
      <w:tr>
        <w:trPr>
          <w:trHeight w:val="467"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w w:val="100"/>
                <w:sz w:val="21"/>
              </w:rPr>
              <w:t>征</w:t>
            </w:r>
          </w:p>
        </w:tc>
        <w:tc>
          <w:tcPr>
            <w:tcW w:w="7229" w:type="dxa"/>
          </w:tcPr>
          <w:p>
            <w:pPr>
              <w:pStyle w:val="TableParagraph"/>
              <w:spacing w:before="22"/>
              <w:ind w:left="152"/>
              <w:rPr>
                <w:sz w:val="21"/>
              </w:rPr>
            </w:pPr>
            <w:r>
              <w:rPr>
                <w:spacing w:val="-3"/>
                <w:sz w:val="21"/>
              </w:rPr>
              <w:t>生判断认为必须安装且实际已安装了永久性心脏除颤器。</w:t>
            </w:r>
          </w:p>
        </w:tc>
      </w:tr>
      <w:tr>
        <w:trPr>
          <w:trHeight w:val="467" w:hRule="atLeast"/>
        </w:trPr>
        <w:tc>
          <w:tcPr>
            <w:tcW w:w="937" w:type="dxa"/>
          </w:tcPr>
          <w:p>
            <w:pPr>
              <w:pStyle w:val="TableParagraph"/>
              <w:spacing w:before="178"/>
              <w:ind w:left="50"/>
              <w:rPr>
                <w:b/>
                <w:sz w:val="21"/>
              </w:rPr>
            </w:pPr>
            <w:r>
              <w:rPr>
                <w:b/>
                <w:spacing w:val="-2"/>
                <w:sz w:val="21"/>
              </w:rPr>
              <w:t>9.8.93</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艾森门格综合</w:t>
            </w:r>
          </w:p>
        </w:tc>
        <w:tc>
          <w:tcPr>
            <w:tcW w:w="7229" w:type="dxa"/>
          </w:tcPr>
          <w:p>
            <w:pPr>
              <w:pStyle w:val="TableParagraph"/>
              <w:spacing w:before="178"/>
              <w:ind w:left="152"/>
              <w:rPr>
                <w:sz w:val="21"/>
              </w:rPr>
            </w:pPr>
            <w:r>
              <w:rPr>
                <w:spacing w:val="-3"/>
                <w:sz w:val="21"/>
              </w:rPr>
              <w:t>因心脏病导致的严重肺动脉高压及右向左分流。诊断必须由心脏专科医生经</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w w:val="100"/>
                <w:sz w:val="21"/>
              </w:rPr>
              <w:t>征</w:t>
            </w:r>
          </w:p>
        </w:tc>
        <w:tc>
          <w:tcPr>
            <w:tcW w:w="7229" w:type="dxa"/>
          </w:tcPr>
          <w:p>
            <w:pPr>
              <w:pStyle w:val="TableParagraph"/>
              <w:spacing w:before="22"/>
              <w:ind w:left="152"/>
              <w:rPr>
                <w:sz w:val="21"/>
              </w:rPr>
            </w:pPr>
            <w:r>
              <w:rPr>
                <w:spacing w:val="-3"/>
                <w:sz w:val="21"/>
              </w:rPr>
              <w:t>超声心动图和心导管检查证实及需符合以下所有标准：</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2"/>
                <w:sz w:val="21"/>
              </w:rPr>
              <w:t>（1）</w:t>
            </w:r>
            <w:r>
              <w:rPr>
                <w:spacing w:val="-7"/>
                <w:sz w:val="21"/>
              </w:rPr>
              <w:t>平均肺动脉压高于 </w:t>
            </w:r>
            <w:r>
              <w:rPr>
                <w:spacing w:val="-2"/>
                <w:sz w:val="21"/>
              </w:rPr>
              <w:t>40mmHg；</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2"/>
                <w:sz w:val="21"/>
              </w:rPr>
              <w:t>（2）</w:t>
            </w:r>
            <w:r>
              <w:rPr>
                <w:spacing w:val="-7"/>
                <w:sz w:val="21"/>
              </w:rPr>
              <w:t>肺血管阻力高于 </w:t>
            </w:r>
            <w:r>
              <w:rPr>
                <w:spacing w:val="-2"/>
                <w:sz w:val="21"/>
              </w:rPr>
              <w:t>3mm/L/min（Wood</w:t>
            </w:r>
            <w:r>
              <w:rPr>
                <w:spacing w:val="-16"/>
                <w:sz w:val="21"/>
              </w:rPr>
              <w:t> 单位</w:t>
            </w:r>
            <w:r>
              <w:rPr>
                <w:spacing w:val="-113"/>
                <w:sz w:val="21"/>
              </w:rPr>
              <w:t>）</w:t>
            </w:r>
            <w:r>
              <w:rPr>
                <w:spacing w:val="-5"/>
                <w:sz w:val="21"/>
              </w:rPr>
              <w:t>；</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2"/>
                <w:sz w:val="21"/>
              </w:rPr>
              <w:t>（3）</w:t>
            </w:r>
            <w:r>
              <w:rPr>
                <w:spacing w:val="-6"/>
                <w:sz w:val="21"/>
              </w:rPr>
              <w:t>正常肺微血管楔压低于 </w:t>
            </w:r>
            <w:r>
              <w:rPr>
                <w:spacing w:val="-2"/>
                <w:sz w:val="21"/>
              </w:rPr>
              <w:t>15mmHg</w:t>
            </w:r>
            <w:r>
              <w:rPr>
                <w:spacing w:val="-10"/>
                <w:sz w:val="21"/>
              </w:rPr>
              <w:t>。</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3"/>
                <w:sz w:val="21"/>
              </w:rPr>
              <w:t>我们承担本项疾病责任不受本合同“责任免除”中“遗传性疾病、先天性畸</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3"/>
                <w:sz w:val="21"/>
              </w:rPr>
              <w:t>形、变形或染色体异常”的限制。</w:t>
            </w:r>
          </w:p>
        </w:tc>
      </w:tr>
      <w:tr>
        <w:trPr>
          <w:trHeight w:val="468" w:hRule="atLeast"/>
        </w:trPr>
        <w:tc>
          <w:tcPr>
            <w:tcW w:w="937" w:type="dxa"/>
          </w:tcPr>
          <w:p>
            <w:pPr>
              <w:pStyle w:val="TableParagraph"/>
              <w:spacing w:before="178"/>
              <w:ind w:left="50"/>
              <w:rPr>
                <w:b/>
                <w:sz w:val="21"/>
              </w:rPr>
            </w:pPr>
            <w:r>
              <w:rPr>
                <w:b/>
                <w:spacing w:val="-2"/>
                <w:sz w:val="21"/>
              </w:rPr>
              <w:t>9.8.94</w:t>
            </w:r>
          </w:p>
        </w:tc>
        <w:tc>
          <w:tcPr>
            <w:tcW w:w="1671" w:type="dxa"/>
          </w:tcPr>
          <w:p>
            <w:pPr>
              <w:pStyle w:val="TableParagraph"/>
              <w:spacing w:before="178"/>
              <w:ind w:left="250"/>
              <w:rPr>
                <w:rFonts w:ascii="楷体" w:eastAsia="楷体" w:hint="eastAsia"/>
                <w:b/>
                <w:sz w:val="21"/>
              </w:rPr>
            </w:pPr>
            <w:r>
              <w:rPr>
                <w:rFonts w:ascii="楷体" w:eastAsia="楷体" w:hint="eastAsia"/>
                <w:b/>
                <w:spacing w:val="-2"/>
                <w:sz w:val="21"/>
              </w:rPr>
              <w:t>细菌性脑脊髓</w:t>
            </w:r>
          </w:p>
        </w:tc>
        <w:tc>
          <w:tcPr>
            <w:tcW w:w="7229" w:type="dxa"/>
          </w:tcPr>
          <w:p>
            <w:pPr>
              <w:pStyle w:val="TableParagraph"/>
              <w:spacing w:before="178"/>
              <w:ind w:left="152"/>
              <w:rPr>
                <w:sz w:val="21"/>
              </w:rPr>
            </w:pPr>
            <w:r>
              <w:rPr>
                <w:spacing w:val="-3"/>
                <w:sz w:val="21"/>
              </w:rPr>
              <w:t>指因脑膜炎双球菌感染引起脑脊髓膜化脓性病变，且导致永久性神经损害，</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5"/>
                <w:sz w:val="21"/>
              </w:rPr>
              <w:t>膜炎</w:t>
            </w:r>
          </w:p>
        </w:tc>
        <w:tc>
          <w:tcPr>
            <w:tcW w:w="7229" w:type="dxa"/>
          </w:tcPr>
          <w:p>
            <w:pPr>
              <w:pStyle w:val="TableParagraph"/>
              <w:spacing w:before="22"/>
              <w:ind w:left="152"/>
              <w:rPr>
                <w:sz w:val="21"/>
              </w:rPr>
            </w:pPr>
            <w:r>
              <w:rPr>
                <w:spacing w:val="-17"/>
                <w:sz w:val="21"/>
              </w:rPr>
              <w:t>持续 </w:t>
            </w:r>
            <w:r>
              <w:rPr>
                <w:spacing w:val="-2"/>
                <w:sz w:val="21"/>
              </w:rPr>
              <w:t>180</w:t>
            </w:r>
            <w:r>
              <w:rPr>
                <w:spacing w:val="-10"/>
                <w:sz w:val="21"/>
              </w:rPr>
              <w:t> 天以上，并且脑脊液检查显示脑膜炎双球菌阳性。</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9"/>
                <w:sz w:val="21"/>
              </w:rPr>
              <w:t>永久性神经损害是指由细菌性脑脊髓膜炎引起的耳聋、失明、动眼神经麻痹、</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4"/>
                <w:sz w:val="21"/>
              </w:rPr>
              <w:t>瘫痪、脑积水、智力或性情中度以上的损害，且上述症状持续 </w:t>
            </w:r>
            <w:r>
              <w:rPr>
                <w:spacing w:val="-2"/>
                <w:sz w:val="21"/>
              </w:rPr>
              <w:t>180</w:t>
            </w:r>
            <w:r>
              <w:rPr>
                <w:spacing w:val="-14"/>
                <w:sz w:val="21"/>
              </w:rPr>
              <w:t> 天以上仍</w:t>
            </w:r>
          </w:p>
        </w:tc>
      </w:tr>
      <w:tr>
        <w:trPr>
          <w:trHeight w:val="468"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4"/>
                <w:sz w:val="21"/>
              </w:rPr>
              <w:t>无改善迹象。</w:t>
            </w:r>
          </w:p>
        </w:tc>
      </w:tr>
      <w:tr>
        <w:trPr>
          <w:trHeight w:val="468" w:hRule="atLeast"/>
        </w:trPr>
        <w:tc>
          <w:tcPr>
            <w:tcW w:w="937" w:type="dxa"/>
          </w:tcPr>
          <w:p>
            <w:pPr>
              <w:pStyle w:val="TableParagraph"/>
              <w:spacing w:before="178"/>
              <w:ind w:left="50"/>
              <w:rPr>
                <w:b/>
                <w:sz w:val="21"/>
              </w:rPr>
            </w:pPr>
            <w:r>
              <w:rPr>
                <w:b/>
                <w:spacing w:val="-2"/>
                <w:sz w:val="21"/>
              </w:rPr>
              <w:t>9.8.95</w:t>
            </w:r>
          </w:p>
        </w:tc>
        <w:tc>
          <w:tcPr>
            <w:tcW w:w="1671" w:type="dxa"/>
          </w:tcPr>
          <w:p>
            <w:pPr>
              <w:pStyle w:val="TableParagraph"/>
              <w:spacing w:before="178"/>
              <w:ind w:left="250"/>
              <w:rPr>
                <w:rFonts w:ascii="楷体" w:eastAsia="楷体" w:hint="eastAsia"/>
                <w:b/>
                <w:sz w:val="21"/>
              </w:rPr>
            </w:pPr>
            <w:r>
              <w:rPr>
                <w:rFonts w:ascii="楷体" w:eastAsia="楷体" w:hint="eastAsia"/>
                <w:b/>
                <w:spacing w:val="-3"/>
                <w:sz w:val="21"/>
              </w:rPr>
              <w:t>严重癫痫</w:t>
            </w:r>
          </w:p>
        </w:tc>
        <w:tc>
          <w:tcPr>
            <w:tcW w:w="7229" w:type="dxa"/>
          </w:tcPr>
          <w:p>
            <w:pPr>
              <w:pStyle w:val="TableParagraph"/>
              <w:spacing w:before="178"/>
              <w:ind w:left="152"/>
              <w:rPr>
                <w:sz w:val="21"/>
              </w:rPr>
            </w:pPr>
            <w:r>
              <w:rPr>
                <w:spacing w:val="-3"/>
                <w:sz w:val="21"/>
              </w:rPr>
              <w:t>本疾病的诊断须由神经科或儿科专科医生根据典型临床症状和脑电图及</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4"/>
                <w:sz w:val="21"/>
              </w:rPr>
              <w:t>MRI、PET、CT</w:t>
            </w:r>
            <w:r>
              <w:rPr>
                <w:spacing w:val="-13"/>
                <w:sz w:val="21"/>
              </w:rPr>
              <w:t> 等影像学检查做出。理赔时必须提供 </w:t>
            </w:r>
            <w:r>
              <w:rPr>
                <w:spacing w:val="-4"/>
                <w:sz w:val="21"/>
              </w:rPr>
              <w:t>6</w:t>
            </w:r>
            <w:r>
              <w:rPr>
                <w:spacing w:val="-10"/>
                <w:sz w:val="21"/>
              </w:rPr>
              <w:t> 个月以上的相关病历记</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3"/>
                <w:sz w:val="21"/>
              </w:rPr>
              <w:t>录证明被保险人存在经抗癫痫药物治疗无效而反复发作的强直阵挛性发作</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3"/>
                <w:sz w:val="21"/>
              </w:rPr>
              <w:t>或癫痫大发作，且已进行神经外科手术以治疗反复发作的癫痫。</w:t>
            </w:r>
          </w:p>
          <w:p>
            <w:pPr>
              <w:pStyle w:val="TableParagraph"/>
              <w:spacing w:before="33"/>
              <w:ind w:left="152"/>
              <w:rPr>
                <w:b/>
                <w:i/>
                <w:sz w:val="22"/>
              </w:rPr>
            </w:pPr>
            <w:r>
              <w:rPr>
                <w:b/>
                <w:i/>
                <w:spacing w:val="-6"/>
                <w:w w:val="95"/>
                <w:sz w:val="22"/>
              </w:rPr>
              <w:t>发热性惊厥以及没有全身性发作的失神发作</w:t>
            </w:r>
            <w:r>
              <w:rPr>
                <w:b/>
                <w:i/>
                <w:spacing w:val="-2"/>
                <w:w w:val="95"/>
                <w:sz w:val="22"/>
              </w:rPr>
              <w:t>（癫痫小发作</w:t>
            </w:r>
            <w:r>
              <w:rPr>
                <w:b/>
                <w:i/>
                <w:spacing w:val="-75"/>
                <w:w w:val="95"/>
                <w:sz w:val="22"/>
              </w:rPr>
              <w:t>）</w:t>
            </w:r>
            <w:r>
              <w:rPr>
                <w:b/>
                <w:i/>
                <w:spacing w:val="-3"/>
                <w:w w:val="95"/>
                <w:sz w:val="22"/>
              </w:rPr>
              <w:t>不在保障范围内。</w:t>
            </w:r>
          </w:p>
        </w:tc>
      </w:tr>
      <w:tr>
        <w:trPr>
          <w:trHeight w:val="467" w:hRule="atLeast"/>
        </w:trPr>
        <w:tc>
          <w:tcPr>
            <w:tcW w:w="937" w:type="dxa"/>
          </w:tcPr>
          <w:p>
            <w:pPr>
              <w:pStyle w:val="TableParagraph"/>
              <w:spacing w:before="177"/>
              <w:ind w:left="50"/>
              <w:rPr>
                <w:b/>
                <w:sz w:val="21"/>
              </w:rPr>
            </w:pPr>
            <w:r>
              <w:rPr>
                <w:b/>
                <w:spacing w:val="-2"/>
                <w:sz w:val="21"/>
              </w:rPr>
              <w:t>9.8.96</w:t>
            </w:r>
          </w:p>
        </w:tc>
        <w:tc>
          <w:tcPr>
            <w:tcW w:w="1671" w:type="dxa"/>
          </w:tcPr>
          <w:p>
            <w:pPr>
              <w:pStyle w:val="TableParagraph"/>
              <w:spacing w:before="177"/>
              <w:ind w:left="250"/>
              <w:rPr>
                <w:rFonts w:ascii="楷体" w:eastAsia="楷体" w:hint="eastAsia"/>
                <w:b/>
                <w:sz w:val="21"/>
              </w:rPr>
            </w:pPr>
            <w:r>
              <w:rPr>
                <w:rFonts w:ascii="楷体" w:eastAsia="楷体" w:hint="eastAsia"/>
                <w:b/>
                <w:spacing w:val="-2"/>
                <w:sz w:val="21"/>
              </w:rPr>
              <w:t>疾病或外伤所</w:t>
            </w:r>
          </w:p>
        </w:tc>
        <w:tc>
          <w:tcPr>
            <w:tcW w:w="7229" w:type="dxa"/>
          </w:tcPr>
          <w:p>
            <w:pPr>
              <w:pStyle w:val="TableParagraph"/>
              <w:spacing w:before="177"/>
              <w:ind w:left="152"/>
              <w:rPr>
                <w:sz w:val="21"/>
              </w:rPr>
            </w:pPr>
            <w:r>
              <w:rPr>
                <w:spacing w:val="-2"/>
                <w:sz w:val="21"/>
              </w:rPr>
              <w:t>因严重头部创伤或疾病造成被保险人智力低常（智力低于常态</w:t>
            </w:r>
            <w:r>
              <w:rPr>
                <w:spacing w:val="-106"/>
                <w:sz w:val="21"/>
              </w:rPr>
              <w:t>）</w:t>
            </w:r>
            <w:r>
              <w:rPr>
                <w:spacing w:val="-4"/>
                <w:sz w:val="21"/>
              </w:rPr>
              <w:t>。根据智商</w:t>
            </w:r>
          </w:p>
        </w:tc>
      </w:tr>
      <w:tr>
        <w:trPr>
          <w:trHeight w:val="311" w:hRule="atLeast"/>
        </w:trPr>
        <w:tc>
          <w:tcPr>
            <w:tcW w:w="937" w:type="dxa"/>
          </w:tcPr>
          <w:p>
            <w:pPr>
              <w:pStyle w:val="TableParagraph"/>
              <w:rPr>
                <w:rFonts w:ascii="Times New Roman"/>
                <w:sz w:val="20"/>
              </w:rPr>
            </w:pPr>
          </w:p>
        </w:tc>
        <w:tc>
          <w:tcPr>
            <w:tcW w:w="1671" w:type="dxa"/>
          </w:tcPr>
          <w:p>
            <w:pPr>
              <w:pStyle w:val="TableParagraph"/>
              <w:spacing w:before="22"/>
              <w:ind w:left="250"/>
              <w:rPr>
                <w:rFonts w:ascii="楷体" w:eastAsia="楷体" w:hint="eastAsia"/>
                <w:b/>
                <w:sz w:val="21"/>
              </w:rPr>
            </w:pPr>
            <w:r>
              <w:rPr>
                <w:rFonts w:ascii="楷体" w:eastAsia="楷体" w:hint="eastAsia"/>
                <w:b/>
                <w:spacing w:val="-2"/>
                <w:sz w:val="21"/>
              </w:rPr>
              <w:t>致智力障碍</w:t>
            </w:r>
          </w:p>
        </w:tc>
        <w:tc>
          <w:tcPr>
            <w:tcW w:w="7229" w:type="dxa"/>
          </w:tcPr>
          <w:p>
            <w:pPr>
              <w:pStyle w:val="TableParagraph"/>
              <w:spacing w:before="22"/>
              <w:ind w:left="152"/>
              <w:rPr>
                <w:sz w:val="21"/>
              </w:rPr>
            </w:pPr>
            <w:r>
              <w:rPr>
                <w:spacing w:val="14"/>
                <w:sz w:val="21"/>
              </w:rPr>
              <w:t>（IQ</w:t>
            </w:r>
            <w:r>
              <w:rPr>
                <w:spacing w:val="-94"/>
                <w:sz w:val="21"/>
              </w:rPr>
              <w:t>）</w:t>
            </w:r>
            <w:r>
              <w:rPr>
                <w:spacing w:val="-12"/>
                <w:sz w:val="21"/>
              </w:rPr>
              <w:t>，智力低常分为中度（IQ35-</w:t>
            </w:r>
            <w:r>
              <w:rPr>
                <w:spacing w:val="22"/>
                <w:sz w:val="21"/>
              </w:rPr>
              <w:t>5</w:t>
            </w:r>
            <w:r>
              <w:rPr>
                <w:spacing w:val="25"/>
                <w:sz w:val="21"/>
              </w:rPr>
              <w:t>0</w:t>
            </w:r>
            <w:r>
              <w:rPr>
                <w:spacing w:val="-83"/>
                <w:sz w:val="21"/>
              </w:rPr>
              <w:t>）</w:t>
            </w:r>
            <w:r>
              <w:rPr>
                <w:spacing w:val="-12"/>
                <w:sz w:val="21"/>
              </w:rPr>
              <w:t>、重度（IQ20-35）和极重度</w:t>
            </w:r>
            <w:r>
              <w:rPr>
                <w:spacing w:val="1"/>
                <w:sz w:val="21"/>
              </w:rPr>
              <w:t>（</w:t>
            </w:r>
            <w:r>
              <w:rPr>
                <w:spacing w:val="4"/>
                <w:sz w:val="21"/>
              </w:rPr>
              <w:t>IQ&lt;2</w:t>
            </w:r>
            <w:r>
              <w:rPr>
                <w:spacing w:val="1"/>
                <w:sz w:val="21"/>
              </w:rPr>
              <w:t>0</w:t>
            </w:r>
            <w:r>
              <w:rPr>
                <w:spacing w:val="-102"/>
                <w:sz w:val="21"/>
              </w:rPr>
              <w:t>）</w:t>
            </w:r>
            <w:r>
              <w:rPr>
                <w:spacing w:val="-116"/>
                <w:sz w:val="21"/>
              </w:rPr>
              <w:t>。</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229" w:type="dxa"/>
          </w:tcPr>
          <w:p>
            <w:pPr>
              <w:pStyle w:val="TableParagraph"/>
              <w:spacing w:before="22"/>
              <w:ind w:left="152"/>
              <w:rPr>
                <w:sz w:val="21"/>
              </w:rPr>
            </w:pPr>
            <w:r>
              <w:rPr>
                <w:spacing w:val="-3"/>
                <w:sz w:val="21"/>
              </w:rPr>
              <w:t>智商的检测必须由专职心理测验工作者进行，心理测验工作者必须持有心理</w:t>
            </w:r>
          </w:p>
        </w:tc>
      </w:tr>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229" w:type="dxa"/>
          </w:tcPr>
          <w:p>
            <w:pPr>
              <w:pStyle w:val="TableParagraph"/>
              <w:spacing w:line="220" w:lineRule="exact" w:before="22"/>
              <w:ind w:left="152"/>
              <w:rPr>
                <w:sz w:val="21"/>
              </w:rPr>
            </w:pPr>
            <w:r>
              <w:rPr>
                <w:spacing w:val="-3"/>
                <w:sz w:val="21"/>
              </w:rPr>
              <w:t>测量专业委员会资格认定书。根据被保险人年龄采用对应的智力量表如韦克</w:t>
            </w:r>
          </w:p>
        </w:tc>
      </w:tr>
    </w:tbl>
    <w:p>
      <w:pPr>
        <w:spacing w:after="0" w:line="220" w:lineRule="exact"/>
        <w:rPr>
          <w:sz w:val="21"/>
        </w:rPr>
        <w:sectPr>
          <w:type w:val="continuous"/>
          <w:pgSz w:w="11910" w:h="16840"/>
          <w:pgMar w:top="1580" w:bottom="280" w:left="680" w:right="460"/>
        </w:sectPr>
      </w:pPr>
    </w:p>
    <w:p>
      <w:pPr>
        <w:pStyle w:val="BodyText"/>
        <w:spacing w:line="278" w:lineRule="auto" w:before="52"/>
        <w:ind w:left="3285" w:right="563"/>
      </w:pPr>
      <w:r>
        <w:rPr>
          <w:spacing w:val="-2"/>
        </w:rPr>
        <w:t>斯勒智力量表（儿童智力量表或成人智力量表）检测证实。必须满足下列全</w:t>
      </w:r>
      <w:r>
        <w:rPr>
          <w:spacing w:val="-4"/>
        </w:rPr>
        <w:t>部条件：</w:t>
      </w:r>
    </w:p>
    <w:p>
      <w:pPr>
        <w:pStyle w:val="ListParagraph"/>
        <w:numPr>
          <w:ilvl w:val="3"/>
          <w:numId w:val="42"/>
        </w:numPr>
        <w:tabs>
          <w:tab w:pos="3815" w:val="left" w:leader="none"/>
        </w:tabs>
        <w:spacing w:line="278" w:lineRule="auto" w:before="0" w:after="0"/>
        <w:ind w:left="3285" w:right="651" w:firstLine="0"/>
        <w:jc w:val="left"/>
        <w:rPr>
          <w:sz w:val="21"/>
        </w:rPr>
      </w:pPr>
      <w:r>
        <w:rPr>
          <w:spacing w:val="-2"/>
          <w:sz w:val="21"/>
        </w:rPr>
        <w:t>造成被保险人智力低常（智力低于常态）的严重头部创伤或疾病（以</w:t>
      </w:r>
      <w:r>
        <w:rPr>
          <w:sz w:val="21"/>
        </w:rPr>
        <w:t>入院日期为准）</w:t>
      </w:r>
      <w:r>
        <w:rPr>
          <w:spacing w:val="-3"/>
          <w:sz w:val="21"/>
        </w:rPr>
        <w:t>发生在被保险人 </w:t>
      </w:r>
      <w:r>
        <w:rPr>
          <w:sz w:val="21"/>
        </w:rPr>
        <w:t>6</w:t>
      </w:r>
      <w:r>
        <w:rPr>
          <w:spacing w:val="-5"/>
          <w:sz w:val="21"/>
        </w:rPr>
        <w:t> 周岁以后；</w:t>
      </w:r>
    </w:p>
    <w:p>
      <w:pPr>
        <w:pStyle w:val="ListParagraph"/>
        <w:numPr>
          <w:ilvl w:val="3"/>
          <w:numId w:val="42"/>
        </w:numPr>
        <w:tabs>
          <w:tab w:pos="3815" w:val="left" w:leader="none"/>
        </w:tabs>
        <w:spacing w:line="269" w:lineRule="exact" w:before="0" w:after="0"/>
        <w:ind w:left="3814" w:right="0" w:hanging="530"/>
        <w:jc w:val="left"/>
        <w:rPr>
          <w:sz w:val="21"/>
        </w:rPr>
      </w:pPr>
      <w:r>
        <w:rPr>
          <w:spacing w:val="-3"/>
          <w:sz w:val="21"/>
        </w:rPr>
        <w:t>专科医生确诊被保险人由于严重头部创伤或疾病造成智力低常；</w:t>
      </w:r>
    </w:p>
    <w:p>
      <w:pPr>
        <w:pStyle w:val="ListParagraph"/>
        <w:numPr>
          <w:ilvl w:val="3"/>
          <w:numId w:val="42"/>
        </w:numPr>
        <w:tabs>
          <w:tab w:pos="3815" w:val="left" w:leader="none"/>
        </w:tabs>
        <w:spacing w:line="278" w:lineRule="auto" w:before="43" w:after="0"/>
        <w:ind w:left="3285" w:right="560" w:firstLine="0"/>
        <w:jc w:val="left"/>
        <w:rPr>
          <w:sz w:val="21"/>
        </w:rPr>
      </w:pPr>
      <w:r>
        <w:rPr>
          <w:spacing w:val="-6"/>
          <w:w w:val="100"/>
          <w:sz w:val="21"/>
        </w:rPr>
        <w:t>专职合格心理检测工作者适时做的心理检测证实被保险人智力低常</w:t>
      </w:r>
      <w:r>
        <w:rPr>
          <w:spacing w:val="-3"/>
          <w:w w:val="100"/>
          <w:sz w:val="21"/>
        </w:rPr>
        <w:t>（中度、重度或极重度</w:t>
      </w:r>
      <w:r>
        <w:rPr>
          <w:spacing w:val="-108"/>
          <w:w w:val="100"/>
          <w:sz w:val="21"/>
        </w:rPr>
        <w:t>）</w:t>
      </w:r>
      <w:r>
        <w:rPr>
          <w:w w:val="100"/>
          <w:sz w:val="21"/>
        </w:rPr>
        <w:t>；</w:t>
      </w:r>
    </w:p>
    <w:p>
      <w:pPr>
        <w:pStyle w:val="ListParagraph"/>
        <w:numPr>
          <w:ilvl w:val="3"/>
          <w:numId w:val="42"/>
        </w:numPr>
        <w:tabs>
          <w:tab w:pos="3815" w:val="left" w:leader="none"/>
        </w:tabs>
        <w:spacing w:line="269" w:lineRule="exact" w:before="0" w:after="0"/>
        <w:ind w:left="3814" w:right="0" w:hanging="530"/>
        <w:jc w:val="left"/>
        <w:rPr>
          <w:sz w:val="21"/>
        </w:rPr>
      </w:pPr>
      <w:r>
        <w:rPr>
          <w:spacing w:val="-5"/>
          <w:sz w:val="21"/>
        </w:rPr>
        <w:t>被保险人的智力低常自确认日起持续 </w:t>
      </w:r>
      <w:r>
        <w:rPr>
          <w:spacing w:val="-2"/>
          <w:sz w:val="21"/>
        </w:rPr>
        <w:t>180</w:t>
      </w:r>
      <w:r>
        <w:rPr>
          <w:spacing w:val="-14"/>
          <w:sz w:val="21"/>
        </w:rPr>
        <w:t> 天以上。</w:t>
      </w:r>
    </w:p>
    <w:p>
      <w:pPr>
        <w:pStyle w:val="BodyText"/>
        <w:spacing w:before="2"/>
        <w:rPr>
          <w:sz w:val="22"/>
        </w:rPr>
      </w:pPr>
    </w:p>
    <w:p>
      <w:pPr>
        <w:spacing w:after="0"/>
        <w:rPr>
          <w:sz w:val="22"/>
        </w:rPr>
        <w:sectPr>
          <w:pgSz w:w="11910" w:h="16840"/>
          <w:pgMar w:top="1200" w:bottom="280" w:left="680" w:right="460"/>
        </w:sectPr>
      </w:pPr>
    </w:p>
    <w:p>
      <w:pPr>
        <w:pStyle w:val="Heading2"/>
        <w:numPr>
          <w:ilvl w:val="2"/>
          <w:numId w:val="44"/>
        </w:numPr>
        <w:tabs>
          <w:tab w:pos="1713" w:val="left" w:leader="none"/>
          <w:tab w:pos="1714" w:val="left" w:leader="none"/>
        </w:tabs>
        <w:spacing w:line="278" w:lineRule="auto" w:before="71" w:after="0"/>
        <w:ind w:left="1713" w:right="0" w:hanging="1138"/>
        <w:jc w:val="left"/>
        <w:rPr>
          <w:rFonts w:ascii="楷体" w:eastAsia="楷体" w:hint="eastAsia"/>
        </w:rPr>
      </w:pPr>
      <w:r>
        <w:rPr>
          <w:rFonts w:ascii="楷体" w:eastAsia="楷体" w:hint="eastAsia"/>
          <w:spacing w:val="-2"/>
        </w:rPr>
        <w:t>重幼年型类风</w:t>
      </w:r>
      <w:r>
        <w:rPr>
          <w:rFonts w:ascii="楷体" w:eastAsia="楷体" w:hint="eastAsia"/>
          <w:spacing w:val="-2"/>
        </w:rPr>
        <w:t>湿性关节炎</w:t>
      </w:r>
    </w:p>
    <w:p>
      <w:pPr>
        <w:pStyle w:val="BodyText"/>
        <w:spacing w:line="278" w:lineRule="auto" w:before="71"/>
        <w:ind w:left="265" w:right="558"/>
      </w:pPr>
      <w:r>
        <w:rPr/>
        <w:br w:type="column"/>
      </w:r>
      <w:r>
        <w:rPr>
          <w:spacing w:val="-2"/>
        </w:rPr>
        <w:t>指为了治疗幼年型类风湿关节炎，实际实施了膝关节或髋关节置换手术。</w:t>
      </w:r>
      <w:r>
        <w:rPr>
          <w:spacing w:val="-2"/>
        </w:rPr>
        <w:t> </w:t>
      </w:r>
      <w:r>
        <w:rPr>
          <w:spacing w:val="-2"/>
        </w:rPr>
        <w:t>幼年型类风湿关节炎是一种儿童期发病的慢性关节炎，其特点为在高热和系</w:t>
      </w:r>
      <w:r>
        <w:rPr>
          <w:spacing w:val="-2"/>
        </w:rPr>
        <w:t>统性病征出现数月后发生关节炎。</w:t>
      </w:r>
    </w:p>
    <w:p>
      <w:pPr>
        <w:spacing w:line="272" w:lineRule="exact" w:before="0"/>
        <w:ind w:left="265" w:right="0" w:firstLine="0"/>
        <w:jc w:val="left"/>
        <w:rPr>
          <w:b/>
          <w:i/>
          <w:sz w:val="22"/>
        </w:rPr>
      </w:pPr>
      <w:r>
        <w:rPr>
          <w:b/>
          <w:i/>
          <w:spacing w:val="-3"/>
          <w:w w:val="95"/>
          <w:sz w:val="22"/>
        </w:rPr>
        <w:t>被保险人疾病诊断时年龄必须在年满十八周岁之前。</w:t>
      </w:r>
    </w:p>
    <w:p>
      <w:pPr>
        <w:spacing w:after="0" w:line="272" w:lineRule="exact"/>
        <w:jc w:val="left"/>
        <w:rPr>
          <w:sz w:val="22"/>
        </w:rPr>
        <w:sectPr>
          <w:type w:val="continuous"/>
          <w:pgSz w:w="11910" w:h="16840"/>
          <w:pgMar w:top="460" w:bottom="280" w:left="680" w:right="460"/>
          <w:cols w:num="2" w:equalWidth="0">
            <w:col w:w="2981" w:space="40"/>
            <w:col w:w="7749"/>
          </w:cols>
        </w:sectPr>
      </w:pPr>
    </w:p>
    <w:p>
      <w:pPr>
        <w:pStyle w:val="BodyText"/>
        <w:spacing w:before="12"/>
        <w:rPr>
          <w:b/>
          <w:i/>
        </w:rPr>
      </w:pPr>
    </w:p>
    <w:p>
      <w:pPr>
        <w:spacing w:after="0"/>
        <w:sectPr>
          <w:type w:val="continuous"/>
          <w:pgSz w:w="11910" w:h="16840"/>
          <w:pgMar w:top="460" w:bottom="280" w:left="680" w:right="460"/>
        </w:sectPr>
      </w:pPr>
    </w:p>
    <w:p>
      <w:pPr>
        <w:pStyle w:val="Heading2"/>
        <w:numPr>
          <w:ilvl w:val="2"/>
          <w:numId w:val="44"/>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湿性年龄相关</w:t>
      </w:r>
      <w:r>
        <w:rPr>
          <w:rFonts w:ascii="楷体" w:eastAsia="楷体" w:hint="eastAsia"/>
          <w:spacing w:val="-2"/>
        </w:rPr>
        <w:t>性黄斑变性</w:t>
      </w:r>
    </w:p>
    <w:p>
      <w:pPr>
        <w:pStyle w:val="BodyText"/>
        <w:spacing w:line="278" w:lineRule="auto" w:before="72"/>
        <w:ind w:left="265" w:right="541"/>
      </w:pPr>
      <w:r>
        <w:rPr/>
        <w:br w:type="column"/>
      </w:r>
      <w:r>
        <w:rPr>
          <w:spacing w:val="-2"/>
        </w:rPr>
        <w:t>又称为新生血管性年龄相关性黄斑变性或“渗出性”年龄相关性黄斑变性，</w:t>
      </w:r>
      <w:r>
        <w:rPr>
          <w:spacing w:val="-2"/>
        </w:rPr>
        <w:t>发生脉络膜新生血管（CNV）异常生长穿透玻璃膜进入视网膜，新生血管渗</w:t>
      </w:r>
      <w:r>
        <w:rPr>
          <w:spacing w:val="-2"/>
        </w:rPr>
        <w:t>漏，渗出及出血。该病必须由荧光素眼底血管造影检查提示黄斑区新生血管</w:t>
      </w:r>
      <w:r>
        <w:rPr>
          <w:spacing w:val="-2"/>
        </w:rPr>
        <w:t>形成，并且必须由医院的眼科专科医生确诊为湿性年龄相关性黄斑变性。</w:t>
      </w:r>
      <w:r>
        <w:rPr>
          <w:spacing w:val="40"/>
        </w:rPr>
        <w:t> </w:t>
      </w:r>
      <w:r>
        <w:rPr>
          <w:spacing w:val="-5"/>
        </w:rPr>
        <w:t>被保险人申请理赔时须提供近 </w:t>
      </w:r>
      <w:r>
        <w:rPr/>
        <w:t>3</w:t>
      </w:r>
      <w:r>
        <w:rPr>
          <w:spacing w:val="-8"/>
        </w:rPr>
        <w:t> 个月内视力改变显示病情恶化的相关检查报</w:t>
      </w:r>
      <w:r>
        <w:rPr>
          <w:spacing w:val="-2"/>
        </w:rPr>
        <w:t>告、诊断证明及病历报告。</w:t>
      </w:r>
    </w:p>
    <w:p>
      <w:pPr>
        <w:spacing w:after="0" w:line="278" w:lineRule="auto"/>
        <w:sectPr>
          <w:type w:val="continuous"/>
          <w:pgSz w:w="11910" w:h="16840"/>
          <w:pgMar w:top="460" w:bottom="280" w:left="680" w:right="460"/>
          <w:cols w:num="2" w:equalWidth="0">
            <w:col w:w="2981" w:space="40"/>
            <w:col w:w="7749"/>
          </w:cols>
        </w:sectPr>
      </w:pPr>
    </w:p>
    <w:p>
      <w:pPr>
        <w:pStyle w:val="BodyText"/>
        <w:spacing w:before="9"/>
        <w:rPr>
          <w:sz w:val="18"/>
        </w:rPr>
      </w:pPr>
    </w:p>
    <w:p>
      <w:pPr>
        <w:pStyle w:val="ListParagraph"/>
        <w:numPr>
          <w:ilvl w:val="2"/>
          <w:numId w:val="44"/>
        </w:numPr>
        <w:tabs>
          <w:tab w:pos="1713" w:val="left" w:leader="none"/>
          <w:tab w:pos="1714" w:val="left" w:leader="none"/>
          <w:tab w:pos="3285" w:val="left" w:leader="none"/>
        </w:tabs>
        <w:spacing w:line="271" w:lineRule="auto" w:before="72" w:after="0"/>
        <w:ind w:left="3285" w:right="455" w:hanging="2711"/>
        <w:jc w:val="left"/>
        <w:rPr>
          <w:sz w:val="21"/>
        </w:rPr>
      </w:pPr>
      <w:r>
        <w:rPr>
          <w:rFonts w:ascii="楷体" w:hAnsi="楷体" w:eastAsia="楷体" w:hint="eastAsia"/>
          <w:b/>
          <w:spacing w:val="-4"/>
          <w:sz w:val="21"/>
        </w:rPr>
        <w:t>脊</w:t>
      </w:r>
      <w:r>
        <w:rPr>
          <w:rFonts w:ascii="楷体" w:hAnsi="楷体" w:eastAsia="楷体" w:hint="eastAsia"/>
          <w:b/>
          <w:spacing w:val="-4"/>
          <w:sz w:val="21"/>
        </w:rPr>
        <w:t>柱</w:t>
      </w:r>
      <w:r>
        <w:rPr>
          <w:rFonts w:ascii="楷体" w:hAnsi="楷体" w:eastAsia="楷体" w:hint="eastAsia"/>
          <w:b/>
          <w:spacing w:val="-4"/>
          <w:sz w:val="21"/>
        </w:rPr>
        <w:t>裂</w:t>
      </w:r>
      <w:r>
        <w:rPr>
          <w:rFonts w:ascii="楷体" w:hAnsi="楷体" w:eastAsia="楷体" w:hint="eastAsia"/>
          <w:b/>
          <w:sz w:val="21"/>
        </w:rPr>
        <w:tab/>
      </w:r>
      <w:r>
        <w:rPr>
          <w:spacing w:val="-2"/>
          <w:sz w:val="21"/>
        </w:rPr>
        <w:t>指</w:t>
      </w:r>
      <w:r>
        <w:rPr>
          <w:spacing w:val="-2"/>
          <w:sz w:val="21"/>
        </w:rPr>
        <w:t>脊</w:t>
      </w:r>
      <w:r>
        <w:rPr>
          <w:spacing w:val="-2"/>
          <w:sz w:val="21"/>
        </w:rPr>
        <w:t>椎或颅骨不完全闭合，</w:t>
      </w:r>
      <w:r>
        <w:rPr>
          <w:spacing w:val="-2"/>
          <w:sz w:val="21"/>
        </w:rPr>
        <w:t>导</w:t>
      </w:r>
      <w:r>
        <w:rPr>
          <w:spacing w:val="-2"/>
          <w:sz w:val="21"/>
        </w:rPr>
        <w:t>致脊髓脊膜突出，脑（</w:t>
      </w:r>
      <w:r>
        <w:rPr>
          <w:spacing w:val="-2"/>
          <w:sz w:val="21"/>
        </w:rPr>
        <w:t>脊</w:t>
      </w:r>
      <w:r>
        <w:rPr>
          <w:spacing w:val="-2"/>
          <w:sz w:val="21"/>
        </w:rPr>
        <w:t>）膜突出或脑膨</w:t>
      </w:r>
      <w:r>
        <w:rPr>
          <w:spacing w:val="-2"/>
          <w:sz w:val="21"/>
        </w:rPr>
        <w:t>出</w:t>
      </w:r>
      <w:r>
        <w:rPr>
          <w:spacing w:val="-2"/>
          <w:sz w:val="21"/>
        </w:rPr>
        <w:t>，</w:t>
      </w:r>
      <w:r>
        <w:rPr>
          <w:spacing w:val="-2"/>
          <w:sz w:val="21"/>
        </w:rPr>
        <w:t>合</w:t>
      </w:r>
      <w:r>
        <w:rPr>
          <w:spacing w:val="-2"/>
          <w:sz w:val="21"/>
        </w:rPr>
        <w:t>并</w:t>
      </w:r>
      <w:r>
        <w:rPr>
          <w:spacing w:val="-2"/>
          <w:sz w:val="21"/>
        </w:rPr>
        <w:t>大小便失禁，部分或</w:t>
      </w:r>
      <w:r>
        <w:rPr>
          <w:spacing w:val="-2"/>
          <w:sz w:val="21"/>
        </w:rPr>
        <w:t>完</w:t>
      </w:r>
      <w:r>
        <w:rPr>
          <w:spacing w:val="-2"/>
          <w:sz w:val="21"/>
        </w:rPr>
        <w:t>全</w:t>
      </w:r>
      <w:r>
        <w:rPr>
          <w:spacing w:val="-2"/>
          <w:sz w:val="21"/>
        </w:rPr>
        <w:t>性下肢瘫痪或畸形等</w:t>
      </w:r>
      <w:r>
        <w:rPr>
          <w:spacing w:val="-2"/>
          <w:sz w:val="21"/>
        </w:rPr>
        <w:t>神</w:t>
      </w:r>
      <w:r>
        <w:rPr>
          <w:spacing w:val="-2"/>
          <w:sz w:val="21"/>
        </w:rPr>
        <w:t>经</w:t>
      </w:r>
      <w:r>
        <w:rPr>
          <w:spacing w:val="-2"/>
          <w:sz w:val="21"/>
        </w:rPr>
        <w:t>学上的异常，</w:t>
      </w:r>
      <w:r>
        <w:rPr>
          <w:b/>
          <w:i/>
          <w:spacing w:val="-2"/>
          <w:sz w:val="22"/>
        </w:rPr>
        <w:t>但</w:t>
      </w:r>
      <w:r>
        <w:rPr>
          <w:b/>
          <w:i/>
          <w:spacing w:val="-2"/>
          <w:sz w:val="22"/>
        </w:rPr>
        <w:t>不</w:t>
      </w:r>
      <w:r>
        <w:rPr>
          <w:b/>
          <w:i/>
          <w:spacing w:val="-2"/>
          <w:sz w:val="22"/>
        </w:rPr>
        <w:t>包</w:t>
      </w:r>
      <w:r>
        <w:rPr>
          <w:b/>
          <w:i/>
          <w:w w:val="95"/>
          <w:sz w:val="22"/>
        </w:rPr>
        <w:t>括</w:t>
      </w:r>
      <w:r>
        <w:rPr>
          <w:b/>
          <w:i/>
          <w:spacing w:val="52"/>
          <w:w w:val="95"/>
          <w:sz w:val="22"/>
        </w:rPr>
        <w:t>由</w:t>
      </w:r>
      <w:r>
        <w:rPr>
          <w:b/>
          <w:i/>
          <w:w w:val="95"/>
          <w:sz w:val="22"/>
        </w:rPr>
        <w:t>X</w:t>
      </w:r>
      <w:r>
        <w:rPr>
          <w:b/>
          <w:i/>
          <w:spacing w:val="-47"/>
          <w:w w:val="95"/>
          <w:sz w:val="22"/>
        </w:rPr>
        <w:t> </w:t>
      </w:r>
      <w:r>
        <w:rPr>
          <w:b/>
          <w:i/>
          <w:w w:val="95"/>
          <w:sz w:val="22"/>
        </w:rPr>
        <w:t>线摄片发现的没有</w:t>
      </w:r>
      <w:r>
        <w:rPr>
          <w:b/>
          <w:i/>
          <w:w w:val="95"/>
          <w:sz w:val="22"/>
        </w:rPr>
        <w:t>合并脊椎脊膜突出或</w:t>
      </w:r>
      <w:r>
        <w:rPr>
          <w:b/>
          <w:i/>
          <w:spacing w:val="-75"/>
          <w:w w:val="95"/>
          <w:sz w:val="22"/>
        </w:rPr>
        <w:t>脑</w:t>
      </w:r>
      <w:r>
        <w:rPr>
          <w:b/>
          <w:i/>
          <w:w w:val="95"/>
          <w:sz w:val="22"/>
        </w:rPr>
        <w:t>（脊</w:t>
      </w:r>
      <w:r>
        <w:rPr>
          <w:b/>
          <w:i/>
          <w:spacing w:val="-75"/>
          <w:w w:val="95"/>
          <w:sz w:val="22"/>
        </w:rPr>
        <w:t>）</w:t>
      </w:r>
      <w:r>
        <w:rPr>
          <w:b/>
          <w:i/>
          <w:w w:val="95"/>
          <w:sz w:val="22"/>
        </w:rPr>
        <w:t>膜突出的隐形脊椎裂</w:t>
      </w:r>
      <w:r>
        <w:rPr>
          <w:b/>
          <w:i/>
          <w:w w:val="95"/>
          <w:sz w:val="22"/>
        </w:rPr>
        <w:t>。</w:t>
      </w:r>
      <w:r>
        <w:rPr>
          <w:spacing w:val="-2"/>
          <w:sz w:val="21"/>
        </w:rPr>
        <w:t>我</w:t>
      </w:r>
      <w:r>
        <w:rPr>
          <w:spacing w:val="-2"/>
          <w:sz w:val="21"/>
        </w:rPr>
        <w:t>们</w:t>
      </w:r>
      <w:r>
        <w:rPr>
          <w:spacing w:val="-2"/>
          <w:sz w:val="21"/>
        </w:rPr>
        <w:t>承担本项疾病责任不</w:t>
      </w:r>
      <w:r>
        <w:rPr>
          <w:spacing w:val="-2"/>
          <w:sz w:val="21"/>
        </w:rPr>
        <w:t>受</w:t>
      </w:r>
      <w:r>
        <w:rPr>
          <w:spacing w:val="-2"/>
          <w:sz w:val="21"/>
        </w:rPr>
        <w:t>本</w:t>
      </w:r>
      <w:r>
        <w:rPr>
          <w:spacing w:val="-2"/>
          <w:sz w:val="21"/>
        </w:rPr>
        <w:t>合同“责任</w:t>
      </w:r>
      <w:r>
        <w:rPr>
          <w:spacing w:val="-2"/>
          <w:sz w:val="21"/>
        </w:rPr>
        <w:t>免</w:t>
      </w:r>
      <w:r>
        <w:rPr>
          <w:spacing w:val="-2"/>
          <w:sz w:val="21"/>
        </w:rPr>
        <w:t>除</w:t>
      </w:r>
      <w:r>
        <w:rPr>
          <w:spacing w:val="-2"/>
          <w:sz w:val="21"/>
        </w:rPr>
        <w:t>”中“</w:t>
      </w:r>
      <w:r>
        <w:rPr>
          <w:spacing w:val="-2"/>
          <w:sz w:val="21"/>
        </w:rPr>
        <w:t>遗</w:t>
      </w:r>
      <w:r>
        <w:rPr>
          <w:spacing w:val="-2"/>
          <w:sz w:val="21"/>
        </w:rPr>
        <w:t>传性疾病、先天性畸</w:t>
      </w:r>
      <w:r>
        <w:rPr>
          <w:spacing w:val="-2"/>
          <w:sz w:val="21"/>
        </w:rPr>
        <w:t>形</w:t>
      </w:r>
      <w:r>
        <w:rPr>
          <w:spacing w:val="-2"/>
          <w:sz w:val="21"/>
        </w:rPr>
        <w:t>、</w:t>
      </w:r>
      <w:r>
        <w:rPr>
          <w:spacing w:val="-2"/>
          <w:sz w:val="21"/>
        </w:rPr>
        <w:t>变形或染色体异常”</w:t>
      </w:r>
      <w:r>
        <w:rPr>
          <w:spacing w:val="-2"/>
          <w:sz w:val="21"/>
        </w:rPr>
        <w:t>的</w:t>
      </w:r>
      <w:r>
        <w:rPr>
          <w:spacing w:val="-2"/>
          <w:sz w:val="21"/>
        </w:rPr>
        <w:t>限</w:t>
      </w:r>
      <w:r>
        <w:rPr>
          <w:spacing w:val="-2"/>
          <w:sz w:val="21"/>
        </w:rPr>
        <w:t>制。</w:t>
      </w:r>
    </w:p>
    <w:p>
      <w:pPr>
        <w:pStyle w:val="BodyText"/>
        <w:spacing w:before="8"/>
        <w:rPr>
          <w:sz w:val="19"/>
        </w:rPr>
      </w:pPr>
    </w:p>
    <w:p>
      <w:pPr>
        <w:spacing w:after="0"/>
        <w:rPr>
          <w:sz w:val="19"/>
        </w:rPr>
        <w:sectPr>
          <w:type w:val="continuous"/>
          <w:pgSz w:w="11910" w:h="16840"/>
          <w:pgMar w:top="460" w:bottom="280" w:left="680" w:right="460"/>
        </w:sectPr>
      </w:pPr>
    </w:p>
    <w:p>
      <w:pPr>
        <w:pStyle w:val="Heading2"/>
        <w:numPr>
          <w:ilvl w:val="2"/>
          <w:numId w:val="44"/>
        </w:numPr>
        <w:tabs>
          <w:tab w:pos="1713" w:val="left" w:leader="none"/>
          <w:tab w:pos="1714" w:val="left" w:leader="none"/>
        </w:tabs>
        <w:spacing w:line="240" w:lineRule="auto" w:before="71" w:after="0"/>
        <w:ind w:left="1713" w:right="0" w:hanging="1139"/>
        <w:jc w:val="left"/>
        <w:rPr>
          <w:rFonts w:ascii="楷体" w:eastAsia="楷体" w:hint="eastAsia"/>
        </w:rPr>
      </w:pPr>
      <w:r>
        <w:rPr>
          <w:rFonts w:ascii="楷体" w:eastAsia="楷体" w:hint="eastAsia"/>
          <w:spacing w:val="-2"/>
        </w:rPr>
        <w:t>弥漫性血管内</w:t>
      </w:r>
    </w:p>
    <w:p>
      <w:pPr>
        <w:spacing w:before="43"/>
        <w:ind w:left="1713" w:right="0" w:firstLine="0"/>
        <w:jc w:val="left"/>
        <w:rPr>
          <w:rFonts w:ascii="楷体" w:eastAsia="楷体" w:hint="eastAsia"/>
          <w:b/>
          <w:sz w:val="21"/>
        </w:rPr>
      </w:pPr>
      <w:r>
        <w:rPr>
          <w:rFonts w:ascii="楷体" w:eastAsia="楷体" w:hint="eastAsia"/>
          <w:b/>
          <w:spacing w:val="-5"/>
          <w:sz w:val="21"/>
        </w:rPr>
        <w:t>凝血</w:t>
      </w:r>
    </w:p>
    <w:p>
      <w:pPr>
        <w:pStyle w:val="BodyText"/>
        <w:spacing w:line="278" w:lineRule="auto" w:before="71"/>
        <w:ind w:left="265" w:right="558"/>
        <w:jc w:val="both"/>
      </w:pPr>
      <w:r>
        <w:rPr/>
        <w:br w:type="column"/>
      </w:r>
      <w:r>
        <w:rPr>
          <w:spacing w:val="-2"/>
        </w:rPr>
        <w:t>指血液凝固系统和纤溶系统的过度活动导致微血管血栓形成、血小板及凝血</w:t>
      </w:r>
      <w:r>
        <w:rPr>
          <w:spacing w:val="-2"/>
        </w:rPr>
        <w:t>因子耗竭和严重出血，需要输注血浆和浓缩血小板进行治疗。由医院的专科</w:t>
      </w:r>
      <w:r>
        <w:rPr>
          <w:spacing w:val="-2"/>
        </w:rPr>
        <w:t>医生明确诊断，且须满足下列全部条件：</w:t>
      </w:r>
    </w:p>
    <w:p>
      <w:pPr>
        <w:pStyle w:val="ListParagraph"/>
        <w:numPr>
          <w:ilvl w:val="0"/>
          <w:numId w:val="45"/>
        </w:numPr>
        <w:tabs>
          <w:tab w:pos="795" w:val="left" w:leader="none"/>
        </w:tabs>
        <w:spacing w:line="269" w:lineRule="exact" w:before="0" w:after="0"/>
        <w:ind w:left="794" w:right="0" w:hanging="530"/>
        <w:jc w:val="left"/>
        <w:rPr>
          <w:sz w:val="21"/>
        </w:rPr>
      </w:pPr>
      <w:r>
        <w:rPr>
          <w:spacing w:val="-3"/>
          <w:sz w:val="21"/>
        </w:rPr>
        <w:t>突发性起病，一般持续数小时或数天；</w:t>
      </w:r>
    </w:p>
    <w:p>
      <w:pPr>
        <w:pStyle w:val="ListParagraph"/>
        <w:numPr>
          <w:ilvl w:val="0"/>
          <w:numId w:val="45"/>
        </w:numPr>
        <w:tabs>
          <w:tab w:pos="795" w:val="left" w:leader="none"/>
        </w:tabs>
        <w:spacing w:line="240" w:lineRule="auto" w:before="43" w:after="0"/>
        <w:ind w:left="794" w:right="0" w:hanging="530"/>
        <w:jc w:val="left"/>
        <w:rPr>
          <w:sz w:val="21"/>
        </w:rPr>
      </w:pPr>
      <w:r>
        <w:rPr>
          <w:spacing w:val="-4"/>
          <w:sz w:val="21"/>
        </w:rPr>
        <w:t>严重广泛的出血；</w:t>
      </w:r>
    </w:p>
    <w:p>
      <w:pPr>
        <w:pStyle w:val="ListParagraph"/>
        <w:numPr>
          <w:ilvl w:val="0"/>
          <w:numId w:val="45"/>
        </w:numPr>
        <w:tabs>
          <w:tab w:pos="795" w:val="left" w:leader="none"/>
        </w:tabs>
        <w:spacing w:line="240" w:lineRule="auto" w:before="43" w:after="0"/>
        <w:ind w:left="794" w:right="0" w:hanging="530"/>
        <w:jc w:val="left"/>
        <w:rPr>
          <w:sz w:val="21"/>
        </w:rPr>
      </w:pPr>
      <w:r>
        <w:rPr>
          <w:spacing w:val="-4"/>
          <w:sz w:val="21"/>
        </w:rPr>
        <w:t>伴有休克；</w:t>
      </w:r>
    </w:p>
    <w:p>
      <w:pPr>
        <w:pStyle w:val="ListParagraph"/>
        <w:numPr>
          <w:ilvl w:val="0"/>
          <w:numId w:val="45"/>
        </w:numPr>
        <w:tabs>
          <w:tab w:pos="795" w:val="left" w:leader="none"/>
        </w:tabs>
        <w:spacing w:line="240" w:lineRule="auto" w:before="43" w:after="0"/>
        <w:ind w:left="794" w:right="0" w:hanging="530"/>
        <w:jc w:val="left"/>
        <w:rPr>
          <w:sz w:val="21"/>
        </w:rPr>
      </w:pPr>
      <w:r>
        <w:rPr>
          <w:spacing w:val="-3"/>
          <w:sz w:val="21"/>
        </w:rPr>
        <w:t>已经实施了血浆或浓缩血小板进行治疗。</w:t>
      </w:r>
    </w:p>
    <w:p>
      <w:pPr>
        <w:spacing w:after="0" w:line="240" w:lineRule="auto"/>
        <w:jc w:val="left"/>
        <w:rPr>
          <w:sz w:val="21"/>
        </w:rPr>
        <w:sectPr>
          <w:type w:val="continuous"/>
          <w:pgSz w:w="11910" w:h="16840"/>
          <w:pgMar w:top="460" w:bottom="280" w:left="680" w:right="460"/>
          <w:cols w:num="2" w:equalWidth="0">
            <w:col w:w="2981" w:space="40"/>
            <w:col w:w="7749"/>
          </w:cols>
        </w:sectPr>
      </w:pPr>
    </w:p>
    <w:p>
      <w:pPr>
        <w:pStyle w:val="BodyText"/>
        <w:spacing w:before="2"/>
        <w:rPr>
          <w:sz w:val="22"/>
        </w:rPr>
      </w:pPr>
    </w:p>
    <w:p>
      <w:pPr>
        <w:pStyle w:val="ListParagraph"/>
        <w:numPr>
          <w:ilvl w:val="1"/>
          <w:numId w:val="34"/>
        </w:numPr>
        <w:tabs>
          <w:tab w:pos="1714" w:val="left" w:leader="none"/>
        </w:tabs>
        <w:spacing w:line="278" w:lineRule="auto" w:before="71" w:after="0"/>
        <w:ind w:left="3285" w:right="558" w:hanging="2711"/>
        <w:jc w:val="both"/>
        <w:rPr>
          <w:sz w:val="21"/>
        </w:rPr>
      </w:pPr>
      <w:r>
        <w:rPr>
          <w:b/>
          <w:spacing w:val="61"/>
          <w:sz w:val="21"/>
        </w:rPr>
        <w:t>疾病终末期 </w:t>
      </w:r>
      <w:r>
        <w:rPr>
          <w:sz w:val="21"/>
        </w:rPr>
        <w:t>被保险人被确诊为疾病的终末期状态。疾病已经无法以现有的医疗技术医治</w:t>
      </w:r>
      <w:r>
        <w:rPr>
          <w:spacing w:val="-2"/>
          <w:sz w:val="21"/>
        </w:rPr>
        <w:t>缓解，并且根据临床医学经验判断被保险人将于未来六个月内死亡。在家属</w:t>
      </w:r>
      <w:r>
        <w:rPr>
          <w:spacing w:val="-2"/>
          <w:sz w:val="21"/>
        </w:rPr>
        <w:t>及患者的要求和医师的同意下积极治疗已被放弃，所有治疗措施仅以减轻患</w:t>
      </w:r>
      <w:r>
        <w:rPr>
          <w:spacing w:val="-2"/>
          <w:sz w:val="21"/>
        </w:rPr>
        <w:t>者痛苦为目的。此疾病状态必须在被保险人生前已经确诊并且具有医疗证明</w:t>
      </w:r>
      <w:r>
        <w:rPr>
          <w:spacing w:val="-2"/>
          <w:sz w:val="21"/>
        </w:rPr>
        <w:t>文件和临床检查依据。</w:t>
      </w:r>
    </w:p>
    <w:p>
      <w:pPr>
        <w:pStyle w:val="BodyText"/>
        <w:spacing w:before="5"/>
        <w:rPr>
          <w:sz w:val="24"/>
        </w:rPr>
      </w:pPr>
    </w:p>
    <w:p>
      <w:pPr>
        <w:pStyle w:val="ListParagraph"/>
        <w:numPr>
          <w:ilvl w:val="1"/>
          <w:numId w:val="34"/>
        </w:numPr>
        <w:tabs>
          <w:tab w:pos="1713" w:val="left" w:leader="none"/>
          <w:tab w:pos="1714" w:val="left" w:leader="none"/>
          <w:tab w:pos="3285" w:val="left" w:leader="none"/>
        </w:tabs>
        <w:spacing w:line="240" w:lineRule="auto" w:before="0" w:after="0"/>
        <w:ind w:left="1713" w:right="0" w:hanging="1139"/>
        <w:jc w:val="left"/>
        <w:rPr>
          <w:sz w:val="21"/>
        </w:rPr>
      </w:pPr>
      <w:r>
        <w:rPr>
          <w:b/>
          <w:sz w:val="21"/>
        </w:rPr>
        <w:t>全</w:t>
      </w:r>
      <w:r>
        <w:rPr>
          <w:b/>
          <w:spacing w:val="-10"/>
          <w:sz w:val="21"/>
        </w:rPr>
        <w:t>残</w:t>
      </w:r>
      <w:r>
        <w:rPr>
          <w:b/>
          <w:sz w:val="21"/>
        </w:rPr>
        <w:tab/>
      </w:r>
      <w:r>
        <w:rPr>
          <w:spacing w:val="-2"/>
          <w:sz w:val="21"/>
        </w:rPr>
        <w:t>指</w:t>
      </w:r>
      <w:r>
        <w:rPr>
          <w:spacing w:val="-2"/>
          <w:sz w:val="21"/>
        </w:rPr>
        <w:t>下</w:t>
      </w:r>
      <w:r>
        <w:rPr>
          <w:spacing w:val="-2"/>
          <w:sz w:val="21"/>
        </w:rPr>
        <w:t>面列出的</w:t>
      </w:r>
      <w:r>
        <w:rPr>
          <w:spacing w:val="-49"/>
          <w:sz w:val="21"/>
        </w:rPr>
        <w:t> </w:t>
      </w:r>
      <w:r>
        <w:rPr>
          <w:spacing w:val="-2"/>
          <w:sz w:val="21"/>
        </w:rPr>
        <w:t>8</w:t>
      </w:r>
      <w:r>
        <w:rPr>
          <w:spacing w:val="-49"/>
          <w:sz w:val="21"/>
        </w:rPr>
        <w:t> </w:t>
      </w:r>
      <w:r>
        <w:rPr>
          <w:spacing w:val="-2"/>
          <w:sz w:val="21"/>
        </w:rPr>
        <w:t>种情形之</w:t>
      </w:r>
      <w:r>
        <w:rPr>
          <w:spacing w:val="-2"/>
          <w:sz w:val="21"/>
        </w:rPr>
        <w:t>一</w:t>
      </w:r>
      <w:r>
        <w:rPr>
          <w:spacing w:val="-10"/>
          <w:sz w:val="21"/>
        </w:rPr>
        <w:t>：</w:t>
      </w:r>
    </w:p>
    <w:p>
      <w:pPr>
        <w:pStyle w:val="ListParagraph"/>
        <w:numPr>
          <w:ilvl w:val="0"/>
          <w:numId w:val="46"/>
        </w:numPr>
        <w:tabs>
          <w:tab w:pos="3815" w:val="left" w:leader="none"/>
        </w:tabs>
        <w:spacing w:line="240" w:lineRule="auto" w:before="43" w:after="0"/>
        <w:ind w:left="3814" w:right="0" w:hanging="530"/>
        <w:jc w:val="left"/>
        <w:rPr>
          <w:sz w:val="21"/>
        </w:rPr>
      </w:pPr>
      <w:r>
        <w:rPr>
          <w:spacing w:val="-13"/>
          <w:sz w:val="21"/>
        </w:rPr>
        <w:t>双目永久完全失明的；</w:t>
      </w:r>
      <w:r>
        <w:rPr>
          <w:sz w:val="21"/>
        </w:rPr>
        <w:t>（</w:t>
      </w:r>
      <w:r>
        <w:rPr>
          <w:spacing w:val="-5"/>
          <w:sz w:val="21"/>
        </w:rPr>
        <w:t>注①</w:t>
      </w:r>
      <w:r>
        <w:rPr>
          <w:spacing w:val="-7"/>
          <w:sz w:val="21"/>
        </w:rPr>
        <w:t>）</w:t>
      </w:r>
    </w:p>
    <w:p>
      <w:pPr>
        <w:pStyle w:val="ListParagraph"/>
        <w:numPr>
          <w:ilvl w:val="0"/>
          <w:numId w:val="46"/>
        </w:numPr>
        <w:tabs>
          <w:tab w:pos="3815" w:val="left" w:leader="none"/>
        </w:tabs>
        <w:spacing w:line="240" w:lineRule="auto" w:before="43" w:after="0"/>
        <w:ind w:left="3814" w:right="0" w:hanging="530"/>
        <w:jc w:val="left"/>
        <w:rPr>
          <w:sz w:val="21"/>
        </w:rPr>
      </w:pPr>
      <w:r>
        <w:rPr>
          <w:spacing w:val="-3"/>
          <w:sz w:val="21"/>
        </w:rPr>
        <w:t>两上肢腕关节以上或两下肢踝关节以上缺失的；</w:t>
      </w:r>
    </w:p>
    <w:p>
      <w:pPr>
        <w:pStyle w:val="ListParagraph"/>
        <w:numPr>
          <w:ilvl w:val="0"/>
          <w:numId w:val="46"/>
        </w:numPr>
        <w:tabs>
          <w:tab w:pos="3815" w:val="left" w:leader="none"/>
        </w:tabs>
        <w:spacing w:line="240" w:lineRule="auto" w:before="43" w:after="0"/>
        <w:ind w:left="3814" w:right="0" w:hanging="530"/>
        <w:jc w:val="left"/>
        <w:rPr>
          <w:sz w:val="21"/>
        </w:rPr>
      </w:pPr>
      <w:r>
        <w:rPr>
          <w:spacing w:val="-3"/>
          <w:sz w:val="21"/>
        </w:rPr>
        <w:t>一上肢腕关节以上及一下肢踝关节以上缺失的；</w:t>
      </w:r>
    </w:p>
    <w:p>
      <w:pPr>
        <w:pStyle w:val="ListParagraph"/>
        <w:numPr>
          <w:ilvl w:val="0"/>
          <w:numId w:val="46"/>
        </w:numPr>
        <w:tabs>
          <w:tab w:pos="3815" w:val="left" w:leader="none"/>
        </w:tabs>
        <w:spacing w:line="240" w:lineRule="auto" w:before="43" w:after="0"/>
        <w:ind w:left="3814" w:right="0" w:hanging="530"/>
        <w:jc w:val="left"/>
        <w:rPr>
          <w:sz w:val="21"/>
        </w:rPr>
      </w:pPr>
      <w:r>
        <w:rPr>
          <w:spacing w:val="-3"/>
          <w:sz w:val="21"/>
        </w:rPr>
        <w:t>一目永久完全失明及一上肢腕关节以上缺失的；</w:t>
      </w:r>
    </w:p>
    <w:p>
      <w:pPr>
        <w:spacing w:after="0" w:line="240" w:lineRule="auto"/>
        <w:jc w:val="left"/>
        <w:rPr>
          <w:sz w:val="21"/>
        </w:rPr>
        <w:sectPr>
          <w:type w:val="continuous"/>
          <w:pgSz w:w="11910" w:h="16840"/>
          <w:pgMar w:top="460" w:bottom="280" w:left="680" w:right="460"/>
        </w:sectPr>
      </w:pPr>
    </w:p>
    <w:p>
      <w:pPr>
        <w:pStyle w:val="ListParagraph"/>
        <w:numPr>
          <w:ilvl w:val="0"/>
          <w:numId w:val="46"/>
        </w:numPr>
        <w:tabs>
          <w:tab w:pos="3815" w:val="left" w:leader="none"/>
        </w:tabs>
        <w:spacing w:line="240" w:lineRule="auto" w:before="52" w:after="0"/>
        <w:ind w:left="3814" w:right="0" w:hanging="530"/>
        <w:jc w:val="left"/>
        <w:rPr>
          <w:sz w:val="21"/>
        </w:rPr>
      </w:pPr>
      <w:r>
        <w:rPr>
          <w:spacing w:val="-3"/>
          <w:sz w:val="21"/>
        </w:rPr>
        <w:t>一目永久完全失明及一下肢踝关节以上缺失的；</w:t>
      </w:r>
    </w:p>
    <w:p>
      <w:pPr>
        <w:pStyle w:val="ListParagraph"/>
        <w:numPr>
          <w:ilvl w:val="0"/>
          <w:numId w:val="46"/>
        </w:numPr>
        <w:tabs>
          <w:tab w:pos="3815" w:val="left" w:leader="none"/>
        </w:tabs>
        <w:spacing w:line="240" w:lineRule="auto" w:before="43" w:after="0"/>
        <w:ind w:left="3814" w:right="0" w:hanging="530"/>
        <w:jc w:val="left"/>
        <w:rPr>
          <w:sz w:val="21"/>
        </w:rPr>
      </w:pPr>
      <w:r>
        <w:rPr>
          <w:spacing w:val="-10"/>
          <w:sz w:val="21"/>
        </w:rPr>
        <w:t>四肢关节机能永久完全丧失的；</w:t>
      </w:r>
      <w:r>
        <w:rPr>
          <w:sz w:val="21"/>
        </w:rPr>
        <w:t>（</w:t>
      </w:r>
      <w:r>
        <w:rPr>
          <w:spacing w:val="-2"/>
          <w:sz w:val="21"/>
        </w:rPr>
        <w:t>注</w:t>
      </w:r>
      <w:r>
        <w:rPr>
          <w:spacing w:val="-5"/>
          <w:sz w:val="21"/>
        </w:rPr>
        <w:t>②）</w:t>
      </w:r>
    </w:p>
    <w:p>
      <w:pPr>
        <w:pStyle w:val="ListParagraph"/>
        <w:numPr>
          <w:ilvl w:val="0"/>
          <w:numId w:val="46"/>
        </w:numPr>
        <w:tabs>
          <w:tab w:pos="3815" w:val="left" w:leader="none"/>
        </w:tabs>
        <w:spacing w:line="240" w:lineRule="auto" w:before="43" w:after="0"/>
        <w:ind w:left="3814" w:right="0" w:hanging="530"/>
        <w:jc w:val="left"/>
        <w:rPr>
          <w:sz w:val="21"/>
        </w:rPr>
      </w:pPr>
      <w:r>
        <w:rPr>
          <w:spacing w:val="-9"/>
          <w:sz w:val="21"/>
        </w:rPr>
        <w:t>咀嚼、吞咽机能永久完全丧失的；</w:t>
      </w:r>
      <w:r>
        <w:rPr>
          <w:spacing w:val="-3"/>
          <w:sz w:val="21"/>
        </w:rPr>
        <w:t>（</w:t>
      </w:r>
      <w:r>
        <w:rPr>
          <w:spacing w:val="-4"/>
          <w:sz w:val="21"/>
        </w:rPr>
        <w:t>注③</w:t>
      </w:r>
      <w:r>
        <w:rPr>
          <w:spacing w:val="-5"/>
          <w:sz w:val="21"/>
        </w:rPr>
        <w:t>）</w:t>
      </w:r>
    </w:p>
    <w:p>
      <w:pPr>
        <w:pStyle w:val="ListParagraph"/>
        <w:numPr>
          <w:ilvl w:val="0"/>
          <w:numId w:val="46"/>
        </w:numPr>
        <w:tabs>
          <w:tab w:pos="3821" w:val="left" w:leader="none"/>
        </w:tabs>
        <w:spacing w:line="278" w:lineRule="auto" w:before="43" w:after="0"/>
        <w:ind w:left="3811" w:right="569" w:hanging="526"/>
        <w:jc w:val="left"/>
        <w:rPr>
          <w:sz w:val="21"/>
        </w:rPr>
      </w:pPr>
      <w:r>
        <w:rPr>
          <w:spacing w:val="-2"/>
          <w:sz w:val="21"/>
        </w:rPr>
        <w:t>中枢神经系统机能或胸、腹部脏器机能极度障碍，终身不能从事任何</w:t>
      </w:r>
      <w:r>
        <w:rPr>
          <w:spacing w:val="-6"/>
          <w:sz w:val="21"/>
        </w:rPr>
        <w:t>工作，为维持生命必要的日常生活活动，全需他人扶助的。</w:t>
      </w:r>
      <w:r>
        <w:rPr>
          <w:spacing w:val="-2"/>
          <w:sz w:val="21"/>
        </w:rPr>
        <w:t>（注④）</w:t>
      </w:r>
    </w:p>
    <w:p>
      <w:pPr>
        <w:pStyle w:val="BodyText"/>
        <w:ind w:left="3285"/>
      </w:pPr>
      <w:r>
        <w:rPr>
          <w:spacing w:val="-5"/>
        </w:rPr>
        <w:t>注：</w:t>
      </w:r>
    </w:p>
    <w:p>
      <w:pPr>
        <w:pStyle w:val="BodyText"/>
        <w:spacing w:line="278" w:lineRule="auto" w:before="43"/>
        <w:ind w:left="3705" w:right="541" w:hanging="209"/>
        <w:jc w:val="both"/>
      </w:pPr>
      <w:r>
        <w:rPr>
          <w:spacing w:val="-2"/>
        </w:rPr>
        <w:t>①失明包括眼球缺失或摘除、或不能辨别明暗、或仅能辨别眼前手动者，</w:t>
      </w:r>
      <w:r>
        <w:rPr>
          <w:w w:val="95"/>
        </w:rPr>
        <w:t>最</w:t>
      </w:r>
      <w:r>
        <w:rPr>
          <w:w w:val="95"/>
        </w:rPr>
        <w:t>佳</w:t>
      </w:r>
      <w:r>
        <w:rPr>
          <w:w w:val="95"/>
        </w:rPr>
        <w:t>矫正视力低于国际标</w:t>
      </w:r>
      <w:r>
        <w:rPr>
          <w:w w:val="95"/>
        </w:rPr>
        <w:t>准</w:t>
      </w:r>
      <w:r>
        <w:rPr>
          <w:w w:val="95"/>
        </w:rPr>
        <w:t>视</w:t>
      </w:r>
      <w:r>
        <w:rPr>
          <w:w w:val="95"/>
        </w:rPr>
        <w:t>力表 0.02，或视</w:t>
      </w:r>
      <w:r>
        <w:rPr>
          <w:w w:val="95"/>
        </w:rPr>
        <w:t>野</w:t>
      </w:r>
      <w:r>
        <w:rPr>
          <w:w w:val="95"/>
        </w:rPr>
        <w:t>半</w:t>
      </w:r>
      <w:r>
        <w:rPr>
          <w:w w:val="95"/>
        </w:rPr>
        <w:t>径小于 5 度，并由</w:t>
      </w:r>
      <w:r>
        <w:rPr>
          <w:w w:val="95"/>
        </w:rPr>
        <w:t>有</w:t>
      </w:r>
      <w:r>
        <w:rPr>
          <w:spacing w:val="-2"/>
        </w:rPr>
        <w:t>资格的眼科医师出具医疗诊断证明。</w:t>
      </w:r>
    </w:p>
    <w:p>
      <w:pPr>
        <w:pStyle w:val="BodyText"/>
        <w:spacing w:line="278" w:lineRule="auto"/>
        <w:ind w:left="3705" w:right="558" w:hanging="209"/>
      </w:pPr>
      <w:r>
        <w:rPr>
          <w:spacing w:val="-2"/>
        </w:rPr>
        <w:t>②关节机能的丧失系指关节永久完全僵硬、或麻痹、或关节不能随意识活</w:t>
      </w:r>
      <w:r>
        <w:rPr>
          <w:spacing w:val="-6"/>
        </w:rPr>
        <w:t>动。</w:t>
      </w:r>
    </w:p>
    <w:p>
      <w:pPr>
        <w:pStyle w:val="BodyText"/>
        <w:spacing w:line="278" w:lineRule="auto"/>
        <w:ind w:left="3705" w:right="455" w:hanging="209"/>
      </w:pPr>
      <w:r>
        <w:rPr>
          <w:spacing w:val="-2"/>
        </w:rPr>
        <w:t>③咀嚼、吞咽机能的丧失系指由于牙齿以外的原因引起器质障碍或机能障</w:t>
      </w:r>
      <w:r>
        <w:rPr>
          <w:spacing w:val="-4"/>
        </w:rPr>
        <w:t>碍，以致不能做咀嚼、吞咽运动，除流质食物外不能摄取或吞咽的状态。</w:t>
      </w:r>
    </w:p>
    <w:p>
      <w:pPr>
        <w:pStyle w:val="BodyText"/>
        <w:spacing w:line="278" w:lineRule="auto"/>
        <w:ind w:left="3705" w:right="558" w:hanging="209"/>
        <w:jc w:val="both"/>
      </w:pPr>
      <w:r>
        <w:rPr>
          <w:spacing w:val="-2"/>
        </w:rPr>
        <w:t>④为维持生命必要之日常生活活动，全需他人扶助系指食物摄取、大小便</w:t>
      </w:r>
      <w:r>
        <w:rPr>
          <w:spacing w:val="-2"/>
        </w:rPr>
        <w:t>始末、穿脱衣服、起居、步行、入浴等，皆不能自己为之，需要他人帮</w:t>
      </w:r>
      <w:r>
        <w:rPr>
          <w:spacing w:val="-6"/>
        </w:rPr>
        <w:t>助。</w:t>
      </w:r>
    </w:p>
    <w:p>
      <w:pPr>
        <w:pStyle w:val="BodyText"/>
        <w:spacing w:line="278" w:lineRule="auto"/>
        <w:ind w:left="3285" w:right="558"/>
        <w:jc w:val="both"/>
      </w:pPr>
      <w:r>
        <w:rPr>
          <w:spacing w:val="-5"/>
        </w:rPr>
        <w:t>所谓永久完全系指自意外伤害之日或疾病确诊之日起经过 </w:t>
      </w:r>
      <w:r>
        <w:rPr>
          <w:spacing w:val="-4"/>
        </w:rPr>
        <w:t>180</w:t>
      </w:r>
      <w:r>
        <w:rPr>
          <w:spacing w:val="-6"/>
        </w:rPr>
        <w:t> 天的治疗，机</w:t>
      </w:r>
      <w:r>
        <w:rPr>
          <w:spacing w:val="-2"/>
        </w:rPr>
        <w:t>能仍然完全丧失，但眼球摘除等明显无法复原之情况，不在此限。</w:t>
      </w:r>
    </w:p>
    <w:p>
      <w:pPr>
        <w:pStyle w:val="BodyText"/>
        <w:spacing w:before="4"/>
        <w:rPr>
          <w:sz w:val="24"/>
        </w:rPr>
      </w:pPr>
    </w:p>
    <w:p>
      <w:pPr>
        <w:pStyle w:val="ListParagraph"/>
        <w:numPr>
          <w:ilvl w:val="1"/>
          <w:numId w:val="34"/>
        </w:numPr>
        <w:tabs>
          <w:tab w:pos="1713" w:val="left" w:leader="none"/>
          <w:tab w:pos="1714" w:val="left" w:leader="none"/>
          <w:tab w:pos="3285" w:val="left" w:leader="none"/>
        </w:tabs>
        <w:spacing w:line="278" w:lineRule="auto" w:before="0" w:after="0"/>
        <w:ind w:left="3285" w:right="563" w:hanging="2711"/>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精算原理计算的，由</w:t>
      </w:r>
      <w:r>
        <w:rPr>
          <w:spacing w:val="-2"/>
          <w:sz w:val="21"/>
        </w:rPr>
        <w:t>本</w:t>
      </w:r>
      <w:r>
        <w:rPr>
          <w:spacing w:val="-2"/>
          <w:sz w:val="21"/>
        </w:rPr>
        <w:t>公</w:t>
      </w:r>
      <w:r>
        <w:rPr>
          <w:spacing w:val="-2"/>
          <w:sz w:val="21"/>
        </w:rPr>
        <w:t>司退还的那部分金额。</w:t>
      </w:r>
    </w:p>
    <w:p>
      <w:pPr>
        <w:pStyle w:val="BodyText"/>
        <w:spacing w:before="4"/>
        <w:rPr>
          <w:sz w:val="24"/>
        </w:rPr>
      </w:pPr>
    </w:p>
    <w:p>
      <w:pPr>
        <w:pStyle w:val="ListParagraph"/>
        <w:numPr>
          <w:ilvl w:val="1"/>
          <w:numId w:val="34"/>
        </w:numPr>
        <w:tabs>
          <w:tab w:pos="1713" w:val="left" w:leader="none"/>
          <w:tab w:pos="1714" w:val="left" w:leader="none"/>
          <w:tab w:pos="3285" w:val="left" w:leader="none"/>
        </w:tabs>
        <w:spacing w:line="240" w:lineRule="auto" w:before="0" w:after="0"/>
        <w:ind w:left="1713" w:right="0" w:hanging="1139"/>
        <w:jc w:val="left"/>
        <w:rPr>
          <w:sz w:val="21"/>
        </w:rPr>
      </w:pPr>
      <w:r>
        <w:rPr>
          <w:b/>
          <w:sz w:val="21"/>
        </w:rPr>
        <w:t>极重度疾</w:t>
      </w:r>
      <w:r>
        <w:rPr>
          <w:b/>
          <w:spacing w:val="-10"/>
          <w:sz w:val="21"/>
        </w:rPr>
        <w:t>病</w:t>
      </w:r>
      <w:r>
        <w:rPr>
          <w:b/>
          <w:sz w:val="21"/>
        </w:rPr>
        <w:tab/>
      </w:r>
      <w:r>
        <w:rPr>
          <w:spacing w:val="-2"/>
          <w:sz w:val="21"/>
        </w:rPr>
        <w:t>指</w:t>
      </w:r>
      <w:r>
        <w:rPr>
          <w:spacing w:val="-2"/>
          <w:sz w:val="21"/>
        </w:rPr>
        <w:t>下</w:t>
      </w:r>
      <w:r>
        <w:rPr>
          <w:spacing w:val="-2"/>
          <w:sz w:val="21"/>
        </w:rPr>
        <w:t>面列出的</w:t>
      </w:r>
      <w:r>
        <w:rPr>
          <w:spacing w:val="-49"/>
          <w:sz w:val="21"/>
        </w:rPr>
        <w:t> </w:t>
      </w:r>
      <w:r>
        <w:rPr>
          <w:spacing w:val="-2"/>
          <w:sz w:val="21"/>
        </w:rPr>
        <w:t>3</w:t>
      </w:r>
      <w:r>
        <w:rPr>
          <w:spacing w:val="-49"/>
          <w:sz w:val="21"/>
        </w:rPr>
        <w:t> </w:t>
      </w:r>
      <w:r>
        <w:rPr>
          <w:spacing w:val="-2"/>
          <w:sz w:val="21"/>
        </w:rPr>
        <w:t>种极重度</w:t>
      </w:r>
      <w:r>
        <w:rPr>
          <w:spacing w:val="-2"/>
          <w:sz w:val="21"/>
        </w:rPr>
        <w:t>疾</w:t>
      </w:r>
      <w:r>
        <w:rPr>
          <w:spacing w:val="-10"/>
          <w:sz w:val="21"/>
        </w:rPr>
        <w:t>病</w:t>
      </w:r>
    </w:p>
    <w:p>
      <w:pPr>
        <w:pStyle w:val="BodyText"/>
        <w:spacing w:before="2"/>
        <w:rPr>
          <w:sz w:val="22"/>
        </w:rPr>
      </w:pPr>
    </w:p>
    <w:p>
      <w:pPr>
        <w:spacing w:after="0"/>
        <w:rPr>
          <w:sz w:val="22"/>
        </w:rPr>
        <w:sectPr>
          <w:pgSz w:w="11910" w:h="16840"/>
          <w:pgMar w:top="1200" w:bottom="280" w:left="680" w:right="460"/>
        </w:sectPr>
      </w:pPr>
    </w:p>
    <w:p>
      <w:pPr>
        <w:pStyle w:val="Heading2"/>
        <w:numPr>
          <w:ilvl w:val="2"/>
          <w:numId w:val="34"/>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极重度恶性肿</w:t>
      </w:r>
      <w:r>
        <w:rPr>
          <w:rFonts w:ascii="楷体" w:eastAsia="楷体" w:hint="eastAsia"/>
          <w:spacing w:val="-10"/>
        </w:rPr>
        <w:t>瘤</w:t>
      </w:r>
    </w:p>
    <w:p>
      <w:pPr>
        <w:pStyle w:val="BodyText"/>
        <w:spacing w:line="278" w:lineRule="auto" w:before="72"/>
        <w:ind w:left="265" w:right="558"/>
      </w:pPr>
      <w:r>
        <w:rPr/>
        <w:br w:type="column"/>
      </w:r>
      <w:r>
        <w:rPr>
          <w:spacing w:val="-2"/>
        </w:rPr>
        <w:t>被保险人被初次确诊为恶性肿瘤——重度，且确诊时对于恶性肿瘤——重度</w:t>
      </w:r>
      <w:r>
        <w:rPr>
          <w:spacing w:val="-3"/>
        </w:rPr>
        <w:t>进行了临床分期，并已达到或满足 </w:t>
      </w:r>
      <w:r>
        <w:rPr/>
        <w:t>TNM</w:t>
      </w:r>
      <w:r>
        <w:rPr>
          <w:spacing w:val="-22"/>
        </w:rPr>
        <w:t> 分期 </w:t>
      </w:r>
      <w:r>
        <w:rPr/>
        <w:t>IV</w:t>
      </w:r>
      <w:r>
        <w:rPr>
          <w:spacing w:val="-19"/>
        </w:rPr>
        <w:t> 期或非 </w:t>
      </w:r>
      <w:r>
        <w:rPr/>
        <w:t>TNM</w:t>
      </w:r>
      <w:r>
        <w:rPr>
          <w:spacing w:val="-7"/>
        </w:rPr>
        <w:t> 分期的最严重的</w:t>
      </w:r>
      <w:r>
        <w:rPr>
          <w:spacing w:val="-2"/>
        </w:rPr>
        <w:t>分期标准者。</w:t>
      </w:r>
    </w:p>
    <w:p>
      <w:pPr>
        <w:spacing w:after="0" w:line="278" w:lineRule="auto"/>
        <w:sectPr>
          <w:type w:val="continuous"/>
          <w:pgSz w:w="11910" w:h="16840"/>
          <w:pgMar w:top="460" w:bottom="280" w:left="680" w:right="460"/>
          <w:cols w:num="2" w:equalWidth="0">
            <w:col w:w="2981" w:space="40"/>
            <w:col w:w="7749"/>
          </w:cols>
        </w:sectPr>
      </w:pP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极重度急性心</w:t>
      </w:r>
      <w:r>
        <w:rPr>
          <w:rFonts w:ascii="楷体" w:eastAsia="楷体" w:hint="eastAsia"/>
          <w:spacing w:val="-4"/>
        </w:rPr>
        <w:t>肌梗死</w:t>
      </w:r>
    </w:p>
    <w:p>
      <w:pPr>
        <w:pStyle w:val="BodyText"/>
        <w:spacing w:before="72"/>
        <w:ind w:left="264"/>
      </w:pPr>
      <w:r>
        <w:rPr/>
        <w:br w:type="column"/>
      </w:r>
      <w:r>
        <w:rPr>
          <w:spacing w:val="-3"/>
        </w:rPr>
        <w:t>被保险人被初次确诊为较重急性心肌梗死，且确诊六周后达到：</w:t>
      </w:r>
    </w:p>
    <w:p>
      <w:pPr>
        <w:pStyle w:val="ListParagraph"/>
        <w:numPr>
          <w:ilvl w:val="0"/>
          <w:numId w:val="47"/>
        </w:numPr>
        <w:tabs>
          <w:tab w:pos="815" w:val="left" w:leader="none"/>
        </w:tabs>
        <w:spacing w:line="278" w:lineRule="auto" w:before="42" w:after="0"/>
        <w:ind w:left="264" w:right="625" w:firstLine="0"/>
        <w:jc w:val="left"/>
        <w:rPr>
          <w:sz w:val="21"/>
        </w:rPr>
      </w:pPr>
      <w:r>
        <w:rPr>
          <w:sz w:val="21"/>
        </w:rPr>
        <w:t>美国纽约心脏病学会（New</w:t>
      </w:r>
      <w:r>
        <w:rPr>
          <w:spacing w:val="-12"/>
          <w:sz w:val="21"/>
        </w:rPr>
        <w:t> </w:t>
      </w:r>
      <w:r>
        <w:rPr>
          <w:sz w:val="21"/>
        </w:rPr>
        <w:t>York</w:t>
      </w:r>
      <w:r>
        <w:rPr>
          <w:spacing w:val="-12"/>
          <w:sz w:val="21"/>
        </w:rPr>
        <w:t> </w:t>
      </w:r>
      <w:r>
        <w:rPr>
          <w:sz w:val="21"/>
        </w:rPr>
        <w:t>Heart</w:t>
      </w:r>
      <w:r>
        <w:rPr>
          <w:spacing w:val="-10"/>
          <w:sz w:val="21"/>
        </w:rPr>
        <w:t> </w:t>
      </w:r>
      <w:r>
        <w:rPr>
          <w:sz w:val="21"/>
        </w:rPr>
        <w:t>Association，NYHA）心功能</w:t>
      </w:r>
      <w:r>
        <w:rPr>
          <w:spacing w:val="-5"/>
          <w:sz w:val="21"/>
        </w:rPr>
        <w:t>状态分级 </w:t>
      </w:r>
      <w:r>
        <w:rPr>
          <w:sz w:val="21"/>
        </w:rPr>
        <w:t>IV</w:t>
      </w:r>
      <w:r>
        <w:rPr>
          <w:spacing w:val="-6"/>
          <w:sz w:val="21"/>
        </w:rPr>
        <w:t> 级，或</w:t>
      </w:r>
    </w:p>
    <w:p>
      <w:pPr>
        <w:pStyle w:val="ListParagraph"/>
        <w:numPr>
          <w:ilvl w:val="0"/>
          <w:numId w:val="47"/>
        </w:numPr>
        <w:tabs>
          <w:tab w:pos="794" w:val="left" w:leader="none"/>
        </w:tabs>
        <w:spacing w:line="269" w:lineRule="exact" w:before="0" w:after="0"/>
        <w:ind w:left="793" w:right="0" w:hanging="530"/>
        <w:jc w:val="left"/>
        <w:rPr>
          <w:sz w:val="21"/>
        </w:rPr>
      </w:pPr>
      <w:r>
        <w:rPr>
          <w:spacing w:val="-7"/>
          <w:sz w:val="21"/>
        </w:rPr>
        <w:t>左心室射血分数小于 </w:t>
      </w:r>
      <w:r>
        <w:rPr>
          <w:spacing w:val="-2"/>
          <w:sz w:val="21"/>
        </w:rPr>
        <w:t>30</w:t>
      </w:r>
      <w:r>
        <w:rPr>
          <w:spacing w:val="-6"/>
          <w:sz w:val="21"/>
        </w:rPr>
        <w:t>%。</w:t>
      </w:r>
    </w:p>
    <w:p>
      <w:pPr>
        <w:spacing w:after="0" w:line="269" w:lineRule="exact"/>
        <w:jc w:val="left"/>
        <w:rPr>
          <w:sz w:val="21"/>
        </w:rPr>
        <w:sectPr>
          <w:type w:val="continuous"/>
          <w:pgSz w:w="11910" w:h="16840"/>
          <w:pgMar w:top="460" w:bottom="280" w:left="680" w:right="460"/>
          <w:cols w:num="2" w:equalWidth="0">
            <w:col w:w="2982" w:space="40"/>
            <w:col w:w="7748"/>
          </w:cols>
        </w:sectPr>
      </w:pPr>
    </w:p>
    <w:p>
      <w:pPr>
        <w:pStyle w:val="BodyText"/>
        <w:spacing w:before="2"/>
        <w:rPr>
          <w:sz w:val="22"/>
        </w:rPr>
      </w:pPr>
    </w:p>
    <w:p>
      <w:pPr>
        <w:spacing w:after="0"/>
        <w:rPr>
          <w:sz w:val="22"/>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极重度脑中风</w:t>
      </w:r>
      <w:r>
        <w:rPr>
          <w:rFonts w:ascii="楷体" w:eastAsia="楷体" w:hint="eastAsia"/>
          <w:spacing w:val="-4"/>
        </w:rPr>
        <w:t>后遗症</w:t>
      </w:r>
    </w:p>
    <w:p>
      <w:pPr>
        <w:pStyle w:val="BodyText"/>
        <w:spacing w:line="278" w:lineRule="auto" w:before="72"/>
        <w:ind w:left="265" w:right="558"/>
      </w:pPr>
      <w:r>
        <w:rPr/>
        <w:br w:type="column"/>
      </w:r>
      <w:r>
        <w:rPr>
          <w:spacing w:val="-2"/>
        </w:rPr>
        <w:t>被保险人被初次确诊为严重脑中风后遗症，且不能独立完成六项基本日常生</w:t>
      </w:r>
      <w:r>
        <w:rPr>
          <w:spacing w:val="-2"/>
        </w:rPr>
        <w:t>活活动中的三项及以上。</w:t>
      </w:r>
    </w:p>
    <w:p>
      <w:pPr>
        <w:spacing w:after="0" w:line="278" w:lineRule="auto"/>
        <w:sectPr>
          <w:type w:val="continuous"/>
          <w:pgSz w:w="11910" w:h="16840"/>
          <w:pgMar w:top="460" w:bottom="280" w:left="680" w:right="460"/>
          <w:cols w:num="2" w:equalWidth="0">
            <w:col w:w="2981" w:space="40"/>
            <w:col w:w="7749"/>
          </w:cols>
        </w:sectPr>
      </w:pPr>
    </w:p>
    <w:p>
      <w:pPr>
        <w:pStyle w:val="BodyText"/>
        <w:spacing w:before="10"/>
        <w:rPr>
          <w:sz w:val="18"/>
        </w:rPr>
      </w:pPr>
    </w:p>
    <w:p>
      <w:pPr>
        <w:spacing w:after="0"/>
        <w:rPr>
          <w:sz w:val="18"/>
        </w:rPr>
        <w:sectPr>
          <w:type w:val="continuous"/>
          <w:pgSz w:w="11910" w:h="16840"/>
          <w:pgMar w:top="460" w:bottom="280" w:left="680" w:right="460"/>
        </w:sectPr>
      </w:pPr>
    </w:p>
    <w:p>
      <w:pPr>
        <w:pStyle w:val="Heading2"/>
        <w:numPr>
          <w:ilvl w:val="1"/>
          <w:numId w:val="34"/>
        </w:numPr>
        <w:tabs>
          <w:tab w:pos="1713" w:val="left" w:leader="none"/>
          <w:tab w:pos="1714" w:val="left" w:leader="none"/>
        </w:tabs>
        <w:spacing w:line="278" w:lineRule="auto" w:before="71" w:after="0"/>
        <w:ind w:left="1713" w:right="0" w:hanging="1138"/>
        <w:jc w:val="left"/>
        <w:rPr>
          <w:rFonts w:ascii="宋体" w:eastAsia="宋体" w:hint="eastAsia"/>
        </w:rPr>
      </w:pPr>
      <w:r>
        <w:rPr>
          <w:rFonts w:ascii="宋体" w:eastAsia="宋体" w:hint="eastAsia"/>
          <w:spacing w:val="-2"/>
        </w:rPr>
        <w:t>已交保险费年</w:t>
      </w:r>
      <w:r>
        <w:rPr>
          <w:rFonts w:ascii="宋体" w:eastAsia="宋体" w:hint="eastAsia"/>
          <w:spacing w:val="-6"/>
        </w:rPr>
        <w:t>度数</w:t>
      </w:r>
    </w:p>
    <w:p>
      <w:pPr>
        <w:pStyle w:val="BodyText"/>
        <w:spacing w:line="278" w:lineRule="auto" w:before="71"/>
        <w:ind w:left="265" w:right="560"/>
      </w:pPr>
      <w:r>
        <w:rPr/>
        <w:br w:type="column"/>
      </w:r>
      <w:r>
        <w:rPr>
          <w:spacing w:val="-2"/>
        </w:rPr>
        <w:t>在本主险合同交费期间内，已交保险费年度数为保险单年度数；在本主险合</w:t>
      </w:r>
      <w:r>
        <w:rPr>
          <w:spacing w:val="-2"/>
        </w:rPr>
        <w:t>同交费期间届满后，已交保险费年度数为保险单上载明的交费期间。</w:t>
      </w:r>
    </w:p>
    <w:p>
      <w:pPr>
        <w:spacing w:after="0" w:line="278" w:lineRule="auto"/>
        <w:sectPr>
          <w:type w:val="continuous"/>
          <w:pgSz w:w="11910" w:h="16840"/>
          <w:pgMar w:top="460" w:bottom="280" w:left="680" w:right="460"/>
          <w:cols w:num="2" w:equalWidth="0">
            <w:col w:w="2981" w:space="40"/>
            <w:col w:w="7749"/>
          </w:cols>
        </w:sectPr>
      </w:pPr>
    </w:p>
    <w:p>
      <w:pPr>
        <w:pStyle w:val="BodyText"/>
        <w:spacing w:before="10"/>
        <w:rPr>
          <w:sz w:val="18"/>
        </w:rPr>
      </w:pPr>
    </w:p>
    <w:p>
      <w:pPr>
        <w:spacing w:after="0"/>
        <w:rPr>
          <w:sz w:val="18"/>
        </w:rPr>
        <w:sectPr>
          <w:type w:val="continuous"/>
          <w:pgSz w:w="11910" w:h="16840"/>
          <w:pgMar w:top="460" w:bottom="280" w:left="680" w:right="460"/>
        </w:sectPr>
      </w:pPr>
    </w:p>
    <w:p>
      <w:pPr>
        <w:pStyle w:val="Heading2"/>
        <w:numPr>
          <w:ilvl w:val="1"/>
          <w:numId w:val="34"/>
        </w:numPr>
        <w:tabs>
          <w:tab w:pos="1713" w:val="left" w:leader="none"/>
          <w:tab w:pos="1714" w:val="left" w:leader="none"/>
        </w:tabs>
        <w:spacing w:line="278" w:lineRule="auto" w:before="71" w:after="0"/>
        <w:ind w:left="1713" w:right="0" w:hanging="1138"/>
        <w:jc w:val="left"/>
        <w:rPr>
          <w:rFonts w:ascii="宋体" w:eastAsia="宋体" w:hint="eastAsia"/>
        </w:rPr>
      </w:pPr>
      <w:r>
        <w:rPr>
          <w:rFonts w:ascii="宋体" w:eastAsia="宋体" w:hint="eastAsia"/>
          <w:spacing w:val="-2"/>
        </w:rPr>
        <w:t>青少儿特定疾</w:t>
      </w:r>
      <w:r>
        <w:rPr>
          <w:rFonts w:ascii="宋体" w:eastAsia="宋体" w:hint="eastAsia"/>
          <w:spacing w:val="-10"/>
        </w:rPr>
        <w:t>病</w:t>
      </w:r>
    </w:p>
    <w:p>
      <w:pPr>
        <w:pStyle w:val="BodyText"/>
        <w:spacing w:before="71"/>
        <w:ind w:left="265"/>
      </w:pPr>
      <w:r>
        <w:rPr/>
        <w:br w:type="column"/>
      </w:r>
      <w:r>
        <w:rPr>
          <w:spacing w:val="-9"/>
        </w:rPr>
        <w:t>指下面列出的 </w:t>
      </w:r>
      <w:r>
        <w:rPr>
          <w:spacing w:val="-2"/>
        </w:rPr>
        <w:t>10</w:t>
      </w:r>
      <w:r>
        <w:rPr>
          <w:spacing w:val="-10"/>
        </w:rPr>
        <w:t> 种青少儿特定疾病</w:t>
      </w:r>
    </w:p>
    <w:p>
      <w:pPr>
        <w:spacing w:after="0"/>
        <w:sectPr>
          <w:type w:val="continuous"/>
          <w:pgSz w:w="11910" w:h="16840"/>
          <w:pgMar w:top="460" w:bottom="280" w:left="680" w:right="460"/>
          <w:cols w:num="2" w:equalWidth="0">
            <w:col w:w="2981" w:space="40"/>
            <w:col w:w="7749"/>
          </w:cols>
        </w:sectPr>
      </w:pPr>
    </w:p>
    <w:p>
      <w:pPr>
        <w:pStyle w:val="ListParagraph"/>
        <w:numPr>
          <w:ilvl w:val="2"/>
          <w:numId w:val="34"/>
        </w:numPr>
        <w:tabs>
          <w:tab w:pos="1714" w:val="left" w:leader="none"/>
        </w:tabs>
        <w:spacing w:line="278" w:lineRule="auto" w:before="52" w:after="0"/>
        <w:ind w:left="3285" w:right="558" w:hanging="2711"/>
        <w:jc w:val="both"/>
        <w:rPr>
          <w:sz w:val="21"/>
        </w:rPr>
      </w:pPr>
      <w:r>
        <w:rPr>
          <w:rFonts w:ascii="楷体" w:hAnsi="楷体" w:eastAsia="楷体" w:hint="eastAsia"/>
          <w:b/>
          <w:spacing w:val="61"/>
          <w:sz w:val="21"/>
        </w:rPr>
        <w:t>特定白血病 </w:t>
      </w:r>
      <w:r>
        <w:rPr>
          <w:sz w:val="21"/>
        </w:rPr>
        <w:t>是一种造血系统的恶性肿瘤——重度，其主要表现为白血病细胞在骨髓或其</w:t>
      </w:r>
      <w:r>
        <w:rPr>
          <w:spacing w:val="-2"/>
          <w:sz w:val="21"/>
        </w:rPr>
        <w:t>他造血组织中进行性、失控制的异常增生，并浸润至其他组织与器官，使正</w:t>
      </w:r>
      <w:r>
        <w:rPr>
          <w:spacing w:val="-2"/>
          <w:sz w:val="21"/>
        </w:rPr>
        <w:t>常血细胞生成减少，周围白细胞有质和量的变化，产生相应临床表现。被保</w:t>
      </w:r>
      <w:r>
        <w:rPr>
          <w:spacing w:val="-2"/>
          <w:sz w:val="21"/>
        </w:rPr>
        <w:t>险人所患白血病必须根据骨髓的活组织检查和周围血象由专科（儿科、血液</w:t>
      </w:r>
      <w:r>
        <w:rPr>
          <w:spacing w:val="-2"/>
          <w:sz w:val="21"/>
        </w:rPr>
        <w:t>科或肿瘤科）医生确诊，《疾病和有关健康问题的国际统计分类》第十次修</w:t>
      </w:r>
      <w:r>
        <w:rPr>
          <w:spacing w:val="-2"/>
          <w:sz w:val="21"/>
        </w:rPr>
        <w:t>订版（ICD-10）编码主码在C90-95范围内。</w:t>
      </w:r>
    </w:p>
    <w:p>
      <w:pPr>
        <w:spacing w:line="272" w:lineRule="exact" w:before="0"/>
        <w:ind w:left="3285" w:right="0" w:firstLine="0"/>
        <w:jc w:val="both"/>
        <w:rPr>
          <w:b/>
          <w:i/>
          <w:sz w:val="22"/>
        </w:rPr>
      </w:pPr>
      <w:r>
        <w:rPr>
          <w:b/>
          <w:i/>
          <w:spacing w:val="-14"/>
          <w:w w:val="95"/>
          <w:sz w:val="22"/>
        </w:rPr>
        <w:t>相当于 </w:t>
      </w:r>
      <w:r>
        <w:rPr>
          <w:b/>
          <w:i/>
          <w:w w:val="95"/>
          <w:sz w:val="22"/>
        </w:rPr>
        <w:t>Binet</w:t>
      </w:r>
      <w:r>
        <w:rPr>
          <w:b/>
          <w:i/>
          <w:spacing w:val="-53"/>
          <w:w w:val="95"/>
          <w:sz w:val="22"/>
        </w:rPr>
        <w:t> </w:t>
      </w:r>
      <w:r>
        <w:rPr>
          <w:b/>
          <w:i/>
          <w:spacing w:val="11"/>
          <w:w w:val="95"/>
          <w:sz w:val="22"/>
        </w:rPr>
        <w:t>分期方案</w:t>
      </w:r>
      <w:r>
        <w:rPr>
          <w:b/>
          <w:i/>
          <w:w w:val="95"/>
          <w:sz w:val="22"/>
        </w:rPr>
        <w:t>A</w:t>
      </w:r>
      <w:r>
        <w:rPr>
          <w:b/>
          <w:i/>
          <w:spacing w:val="-56"/>
          <w:w w:val="95"/>
          <w:sz w:val="22"/>
        </w:rPr>
        <w:t> </w:t>
      </w:r>
      <w:r>
        <w:rPr>
          <w:b/>
          <w:i/>
          <w:spacing w:val="-1"/>
          <w:w w:val="95"/>
          <w:sz w:val="22"/>
        </w:rPr>
        <w:t>期程度的慢性淋巴细胞白血病除外。</w:t>
      </w:r>
    </w:p>
    <w:p>
      <w:pPr>
        <w:pStyle w:val="BodyText"/>
        <w:spacing w:before="11"/>
        <w:rPr>
          <w:b/>
          <w:i/>
        </w:rPr>
      </w:pPr>
    </w:p>
    <w:p>
      <w:pPr>
        <w:spacing w:after="0"/>
        <w:sectPr>
          <w:pgSz w:w="11910" w:h="16840"/>
          <w:pgMar w:top="1200" w:bottom="280" w:left="680" w:right="460"/>
        </w:sectPr>
      </w:pPr>
    </w:p>
    <w:p>
      <w:pPr>
        <w:pStyle w:val="Heading2"/>
        <w:numPr>
          <w:ilvl w:val="2"/>
          <w:numId w:val="34"/>
        </w:numPr>
        <w:tabs>
          <w:tab w:pos="1714" w:val="left" w:leader="none"/>
        </w:tabs>
        <w:spacing w:line="278" w:lineRule="auto" w:before="72" w:after="0"/>
        <w:ind w:left="1713" w:right="0" w:hanging="1138"/>
        <w:jc w:val="both"/>
        <w:rPr>
          <w:rFonts w:ascii="楷体" w:eastAsia="楷体" w:hint="eastAsia"/>
        </w:rPr>
      </w:pPr>
      <w:r>
        <w:rPr>
          <w:rFonts w:ascii="楷体" w:eastAsia="楷体" w:hint="eastAsia"/>
          <w:spacing w:val="-2"/>
        </w:rPr>
        <w:t>经输血导致的</w:t>
      </w:r>
      <w:r>
        <w:rPr>
          <w:rFonts w:ascii="楷体" w:eastAsia="楷体" w:hint="eastAsia"/>
          <w:spacing w:val="-2"/>
        </w:rPr>
        <w:t>人类免疫缺陷</w:t>
      </w:r>
      <w:r>
        <w:rPr>
          <w:rFonts w:ascii="楷体" w:eastAsia="楷体" w:hint="eastAsia"/>
          <w:spacing w:val="-4"/>
        </w:rPr>
        <w:t>病毒感染</w:t>
      </w:r>
    </w:p>
    <w:p>
      <w:pPr>
        <w:pStyle w:val="BodyText"/>
        <w:spacing w:before="72"/>
        <w:ind w:left="265"/>
      </w:pPr>
      <w:r>
        <w:rPr/>
        <w:br w:type="column"/>
      </w:r>
      <w:r>
        <w:rPr>
          <w:spacing w:val="-24"/>
        </w:rPr>
        <w:t>见 </w:t>
      </w:r>
      <w:r>
        <w:rPr>
          <w:spacing w:val="-2"/>
        </w:rPr>
        <w:t>9.8.35</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10"/>
        <w:rPr>
          <w:sz w:val="18"/>
        </w:rPr>
      </w:pPr>
    </w:p>
    <w:p>
      <w:pPr>
        <w:spacing w:after="0"/>
        <w:rPr>
          <w:sz w:val="18"/>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78" w:lineRule="auto" w:before="71" w:after="0"/>
        <w:ind w:left="1713" w:right="0" w:hanging="1138"/>
        <w:jc w:val="left"/>
        <w:rPr>
          <w:rFonts w:ascii="楷体" w:eastAsia="楷体" w:hint="eastAsia"/>
        </w:rPr>
      </w:pPr>
      <w:r>
        <w:rPr>
          <w:rFonts w:ascii="楷体" w:eastAsia="楷体" w:hint="eastAsia"/>
          <w:spacing w:val="-2"/>
        </w:rPr>
        <w:t>重症急性坏死</w:t>
      </w:r>
      <w:r>
        <w:rPr>
          <w:rFonts w:ascii="楷体" w:eastAsia="楷体" w:hint="eastAsia"/>
          <w:spacing w:val="-4"/>
        </w:rPr>
        <w:t>性筋膜炎</w:t>
      </w:r>
    </w:p>
    <w:p>
      <w:pPr>
        <w:pStyle w:val="BodyText"/>
        <w:spacing w:before="71"/>
        <w:ind w:left="265"/>
      </w:pPr>
      <w:r>
        <w:rPr/>
        <w:br w:type="column"/>
      </w:r>
      <w:r>
        <w:rPr>
          <w:spacing w:val="-24"/>
        </w:rPr>
        <w:t>见 </w:t>
      </w:r>
      <w:r>
        <w:rPr>
          <w:spacing w:val="-2"/>
        </w:rPr>
        <w:t>9.8.40</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10"/>
        <w:rPr>
          <w:sz w:val="18"/>
        </w:rPr>
      </w:pPr>
    </w:p>
    <w:p>
      <w:pPr>
        <w:pStyle w:val="ListParagraph"/>
        <w:numPr>
          <w:ilvl w:val="2"/>
          <w:numId w:val="34"/>
        </w:numPr>
        <w:tabs>
          <w:tab w:pos="1713" w:val="left" w:leader="none"/>
          <w:tab w:pos="1714" w:val="left" w:leader="none"/>
          <w:tab w:pos="3285" w:val="left" w:leader="none"/>
        </w:tabs>
        <w:spacing w:line="240" w:lineRule="auto" w:before="72" w:after="0"/>
        <w:ind w:left="1713" w:right="0" w:hanging="1139"/>
        <w:jc w:val="left"/>
        <w:rPr>
          <w:sz w:val="21"/>
        </w:rPr>
      </w:pPr>
      <w:r>
        <w:rPr>
          <w:rFonts w:ascii="楷体" w:eastAsia="楷体" w:hint="eastAsia"/>
          <w:b/>
          <w:sz w:val="21"/>
        </w:rPr>
        <w:t>严重心肌</w:t>
      </w:r>
      <w:r>
        <w:rPr>
          <w:rFonts w:ascii="楷体" w:eastAsia="楷体" w:hint="eastAsia"/>
          <w:b/>
          <w:spacing w:val="-10"/>
          <w:sz w:val="21"/>
        </w:rPr>
        <w:t>炎</w:t>
      </w:r>
      <w:r>
        <w:rPr>
          <w:rFonts w:ascii="楷体" w:eastAsia="楷体" w:hint="eastAsia"/>
          <w:b/>
          <w:sz w:val="21"/>
        </w:rPr>
        <w:tab/>
      </w:r>
      <w:r>
        <w:rPr>
          <w:spacing w:val="-2"/>
          <w:sz w:val="21"/>
        </w:rPr>
        <w:t>见</w:t>
      </w:r>
      <w:r>
        <w:rPr>
          <w:spacing w:val="-47"/>
          <w:sz w:val="21"/>
        </w:rPr>
        <w:t> </w:t>
      </w:r>
      <w:r>
        <w:rPr>
          <w:spacing w:val="-2"/>
          <w:sz w:val="21"/>
        </w:rPr>
        <w:t>9.8.55</w:t>
      </w:r>
      <w:r>
        <w:rPr>
          <w:spacing w:val="-10"/>
          <w:sz w:val="21"/>
        </w:rPr>
        <w:t>。</w:t>
      </w:r>
    </w:p>
    <w:p>
      <w:pPr>
        <w:pStyle w:val="BodyText"/>
        <w:spacing w:before="1"/>
        <w:rPr>
          <w:sz w:val="22"/>
        </w:rPr>
      </w:pPr>
    </w:p>
    <w:p>
      <w:pPr>
        <w:spacing w:after="0"/>
        <w:rPr>
          <w:sz w:val="22"/>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严重慢性缩窄</w:t>
      </w:r>
      <w:r>
        <w:rPr>
          <w:rFonts w:ascii="楷体" w:eastAsia="楷体" w:hint="eastAsia"/>
          <w:spacing w:val="-4"/>
        </w:rPr>
        <w:t>性心包炎</w:t>
      </w:r>
    </w:p>
    <w:p>
      <w:pPr>
        <w:pStyle w:val="BodyText"/>
        <w:spacing w:before="72"/>
        <w:ind w:left="265"/>
      </w:pPr>
      <w:r>
        <w:rPr/>
        <w:br w:type="column"/>
      </w:r>
      <w:r>
        <w:rPr>
          <w:spacing w:val="-24"/>
        </w:rPr>
        <w:t>见 </w:t>
      </w:r>
      <w:r>
        <w:rPr>
          <w:spacing w:val="-2"/>
        </w:rPr>
        <w:t>9.8.72</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严重肠道疾病</w:t>
      </w:r>
      <w:r>
        <w:rPr>
          <w:rFonts w:ascii="楷体" w:eastAsia="楷体" w:hint="eastAsia"/>
          <w:spacing w:val="-4"/>
        </w:rPr>
        <w:t>并发症</w:t>
      </w:r>
    </w:p>
    <w:p>
      <w:pPr>
        <w:pStyle w:val="BodyText"/>
        <w:spacing w:before="72"/>
        <w:ind w:left="265"/>
      </w:pPr>
      <w:r>
        <w:rPr/>
        <w:br w:type="column"/>
      </w:r>
      <w:r>
        <w:rPr>
          <w:spacing w:val="-24"/>
        </w:rPr>
        <w:t>见 </w:t>
      </w:r>
      <w:r>
        <w:rPr>
          <w:spacing w:val="-2"/>
        </w:rPr>
        <w:t>9.8.78</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10"/>
        <w:rPr>
          <w:sz w:val="18"/>
        </w:rPr>
      </w:pPr>
    </w:p>
    <w:p>
      <w:pPr>
        <w:pStyle w:val="ListParagraph"/>
        <w:numPr>
          <w:ilvl w:val="2"/>
          <w:numId w:val="34"/>
        </w:numPr>
        <w:tabs>
          <w:tab w:pos="1713" w:val="left" w:leader="none"/>
          <w:tab w:pos="1714" w:val="left" w:leader="none"/>
          <w:tab w:pos="3285" w:val="left" w:leader="none"/>
        </w:tabs>
        <w:spacing w:line="240" w:lineRule="auto" w:before="71" w:after="0"/>
        <w:ind w:left="1713" w:right="0" w:hanging="1139"/>
        <w:jc w:val="left"/>
        <w:rPr>
          <w:sz w:val="21"/>
        </w:rPr>
      </w:pPr>
      <w:r>
        <w:rPr>
          <w:rFonts w:ascii="楷体" w:eastAsia="楷体" w:hint="eastAsia"/>
          <w:b/>
          <w:sz w:val="21"/>
        </w:rPr>
        <w:t>严重川崎</w:t>
      </w:r>
      <w:r>
        <w:rPr>
          <w:rFonts w:ascii="楷体" w:eastAsia="楷体" w:hint="eastAsia"/>
          <w:b/>
          <w:spacing w:val="-10"/>
          <w:sz w:val="21"/>
        </w:rPr>
        <w:t>病</w:t>
      </w:r>
      <w:r>
        <w:rPr>
          <w:rFonts w:ascii="楷体" w:eastAsia="楷体" w:hint="eastAsia"/>
          <w:b/>
          <w:sz w:val="21"/>
        </w:rPr>
        <w:tab/>
      </w:r>
      <w:r>
        <w:rPr>
          <w:spacing w:val="-2"/>
          <w:sz w:val="21"/>
        </w:rPr>
        <w:t>见</w:t>
      </w:r>
      <w:r>
        <w:rPr>
          <w:spacing w:val="-47"/>
          <w:sz w:val="21"/>
        </w:rPr>
        <w:t> </w:t>
      </w:r>
      <w:r>
        <w:rPr>
          <w:spacing w:val="-2"/>
          <w:sz w:val="21"/>
        </w:rPr>
        <w:t>9.8.82</w:t>
      </w:r>
      <w:r>
        <w:rPr>
          <w:spacing w:val="-10"/>
          <w:sz w:val="21"/>
        </w:rPr>
        <w:t>。</w:t>
      </w:r>
    </w:p>
    <w:p>
      <w:pPr>
        <w:pStyle w:val="BodyText"/>
        <w:spacing w:before="10"/>
        <w:rPr>
          <w:sz w:val="27"/>
        </w:rPr>
      </w:pPr>
    </w:p>
    <w:p>
      <w:pPr>
        <w:pStyle w:val="ListParagraph"/>
        <w:numPr>
          <w:ilvl w:val="2"/>
          <w:numId w:val="34"/>
        </w:numPr>
        <w:tabs>
          <w:tab w:pos="1713" w:val="left" w:leader="none"/>
          <w:tab w:pos="1714" w:val="left" w:leader="none"/>
          <w:tab w:pos="3285" w:val="left" w:leader="none"/>
        </w:tabs>
        <w:spacing w:line="240" w:lineRule="auto" w:before="0" w:after="0"/>
        <w:ind w:left="1713" w:right="0" w:hanging="1139"/>
        <w:jc w:val="left"/>
        <w:rPr>
          <w:sz w:val="21"/>
        </w:rPr>
      </w:pPr>
      <w:r>
        <w:rPr>
          <w:rFonts w:ascii="楷体" w:eastAsia="楷体" w:hint="eastAsia"/>
          <w:b/>
          <w:sz w:val="21"/>
        </w:rPr>
        <w:t>重症手足口</w:t>
      </w:r>
      <w:r>
        <w:rPr>
          <w:rFonts w:ascii="楷体" w:eastAsia="楷体" w:hint="eastAsia"/>
          <w:b/>
          <w:spacing w:val="-10"/>
          <w:sz w:val="21"/>
        </w:rPr>
        <w:t>病</w:t>
      </w:r>
      <w:r>
        <w:rPr>
          <w:rFonts w:ascii="楷体" w:eastAsia="楷体" w:hint="eastAsia"/>
          <w:b/>
          <w:sz w:val="21"/>
        </w:rPr>
        <w:tab/>
      </w:r>
      <w:r>
        <w:rPr>
          <w:spacing w:val="-2"/>
          <w:sz w:val="21"/>
        </w:rPr>
        <w:t>见</w:t>
      </w:r>
      <w:r>
        <w:rPr>
          <w:spacing w:val="-48"/>
          <w:sz w:val="21"/>
        </w:rPr>
        <w:t> </w:t>
      </w:r>
      <w:r>
        <w:rPr>
          <w:spacing w:val="-2"/>
          <w:sz w:val="21"/>
        </w:rPr>
        <w:t>9.8.84</w:t>
      </w:r>
      <w:r>
        <w:rPr>
          <w:spacing w:val="-10"/>
          <w:sz w:val="21"/>
        </w:rPr>
        <w:t>。</w:t>
      </w:r>
    </w:p>
    <w:p>
      <w:pPr>
        <w:pStyle w:val="BodyText"/>
        <w:spacing w:before="1"/>
        <w:rPr>
          <w:sz w:val="22"/>
        </w:rPr>
      </w:pPr>
    </w:p>
    <w:p>
      <w:pPr>
        <w:spacing w:after="0"/>
        <w:rPr>
          <w:sz w:val="22"/>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细菌性脑脊髓</w:t>
      </w:r>
      <w:r>
        <w:rPr>
          <w:rFonts w:ascii="楷体" w:eastAsia="楷体" w:hint="eastAsia"/>
          <w:spacing w:val="-6"/>
        </w:rPr>
        <w:t>膜炎</w:t>
      </w:r>
    </w:p>
    <w:p>
      <w:pPr>
        <w:pStyle w:val="BodyText"/>
        <w:spacing w:before="72"/>
        <w:ind w:left="265"/>
      </w:pPr>
      <w:r>
        <w:rPr/>
        <w:br w:type="column"/>
      </w:r>
      <w:r>
        <w:rPr>
          <w:spacing w:val="-24"/>
        </w:rPr>
        <w:t>见 </w:t>
      </w:r>
      <w:r>
        <w:rPr>
          <w:spacing w:val="-2"/>
        </w:rPr>
        <w:t>9.8.94</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40" w:lineRule="auto" w:before="72" w:after="0"/>
        <w:ind w:left="1713" w:right="0" w:hanging="1139"/>
        <w:jc w:val="left"/>
        <w:rPr>
          <w:rFonts w:ascii="楷体" w:eastAsia="楷体" w:hint="eastAsia"/>
        </w:rPr>
      </w:pPr>
      <w:r>
        <w:rPr>
          <w:rFonts w:ascii="楷体" w:eastAsia="楷体" w:hint="eastAsia"/>
          <w:spacing w:val="-2"/>
        </w:rPr>
        <w:t>重幼年型类风</w:t>
      </w:r>
    </w:p>
    <w:p>
      <w:pPr>
        <w:spacing w:before="43"/>
        <w:ind w:left="1713" w:right="0" w:firstLine="0"/>
        <w:jc w:val="left"/>
        <w:rPr>
          <w:rFonts w:ascii="楷体" w:eastAsia="楷体" w:hint="eastAsia"/>
          <w:b/>
          <w:sz w:val="21"/>
        </w:rPr>
      </w:pPr>
      <w:r>
        <w:rPr>
          <w:rFonts w:ascii="楷体" w:eastAsia="楷体" w:hint="eastAsia"/>
          <w:b/>
          <w:spacing w:val="-2"/>
          <w:sz w:val="21"/>
        </w:rPr>
        <w:t>湿性关节炎</w:t>
      </w:r>
    </w:p>
    <w:p>
      <w:pPr>
        <w:pStyle w:val="BodyText"/>
        <w:spacing w:before="72"/>
        <w:ind w:left="265"/>
      </w:pPr>
      <w:r>
        <w:rPr/>
        <w:br w:type="column"/>
      </w:r>
      <w:r>
        <w:rPr>
          <w:spacing w:val="-24"/>
        </w:rPr>
        <w:t>见 </w:t>
      </w:r>
      <w:r>
        <w:rPr>
          <w:spacing w:val="-2"/>
        </w:rPr>
        <w:t>9.8.97</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1"/>
        <w:rPr>
          <w:sz w:val="22"/>
        </w:rPr>
      </w:pPr>
    </w:p>
    <w:p>
      <w:pPr>
        <w:pStyle w:val="ListParagraph"/>
        <w:numPr>
          <w:ilvl w:val="1"/>
          <w:numId w:val="34"/>
        </w:numPr>
        <w:tabs>
          <w:tab w:pos="1713" w:val="left" w:leader="none"/>
          <w:tab w:pos="1714" w:val="left" w:leader="none"/>
          <w:tab w:pos="3285" w:val="left" w:leader="none"/>
        </w:tabs>
        <w:spacing w:line="240" w:lineRule="auto" w:before="72" w:after="0"/>
        <w:ind w:left="1713" w:right="0" w:hanging="1139"/>
        <w:jc w:val="left"/>
        <w:rPr>
          <w:sz w:val="21"/>
        </w:rPr>
      </w:pPr>
      <w:r>
        <w:rPr>
          <w:b/>
          <w:sz w:val="21"/>
        </w:rPr>
        <w:t>成人特定疾</w:t>
      </w:r>
      <w:r>
        <w:rPr>
          <w:b/>
          <w:spacing w:val="-10"/>
          <w:sz w:val="21"/>
        </w:rPr>
        <w:t>病</w:t>
      </w:r>
      <w:r>
        <w:rPr>
          <w:b/>
          <w:sz w:val="21"/>
        </w:rPr>
        <w:tab/>
      </w:r>
      <w:r>
        <w:rPr>
          <w:spacing w:val="-2"/>
          <w:sz w:val="21"/>
        </w:rPr>
        <w:t>指</w:t>
      </w:r>
      <w:r>
        <w:rPr>
          <w:spacing w:val="-2"/>
          <w:sz w:val="21"/>
        </w:rPr>
        <w:t>下</w:t>
      </w:r>
      <w:r>
        <w:rPr>
          <w:spacing w:val="-2"/>
          <w:sz w:val="21"/>
        </w:rPr>
        <w:t>面列出的</w:t>
      </w:r>
      <w:r>
        <w:rPr>
          <w:spacing w:val="-51"/>
          <w:sz w:val="21"/>
        </w:rPr>
        <w:t> </w:t>
      </w:r>
      <w:r>
        <w:rPr>
          <w:spacing w:val="-2"/>
          <w:sz w:val="21"/>
        </w:rPr>
        <w:t>10</w:t>
      </w:r>
      <w:r>
        <w:rPr>
          <w:spacing w:val="-46"/>
          <w:sz w:val="21"/>
        </w:rPr>
        <w:t> </w:t>
      </w:r>
      <w:r>
        <w:rPr>
          <w:spacing w:val="-2"/>
          <w:sz w:val="21"/>
        </w:rPr>
        <w:t>种成人特</w:t>
      </w:r>
      <w:r>
        <w:rPr>
          <w:spacing w:val="-2"/>
          <w:sz w:val="21"/>
        </w:rPr>
        <w:t>定</w:t>
      </w:r>
      <w:r>
        <w:rPr>
          <w:spacing w:val="-2"/>
          <w:sz w:val="21"/>
        </w:rPr>
        <w:t>疾</w:t>
      </w:r>
      <w:r>
        <w:rPr>
          <w:spacing w:val="-10"/>
          <w:sz w:val="21"/>
        </w:rPr>
        <w:t>病</w:t>
      </w:r>
    </w:p>
    <w:p>
      <w:pPr>
        <w:pStyle w:val="BodyText"/>
        <w:spacing w:before="1"/>
        <w:rPr>
          <w:sz w:val="22"/>
        </w:rPr>
      </w:pPr>
    </w:p>
    <w:p>
      <w:pPr>
        <w:spacing w:after="0"/>
        <w:rPr>
          <w:sz w:val="22"/>
        </w:rPr>
        <w:sectPr>
          <w:type w:val="continuous"/>
          <w:pgSz w:w="11910" w:h="16840"/>
          <w:pgMar w:top="460" w:bottom="280" w:left="680" w:right="460"/>
        </w:sectPr>
      </w:pPr>
    </w:p>
    <w:p>
      <w:pPr>
        <w:pStyle w:val="Heading2"/>
        <w:numPr>
          <w:ilvl w:val="2"/>
          <w:numId w:val="34"/>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严重慢性肾衰</w:t>
      </w:r>
      <w:r>
        <w:rPr>
          <w:rFonts w:ascii="楷体" w:eastAsia="楷体" w:hint="eastAsia"/>
          <w:spacing w:val="-10"/>
        </w:rPr>
        <w:t>竭</w:t>
      </w:r>
    </w:p>
    <w:p>
      <w:pPr>
        <w:pStyle w:val="BodyText"/>
        <w:spacing w:before="72"/>
        <w:ind w:left="265"/>
      </w:pPr>
      <w:r>
        <w:rPr/>
        <w:br w:type="column"/>
      </w:r>
      <w:r>
        <w:rPr>
          <w:spacing w:val="-24"/>
        </w:rPr>
        <w:t>见 </w:t>
      </w:r>
      <w:r>
        <w:rPr>
          <w:spacing w:val="-2"/>
        </w:rPr>
        <w:t>9.8.6</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10"/>
        <w:rPr>
          <w:sz w:val="18"/>
        </w:rPr>
      </w:pPr>
    </w:p>
    <w:p>
      <w:pPr>
        <w:pStyle w:val="ListParagraph"/>
        <w:numPr>
          <w:ilvl w:val="2"/>
          <w:numId w:val="34"/>
        </w:numPr>
        <w:tabs>
          <w:tab w:pos="1713" w:val="left" w:leader="none"/>
          <w:tab w:pos="1714" w:val="left" w:leader="none"/>
          <w:tab w:pos="3285" w:val="left" w:leader="none"/>
        </w:tabs>
        <w:spacing w:line="240" w:lineRule="auto" w:before="72" w:after="0"/>
        <w:ind w:left="1713" w:right="0" w:hanging="1139"/>
        <w:jc w:val="left"/>
        <w:rPr>
          <w:sz w:val="21"/>
        </w:rPr>
      </w:pPr>
      <w:r>
        <w:rPr>
          <w:rFonts w:ascii="楷体" w:eastAsia="楷体" w:hint="eastAsia"/>
          <w:b/>
          <w:sz w:val="21"/>
        </w:rPr>
        <w:t>多个肢体缺</w:t>
      </w:r>
      <w:r>
        <w:rPr>
          <w:rFonts w:ascii="楷体" w:eastAsia="楷体" w:hint="eastAsia"/>
          <w:b/>
          <w:spacing w:val="-10"/>
          <w:sz w:val="21"/>
        </w:rPr>
        <w:t>失</w:t>
      </w:r>
      <w:r>
        <w:rPr>
          <w:rFonts w:ascii="楷体" w:eastAsia="楷体" w:hint="eastAsia"/>
          <w:b/>
          <w:sz w:val="21"/>
        </w:rPr>
        <w:tab/>
      </w:r>
      <w:r>
        <w:rPr>
          <w:spacing w:val="-2"/>
          <w:sz w:val="21"/>
        </w:rPr>
        <w:t>见</w:t>
      </w:r>
      <w:r>
        <w:rPr>
          <w:spacing w:val="-47"/>
          <w:sz w:val="21"/>
        </w:rPr>
        <w:t> </w:t>
      </w:r>
      <w:r>
        <w:rPr>
          <w:spacing w:val="-2"/>
          <w:sz w:val="21"/>
        </w:rPr>
        <w:t>9.8.7</w:t>
      </w:r>
      <w:r>
        <w:rPr>
          <w:spacing w:val="-10"/>
          <w:sz w:val="21"/>
        </w:rPr>
        <w:t>。</w:t>
      </w:r>
    </w:p>
    <w:p>
      <w:pPr>
        <w:pStyle w:val="BodyText"/>
        <w:spacing w:before="1"/>
        <w:rPr>
          <w:sz w:val="22"/>
        </w:rPr>
      </w:pPr>
    </w:p>
    <w:p>
      <w:pPr>
        <w:spacing w:after="0"/>
        <w:rPr>
          <w:sz w:val="22"/>
        </w:rPr>
        <w:sectPr>
          <w:type w:val="continuous"/>
          <w:pgSz w:w="11910" w:h="16840"/>
          <w:pgMar w:top="460" w:bottom="280" w:left="680" w:right="460"/>
        </w:sectPr>
      </w:pPr>
    </w:p>
    <w:p>
      <w:pPr>
        <w:pStyle w:val="Heading2"/>
        <w:numPr>
          <w:ilvl w:val="2"/>
          <w:numId w:val="34"/>
        </w:numPr>
        <w:tabs>
          <w:tab w:pos="1714" w:val="left" w:leader="none"/>
        </w:tabs>
        <w:spacing w:line="278" w:lineRule="auto" w:before="72" w:after="0"/>
        <w:ind w:left="1713" w:right="0" w:hanging="1138"/>
        <w:jc w:val="both"/>
        <w:rPr>
          <w:rFonts w:ascii="楷体" w:eastAsia="楷体" w:hint="eastAsia"/>
        </w:rPr>
      </w:pPr>
      <w:r>
        <w:rPr>
          <w:rFonts w:ascii="楷体" w:eastAsia="楷体" w:hint="eastAsia"/>
          <w:spacing w:val="-2"/>
        </w:rPr>
        <w:t>急性重症肝炎</w:t>
      </w:r>
      <w:r>
        <w:rPr>
          <w:rFonts w:ascii="楷体" w:eastAsia="楷体" w:hint="eastAsia"/>
          <w:spacing w:val="-2"/>
        </w:rPr>
        <w:t>或亚急性重症</w:t>
      </w:r>
      <w:r>
        <w:rPr>
          <w:rFonts w:ascii="楷体" w:eastAsia="楷体" w:hint="eastAsia"/>
          <w:spacing w:val="-6"/>
        </w:rPr>
        <w:t>肝炎</w:t>
      </w:r>
    </w:p>
    <w:p>
      <w:pPr>
        <w:pStyle w:val="BodyText"/>
        <w:spacing w:before="72"/>
        <w:ind w:left="265"/>
      </w:pPr>
      <w:r>
        <w:rPr/>
        <w:br w:type="column"/>
      </w:r>
      <w:r>
        <w:rPr>
          <w:spacing w:val="-27"/>
        </w:rPr>
        <w:t>见 </w:t>
      </w:r>
      <w:r>
        <w:rPr>
          <w:spacing w:val="-2"/>
        </w:rPr>
        <w:t>9.8.8</w:t>
      </w:r>
    </w:p>
    <w:p>
      <w:pPr>
        <w:spacing w:after="0"/>
        <w:sectPr>
          <w:type w:val="continuous"/>
          <w:pgSz w:w="11910" w:h="16840"/>
          <w:pgMar w:top="460" w:bottom="280" w:left="680" w:right="460"/>
          <w:cols w:num="2" w:equalWidth="0">
            <w:col w:w="2981" w:space="40"/>
            <w:col w:w="7749"/>
          </w:cols>
        </w:sectPr>
      </w:pPr>
    </w:p>
    <w:p>
      <w:pPr>
        <w:pStyle w:val="BodyText"/>
        <w:spacing w:before="9"/>
        <w:rPr>
          <w:sz w:val="18"/>
        </w:rPr>
      </w:pPr>
    </w:p>
    <w:p>
      <w:pPr>
        <w:pStyle w:val="ListParagraph"/>
        <w:numPr>
          <w:ilvl w:val="2"/>
          <w:numId w:val="34"/>
        </w:numPr>
        <w:tabs>
          <w:tab w:pos="1713" w:val="left" w:leader="none"/>
          <w:tab w:pos="1714" w:val="left" w:leader="none"/>
          <w:tab w:pos="3285" w:val="left" w:leader="none"/>
        </w:tabs>
        <w:spacing w:line="240" w:lineRule="auto" w:before="72" w:after="0"/>
        <w:ind w:left="1713" w:right="0" w:hanging="1139"/>
        <w:jc w:val="left"/>
        <w:rPr>
          <w:sz w:val="21"/>
        </w:rPr>
      </w:pPr>
      <w:r>
        <w:rPr>
          <w:rFonts w:ascii="楷体" w:eastAsia="楷体" w:hint="eastAsia"/>
          <w:b/>
          <w:sz w:val="21"/>
        </w:rPr>
        <w:t>双耳失</w:t>
      </w:r>
      <w:r>
        <w:rPr>
          <w:rFonts w:ascii="楷体" w:eastAsia="楷体" w:hint="eastAsia"/>
          <w:b/>
          <w:spacing w:val="-10"/>
          <w:sz w:val="21"/>
        </w:rPr>
        <w:t>聪</w:t>
      </w:r>
      <w:r>
        <w:rPr>
          <w:rFonts w:ascii="楷体" w:eastAsia="楷体" w:hint="eastAsia"/>
          <w:b/>
          <w:sz w:val="21"/>
        </w:rPr>
        <w:tab/>
      </w:r>
      <w:r>
        <w:rPr>
          <w:spacing w:val="-2"/>
          <w:sz w:val="21"/>
        </w:rPr>
        <w:t>见</w:t>
      </w:r>
      <w:r>
        <w:rPr>
          <w:spacing w:val="-47"/>
          <w:sz w:val="21"/>
        </w:rPr>
        <w:t> </w:t>
      </w:r>
      <w:r>
        <w:rPr>
          <w:spacing w:val="-2"/>
          <w:sz w:val="21"/>
        </w:rPr>
        <w:t>9.8.13</w:t>
      </w:r>
      <w:r>
        <w:rPr>
          <w:spacing w:val="-10"/>
          <w:sz w:val="21"/>
        </w:rPr>
        <w:t>。</w:t>
      </w:r>
    </w:p>
    <w:p>
      <w:pPr>
        <w:spacing w:after="0" w:line="240" w:lineRule="auto"/>
        <w:jc w:val="left"/>
        <w:rPr>
          <w:sz w:val="21"/>
        </w:rPr>
        <w:sectPr>
          <w:type w:val="continuous"/>
          <w:pgSz w:w="11910" w:h="16840"/>
          <w:pgMar w:top="460" w:bottom="280" w:left="680" w:right="460"/>
        </w:sectPr>
      </w:pPr>
    </w:p>
    <w:p>
      <w:pPr>
        <w:tabs>
          <w:tab w:pos="1713" w:val="left" w:leader="none"/>
          <w:tab w:pos="3285" w:val="left" w:leader="none"/>
        </w:tabs>
        <w:spacing w:before="52"/>
        <w:ind w:left="575" w:right="0" w:firstLine="0"/>
        <w:jc w:val="left"/>
        <w:rPr>
          <w:sz w:val="21"/>
        </w:rPr>
      </w:pPr>
      <w:r>
        <w:rPr>
          <w:b/>
          <w:spacing w:val="-2"/>
          <w:sz w:val="21"/>
        </w:rPr>
        <w:t>9.15.5</w:t>
      </w:r>
      <w:r>
        <w:rPr>
          <w:b/>
          <w:sz w:val="21"/>
        </w:rPr>
        <w:tab/>
      </w:r>
      <w:r>
        <w:rPr>
          <w:rFonts w:ascii="楷体" w:eastAsia="楷体" w:hint="eastAsia"/>
          <w:b/>
          <w:sz w:val="21"/>
        </w:rPr>
        <w:t>瘫</w:t>
      </w:r>
      <w:r>
        <w:rPr>
          <w:rFonts w:ascii="楷体" w:eastAsia="楷体" w:hint="eastAsia"/>
          <w:b/>
          <w:spacing w:val="-10"/>
          <w:sz w:val="21"/>
        </w:rPr>
        <w:t>痪</w:t>
      </w:r>
      <w:r>
        <w:rPr>
          <w:rFonts w:ascii="楷体" w:eastAsia="楷体" w:hint="eastAsia"/>
          <w:b/>
          <w:sz w:val="21"/>
        </w:rPr>
        <w:tab/>
      </w:r>
      <w:r>
        <w:rPr>
          <w:spacing w:val="-2"/>
          <w:sz w:val="21"/>
        </w:rPr>
        <w:t>见</w:t>
      </w:r>
      <w:r>
        <w:rPr>
          <w:spacing w:val="-47"/>
          <w:sz w:val="21"/>
        </w:rPr>
        <w:t> </w:t>
      </w:r>
      <w:r>
        <w:rPr>
          <w:spacing w:val="-2"/>
          <w:sz w:val="21"/>
        </w:rPr>
        <w:t>9.8.15</w:t>
      </w:r>
      <w:r>
        <w:rPr>
          <w:spacing w:val="-10"/>
          <w:sz w:val="21"/>
        </w:rPr>
        <w:t>。</w:t>
      </w:r>
    </w:p>
    <w:p>
      <w:pPr>
        <w:pStyle w:val="BodyText"/>
        <w:spacing w:before="9"/>
        <w:rPr>
          <w:sz w:val="27"/>
        </w:rPr>
      </w:pPr>
    </w:p>
    <w:p>
      <w:pPr>
        <w:pStyle w:val="ListParagraph"/>
        <w:numPr>
          <w:ilvl w:val="2"/>
          <w:numId w:val="48"/>
        </w:numPr>
        <w:tabs>
          <w:tab w:pos="1713" w:val="left" w:leader="none"/>
          <w:tab w:pos="1714" w:val="left" w:leader="none"/>
          <w:tab w:pos="3285" w:val="left" w:leader="none"/>
        </w:tabs>
        <w:spacing w:line="240" w:lineRule="auto" w:before="1" w:after="0"/>
        <w:ind w:left="1713" w:right="0" w:hanging="1139"/>
        <w:jc w:val="left"/>
        <w:rPr>
          <w:sz w:val="21"/>
        </w:rPr>
      </w:pPr>
      <w:r>
        <w:rPr>
          <w:rFonts w:ascii="楷体" w:eastAsia="楷体" w:hint="eastAsia"/>
          <w:b/>
          <w:sz w:val="21"/>
        </w:rPr>
        <w:t>严重脑损</w:t>
      </w:r>
      <w:r>
        <w:rPr>
          <w:rFonts w:ascii="楷体" w:eastAsia="楷体" w:hint="eastAsia"/>
          <w:b/>
          <w:spacing w:val="-10"/>
          <w:sz w:val="21"/>
        </w:rPr>
        <w:t>伤</w:t>
      </w:r>
      <w:r>
        <w:rPr>
          <w:rFonts w:ascii="楷体" w:eastAsia="楷体" w:hint="eastAsia"/>
          <w:b/>
          <w:sz w:val="21"/>
        </w:rPr>
        <w:tab/>
      </w:r>
      <w:r>
        <w:rPr>
          <w:spacing w:val="-2"/>
          <w:sz w:val="21"/>
        </w:rPr>
        <w:t>见</w:t>
      </w:r>
      <w:r>
        <w:rPr>
          <w:spacing w:val="-47"/>
          <w:sz w:val="21"/>
        </w:rPr>
        <w:t> </w:t>
      </w:r>
      <w:r>
        <w:rPr>
          <w:spacing w:val="-2"/>
          <w:sz w:val="21"/>
        </w:rPr>
        <w:t>9.8.18</w:t>
      </w:r>
      <w:r>
        <w:rPr>
          <w:spacing w:val="-10"/>
          <w:sz w:val="21"/>
        </w:rPr>
        <w:t>。</w:t>
      </w:r>
    </w:p>
    <w:p>
      <w:pPr>
        <w:pStyle w:val="BodyText"/>
        <w:spacing w:before="1"/>
        <w:rPr>
          <w:sz w:val="22"/>
        </w:rPr>
      </w:pPr>
    </w:p>
    <w:p>
      <w:pPr>
        <w:spacing w:after="0"/>
        <w:rPr>
          <w:sz w:val="22"/>
        </w:rPr>
        <w:sectPr>
          <w:pgSz w:w="11910" w:h="16840"/>
          <w:pgMar w:top="1200" w:bottom="280" w:left="680" w:right="460"/>
        </w:sectPr>
      </w:pPr>
    </w:p>
    <w:p>
      <w:pPr>
        <w:pStyle w:val="Heading2"/>
        <w:numPr>
          <w:ilvl w:val="2"/>
          <w:numId w:val="48"/>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严重原发性帕</w:t>
      </w:r>
      <w:r>
        <w:rPr>
          <w:rFonts w:ascii="楷体" w:eastAsia="楷体" w:hint="eastAsia"/>
          <w:spacing w:val="-4"/>
        </w:rPr>
        <w:t>金森病</w:t>
      </w:r>
    </w:p>
    <w:p>
      <w:pPr>
        <w:pStyle w:val="BodyText"/>
        <w:spacing w:before="72"/>
        <w:ind w:left="265"/>
      </w:pPr>
      <w:r>
        <w:rPr/>
        <w:br w:type="column"/>
      </w:r>
      <w:r>
        <w:rPr>
          <w:spacing w:val="-24"/>
        </w:rPr>
        <w:t>见 </w:t>
      </w:r>
      <w:r>
        <w:rPr>
          <w:spacing w:val="-2"/>
        </w:rPr>
        <w:t>9.8.19</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9"/>
        <w:rPr>
          <w:sz w:val="18"/>
        </w:rPr>
      </w:pPr>
    </w:p>
    <w:p>
      <w:pPr>
        <w:pStyle w:val="ListParagraph"/>
        <w:numPr>
          <w:ilvl w:val="2"/>
          <w:numId w:val="48"/>
        </w:numPr>
        <w:tabs>
          <w:tab w:pos="1713" w:val="left" w:leader="none"/>
          <w:tab w:pos="1714" w:val="left" w:leader="none"/>
          <w:tab w:pos="3285" w:val="left" w:leader="none"/>
        </w:tabs>
        <w:spacing w:line="240" w:lineRule="auto" w:before="72" w:after="0"/>
        <w:ind w:left="1713" w:right="0" w:hanging="1139"/>
        <w:jc w:val="left"/>
        <w:rPr>
          <w:sz w:val="21"/>
        </w:rPr>
      </w:pPr>
      <w:r>
        <w:rPr>
          <w:rFonts w:ascii="楷体" w:hAnsi="楷体" w:eastAsia="楷体" w:hint="eastAsia"/>
          <w:b/>
          <w:sz w:val="21"/>
        </w:rPr>
        <w:t>严重Ⅲ度烧</w:t>
      </w:r>
      <w:r>
        <w:rPr>
          <w:rFonts w:ascii="楷体" w:hAnsi="楷体" w:eastAsia="楷体" w:hint="eastAsia"/>
          <w:b/>
          <w:spacing w:val="-10"/>
          <w:sz w:val="21"/>
        </w:rPr>
        <w:t>伤</w:t>
      </w:r>
      <w:r>
        <w:rPr>
          <w:rFonts w:ascii="楷体" w:hAnsi="楷体" w:eastAsia="楷体" w:hint="eastAsia"/>
          <w:b/>
          <w:sz w:val="21"/>
        </w:rPr>
        <w:tab/>
      </w:r>
      <w:r>
        <w:rPr>
          <w:spacing w:val="-2"/>
          <w:sz w:val="21"/>
        </w:rPr>
        <w:t>见</w:t>
      </w:r>
      <w:r>
        <w:rPr>
          <w:spacing w:val="-47"/>
          <w:sz w:val="21"/>
        </w:rPr>
        <w:t> </w:t>
      </w:r>
      <w:r>
        <w:rPr>
          <w:spacing w:val="-2"/>
          <w:sz w:val="21"/>
        </w:rPr>
        <w:t>9.8.20</w:t>
      </w:r>
      <w:r>
        <w:rPr>
          <w:spacing w:val="-10"/>
          <w:sz w:val="21"/>
        </w:rPr>
        <w:t>。</w:t>
      </w:r>
    </w:p>
    <w:p>
      <w:pPr>
        <w:pStyle w:val="BodyText"/>
        <w:spacing w:before="1"/>
        <w:rPr>
          <w:sz w:val="22"/>
        </w:rPr>
      </w:pPr>
    </w:p>
    <w:p>
      <w:pPr>
        <w:spacing w:after="0"/>
        <w:rPr>
          <w:sz w:val="22"/>
        </w:rPr>
        <w:sectPr>
          <w:type w:val="continuous"/>
          <w:pgSz w:w="11910" w:h="16840"/>
          <w:pgMar w:top="460" w:bottom="280" w:left="680" w:right="460"/>
        </w:sectPr>
      </w:pPr>
    </w:p>
    <w:p>
      <w:pPr>
        <w:pStyle w:val="Heading2"/>
        <w:numPr>
          <w:ilvl w:val="2"/>
          <w:numId w:val="48"/>
        </w:numPr>
        <w:tabs>
          <w:tab w:pos="1713" w:val="left" w:leader="none"/>
          <w:tab w:pos="1714" w:val="left" w:leader="none"/>
        </w:tabs>
        <w:spacing w:line="278" w:lineRule="auto" w:before="72" w:after="0"/>
        <w:ind w:left="1713" w:right="0" w:hanging="1138"/>
        <w:jc w:val="left"/>
        <w:rPr>
          <w:rFonts w:ascii="楷体" w:eastAsia="楷体" w:hint="eastAsia"/>
        </w:rPr>
      </w:pPr>
      <w:r>
        <w:rPr>
          <w:rFonts w:ascii="楷体" w:eastAsia="楷体" w:hint="eastAsia"/>
          <w:spacing w:val="-2"/>
        </w:rPr>
        <w:t>严重特发性肺</w:t>
      </w:r>
      <w:r>
        <w:rPr>
          <w:rFonts w:ascii="楷体" w:eastAsia="楷体" w:hint="eastAsia"/>
          <w:spacing w:val="-4"/>
        </w:rPr>
        <w:t>动脉高压</w:t>
      </w:r>
    </w:p>
    <w:p>
      <w:pPr>
        <w:pStyle w:val="BodyText"/>
        <w:spacing w:before="72"/>
        <w:ind w:left="265"/>
      </w:pPr>
      <w:r>
        <w:rPr/>
        <w:br w:type="column"/>
      </w:r>
      <w:r>
        <w:rPr>
          <w:spacing w:val="-24"/>
        </w:rPr>
        <w:t>见 </w:t>
      </w:r>
      <w:r>
        <w:rPr>
          <w:spacing w:val="-2"/>
        </w:rPr>
        <w:t>9.8.21</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2"/>
          <w:numId w:val="48"/>
        </w:numPr>
        <w:tabs>
          <w:tab w:pos="1713" w:val="left" w:leader="none"/>
          <w:tab w:pos="1714" w:val="left" w:leader="none"/>
        </w:tabs>
        <w:spacing w:line="240" w:lineRule="auto" w:before="72" w:after="0"/>
        <w:ind w:left="1713" w:right="0" w:hanging="1139"/>
        <w:jc w:val="left"/>
        <w:rPr>
          <w:rFonts w:ascii="楷体" w:eastAsia="楷体" w:hint="eastAsia"/>
        </w:rPr>
      </w:pPr>
      <w:r>
        <w:rPr>
          <w:rFonts w:ascii="楷体" w:eastAsia="楷体" w:hint="eastAsia"/>
          <w:spacing w:val="-2"/>
        </w:rPr>
        <w:t>重型再生障碍</w:t>
      </w:r>
    </w:p>
    <w:p>
      <w:pPr>
        <w:spacing w:before="43"/>
        <w:ind w:left="1713" w:right="0" w:firstLine="0"/>
        <w:jc w:val="left"/>
        <w:rPr>
          <w:rFonts w:ascii="楷体" w:eastAsia="楷体" w:hint="eastAsia"/>
          <w:b/>
          <w:sz w:val="21"/>
        </w:rPr>
      </w:pPr>
      <w:r>
        <w:rPr>
          <w:rFonts w:ascii="楷体" w:eastAsia="楷体" w:hint="eastAsia"/>
          <w:b/>
          <w:spacing w:val="-4"/>
          <w:sz w:val="21"/>
        </w:rPr>
        <w:t>性贫血</w:t>
      </w:r>
    </w:p>
    <w:p>
      <w:pPr>
        <w:pStyle w:val="BodyText"/>
        <w:spacing w:before="72"/>
        <w:ind w:left="265"/>
      </w:pPr>
      <w:r>
        <w:rPr/>
        <w:br w:type="column"/>
      </w:r>
      <w:r>
        <w:rPr>
          <w:spacing w:val="-24"/>
        </w:rPr>
        <w:t>见 </w:t>
      </w:r>
      <w:r>
        <w:rPr>
          <w:spacing w:val="-2"/>
        </w:rPr>
        <w:t>9.8.24</w:t>
      </w:r>
      <w:r>
        <w:rPr>
          <w:spacing w:val="-10"/>
        </w:rPr>
        <w:t>。</w:t>
      </w:r>
    </w:p>
    <w:p>
      <w:pPr>
        <w:spacing w:after="0"/>
        <w:sectPr>
          <w:type w:val="continuous"/>
          <w:pgSz w:w="11910" w:h="16840"/>
          <w:pgMar w:top="460" w:bottom="280" w:left="680" w:right="460"/>
          <w:cols w:num="2" w:equalWidth="0">
            <w:col w:w="2981" w:space="40"/>
            <w:col w:w="7749"/>
          </w:cols>
        </w:sectPr>
      </w:pPr>
    </w:p>
    <w:p>
      <w:pPr>
        <w:pStyle w:val="BodyText"/>
        <w:spacing w:before="2"/>
        <w:rPr>
          <w:sz w:val="22"/>
        </w:rPr>
      </w:pPr>
    </w:p>
    <w:p>
      <w:pPr>
        <w:pStyle w:val="ListParagraph"/>
        <w:numPr>
          <w:ilvl w:val="1"/>
          <w:numId w:val="34"/>
        </w:numPr>
        <w:tabs>
          <w:tab w:pos="1713" w:val="left" w:leader="none"/>
          <w:tab w:pos="1714" w:val="left" w:leader="none"/>
          <w:tab w:pos="3285" w:val="left" w:leader="none"/>
        </w:tabs>
        <w:spacing w:line="278" w:lineRule="auto" w:before="72" w:after="0"/>
        <w:ind w:left="3285" w:right="558" w:hanging="2711"/>
        <w:jc w:val="left"/>
        <w:rPr>
          <w:sz w:val="21"/>
        </w:rPr>
      </w:pPr>
      <w:r>
        <w:rPr>
          <w:b/>
          <w:spacing w:val="-6"/>
          <w:sz w:val="21"/>
        </w:rPr>
        <w:t>毒</w:t>
      </w:r>
      <w:r>
        <w:rPr>
          <w:b/>
          <w:spacing w:val="-6"/>
          <w:sz w:val="21"/>
        </w:rPr>
        <w:t>品</w:t>
      </w:r>
      <w:r>
        <w:rPr>
          <w:b/>
          <w:sz w:val="21"/>
        </w:rPr>
        <w:tab/>
      </w:r>
      <w:r>
        <w:rPr>
          <w:spacing w:val="-2"/>
          <w:sz w:val="21"/>
        </w:rPr>
        <w:t>指</w:t>
      </w:r>
      <w:r>
        <w:rPr>
          <w:spacing w:val="-2"/>
          <w:sz w:val="21"/>
        </w:rPr>
        <w:t>《</w:t>
      </w:r>
      <w:r>
        <w:rPr>
          <w:spacing w:val="-2"/>
          <w:sz w:val="21"/>
        </w:rPr>
        <w:t>中华人民共和国刑法</w:t>
      </w:r>
      <w:r>
        <w:rPr>
          <w:spacing w:val="-2"/>
          <w:sz w:val="21"/>
        </w:rPr>
        <w:t>》</w:t>
      </w:r>
      <w:r>
        <w:rPr>
          <w:spacing w:val="-2"/>
          <w:sz w:val="21"/>
        </w:rPr>
        <w:t>规</w:t>
      </w:r>
      <w:r>
        <w:rPr>
          <w:spacing w:val="-2"/>
          <w:sz w:val="21"/>
        </w:rPr>
        <w:t>定的鸦片、海洛因、</w:t>
      </w:r>
      <w:r>
        <w:rPr>
          <w:spacing w:val="-2"/>
          <w:sz w:val="21"/>
        </w:rPr>
        <w:t>甲</w:t>
      </w:r>
      <w:r>
        <w:rPr>
          <w:spacing w:val="-2"/>
          <w:sz w:val="21"/>
        </w:rPr>
        <w:t>基</w:t>
      </w:r>
      <w:r>
        <w:rPr>
          <w:spacing w:val="-2"/>
          <w:sz w:val="21"/>
        </w:rPr>
        <w:t>苯丙胺（冰毒</w:t>
      </w:r>
      <w:r>
        <w:rPr>
          <w:spacing w:val="-108"/>
          <w:sz w:val="21"/>
        </w:rPr>
        <w:t>）</w:t>
      </w:r>
      <w:r>
        <w:rPr>
          <w:spacing w:val="-2"/>
          <w:sz w:val="21"/>
        </w:rPr>
        <w:t>、</w:t>
      </w:r>
      <w:r>
        <w:rPr>
          <w:spacing w:val="-2"/>
          <w:sz w:val="21"/>
        </w:rPr>
        <w:t>吗</w:t>
      </w:r>
      <w:r>
        <w:rPr>
          <w:spacing w:val="-2"/>
          <w:sz w:val="21"/>
        </w:rPr>
        <w:t>啡、大麻、可卡因以及国</w:t>
      </w:r>
      <w:r>
        <w:rPr>
          <w:spacing w:val="-2"/>
          <w:sz w:val="21"/>
        </w:rPr>
        <w:t>家</w:t>
      </w:r>
      <w:r>
        <w:rPr>
          <w:spacing w:val="-2"/>
          <w:sz w:val="21"/>
        </w:rPr>
        <w:t>规</w:t>
      </w:r>
      <w:r>
        <w:rPr>
          <w:spacing w:val="-2"/>
          <w:sz w:val="21"/>
        </w:rPr>
        <w:t>定管制的其他能够使</w:t>
      </w:r>
      <w:r>
        <w:rPr>
          <w:spacing w:val="-2"/>
          <w:sz w:val="21"/>
        </w:rPr>
        <w:t>人</w:t>
      </w:r>
      <w:r>
        <w:rPr>
          <w:spacing w:val="-2"/>
          <w:sz w:val="21"/>
        </w:rPr>
        <w:t>形</w:t>
      </w:r>
      <w:r>
        <w:rPr>
          <w:spacing w:val="-2"/>
          <w:sz w:val="21"/>
        </w:rPr>
        <w:t>成瘾癖的麻醉药</w:t>
      </w:r>
      <w:r>
        <w:rPr>
          <w:spacing w:val="-2"/>
          <w:sz w:val="21"/>
        </w:rPr>
        <w:t>品</w:t>
      </w:r>
      <w:r>
        <w:rPr>
          <w:spacing w:val="-2"/>
          <w:sz w:val="21"/>
        </w:rPr>
        <w:t>和</w:t>
      </w:r>
      <w:r>
        <w:rPr>
          <w:spacing w:val="-2"/>
          <w:sz w:val="21"/>
        </w:rPr>
        <w:t>精</w:t>
      </w:r>
      <w:r>
        <w:rPr>
          <w:spacing w:val="-2"/>
          <w:sz w:val="21"/>
        </w:rPr>
        <w:t>神</w:t>
      </w:r>
      <w:r>
        <w:rPr>
          <w:spacing w:val="-2"/>
          <w:sz w:val="21"/>
        </w:rPr>
        <w:t>药品，但不包括由医</w:t>
      </w:r>
      <w:r>
        <w:rPr>
          <w:spacing w:val="-2"/>
          <w:sz w:val="21"/>
        </w:rPr>
        <w:t>生</w:t>
      </w:r>
      <w:r>
        <w:rPr>
          <w:spacing w:val="-2"/>
          <w:sz w:val="21"/>
        </w:rPr>
        <w:t>开</w:t>
      </w:r>
      <w:r>
        <w:rPr>
          <w:spacing w:val="-2"/>
          <w:sz w:val="21"/>
        </w:rPr>
        <w:t>具并遵医嘱使用的用</w:t>
      </w:r>
      <w:r>
        <w:rPr>
          <w:spacing w:val="-2"/>
          <w:sz w:val="21"/>
        </w:rPr>
        <w:t>于</w:t>
      </w:r>
      <w:r>
        <w:rPr>
          <w:spacing w:val="-2"/>
          <w:sz w:val="21"/>
        </w:rPr>
        <w:t>治</w:t>
      </w:r>
      <w:r>
        <w:rPr>
          <w:spacing w:val="-2"/>
          <w:sz w:val="21"/>
        </w:rPr>
        <w:t>疗疾病但含有毒</w:t>
      </w:r>
      <w:r>
        <w:rPr>
          <w:spacing w:val="-2"/>
          <w:sz w:val="21"/>
        </w:rPr>
        <w:t>品</w:t>
      </w:r>
      <w:r>
        <w:rPr>
          <w:spacing w:val="-2"/>
          <w:sz w:val="21"/>
        </w:rPr>
        <w:t>成</w:t>
      </w:r>
      <w:r>
        <w:rPr>
          <w:spacing w:val="-2"/>
          <w:sz w:val="21"/>
        </w:rPr>
        <w:t>分</w:t>
      </w:r>
      <w:r>
        <w:rPr>
          <w:spacing w:val="-2"/>
          <w:sz w:val="21"/>
        </w:rPr>
        <w:t>的</w:t>
      </w:r>
      <w:r>
        <w:rPr>
          <w:spacing w:val="-2"/>
          <w:sz w:val="21"/>
        </w:rPr>
        <w:t>处方药</w:t>
      </w:r>
      <w:r>
        <w:rPr>
          <w:spacing w:val="-2"/>
          <w:sz w:val="21"/>
        </w:rPr>
        <w:t>品</w:t>
      </w:r>
      <w:r>
        <w:rPr>
          <w:spacing w:val="-2"/>
          <w:sz w:val="21"/>
        </w:rPr>
        <w:t>。</w:t>
      </w:r>
    </w:p>
    <w:p>
      <w:pPr>
        <w:pStyle w:val="BodyText"/>
        <w:spacing w:before="3"/>
        <w:rPr>
          <w:sz w:val="24"/>
        </w:rPr>
      </w:pPr>
    </w:p>
    <w:p>
      <w:pPr>
        <w:pStyle w:val="ListParagraph"/>
        <w:numPr>
          <w:ilvl w:val="1"/>
          <w:numId w:val="34"/>
        </w:numPr>
        <w:tabs>
          <w:tab w:pos="1714" w:val="left" w:leader="none"/>
        </w:tabs>
        <w:spacing w:line="278" w:lineRule="auto" w:before="1" w:after="0"/>
        <w:ind w:left="3285" w:right="558" w:hanging="2711"/>
        <w:jc w:val="both"/>
        <w:rPr>
          <w:sz w:val="21"/>
        </w:rPr>
      </w:pPr>
      <w:r>
        <w:rPr>
          <w:b/>
          <w:sz w:val="21"/>
        </w:rPr>
        <w:t>酒后驾驶</w:t>
      </w:r>
      <w:r>
        <w:rPr>
          <w:b/>
          <w:spacing w:val="578"/>
          <w:sz w:val="21"/>
        </w:rPr>
        <w:t> </w:t>
      </w:r>
      <w:r>
        <w:rPr>
          <w:sz w:val="21"/>
        </w:rPr>
        <w:t>指经检测或鉴定，发生事故时车辆驾驶人员每百毫升血液中的酒精含量达到</w:t>
      </w:r>
      <w:r>
        <w:rPr>
          <w:spacing w:val="-2"/>
          <w:sz w:val="21"/>
        </w:rPr>
        <w:t>或超过一定的标准，公安机关交通管理部门依据《中华人民共和国道路交通</w:t>
      </w:r>
      <w:r>
        <w:rPr>
          <w:spacing w:val="-2"/>
          <w:sz w:val="21"/>
        </w:rPr>
        <w:t>安全法》的规定认定为饮酒后驾驶或醉酒后驾驶。</w:t>
      </w: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1"/>
          <w:numId w:val="34"/>
        </w:numPr>
        <w:tabs>
          <w:tab w:pos="1713" w:val="left" w:leader="none"/>
          <w:tab w:pos="1714" w:val="left" w:leader="none"/>
        </w:tabs>
        <w:spacing w:line="278" w:lineRule="auto" w:before="72" w:after="0"/>
        <w:ind w:left="1713" w:right="0" w:hanging="1138"/>
        <w:jc w:val="left"/>
        <w:rPr>
          <w:rFonts w:ascii="宋体" w:eastAsia="宋体" w:hint="eastAsia"/>
        </w:rPr>
      </w:pPr>
      <w:r>
        <w:rPr>
          <w:rFonts w:ascii="宋体" w:eastAsia="宋体" w:hint="eastAsia"/>
          <w:spacing w:val="-2"/>
        </w:rPr>
        <w:t>无合法有效驾</w:t>
      </w:r>
      <w:r>
        <w:rPr>
          <w:rFonts w:ascii="宋体" w:eastAsia="宋体" w:hint="eastAsia"/>
          <w:spacing w:val="-4"/>
        </w:rPr>
        <w:t>驶证驾驶</w:t>
      </w:r>
    </w:p>
    <w:p>
      <w:pPr>
        <w:pStyle w:val="BodyText"/>
        <w:spacing w:before="72"/>
        <w:ind w:left="265"/>
      </w:pPr>
      <w:r>
        <w:rPr/>
        <w:br w:type="column"/>
      </w:r>
      <w:r>
        <w:rPr>
          <w:spacing w:val="-4"/>
        </w:rPr>
        <w:t>指下列情形之一：</w:t>
      </w:r>
    </w:p>
    <w:p>
      <w:pPr>
        <w:pStyle w:val="ListParagraph"/>
        <w:numPr>
          <w:ilvl w:val="0"/>
          <w:numId w:val="49"/>
        </w:numPr>
        <w:tabs>
          <w:tab w:pos="815" w:val="left" w:leader="none"/>
        </w:tabs>
        <w:spacing w:line="240" w:lineRule="auto" w:before="43" w:after="0"/>
        <w:ind w:left="815" w:right="0" w:hanging="550"/>
        <w:jc w:val="left"/>
        <w:rPr>
          <w:sz w:val="21"/>
        </w:rPr>
      </w:pPr>
      <w:r>
        <w:rPr>
          <w:spacing w:val="-3"/>
          <w:sz w:val="21"/>
        </w:rPr>
        <w:t>未依法取得驾驶证资格；</w:t>
      </w:r>
    </w:p>
    <w:p>
      <w:pPr>
        <w:pStyle w:val="ListParagraph"/>
        <w:numPr>
          <w:ilvl w:val="0"/>
          <w:numId w:val="49"/>
        </w:numPr>
        <w:tabs>
          <w:tab w:pos="815" w:val="left" w:leader="none"/>
        </w:tabs>
        <w:spacing w:line="240" w:lineRule="auto" w:before="43" w:after="0"/>
        <w:ind w:left="815" w:right="0" w:hanging="550"/>
        <w:jc w:val="left"/>
        <w:rPr>
          <w:sz w:val="21"/>
        </w:rPr>
      </w:pPr>
      <w:r>
        <w:rPr>
          <w:spacing w:val="-3"/>
          <w:sz w:val="21"/>
        </w:rPr>
        <w:t>驾驶证被依法扣留期间驾驶；</w:t>
      </w:r>
    </w:p>
    <w:p>
      <w:pPr>
        <w:pStyle w:val="ListParagraph"/>
        <w:numPr>
          <w:ilvl w:val="0"/>
          <w:numId w:val="49"/>
        </w:numPr>
        <w:tabs>
          <w:tab w:pos="815" w:val="left" w:leader="none"/>
        </w:tabs>
        <w:spacing w:line="240" w:lineRule="auto" w:before="43" w:after="0"/>
        <w:ind w:left="815" w:right="0" w:hanging="550"/>
        <w:jc w:val="left"/>
        <w:rPr>
          <w:sz w:val="21"/>
        </w:rPr>
      </w:pPr>
      <w:r>
        <w:rPr>
          <w:spacing w:val="-3"/>
          <w:sz w:val="21"/>
        </w:rPr>
        <w:t>驾驶与驾驶证准驾车型不相符合的车辆；</w:t>
      </w:r>
    </w:p>
    <w:p>
      <w:pPr>
        <w:pStyle w:val="ListParagraph"/>
        <w:numPr>
          <w:ilvl w:val="0"/>
          <w:numId w:val="49"/>
        </w:numPr>
        <w:tabs>
          <w:tab w:pos="815" w:val="left" w:leader="none"/>
        </w:tabs>
        <w:spacing w:line="240" w:lineRule="auto" w:before="43" w:after="0"/>
        <w:ind w:left="815" w:right="0" w:hanging="550"/>
        <w:jc w:val="left"/>
        <w:rPr>
          <w:sz w:val="21"/>
        </w:rPr>
      </w:pPr>
      <w:r>
        <w:rPr>
          <w:spacing w:val="-3"/>
          <w:sz w:val="21"/>
        </w:rPr>
        <w:t>持未经审验或者超过有效期限的驾驶证驾驶；</w:t>
      </w:r>
    </w:p>
    <w:p>
      <w:pPr>
        <w:pStyle w:val="ListParagraph"/>
        <w:numPr>
          <w:ilvl w:val="0"/>
          <w:numId w:val="49"/>
        </w:numPr>
        <w:tabs>
          <w:tab w:pos="815" w:val="left" w:leader="none"/>
        </w:tabs>
        <w:spacing w:line="278" w:lineRule="auto" w:before="43" w:after="0"/>
        <w:ind w:left="790" w:right="565" w:hanging="526"/>
        <w:jc w:val="left"/>
        <w:rPr>
          <w:sz w:val="21"/>
        </w:rPr>
      </w:pPr>
      <w:r>
        <w:rPr>
          <w:spacing w:val="-2"/>
          <w:sz w:val="21"/>
        </w:rPr>
        <w:t>持学习驾驶证学习驾车时，无教练员随车指导，或不按指定时间、路</w:t>
      </w:r>
      <w:r>
        <w:rPr>
          <w:spacing w:val="-2"/>
          <w:sz w:val="21"/>
        </w:rPr>
        <w:t>线学习驾车；</w:t>
      </w:r>
    </w:p>
    <w:p>
      <w:pPr>
        <w:pStyle w:val="ListParagraph"/>
        <w:numPr>
          <w:ilvl w:val="0"/>
          <w:numId w:val="49"/>
        </w:numPr>
        <w:tabs>
          <w:tab w:pos="815" w:val="left" w:leader="none"/>
        </w:tabs>
        <w:spacing w:line="269" w:lineRule="exact" w:before="0" w:after="0"/>
        <w:ind w:left="815" w:right="0" w:hanging="550"/>
        <w:jc w:val="left"/>
        <w:rPr>
          <w:sz w:val="21"/>
        </w:rPr>
      </w:pPr>
      <w:r>
        <w:rPr>
          <w:spacing w:val="-3"/>
          <w:sz w:val="21"/>
        </w:rPr>
        <w:t>公安交通管理部门认定的其他无有效驾驶证驾驶的情况。</w:t>
      </w:r>
    </w:p>
    <w:p>
      <w:pPr>
        <w:spacing w:after="0" w:line="269" w:lineRule="exact"/>
        <w:jc w:val="left"/>
        <w:rPr>
          <w:sz w:val="21"/>
        </w:rPr>
        <w:sectPr>
          <w:type w:val="continuous"/>
          <w:pgSz w:w="11910" w:h="16840"/>
          <w:pgMar w:top="460" w:bottom="280" w:left="680" w:right="460"/>
          <w:cols w:num="2" w:equalWidth="0">
            <w:col w:w="2981" w:space="40"/>
            <w:col w:w="7749"/>
          </w:cols>
        </w:sectPr>
      </w:pPr>
    </w:p>
    <w:p>
      <w:pPr>
        <w:pStyle w:val="BodyText"/>
        <w:spacing w:before="1"/>
        <w:rPr>
          <w:sz w:val="22"/>
        </w:rPr>
      </w:pPr>
    </w:p>
    <w:p>
      <w:pPr>
        <w:spacing w:after="0"/>
        <w:rPr>
          <w:sz w:val="22"/>
        </w:rPr>
        <w:sectPr>
          <w:type w:val="continuous"/>
          <w:pgSz w:w="11910" w:h="16840"/>
          <w:pgMar w:top="460" w:bottom="280" w:left="680" w:right="460"/>
        </w:sectPr>
      </w:pPr>
    </w:p>
    <w:p>
      <w:pPr>
        <w:pStyle w:val="Heading2"/>
        <w:numPr>
          <w:ilvl w:val="1"/>
          <w:numId w:val="34"/>
        </w:numPr>
        <w:tabs>
          <w:tab w:pos="1713" w:val="left" w:leader="none"/>
          <w:tab w:pos="1714" w:val="left" w:leader="none"/>
        </w:tabs>
        <w:spacing w:line="278" w:lineRule="auto" w:before="72" w:after="0"/>
        <w:ind w:left="1713" w:right="0" w:hanging="1138"/>
        <w:jc w:val="left"/>
        <w:rPr>
          <w:rFonts w:ascii="宋体" w:eastAsia="宋体" w:hint="eastAsia"/>
        </w:rPr>
      </w:pPr>
      <w:r>
        <w:rPr>
          <w:rFonts w:ascii="宋体" w:eastAsia="宋体" w:hint="eastAsia"/>
          <w:spacing w:val="-2"/>
        </w:rPr>
        <w:t>无合法有效行</w:t>
      </w:r>
      <w:r>
        <w:rPr>
          <w:rFonts w:ascii="宋体" w:eastAsia="宋体" w:hint="eastAsia"/>
          <w:spacing w:val="-6"/>
        </w:rPr>
        <w:t>驶证</w:t>
      </w:r>
    </w:p>
    <w:p>
      <w:pPr>
        <w:pStyle w:val="BodyText"/>
        <w:spacing w:before="72"/>
        <w:ind w:left="265"/>
      </w:pPr>
      <w:r>
        <w:rPr/>
        <w:br w:type="column"/>
      </w:r>
      <w:r>
        <w:rPr>
          <w:spacing w:val="-4"/>
        </w:rPr>
        <w:t>指下列情形之一：</w:t>
      </w:r>
    </w:p>
    <w:p>
      <w:pPr>
        <w:pStyle w:val="ListParagraph"/>
        <w:numPr>
          <w:ilvl w:val="0"/>
          <w:numId w:val="50"/>
        </w:numPr>
        <w:tabs>
          <w:tab w:pos="795" w:val="left" w:leader="none"/>
        </w:tabs>
        <w:spacing w:line="240" w:lineRule="auto" w:before="43" w:after="0"/>
        <w:ind w:left="794" w:right="0" w:hanging="530"/>
        <w:jc w:val="left"/>
        <w:rPr>
          <w:sz w:val="21"/>
        </w:rPr>
      </w:pPr>
      <w:r>
        <w:rPr>
          <w:spacing w:val="-3"/>
          <w:sz w:val="21"/>
        </w:rPr>
        <w:t>机动车被依法注销登记的；</w:t>
      </w:r>
    </w:p>
    <w:p>
      <w:pPr>
        <w:pStyle w:val="ListParagraph"/>
        <w:numPr>
          <w:ilvl w:val="0"/>
          <w:numId w:val="50"/>
        </w:numPr>
        <w:tabs>
          <w:tab w:pos="795" w:val="left" w:leader="none"/>
        </w:tabs>
        <w:spacing w:line="240" w:lineRule="auto" w:before="43" w:after="0"/>
        <w:ind w:left="794" w:right="0" w:hanging="530"/>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top="460" w:bottom="280" w:left="680" w:right="460"/>
          <w:cols w:num="2" w:equalWidth="0">
            <w:col w:w="2981" w:space="40"/>
            <w:col w:w="7749"/>
          </w:cols>
        </w:sectPr>
      </w:pPr>
    </w:p>
    <w:p>
      <w:pPr>
        <w:pStyle w:val="BodyText"/>
        <w:spacing w:before="2"/>
        <w:rPr>
          <w:sz w:val="22"/>
        </w:rPr>
      </w:pPr>
    </w:p>
    <w:p>
      <w:pPr>
        <w:pStyle w:val="ListParagraph"/>
        <w:numPr>
          <w:ilvl w:val="1"/>
          <w:numId w:val="34"/>
        </w:numPr>
        <w:tabs>
          <w:tab w:pos="1713" w:val="left" w:leader="none"/>
          <w:tab w:pos="1714" w:val="left" w:leader="none"/>
          <w:tab w:pos="3285" w:val="left" w:leader="none"/>
        </w:tabs>
        <w:spacing w:line="278" w:lineRule="auto" w:before="71" w:after="0"/>
        <w:ind w:left="3285" w:right="558" w:hanging="2711"/>
        <w:jc w:val="left"/>
        <w:rPr>
          <w:sz w:val="21"/>
        </w:rPr>
      </w:pPr>
      <w:r>
        <w:rPr>
          <w:b/>
          <w:spacing w:val="-4"/>
          <w:sz w:val="21"/>
        </w:rPr>
        <w:t>机</w:t>
      </w:r>
      <w:r>
        <w:rPr>
          <w:b/>
          <w:spacing w:val="-4"/>
          <w:sz w:val="21"/>
        </w:rPr>
        <w:t>动</w:t>
      </w:r>
      <w:r>
        <w:rPr>
          <w:b/>
          <w:spacing w:val="-4"/>
          <w:sz w:val="21"/>
        </w:rPr>
        <w:t>车</w:t>
      </w:r>
      <w:r>
        <w:rPr>
          <w:b/>
          <w:sz w:val="21"/>
        </w:rPr>
        <w:tab/>
      </w:r>
      <w:r>
        <w:rPr>
          <w:spacing w:val="-2"/>
          <w:sz w:val="21"/>
        </w:rPr>
        <w:t>指</w:t>
      </w:r>
      <w:r>
        <w:rPr>
          <w:spacing w:val="-2"/>
          <w:sz w:val="21"/>
        </w:rPr>
        <w:t>以</w:t>
      </w:r>
      <w:r>
        <w:rPr>
          <w:spacing w:val="-2"/>
          <w:sz w:val="21"/>
        </w:rPr>
        <w:t>动力装置驱动或者牵引，上道路行驶的供人员</w:t>
      </w:r>
      <w:r>
        <w:rPr>
          <w:spacing w:val="-2"/>
          <w:sz w:val="21"/>
        </w:rPr>
        <w:t>乘</w:t>
      </w:r>
      <w:r>
        <w:rPr>
          <w:spacing w:val="-2"/>
          <w:sz w:val="21"/>
        </w:rPr>
        <w:t>用</w:t>
      </w:r>
      <w:r>
        <w:rPr>
          <w:spacing w:val="-2"/>
          <w:sz w:val="21"/>
        </w:rPr>
        <w:t>或者用于运送物</w:t>
      </w:r>
      <w:r>
        <w:rPr>
          <w:spacing w:val="-2"/>
          <w:sz w:val="21"/>
        </w:rPr>
        <w:t>品</w:t>
      </w:r>
      <w:r>
        <w:rPr>
          <w:spacing w:val="-2"/>
          <w:sz w:val="21"/>
        </w:rPr>
        <w:t>以</w:t>
      </w:r>
      <w:r>
        <w:rPr>
          <w:spacing w:val="-2"/>
          <w:sz w:val="21"/>
        </w:rPr>
        <w:t>及</w:t>
      </w:r>
      <w:r>
        <w:rPr>
          <w:spacing w:val="-2"/>
          <w:sz w:val="21"/>
        </w:rPr>
        <w:t>进</w:t>
      </w:r>
      <w:r>
        <w:rPr>
          <w:spacing w:val="-2"/>
          <w:sz w:val="21"/>
        </w:rPr>
        <w:t>行工程专项作业的轮</w:t>
      </w:r>
      <w:r>
        <w:rPr>
          <w:spacing w:val="-2"/>
          <w:sz w:val="21"/>
        </w:rPr>
        <w:t>式</w:t>
      </w:r>
      <w:r>
        <w:rPr>
          <w:spacing w:val="-2"/>
          <w:sz w:val="21"/>
        </w:rPr>
        <w:t>车</w:t>
      </w:r>
      <w:r>
        <w:rPr>
          <w:spacing w:val="-2"/>
          <w:sz w:val="21"/>
        </w:rPr>
        <w:t>辆，以交通管理部门</w:t>
      </w:r>
      <w:r>
        <w:rPr>
          <w:spacing w:val="-2"/>
          <w:sz w:val="21"/>
        </w:rPr>
        <w:t>认</w:t>
      </w:r>
      <w:r>
        <w:rPr>
          <w:spacing w:val="-2"/>
          <w:sz w:val="21"/>
        </w:rPr>
        <w:t>定</w:t>
      </w:r>
      <w:r>
        <w:rPr>
          <w:spacing w:val="-2"/>
          <w:sz w:val="21"/>
        </w:rPr>
        <w:t>为</w:t>
      </w:r>
      <w:r>
        <w:rPr>
          <w:spacing w:val="-2"/>
          <w:sz w:val="21"/>
        </w:rPr>
        <w:t>准</w:t>
      </w:r>
      <w:r>
        <w:rPr>
          <w:spacing w:val="-2"/>
          <w:sz w:val="21"/>
        </w:rPr>
        <w:t>。</w:t>
      </w:r>
    </w:p>
    <w:p>
      <w:pPr>
        <w:pStyle w:val="BodyText"/>
        <w:spacing w:before="10"/>
        <w:rPr>
          <w:sz w:val="18"/>
        </w:rPr>
      </w:pPr>
    </w:p>
    <w:p>
      <w:pPr>
        <w:spacing w:after="0"/>
        <w:rPr>
          <w:sz w:val="18"/>
        </w:rPr>
        <w:sectPr>
          <w:type w:val="continuous"/>
          <w:pgSz w:w="11910" w:h="16840"/>
          <w:pgMar w:top="460" w:bottom="280" w:left="680" w:right="460"/>
        </w:sectPr>
      </w:pPr>
    </w:p>
    <w:p>
      <w:pPr>
        <w:pStyle w:val="Heading2"/>
        <w:numPr>
          <w:ilvl w:val="1"/>
          <w:numId w:val="34"/>
        </w:numPr>
        <w:tabs>
          <w:tab w:pos="1713" w:val="left" w:leader="none"/>
          <w:tab w:pos="1714" w:val="left" w:leader="none"/>
        </w:tabs>
        <w:spacing w:line="278" w:lineRule="auto" w:before="71" w:after="0"/>
        <w:ind w:left="1713" w:right="0" w:hanging="1138"/>
        <w:jc w:val="left"/>
        <w:rPr>
          <w:rFonts w:ascii="宋体" w:eastAsia="宋体" w:hint="eastAsia"/>
        </w:rPr>
      </w:pPr>
      <w:r>
        <w:rPr>
          <w:rFonts w:ascii="宋体" w:eastAsia="宋体" w:hint="eastAsia"/>
          <w:spacing w:val="-2"/>
        </w:rPr>
        <w:t>感染艾滋病病</w:t>
      </w:r>
      <w:r>
        <w:rPr>
          <w:rFonts w:ascii="宋体" w:eastAsia="宋体" w:hint="eastAsia"/>
          <w:spacing w:val="-2"/>
        </w:rPr>
        <w:t>毒或患艾滋病</w:t>
      </w:r>
    </w:p>
    <w:p>
      <w:pPr>
        <w:pStyle w:val="BodyText"/>
        <w:spacing w:line="278" w:lineRule="auto" w:before="71"/>
        <w:ind w:left="265" w:right="594"/>
      </w:pPr>
      <w:r>
        <w:rPr/>
        <w:br w:type="column"/>
      </w:r>
      <w:r>
        <w:rPr>
          <w:spacing w:val="-3"/>
        </w:rPr>
        <w:t>艾滋病病毒指人类免疫缺陷病毒，英文缩写为 </w:t>
      </w:r>
      <w:r>
        <w:rPr/>
        <w:t>HIV。艾滋病指人类免疫缺陷</w:t>
      </w:r>
      <w:r>
        <w:rPr>
          <w:spacing w:val="-2"/>
        </w:rPr>
        <w:t>病毒引起的获得性免疫缺陷综合征，英文缩写为 </w:t>
      </w:r>
      <w:r>
        <w:rPr/>
        <w:t>AIDS。</w:t>
      </w:r>
    </w:p>
    <w:p>
      <w:pPr>
        <w:pStyle w:val="BodyText"/>
        <w:spacing w:line="278" w:lineRule="auto"/>
        <w:ind w:left="265" w:right="457"/>
      </w:pPr>
      <w:r>
        <w:rPr>
          <w:spacing w:val="-2"/>
        </w:rPr>
        <w:t>在人体血液或其他样本中检测到艾滋病病毒或其抗体呈阳性，没有出现临床</w:t>
      </w:r>
      <w:r>
        <w:rPr>
          <w:spacing w:val="-14"/>
        </w:rPr>
        <w:t>症状或体征的，为感染艾滋病病毒；如果同时出现了明显临床症状或体征的，</w:t>
      </w:r>
      <w:r>
        <w:rPr>
          <w:spacing w:val="-2"/>
        </w:rPr>
        <w:t>为患艾滋病。</w:t>
      </w:r>
    </w:p>
    <w:p>
      <w:pPr>
        <w:spacing w:after="0" w:line="278" w:lineRule="auto"/>
        <w:sectPr>
          <w:type w:val="continuous"/>
          <w:pgSz w:w="11910" w:h="16840"/>
          <w:pgMar w:top="460" w:bottom="280" w:left="680" w:right="460"/>
          <w:cols w:num="2" w:equalWidth="0">
            <w:col w:w="2981" w:space="40"/>
            <w:col w:w="7749"/>
          </w:cols>
        </w:sectPr>
      </w:pPr>
    </w:p>
    <w:tbl>
      <w:tblPr>
        <w:tblW w:w="0" w:type="auto"/>
        <w:jc w:val="left"/>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0"/>
        <w:gridCol w:w="1777"/>
        <w:gridCol w:w="7223"/>
      </w:tblGrid>
      <w:tr>
        <w:trPr>
          <w:trHeight w:val="730" w:hRule="atLeast"/>
        </w:trPr>
        <w:tc>
          <w:tcPr>
            <w:tcW w:w="830" w:type="dxa"/>
          </w:tcPr>
          <w:p>
            <w:pPr>
              <w:pStyle w:val="TableParagraph"/>
              <w:spacing w:line="241" w:lineRule="exact"/>
              <w:ind w:left="50"/>
              <w:rPr>
                <w:b/>
                <w:sz w:val="21"/>
              </w:rPr>
            </w:pPr>
            <w:r>
              <w:rPr>
                <w:b/>
                <w:spacing w:val="-4"/>
                <w:sz w:val="21"/>
              </w:rPr>
              <w:t>9.22</w:t>
            </w:r>
          </w:p>
        </w:tc>
        <w:tc>
          <w:tcPr>
            <w:tcW w:w="1777" w:type="dxa"/>
          </w:tcPr>
          <w:p>
            <w:pPr>
              <w:pStyle w:val="TableParagraph"/>
              <w:spacing w:line="241" w:lineRule="exact"/>
              <w:ind w:left="357"/>
              <w:rPr>
                <w:b/>
                <w:sz w:val="21"/>
              </w:rPr>
            </w:pPr>
            <w:r>
              <w:rPr>
                <w:b/>
                <w:spacing w:val="-2"/>
                <w:sz w:val="21"/>
              </w:rPr>
              <w:t>遗传性疾病</w:t>
            </w:r>
          </w:p>
        </w:tc>
        <w:tc>
          <w:tcPr>
            <w:tcW w:w="7223" w:type="dxa"/>
          </w:tcPr>
          <w:p>
            <w:pPr>
              <w:pStyle w:val="TableParagraph"/>
              <w:spacing w:line="241" w:lineRule="exact"/>
              <w:ind w:left="153"/>
              <w:rPr>
                <w:sz w:val="21"/>
              </w:rPr>
            </w:pPr>
            <w:r>
              <w:rPr>
                <w:spacing w:val="-2"/>
                <w:sz w:val="21"/>
              </w:rPr>
              <w:t>指生殖细胞或受精卵的遗传物质（染色体和基因）</w:t>
            </w:r>
            <w:r>
              <w:rPr>
                <w:spacing w:val="-3"/>
                <w:sz w:val="21"/>
              </w:rPr>
              <w:t>发生突变或畸变所引起的</w:t>
            </w:r>
          </w:p>
          <w:p>
            <w:pPr>
              <w:pStyle w:val="TableParagraph"/>
              <w:spacing w:before="43"/>
              <w:ind w:left="153"/>
              <w:rPr>
                <w:sz w:val="21"/>
              </w:rPr>
            </w:pPr>
            <w:r>
              <w:rPr>
                <w:spacing w:val="-3"/>
                <w:sz w:val="21"/>
              </w:rPr>
              <w:t>疾病，通常具有由亲代传至后代的垂直传递的特征。</w:t>
            </w:r>
          </w:p>
        </w:tc>
      </w:tr>
      <w:tr>
        <w:trPr>
          <w:trHeight w:val="467" w:hRule="atLeast"/>
        </w:trPr>
        <w:tc>
          <w:tcPr>
            <w:tcW w:w="830" w:type="dxa"/>
          </w:tcPr>
          <w:p>
            <w:pPr>
              <w:pStyle w:val="TableParagraph"/>
              <w:spacing w:before="178"/>
              <w:ind w:left="50"/>
              <w:rPr>
                <w:b/>
                <w:sz w:val="21"/>
              </w:rPr>
            </w:pPr>
            <w:r>
              <w:rPr>
                <w:b/>
                <w:spacing w:val="-4"/>
                <w:sz w:val="21"/>
              </w:rPr>
              <w:t>9.23</w:t>
            </w:r>
          </w:p>
        </w:tc>
        <w:tc>
          <w:tcPr>
            <w:tcW w:w="1777" w:type="dxa"/>
          </w:tcPr>
          <w:p>
            <w:pPr>
              <w:pStyle w:val="TableParagraph"/>
              <w:spacing w:before="178"/>
              <w:ind w:left="357"/>
              <w:rPr>
                <w:b/>
                <w:sz w:val="21"/>
              </w:rPr>
            </w:pPr>
            <w:r>
              <w:rPr>
                <w:b/>
                <w:spacing w:val="-2"/>
                <w:sz w:val="21"/>
              </w:rPr>
              <w:t>先天性畸形、</w:t>
            </w:r>
          </w:p>
        </w:tc>
        <w:tc>
          <w:tcPr>
            <w:tcW w:w="7223" w:type="dxa"/>
          </w:tcPr>
          <w:p>
            <w:pPr>
              <w:pStyle w:val="TableParagraph"/>
              <w:spacing w:before="178"/>
              <w:ind w:left="153"/>
              <w:rPr>
                <w:sz w:val="21"/>
              </w:rPr>
            </w:pPr>
            <w:r>
              <w:rPr>
                <w:spacing w:val="-3"/>
                <w:sz w:val="21"/>
              </w:rPr>
              <w:t>指被保险人出生时就具有的畸形、变形或染色体异常。先天性畸形、变形和</w:t>
            </w:r>
          </w:p>
        </w:tc>
      </w:tr>
      <w:tr>
        <w:trPr>
          <w:trHeight w:val="312" w:hRule="atLeast"/>
        </w:trPr>
        <w:tc>
          <w:tcPr>
            <w:tcW w:w="830" w:type="dxa"/>
          </w:tcPr>
          <w:p>
            <w:pPr>
              <w:pStyle w:val="TableParagraph"/>
              <w:rPr>
                <w:rFonts w:ascii="Times New Roman"/>
                <w:sz w:val="20"/>
              </w:rPr>
            </w:pPr>
          </w:p>
        </w:tc>
        <w:tc>
          <w:tcPr>
            <w:tcW w:w="1777" w:type="dxa"/>
          </w:tcPr>
          <w:p>
            <w:pPr>
              <w:pStyle w:val="TableParagraph"/>
              <w:spacing w:before="22"/>
              <w:ind w:left="357"/>
              <w:rPr>
                <w:b/>
                <w:sz w:val="21"/>
              </w:rPr>
            </w:pPr>
            <w:r>
              <w:rPr>
                <w:b/>
                <w:spacing w:val="-2"/>
                <w:sz w:val="21"/>
              </w:rPr>
              <w:t>变形或染色体</w:t>
            </w:r>
          </w:p>
        </w:tc>
        <w:tc>
          <w:tcPr>
            <w:tcW w:w="7223" w:type="dxa"/>
          </w:tcPr>
          <w:p>
            <w:pPr>
              <w:pStyle w:val="TableParagraph"/>
              <w:spacing w:before="22"/>
              <w:ind w:left="153"/>
              <w:rPr>
                <w:sz w:val="21"/>
              </w:rPr>
            </w:pPr>
            <w:r>
              <w:rPr>
                <w:spacing w:val="-3"/>
                <w:sz w:val="21"/>
              </w:rPr>
              <w:t>染色体异常依照世界卫生组织《疾病和有关健康问题的国际统计分类》第十</w:t>
            </w:r>
          </w:p>
        </w:tc>
      </w:tr>
      <w:tr>
        <w:trPr>
          <w:trHeight w:val="467" w:hRule="atLeast"/>
        </w:trPr>
        <w:tc>
          <w:tcPr>
            <w:tcW w:w="830" w:type="dxa"/>
          </w:tcPr>
          <w:p>
            <w:pPr>
              <w:pStyle w:val="TableParagraph"/>
              <w:rPr>
                <w:rFonts w:ascii="Times New Roman"/>
                <w:sz w:val="20"/>
              </w:rPr>
            </w:pPr>
          </w:p>
        </w:tc>
        <w:tc>
          <w:tcPr>
            <w:tcW w:w="1777" w:type="dxa"/>
          </w:tcPr>
          <w:p>
            <w:pPr>
              <w:pStyle w:val="TableParagraph"/>
              <w:spacing w:before="22"/>
              <w:ind w:left="357"/>
              <w:rPr>
                <w:b/>
                <w:sz w:val="21"/>
              </w:rPr>
            </w:pPr>
            <w:r>
              <w:rPr>
                <w:b/>
                <w:spacing w:val="-5"/>
                <w:sz w:val="21"/>
              </w:rPr>
              <w:t>异常</w:t>
            </w:r>
          </w:p>
        </w:tc>
        <w:tc>
          <w:tcPr>
            <w:tcW w:w="7223" w:type="dxa"/>
          </w:tcPr>
          <w:p>
            <w:pPr>
              <w:pStyle w:val="TableParagraph"/>
              <w:spacing w:before="22"/>
              <w:ind w:left="153"/>
              <w:rPr>
                <w:sz w:val="21"/>
              </w:rPr>
            </w:pPr>
            <w:r>
              <w:rPr>
                <w:spacing w:val="-2"/>
                <w:sz w:val="21"/>
              </w:rPr>
              <w:t>次修订版（ICD-10）</w:t>
            </w:r>
            <w:r>
              <w:rPr>
                <w:spacing w:val="-5"/>
                <w:sz w:val="21"/>
              </w:rPr>
              <w:t>确定。</w:t>
            </w:r>
          </w:p>
        </w:tc>
      </w:tr>
      <w:tr>
        <w:trPr>
          <w:trHeight w:val="468" w:hRule="atLeast"/>
        </w:trPr>
        <w:tc>
          <w:tcPr>
            <w:tcW w:w="830" w:type="dxa"/>
          </w:tcPr>
          <w:p>
            <w:pPr>
              <w:pStyle w:val="TableParagraph"/>
              <w:spacing w:before="178"/>
              <w:ind w:left="50"/>
              <w:rPr>
                <w:b/>
                <w:sz w:val="21"/>
              </w:rPr>
            </w:pPr>
            <w:r>
              <w:rPr>
                <w:b/>
                <w:spacing w:val="-4"/>
                <w:sz w:val="21"/>
              </w:rPr>
              <w:t>9.24</w:t>
            </w:r>
          </w:p>
        </w:tc>
        <w:tc>
          <w:tcPr>
            <w:tcW w:w="1777" w:type="dxa"/>
          </w:tcPr>
          <w:p>
            <w:pPr>
              <w:pStyle w:val="TableParagraph"/>
              <w:spacing w:before="178"/>
              <w:ind w:left="357"/>
              <w:rPr>
                <w:b/>
                <w:sz w:val="21"/>
              </w:rPr>
            </w:pPr>
            <w:r>
              <w:rPr>
                <w:b/>
                <w:spacing w:val="-5"/>
                <w:sz w:val="21"/>
              </w:rPr>
              <w:t>医院</w:t>
            </w:r>
          </w:p>
        </w:tc>
        <w:tc>
          <w:tcPr>
            <w:tcW w:w="7223" w:type="dxa"/>
          </w:tcPr>
          <w:p>
            <w:pPr>
              <w:pStyle w:val="TableParagraph"/>
              <w:spacing w:before="178"/>
              <w:ind w:left="153"/>
              <w:rPr>
                <w:sz w:val="21"/>
              </w:rPr>
            </w:pPr>
            <w:r>
              <w:rPr>
                <w:spacing w:val="-3"/>
                <w:sz w:val="21"/>
              </w:rPr>
              <w:t>指国家卫生行政部门的医院等级分类中的二级或二级以上的公立医院，但不</w:t>
            </w:r>
          </w:p>
        </w:tc>
      </w:tr>
      <w:tr>
        <w:trPr>
          <w:trHeight w:val="311"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3"/>
                <w:sz w:val="21"/>
              </w:rPr>
              <w:t>包括主要为康复、护理、疗养、戒酒、戒毒、养老或相类似的非以直接治疗</w:t>
            </w:r>
          </w:p>
        </w:tc>
      </w:tr>
      <w:tr>
        <w:trPr>
          <w:trHeight w:val="468"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3"/>
                <w:sz w:val="21"/>
              </w:rPr>
              <w:t>病人为目的的医疗机构。</w:t>
            </w:r>
          </w:p>
        </w:tc>
      </w:tr>
      <w:tr>
        <w:trPr>
          <w:trHeight w:val="467" w:hRule="atLeast"/>
        </w:trPr>
        <w:tc>
          <w:tcPr>
            <w:tcW w:w="830" w:type="dxa"/>
          </w:tcPr>
          <w:p>
            <w:pPr>
              <w:pStyle w:val="TableParagraph"/>
              <w:spacing w:before="178"/>
              <w:ind w:left="50"/>
              <w:rPr>
                <w:b/>
                <w:sz w:val="21"/>
              </w:rPr>
            </w:pPr>
            <w:r>
              <w:rPr>
                <w:b/>
                <w:spacing w:val="-4"/>
                <w:sz w:val="21"/>
              </w:rPr>
              <w:t>9.25</w:t>
            </w:r>
          </w:p>
        </w:tc>
        <w:tc>
          <w:tcPr>
            <w:tcW w:w="1777" w:type="dxa"/>
          </w:tcPr>
          <w:p>
            <w:pPr>
              <w:pStyle w:val="TableParagraph"/>
              <w:spacing w:before="178"/>
              <w:ind w:left="357"/>
              <w:rPr>
                <w:b/>
                <w:sz w:val="21"/>
              </w:rPr>
            </w:pPr>
            <w:r>
              <w:rPr>
                <w:b/>
                <w:spacing w:val="-2"/>
                <w:sz w:val="21"/>
              </w:rPr>
              <w:t>保险费约定交</w:t>
            </w:r>
          </w:p>
        </w:tc>
        <w:tc>
          <w:tcPr>
            <w:tcW w:w="7223" w:type="dxa"/>
          </w:tcPr>
          <w:p>
            <w:pPr>
              <w:pStyle w:val="TableParagraph"/>
              <w:spacing w:before="178"/>
              <w:ind w:left="153"/>
              <w:rPr>
                <w:sz w:val="21"/>
              </w:rPr>
            </w:pPr>
            <w:r>
              <w:rPr>
                <w:spacing w:val="-2"/>
                <w:sz w:val="21"/>
              </w:rPr>
              <w:t>本主险合同生效日在每月、每季、每半年或每年（根据交费方式确定）</w:t>
            </w:r>
            <w:r>
              <w:rPr>
                <w:spacing w:val="-6"/>
                <w:sz w:val="21"/>
              </w:rPr>
              <w:t>的对</w:t>
            </w:r>
          </w:p>
        </w:tc>
      </w:tr>
      <w:tr>
        <w:trPr>
          <w:trHeight w:val="468" w:hRule="atLeast"/>
        </w:trPr>
        <w:tc>
          <w:tcPr>
            <w:tcW w:w="830" w:type="dxa"/>
          </w:tcPr>
          <w:p>
            <w:pPr>
              <w:pStyle w:val="TableParagraph"/>
              <w:rPr>
                <w:rFonts w:ascii="Times New Roman"/>
                <w:sz w:val="20"/>
              </w:rPr>
            </w:pPr>
          </w:p>
        </w:tc>
        <w:tc>
          <w:tcPr>
            <w:tcW w:w="1777" w:type="dxa"/>
          </w:tcPr>
          <w:p>
            <w:pPr>
              <w:pStyle w:val="TableParagraph"/>
              <w:spacing w:before="22"/>
              <w:ind w:left="357"/>
              <w:rPr>
                <w:b/>
                <w:sz w:val="21"/>
              </w:rPr>
            </w:pPr>
            <w:r>
              <w:rPr>
                <w:b/>
                <w:spacing w:val="-5"/>
                <w:sz w:val="21"/>
              </w:rPr>
              <w:t>纳日</w:t>
            </w:r>
          </w:p>
        </w:tc>
        <w:tc>
          <w:tcPr>
            <w:tcW w:w="7223" w:type="dxa"/>
          </w:tcPr>
          <w:p>
            <w:pPr>
              <w:pStyle w:val="TableParagraph"/>
              <w:spacing w:before="22"/>
              <w:ind w:left="153"/>
              <w:rPr>
                <w:sz w:val="21"/>
              </w:rPr>
            </w:pPr>
            <w:r>
              <w:rPr>
                <w:spacing w:val="-3"/>
                <w:sz w:val="21"/>
              </w:rPr>
              <w:t>应日。如果当月无对应的同一日，则以该月最后一日作为对应日。</w:t>
            </w:r>
          </w:p>
        </w:tc>
      </w:tr>
      <w:tr>
        <w:trPr>
          <w:trHeight w:val="468" w:hRule="atLeast"/>
        </w:trPr>
        <w:tc>
          <w:tcPr>
            <w:tcW w:w="830" w:type="dxa"/>
          </w:tcPr>
          <w:p>
            <w:pPr>
              <w:pStyle w:val="TableParagraph"/>
              <w:spacing w:before="178"/>
              <w:ind w:left="50"/>
              <w:rPr>
                <w:b/>
                <w:sz w:val="21"/>
              </w:rPr>
            </w:pPr>
            <w:r>
              <w:rPr>
                <w:b/>
                <w:spacing w:val="-4"/>
                <w:sz w:val="21"/>
              </w:rPr>
              <w:t>9.26</w:t>
            </w:r>
          </w:p>
        </w:tc>
        <w:tc>
          <w:tcPr>
            <w:tcW w:w="1777" w:type="dxa"/>
          </w:tcPr>
          <w:p>
            <w:pPr>
              <w:pStyle w:val="TableParagraph"/>
              <w:spacing w:before="178"/>
              <w:ind w:left="357"/>
              <w:rPr>
                <w:b/>
                <w:sz w:val="21"/>
              </w:rPr>
            </w:pPr>
            <w:r>
              <w:rPr>
                <w:b/>
                <w:spacing w:val="-2"/>
                <w:sz w:val="21"/>
              </w:rPr>
              <w:t>组织病理学检</w:t>
            </w:r>
          </w:p>
        </w:tc>
        <w:tc>
          <w:tcPr>
            <w:tcW w:w="7223" w:type="dxa"/>
          </w:tcPr>
          <w:p>
            <w:pPr>
              <w:pStyle w:val="TableParagraph"/>
              <w:spacing w:before="178"/>
              <w:ind w:left="153"/>
              <w:rPr>
                <w:sz w:val="21"/>
              </w:rPr>
            </w:pPr>
            <w:r>
              <w:rPr>
                <w:spacing w:val="-3"/>
                <w:sz w:val="21"/>
              </w:rPr>
              <w:t>组织病理学检查是通过局部切除、钳取、穿刺等手术方法，从患者机体采取</w:t>
            </w:r>
          </w:p>
        </w:tc>
      </w:tr>
      <w:tr>
        <w:trPr>
          <w:trHeight w:val="1404" w:hRule="atLeast"/>
        </w:trPr>
        <w:tc>
          <w:tcPr>
            <w:tcW w:w="830" w:type="dxa"/>
          </w:tcPr>
          <w:p>
            <w:pPr>
              <w:pStyle w:val="TableParagraph"/>
              <w:rPr>
                <w:rFonts w:ascii="Times New Roman"/>
                <w:sz w:val="20"/>
              </w:rPr>
            </w:pPr>
          </w:p>
        </w:tc>
        <w:tc>
          <w:tcPr>
            <w:tcW w:w="1777" w:type="dxa"/>
          </w:tcPr>
          <w:p>
            <w:pPr>
              <w:pStyle w:val="TableParagraph"/>
              <w:spacing w:before="22"/>
              <w:ind w:left="357"/>
              <w:rPr>
                <w:b/>
                <w:sz w:val="21"/>
              </w:rPr>
            </w:pPr>
            <w:r>
              <w:rPr>
                <w:b/>
                <w:w w:val="100"/>
                <w:sz w:val="21"/>
              </w:rPr>
              <w:t>查</w:t>
            </w:r>
          </w:p>
        </w:tc>
        <w:tc>
          <w:tcPr>
            <w:tcW w:w="7223" w:type="dxa"/>
          </w:tcPr>
          <w:p>
            <w:pPr>
              <w:pStyle w:val="TableParagraph"/>
              <w:spacing w:before="22"/>
              <w:ind w:left="153"/>
              <w:rPr>
                <w:sz w:val="21"/>
              </w:rPr>
            </w:pPr>
            <w:r>
              <w:rPr>
                <w:spacing w:val="-3"/>
                <w:sz w:val="21"/>
              </w:rPr>
              <w:t>病变组织块，经过包埋、切片后，进行病理检查的方法。</w:t>
            </w:r>
          </w:p>
          <w:p>
            <w:pPr>
              <w:pStyle w:val="TableParagraph"/>
              <w:spacing w:line="266" w:lineRule="auto" w:before="33"/>
              <w:ind w:left="153" w:right="152"/>
              <w:jc w:val="both"/>
              <w:rPr>
                <w:b/>
                <w:i/>
                <w:sz w:val="22"/>
              </w:rPr>
            </w:pPr>
            <w:r>
              <w:rPr>
                <w:b/>
                <w:i/>
                <w:spacing w:val="-2"/>
                <w:w w:val="95"/>
                <w:sz w:val="22"/>
              </w:rPr>
              <w:t>通过采集病变部位脱落细胞、细针吸取病变部位细胞、体腔积液分离病变细</w:t>
            </w:r>
            <w:r>
              <w:rPr>
                <w:b/>
                <w:i/>
                <w:spacing w:val="-2"/>
                <w:w w:val="95"/>
                <w:sz w:val="22"/>
              </w:rPr>
              <w:t>胞等方式获取病变细胞，制成涂片，进行病理检查的方法，属于细胞病理学</w:t>
            </w:r>
            <w:r>
              <w:rPr>
                <w:b/>
                <w:i/>
                <w:spacing w:val="-2"/>
                <w:sz w:val="22"/>
              </w:rPr>
              <w:t>检</w:t>
            </w:r>
            <w:r>
              <w:rPr>
                <w:b/>
                <w:i/>
                <w:spacing w:val="-2"/>
                <w:sz w:val="22"/>
              </w:rPr>
              <w:t>查</w:t>
            </w:r>
            <w:r>
              <w:rPr>
                <w:b/>
                <w:i/>
                <w:spacing w:val="-2"/>
                <w:sz w:val="22"/>
              </w:rPr>
              <w:t>，</w:t>
            </w:r>
            <w:r>
              <w:rPr>
                <w:b/>
                <w:i/>
                <w:spacing w:val="-2"/>
                <w:sz w:val="22"/>
              </w:rPr>
              <w:t>不</w:t>
            </w:r>
            <w:r>
              <w:rPr>
                <w:b/>
                <w:i/>
                <w:spacing w:val="-2"/>
                <w:sz w:val="22"/>
              </w:rPr>
              <w:t>属</w:t>
            </w:r>
            <w:r>
              <w:rPr>
                <w:b/>
                <w:i/>
                <w:spacing w:val="-2"/>
                <w:sz w:val="22"/>
              </w:rPr>
              <w:t>于</w:t>
            </w:r>
            <w:r>
              <w:rPr>
                <w:b/>
                <w:i/>
                <w:spacing w:val="-2"/>
                <w:sz w:val="22"/>
              </w:rPr>
              <w:t>组</w:t>
            </w:r>
            <w:r>
              <w:rPr>
                <w:b/>
                <w:i/>
                <w:spacing w:val="-2"/>
                <w:sz w:val="22"/>
              </w:rPr>
              <w:t>织</w:t>
            </w:r>
            <w:r>
              <w:rPr>
                <w:b/>
                <w:i/>
                <w:spacing w:val="-2"/>
                <w:sz w:val="22"/>
              </w:rPr>
              <w:t>病理学</w:t>
            </w:r>
            <w:r>
              <w:rPr>
                <w:b/>
                <w:i/>
                <w:spacing w:val="-2"/>
                <w:sz w:val="22"/>
              </w:rPr>
              <w:t>检</w:t>
            </w:r>
            <w:r>
              <w:rPr>
                <w:b/>
                <w:i/>
                <w:spacing w:val="-2"/>
                <w:sz w:val="22"/>
              </w:rPr>
              <w:t>查</w:t>
            </w:r>
            <w:r>
              <w:rPr>
                <w:b/>
                <w:i/>
                <w:spacing w:val="-2"/>
                <w:sz w:val="22"/>
              </w:rPr>
              <w:t>。</w:t>
            </w:r>
          </w:p>
        </w:tc>
      </w:tr>
      <w:tr>
        <w:trPr>
          <w:trHeight w:val="467" w:hRule="atLeast"/>
        </w:trPr>
        <w:tc>
          <w:tcPr>
            <w:tcW w:w="830" w:type="dxa"/>
          </w:tcPr>
          <w:p>
            <w:pPr>
              <w:pStyle w:val="TableParagraph"/>
              <w:spacing w:before="177"/>
              <w:ind w:left="50"/>
              <w:rPr>
                <w:b/>
                <w:sz w:val="21"/>
              </w:rPr>
            </w:pPr>
            <w:r>
              <w:rPr>
                <w:b/>
                <w:spacing w:val="-4"/>
                <w:sz w:val="21"/>
              </w:rPr>
              <w:t>9.27</w:t>
            </w:r>
          </w:p>
        </w:tc>
        <w:tc>
          <w:tcPr>
            <w:tcW w:w="1777" w:type="dxa"/>
          </w:tcPr>
          <w:p>
            <w:pPr>
              <w:pStyle w:val="TableParagraph"/>
              <w:spacing w:before="177"/>
              <w:ind w:left="357"/>
              <w:rPr>
                <w:b/>
                <w:sz w:val="21"/>
              </w:rPr>
            </w:pPr>
            <w:r>
              <w:rPr>
                <w:b/>
                <w:w w:val="95"/>
                <w:sz w:val="21"/>
              </w:rPr>
              <w:t>ICD-10</w:t>
            </w:r>
            <w:r>
              <w:rPr>
                <w:b/>
                <w:spacing w:val="-16"/>
                <w:w w:val="95"/>
                <w:sz w:val="21"/>
              </w:rPr>
              <w:t> 与</w:t>
            </w:r>
          </w:p>
        </w:tc>
        <w:tc>
          <w:tcPr>
            <w:tcW w:w="7223" w:type="dxa"/>
          </w:tcPr>
          <w:p>
            <w:pPr>
              <w:pStyle w:val="TableParagraph"/>
              <w:spacing w:before="177"/>
              <w:ind w:left="153"/>
              <w:rPr>
                <w:sz w:val="21"/>
              </w:rPr>
            </w:pPr>
            <w:r>
              <w:rPr>
                <w:spacing w:val="-6"/>
                <w:sz w:val="21"/>
              </w:rPr>
              <w:t>《疾病和有关健康问题的国际统计分类》第十次修订版（ICD-</w:t>
            </w:r>
            <w:r>
              <w:rPr>
                <w:spacing w:val="21"/>
                <w:sz w:val="21"/>
              </w:rPr>
              <w:t>10</w:t>
            </w:r>
            <w:r>
              <w:rPr>
                <w:spacing w:val="-87"/>
                <w:sz w:val="21"/>
              </w:rPr>
              <w:t>）</w:t>
            </w:r>
            <w:r>
              <w:rPr>
                <w:spacing w:val="-1"/>
                <w:sz w:val="21"/>
              </w:rPr>
              <w:t>，是世界</w:t>
            </w:r>
          </w:p>
        </w:tc>
      </w:tr>
      <w:tr>
        <w:trPr>
          <w:trHeight w:val="311" w:hRule="atLeast"/>
        </w:trPr>
        <w:tc>
          <w:tcPr>
            <w:tcW w:w="830" w:type="dxa"/>
          </w:tcPr>
          <w:p>
            <w:pPr>
              <w:pStyle w:val="TableParagraph"/>
              <w:rPr>
                <w:rFonts w:ascii="Times New Roman"/>
                <w:sz w:val="20"/>
              </w:rPr>
            </w:pPr>
          </w:p>
        </w:tc>
        <w:tc>
          <w:tcPr>
            <w:tcW w:w="1777" w:type="dxa"/>
          </w:tcPr>
          <w:p>
            <w:pPr>
              <w:pStyle w:val="TableParagraph"/>
              <w:spacing w:before="22"/>
              <w:ind w:left="357"/>
              <w:rPr>
                <w:b/>
                <w:sz w:val="21"/>
              </w:rPr>
            </w:pPr>
            <w:r>
              <w:rPr>
                <w:b/>
                <w:w w:val="95"/>
                <w:sz w:val="21"/>
              </w:rPr>
              <w:t>ICD-O-</w:t>
            </w:r>
            <w:r>
              <w:rPr>
                <w:b/>
                <w:spacing w:val="-10"/>
                <w:w w:val="95"/>
                <w:sz w:val="21"/>
              </w:rPr>
              <w:t>3</w:t>
            </w:r>
          </w:p>
        </w:tc>
        <w:tc>
          <w:tcPr>
            <w:tcW w:w="7223" w:type="dxa"/>
          </w:tcPr>
          <w:p>
            <w:pPr>
              <w:pStyle w:val="TableParagraph"/>
              <w:spacing w:before="22"/>
              <w:ind w:left="153"/>
              <w:rPr>
                <w:sz w:val="21"/>
              </w:rPr>
            </w:pPr>
            <w:r>
              <w:rPr>
                <w:spacing w:val="-2"/>
                <w:sz w:val="21"/>
              </w:rPr>
              <w:t>卫生组织（WHO）</w:t>
            </w:r>
            <w:r>
              <w:rPr>
                <w:spacing w:val="-10"/>
                <w:sz w:val="21"/>
              </w:rPr>
              <w:t>发布的国际通用的疾病分类方法。《国际疾病分类肿瘤学专</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6"/>
                <w:sz w:val="21"/>
              </w:rPr>
              <w:t>辑》第三版（ICD-O-</w:t>
            </w:r>
            <w:r>
              <w:rPr>
                <w:spacing w:val="32"/>
                <w:sz w:val="21"/>
              </w:rPr>
              <w:t>3</w:t>
            </w:r>
            <w:r>
              <w:rPr>
                <w:spacing w:val="-76"/>
                <w:sz w:val="21"/>
              </w:rPr>
              <w:t>）</w:t>
            </w:r>
            <w:r>
              <w:rPr>
                <w:spacing w:val="-7"/>
                <w:sz w:val="21"/>
              </w:rPr>
              <w:t>，是 </w:t>
            </w:r>
            <w:r>
              <w:rPr>
                <w:spacing w:val="-6"/>
                <w:sz w:val="21"/>
              </w:rPr>
              <w:t>WHO</w:t>
            </w:r>
            <w:r>
              <w:rPr>
                <w:spacing w:val="-17"/>
                <w:sz w:val="21"/>
              </w:rPr>
              <w:t> 发布的针对 </w:t>
            </w:r>
            <w:r>
              <w:rPr>
                <w:spacing w:val="-6"/>
                <w:sz w:val="21"/>
              </w:rPr>
              <w:t>ICD</w:t>
            </w:r>
            <w:r>
              <w:rPr>
                <w:spacing w:val="-12"/>
                <w:sz w:val="21"/>
              </w:rPr>
              <w:t> 中肿瘤形态学组织学细胞类</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2"/>
                <w:sz w:val="21"/>
              </w:rPr>
              <w:t>型、动态、分化程度的补充编码。其中形态学编码：0</w:t>
            </w:r>
            <w:r>
              <w:rPr>
                <w:spacing w:val="-9"/>
                <w:sz w:val="21"/>
              </w:rPr>
              <w:t> 代表良性肿瘤；</w:t>
            </w:r>
            <w:r>
              <w:rPr>
                <w:spacing w:val="-2"/>
                <w:sz w:val="21"/>
              </w:rPr>
              <w:t>1</w:t>
            </w:r>
            <w:r>
              <w:rPr>
                <w:spacing w:val="-26"/>
                <w:sz w:val="21"/>
              </w:rPr>
              <w:t> 代</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6"/>
                <w:sz w:val="21"/>
              </w:rPr>
              <w:t>表动态未定性肿瘤；2</w:t>
            </w:r>
            <w:r>
              <w:rPr>
                <w:spacing w:val="-12"/>
                <w:sz w:val="21"/>
              </w:rPr>
              <w:t> 代表原位癌和非侵袭性癌；</w:t>
            </w:r>
            <w:r>
              <w:rPr>
                <w:spacing w:val="-6"/>
                <w:sz w:val="21"/>
              </w:rPr>
              <w:t>3</w:t>
            </w:r>
            <w:r>
              <w:rPr>
                <w:spacing w:val="-12"/>
                <w:sz w:val="21"/>
              </w:rPr>
              <w:t> 代表恶性肿瘤</w:t>
            </w:r>
            <w:r>
              <w:rPr>
                <w:spacing w:val="-6"/>
                <w:sz w:val="21"/>
              </w:rPr>
              <w:t>（原发性</w:t>
            </w:r>
            <w:r>
              <w:rPr>
                <w:spacing w:val="-113"/>
                <w:sz w:val="21"/>
              </w:rPr>
              <w:t>）</w:t>
            </w:r>
            <w:r>
              <w:rPr>
                <w:spacing w:val="-5"/>
                <w:sz w:val="21"/>
              </w:rPr>
              <w:t>；</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6"/>
                <w:sz w:val="21"/>
              </w:rPr>
              <w:t>6</w:t>
            </w:r>
            <w:r>
              <w:rPr>
                <w:spacing w:val="-11"/>
                <w:sz w:val="21"/>
              </w:rPr>
              <w:t> 代表恶性肿瘤</w:t>
            </w:r>
            <w:r>
              <w:rPr>
                <w:spacing w:val="-6"/>
                <w:sz w:val="21"/>
              </w:rPr>
              <w:t>（转移性</w:t>
            </w:r>
            <w:r>
              <w:rPr>
                <w:spacing w:val="-78"/>
                <w:sz w:val="21"/>
              </w:rPr>
              <w:t>）</w:t>
            </w:r>
            <w:r>
              <w:rPr>
                <w:spacing w:val="29"/>
                <w:sz w:val="21"/>
              </w:rPr>
              <w:t>；</w:t>
            </w:r>
            <w:r>
              <w:rPr>
                <w:spacing w:val="30"/>
                <w:sz w:val="21"/>
              </w:rPr>
              <w:t>9</w:t>
            </w:r>
            <w:r>
              <w:rPr>
                <w:spacing w:val="-11"/>
                <w:sz w:val="21"/>
              </w:rPr>
              <w:t> 代表恶性肿瘤</w:t>
            </w:r>
            <w:r>
              <w:rPr>
                <w:spacing w:val="-6"/>
                <w:sz w:val="21"/>
              </w:rPr>
              <w:t>（原发性或转移性未肯定</w:t>
            </w:r>
            <w:r>
              <w:rPr>
                <w:spacing w:val="-108"/>
                <w:sz w:val="21"/>
              </w:rPr>
              <w:t>）</w:t>
            </w:r>
            <w:r>
              <w:rPr>
                <w:spacing w:val="-8"/>
                <w:sz w:val="21"/>
              </w:rPr>
              <w:t>。如</w:t>
            </w:r>
          </w:p>
        </w:tc>
      </w:tr>
      <w:tr>
        <w:trPr>
          <w:trHeight w:val="467"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14"/>
                <w:sz w:val="21"/>
              </w:rPr>
              <w:t>果出现 </w:t>
            </w:r>
            <w:r>
              <w:rPr>
                <w:spacing w:val="-2"/>
                <w:sz w:val="21"/>
              </w:rPr>
              <w:t>ICD-10</w:t>
            </w:r>
            <w:r>
              <w:rPr>
                <w:spacing w:val="-33"/>
                <w:sz w:val="21"/>
              </w:rPr>
              <w:t> 与 </w:t>
            </w:r>
            <w:r>
              <w:rPr>
                <w:spacing w:val="-2"/>
                <w:sz w:val="21"/>
              </w:rPr>
              <w:t>ICD-O-3</w:t>
            </w:r>
            <w:r>
              <w:rPr>
                <w:spacing w:val="-13"/>
                <w:sz w:val="21"/>
              </w:rPr>
              <w:t> 不一致的情况，以 </w:t>
            </w:r>
            <w:r>
              <w:rPr>
                <w:spacing w:val="-2"/>
                <w:sz w:val="21"/>
              </w:rPr>
              <w:t>ICD-O-3</w:t>
            </w:r>
            <w:r>
              <w:rPr>
                <w:spacing w:val="-16"/>
                <w:sz w:val="21"/>
              </w:rPr>
              <w:t> 为准。</w:t>
            </w:r>
          </w:p>
        </w:tc>
      </w:tr>
      <w:tr>
        <w:trPr>
          <w:trHeight w:val="467" w:hRule="atLeast"/>
        </w:trPr>
        <w:tc>
          <w:tcPr>
            <w:tcW w:w="830" w:type="dxa"/>
          </w:tcPr>
          <w:p>
            <w:pPr>
              <w:pStyle w:val="TableParagraph"/>
              <w:spacing w:before="178"/>
              <w:ind w:left="50"/>
              <w:rPr>
                <w:b/>
                <w:sz w:val="21"/>
              </w:rPr>
            </w:pPr>
            <w:r>
              <w:rPr>
                <w:b/>
                <w:spacing w:val="-4"/>
                <w:sz w:val="21"/>
              </w:rPr>
              <w:t>9.28</w:t>
            </w:r>
          </w:p>
        </w:tc>
        <w:tc>
          <w:tcPr>
            <w:tcW w:w="1777" w:type="dxa"/>
          </w:tcPr>
          <w:p>
            <w:pPr>
              <w:pStyle w:val="TableParagraph"/>
              <w:spacing w:before="178"/>
              <w:ind w:left="357"/>
              <w:rPr>
                <w:b/>
                <w:sz w:val="21"/>
              </w:rPr>
            </w:pPr>
            <w:r>
              <w:rPr>
                <w:b/>
                <w:w w:val="95"/>
                <w:sz w:val="21"/>
              </w:rPr>
              <w:t>TNM</w:t>
            </w:r>
            <w:r>
              <w:rPr>
                <w:b/>
                <w:spacing w:val="-26"/>
                <w:w w:val="95"/>
                <w:sz w:val="21"/>
              </w:rPr>
              <w:t> </w:t>
            </w:r>
            <w:r>
              <w:rPr>
                <w:b/>
                <w:w w:val="95"/>
                <w:sz w:val="21"/>
              </w:rPr>
              <w:t>分</w:t>
            </w:r>
            <w:r>
              <w:rPr>
                <w:b/>
                <w:spacing w:val="-10"/>
                <w:w w:val="95"/>
                <w:sz w:val="21"/>
              </w:rPr>
              <w:t>期</w:t>
            </w:r>
          </w:p>
        </w:tc>
        <w:tc>
          <w:tcPr>
            <w:tcW w:w="7223" w:type="dxa"/>
          </w:tcPr>
          <w:p>
            <w:pPr>
              <w:pStyle w:val="TableParagraph"/>
              <w:spacing w:before="178"/>
              <w:ind w:left="153"/>
              <w:rPr>
                <w:sz w:val="21"/>
              </w:rPr>
            </w:pPr>
            <w:r>
              <w:rPr>
                <w:spacing w:val="-2"/>
                <w:sz w:val="21"/>
              </w:rPr>
              <w:t>TNM</w:t>
            </w:r>
            <w:r>
              <w:rPr>
                <w:spacing w:val="-18"/>
                <w:sz w:val="21"/>
              </w:rPr>
              <w:t> 分期采用 </w:t>
            </w:r>
            <w:r>
              <w:rPr>
                <w:spacing w:val="-2"/>
                <w:sz w:val="21"/>
              </w:rPr>
              <w:t>AJCC</w:t>
            </w:r>
            <w:r>
              <w:rPr>
                <w:spacing w:val="-14"/>
                <w:sz w:val="21"/>
              </w:rPr>
              <w:t> 癌症分期手册标准。该标准由美国癌症联合委员会与国际</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9"/>
                <w:sz w:val="21"/>
              </w:rPr>
              <w:t>抗癌联合会 </w:t>
            </w:r>
            <w:r>
              <w:rPr>
                <w:spacing w:val="-2"/>
                <w:sz w:val="21"/>
              </w:rPr>
              <w:t>TNM</w:t>
            </w:r>
            <w:r>
              <w:rPr>
                <w:spacing w:val="-9"/>
                <w:sz w:val="21"/>
              </w:rPr>
              <w:t> 委员会联合制定，是目前肿瘤医学分期的国际通用标准。</w:t>
            </w:r>
            <w:r>
              <w:rPr>
                <w:spacing w:val="-10"/>
                <w:sz w:val="21"/>
              </w:rPr>
              <w:t>T</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2"/>
                <w:sz w:val="21"/>
              </w:rPr>
              <w:t>指原发肿瘤的大小、形态等；N</w:t>
            </w:r>
            <w:r>
              <w:rPr>
                <w:spacing w:val="-9"/>
                <w:sz w:val="21"/>
              </w:rPr>
              <w:t> 指淋巴结的转移情况</w:t>
            </w:r>
            <w:r>
              <w:rPr>
                <w:spacing w:val="-2"/>
                <w:sz w:val="21"/>
              </w:rPr>
              <w:t>；M</w:t>
            </w:r>
            <w:r>
              <w:rPr>
                <w:spacing w:val="-10"/>
                <w:sz w:val="21"/>
              </w:rPr>
              <w:t> 指有无其他脏器的</w:t>
            </w:r>
          </w:p>
        </w:tc>
      </w:tr>
      <w:tr>
        <w:trPr>
          <w:trHeight w:val="467"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4"/>
                <w:sz w:val="21"/>
              </w:rPr>
              <w:t>转移情况。</w:t>
            </w:r>
          </w:p>
        </w:tc>
      </w:tr>
      <w:tr>
        <w:trPr>
          <w:trHeight w:val="623" w:hRule="atLeast"/>
        </w:trPr>
        <w:tc>
          <w:tcPr>
            <w:tcW w:w="830" w:type="dxa"/>
          </w:tcPr>
          <w:p>
            <w:pPr>
              <w:pStyle w:val="TableParagraph"/>
              <w:spacing w:before="178"/>
              <w:ind w:left="50"/>
              <w:rPr>
                <w:b/>
                <w:sz w:val="21"/>
              </w:rPr>
            </w:pPr>
            <w:r>
              <w:rPr>
                <w:b/>
                <w:spacing w:val="-4"/>
                <w:sz w:val="21"/>
              </w:rPr>
              <w:t>9.29</w:t>
            </w:r>
          </w:p>
        </w:tc>
        <w:tc>
          <w:tcPr>
            <w:tcW w:w="1777" w:type="dxa"/>
          </w:tcPr>
          <w:p>
            <w:pPr>
              <w:pStyle w:val="TableParagraph"/>
              <w:spacing w:before="178"/>
              <w:ind w:left="357"/>
              <w:rPr>
                <w:b/>
                <w:sz w:val="21"/>
              </w:rPr>
            </w:pPr>
            <w:r>
              <w:rPr>
                <w:b/>
                <w:spacing w:val="-5"/>
                <w:sz w:val="21"/>
              </w:rPr>
              <w:t>肢体</w:t>
            </w:r>
          </w:p>
        </w:tc>
        <w:tc>
          <w:tcPr>
            <w:tcW w:w="7223" w:type="dxa"/>
          </w:tcPr>
          <w:p>
            <w:pPr>
              <w:pStyle w:val="TableParagraph"/>
              <w:spacing w:before="178"/>
              <w:ind w:left="153"/>
              <w:rPr>
                <w:sz w:val="21"/>
              </w:rPr>
            </w:pPr>
            <w:r>
              <w:rPr>
                <w:spacing w:val="-3"/>
                <w:sz w:val="21"/>
              </w:rPr>
              <w:t>肢体是指包括肩关节的整个上肢或包括髋关节的整个下肢。</w:t>
            </w:r>
          </w:p>
        </w:tc>
      </w:tr>
      <w:tr>
        <w:trPr>
          <w:trHeight w:val="468" w:hRule="atLeast"/>
        </w:trPr>
        <w:tc>
          <w:tcPr>
            <w:tcW w:w="830" w:type="dxa"/>
          </w:tcPr>
          <w:p>
            <w:pPr>
              <w:pStyle w:val="TableParagraph"/>
              <w:spacing w:before="178"/>
              <w:ind w:left="50"/>
              <w:rPr>
                <w:b/>
                <w:sz w:val="21"/>
              </w:rPr>
            </w:pPr>
            <w:r>
              <w:rPr>
                <w:b/>
                <w:spacing w:val="-4"/>
                <w:sz w:val="21"/>
              </w:rPr>
              <w:t>9.30</w:t>
            </w:r>
          </w:p>
        </w:tc>
        <w:tc>
          <w:tcPr>
            <w:tcW w:w="1777" w:type="dxa"/>
          </w:tcPr>
          <w:p>
            <w:pPr>
              <w:pStyle w:val="TableParagraph"/>
              <w:spacing w:before="178"/>
              <w:ind w:left="357"/>
              <w:rPr>
                <w:b/>
                <w:sz w:val="21"/>
              </w:rPr>
            </w:pPr>
            <w:r>
              <w:rPr>
                <w:b/>
                <w:spacing w:val="-5"/>
                <w:sz w:val="21"/>
              </w:rPr>
              <w:t>肌力</w:t>
            </w:r>
          </w:p>
        </w:tc>
        <w:tc>
          <w:tcPr>
            <w:tcW w:w="7223" w:type="dxa"/>
          </w:tcPr>
          <w:p>
            <w:pPr>
              <w:pStyle w:val="TableParagraph"/>
              <w:spacing w:before="178"/>
              <w:ind w:left="153"/>
              <w:rPr>
                <w:sz w:val="21"/>
              </w:rPr>
            </w:pPr>
            <w:r>
              <w:rPr>
                <w:spacing w:val="-5"/>
                <w:sz w:val="21"/>
              </w:rPr>
              <w:t>指肌肉收缩时的力量。肌力划分为 </w:t>
            </w:r>
            <w:r>
              <w:rPr>
                <w:spacing w:val="-2"/>
                <w:sz w:val="21"/>
              </w:rPr>
              <w:t>0-5</w:t>
            </w:r>
            <w:r>
              <w:rPr>
                <w:spacing w:val="-11"/>
                <w:sz w:val="21"/>
              </w:rPr>
              <w:t> 级，具体为：</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2"/>
                <w:sz w:val="21"/>
              </w:rPr>
              <w:t>0</w:t>
            </w:r>
            <w:r>
              <w:rPr>
                <w:spacing w:val="-10"/>
                <w:sz w:val="21"/>
              </w:rPr>
              <w:t> 级：肌肉完全瘫痪，毫无收缩。</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2"/>
                <w:sz w:val="21"/>
              </w:rPr>
              <w:t>1</w:t>
            </w:r>
            <w:r>
              <w:rPr>
                <w:spacing w:val="-9"/>
                <w:sz w:val="21"/>
              </w:rPr>
              <w:t> 级：可看到或者触及肌肉轻微收缩，但不能产生动作。</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2"/>
                <w:sz w:val="21"/>
              </w:rPr>
              <w:t>2</w:t>
            </w:r>
            <w:r>
              <w:rPr>
                <w:spacing w:val="-9"/>
                <w:sz w:val="21"/>
              </w:rPr>
              <w:t> 级：肌肉在不受重力影响下，可进行运动，即肢体能在床面上移动，但不</w:t>
            </w:r>
          </w:p>
        </w:tc>
      </w:tr>
      <w:tr>
        <w:trPr>
          <w:trHeight w:val="311"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4"/>
                <w:sz w:val="21"/>
              </w:rPr>
              <w:t>能抬高。</w:t>
            </w:r>
          </w:p>
        </w:tc>
      </w:tr>
      <w:tr>
        <w:trPr>
          <w:trHeight w:val="312"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2"/>
                <w:sz w:val="21"/>
              </w:rPr>
              <w:t>3</w:t>
            </w:r>
            <w:r>
              <w:rPr>
                <w:spacing w:val="-9"/>
                <w:sz w:val="21"/>
              </w:rPr>
              <w:t> 级：在和地心引力相反的方向中尚能完成其动作，但不能对抗外加阻力。</w:t>
            </w:r>
          </w:p>
        </w:tc>
      </w:tr>
      <w:tr>
        <w:trPr>
          <w:trHeight w:val="311"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2"/>
                <w:sz w:val="21"/>
              </w:rPr>
              <w:t>4</w:t>
            </w:r>
            <w:r>
              <w:rPr>
                <w:spacing w:val="-10"/>
                <w:sz w:val="21"/>
              </w:rPr>
              <w:t> 级：能对抗一定的阻力，但较正常人为低。</w:t>
            </w:r>
          </w:p>
        </w:tc>
      </w:tr>
      <w:tr>
        <w:trPr>
          <w:trHeight w:val="467" w:hRule="atLeast"/>
        </w:trPr>
        <w:tc>
          <w:tcPr>
            <w:tcW w:w="830" w:type="dxa"/>
          </w:tcPr>
          <w:p>
            <w:pPr>
              <w:pStyle w:val="TableParagraph"/>
              <w:rPr>
                <w:rFonts w:ascii="Times New Roman"/>
                <w:sz w:val="20"/>
              </w:rPr>
            </w:pPr>
          </w:p>
        </w:tc>
        <w:tc>
          <w:tcPr>
            <w:tcW w:w="1777" w:type="dxa"/>
          </w:tcPr>
          <w:p>
            <w:pPr>
              <w:pStyle w:val="TableParagraph"/>
              <w:rPr>
                <w:rFonts w:ascii="Times New Roman"/>
                <w:sz w:val="20"/>
              </w:rPr>
            </w:pPr>
          </w:p>
        </w:tc>
        <w:tc>
          <w:tcPr>
            <w:tcW w:w="7223" w:type="dxa"/>
          </w:tcPr>
          <w:p>
            <w:pPr>
              <w:pStyle w:val="TableParagraph"/>
              <w:spacing w:before="22"/>
              <w:ind w:left="153"/>
              <w:rPr>
                <w:sz w:val="21"/>
              </w:rPr>
            </w:pPr>
            <w:r>
              <w:rPr>
                <w:spacing w:val="-2"/>
                <w:sz w:val="21"/>
              </w:rPr>
              <w:t>5</w:t>
            </w:r>
            <w:r>
              <w:rPr>
                <w:spacing w:val="-10"/>
                <w:sz w:val="21"/>
              </w:rPr>
              <w:t> 级：正常肌力。</w:t>
            </w:r>
          </w:p>
        </w:tc>
      </w:tr>
      <w:tr>
        <w:trPr>
          <w:trHeight w:val="467" w:hRule="atLeast"/>
        </w:trPr>
        <w:tc>
          <w:tcPr>
            <w:tcW w:w="830" w:type="dxa"/>
          </w:tcPr>
          <w:p>
            <w:pPr>
              <w:pStyle w:val="TableParagraph"/>
              <w:spacing w:before="178"/>
              <w:ind w:left="50"/>
              <w:rPr>
                <w:b/>
                <w:sz w:val="21"/>
              </w:rPr>
            </w:pPr>
            <w:r>
              <w:rPr>
                <w:b/>
                <w:spacing w:val="-4"/>
                <w:sz w:val="21"/>
              </w:rPr>
              <w:t>9.31</w:t>
            </w:r>
          </w:p>
        </w:tc>
        <w:tc>
          <w:tcPr>
            <w:tcW w:w="1777" w:type="dxa"/>
          </w:tcPr>
          <w:p>
            <w:pPr>
              <w:pStyle w:val="TableParagraph"/>
              <w:spacing w:before="178"/>
              <w:ind w:left="357"/>
              <w:rPr>
                <w:b/>
                <w:sz w:val="21"/>
              </w:rPr>
            </w:pPr>
            <w:r>
              <w:rPr>
                <w:b/>
                <w:spacing w:val="-2"/>
                <w:sz w:val="21"/>
              </w:rPr>
              <w:t>六项基本日常</w:t>
            </w:r>
          </w:p>
        </w:tc>
        <w:tc>
          <w:tcPr>
            <w:tcW w:w="7223" w:type="dxa"/>
          </w:tcPr>
          <w:p>
            <w:pPr>
              <w:pStyle w:val="TableParagraph"/>
              <w:spacing w:before="178"/>
              <w:ind w:left="153"/>
              <w:rPr>
                <w:sz w:val="21"/>
              </w:rPr>
            </w:pPr>
            <w:r>
              <w:rPr>
                <w:spacing w:val="-3"/>
                <w:sz w:val="21"/>
              </w:rPr>
              <w:t>六项基本日常生活活动是指：</w:t>
            </w:r>
          </w:p>
        </w:tc>
      </w:tr>
      <w:tr>
        <w:trPr>
          <w:trHeight w:val="261" w:hRule="atLeast"/>
        </w:trPr>
        <w:tc>
          <w:tcPr>
            <w:tcW w:w="830" w:type="dxa"/>
          </w:tcPr>
          <w:p>
            <w:pPr>
              <w:pStyle w:val="TableParagraph"/>
              <w:rPr>
                <w:rFonts w:ascii="Times New Roman"/>
                <w:sz w:val="18"/>
              </w:rPr>
            </w:pPr>
          </w:p>
        </w:tc>
        <w:tc>
          <w:tcPr>
            <w:tcW w:w="1777" w:type="dxa"/>
          </w:tcPr>
          <w:p>
            <w:pPr>
              <w:pStyle w:val="TableParagraph"/>
              <w:spacing w:line="220" w:lineRule="exact" w:before="22"/>
              <w:ind w:left="357"/>
              <w:rPr>
                <w:b/>
                <w:sz w:val="21"/>
              </w:rPr>
            </w:pPr>
            <w:r>
              <w:rPr>
                <w:b/>
                <w:spacing w:val="-3"/>
                <w:sz w:val="21"/>
              </w:rPr>
              <w:t>生活活动</w:t>
            </w:r>
          </w:p>
        </w:tc>
        <w:tc>
          <w:tcPr>
            <w:tcW w:w="7223" w:type="dxa"/>
          </w:tcPr>
          <w:p>
            <w:pPr>
              <w:pStyle w:val="TableParagraph"/>
              <w:spacing w:line="220" w:lineRule="exact" w:before="22"/>
              <w:ind w:left="153"/>
              <w:rPr>
                <w:sz w:val="21"/>
              </w:rPr>
            </w:pPr>
            <w:r>
              <w:rPr>
                <w:spacing w:val="-2"/>
                <w:sz w:val="21"/>
              </w:rPr>
              <w:t>（1）</w:t>
            </w:r>
            <w:r>
              <w:rPr>
                <w:spacing w:val="-3"/>
                <w:sz w:val="21"/>
              </w:rPr>
              <w:t>穿衣：自己能够穿衣及脱衣；</w:t>
            </w:r>
          </w:p>
        </w:tc>
      </w:tr>
    </w:tbl>
    <w:p>
      <w:pPr>
        <w:spacing w:after="0" w:line="220" w:lineRule="exact"/>
        <w:rPr>
          <w:sz w:val="21"/>
        </w:rPr>
        <w:sectPr>
          <w:pgSz w:w="11910" w:h="16840"/>
          <w:pgMar w:top="1280" w:bottom="280" w:left="680" w:right="460"/>
        </w:sectPr>
      </w:pPr>
    </w:p>
    <w:p>
      <w:pPr>
        <w:pStyle w:val="ListParagraph"/>
        <w:numPr>
          <w:ilvl w:val="1"/>
          <w:numId w:val="50"/>
        </w:numPr>
        <w:tabs>
          <w:tab w:pos="3815" w:val="left" w:leader="none"/>
        </w:tabs>
        <w:spacing w:line="240" w:lineRule="auto" w:before="52" w:after="0"/>
        <w:ind w:left="3814" w:right="0" w:hanging="530"/>
        <w:jc w:val="left"/>
        <w:rPr>
          <w:sz w:val="21"/>
        </w:rPr>
      </w:pPr>
      <w:r>
        <w:rPr>
          <w:spacing w:val="-3"/>
          <w:sz w:val="21"/>
        </w:rPr>
        <w:t>移动：自己从一个房间到另一个房间；</w:t>
      </w:r>
    </w:p>
    <w:p>
      <w:pPr>
        <w:pStyle w:val="ListParagraph"/>
        <w:numPr>
          <w:ilvl w:val="1"/>
          <w:numId w:val="50"/>
        </w:numPr>
        <w:tabs>
          <w:tab w:pos="3815" w:val="left" w:leader="none"/>
        </w:tabs>
        <w:spacing w:line="240" w:lineRule="auto" w:before="43" w:after="0"/>
        <w:ind w:left="3814" w:right="0" w:hanging="530"/>
        <w:jc w:val="left"/>
        <w:rPr>
          <w:sz w:val="21"/>
        </w:rPr>
      </w:pPr>
      <w:r>
        <w:rPr>
          <w:spacing w:val="-3"/>
          <w:sz w:val="21"/>
        </w:rPr>
        <w:t>行动：自己上下床或上下轮椅；</w:t>
      </w:r>
    </w:p>
    <w:p>
      <w:pPr>
        <w:pStyle w:val="ListParagraph"/>
        <w:numPr>
          <w:ilvl w:val="1"/>
          <w:numId w:val="50"/>
        </w:numPr>
        <w:tabs>
          <w:tab w:pos="3815" w:val="left" w:leader="none"/>
        </w:tabs>
        <w:spacing w:line="240" w:lineRule="auto" w:before="43" w:after="0"/>
        <w:ind w:left="3814" w:right="0" w:hanging="530"/>
        <w:jc w:val="left"/>
        <w:rPr>
          <w:sz w:val="21"/>
        </w:rPr>
      </w:pPr>
      <w:r>
        <w:rPr>
          <w:spacing w:val="-3"/>
          <w:sz w:val="21"/>
        </w:rPr>
        <w:t>如厕：自己控制进行大小便；</w:t>
      </w:r>
    </w:p>
    <w:p>
      <w:pPr>
        <w:pStyle w:val="ListParagraph"/>
        <w:numPr>
          <w:ilvl w:val="1"/>
          <w:numId w:val="50"/>
        </w:numPr>
        <w:tabs>
          <w:tab w:pos="3815" w:val="left" w:leader="none"/>
        </w:tabs>
        <w:spacing w:line="240" w:lineRule="auto" w:before="43" w:after="0"/>
        <w:ind w:left="3814" w:right="0" w:hanging="530"/>
        <w:jc w:val="left"/>
        <w:rPr>
          <w:sz w:val="21"/>
        </w:rPr>
      </w:pPr>
      <w:r>
        <w:rPr>
          <w:spacing w:val="-3"/>
          <w:sz w:val="21"/>
        </w:rPr>
        <w:t>进食：自己从已准备好的碗或碟中取食物放入口中；</w:t>
      </w:r>
    </w:p>
    <w:p>
      <w:pPr>
        <w:pStyle w:val="ListParagraph"/>
        <w:numPr>
          <w:ilvl w:val="1"/>
          <w:numId w:val="50"/>
        </w:numPr>
        <w:tabs>
          <w:tab w:pos="3815" w:val="left" w:leader="none"/>
        </w:tabs>
        <w:spacing w:line="240" w:lineRule="auto" w:before="43" w:after="0"/>
        <w:ind w:left="3814" w:right="0" w:hanging="530"/>
        <w:jc w:val="left"/>
        <w:rPr>
          <w:sz w:val="21"/>
        </w:rPr>
      </w:pPr>
      <w:r>
        <w:rPr>
          <w:spacing w:val="-3"/>
          <w:sz w:val="21"/>
        </w:rPr>
        <w:t>洗澡：自己进行淋浴或盆浴。</w:t>
      </w:r>
    </w:p>
    <w:p>
      <w:pPr>
        <w:spacing w:before="33"/>
        <w:ind w:left="3285" w:right="0" w:firstLine="0"/>
        <w:jc w:val="left"/>
        <w:rPr>
          <w:b/>
          <w:i/>
          <w:sz w:val="22"/>
        </w:rPr>
      </w:pPr>
      <w:r>
        <w:rPr>
          <w:b/>
          <w:i/>
          <w:spacing w:val="-4"/>
          <w:w w:val="95"/>
          <w:sz w:val="22"/>
        </w:rPr>
        <w:t>六项基本日常生活活动能力的鉴定不适用于 </w:t>
      </w:r>
      <w:r>
        <w:rPr>
          <w:b/>
          <w:i/>
          <w:spacing w:val="-2"/>
          <w:w w:val="95"/>
          <w:sz w:val="22"/>
        </w:rPr>
        <w:t>0-3</w:t>
      </w:r>
      <w:r>
        <w:rPr>
          <w:b/>
          <w:i/>
          <w:spacing w:val="-10"/>
          <w:w w:val="95"/>
          <w:sz w:val="22"/>
        </w:rPr>
        <w:t> 周岁幼儿。</w:t>
      </w:r>
    </w:p>
    <w:p>
      <w:pPr>
        <w:pStyle w:val="BodyText"/>
        <w:spacing w:before="6"/>
        <w:rPr>
          <w:b/>
          <w:i/>
          <w:sz w:val="27"/>
        </w:rPr>
      </w:pPr>
    </w:p>
    <w:p>
      <w:pPr>
        <w:pStyle w:val="ListParagraph"/>
        <w:numPr>
          <w:ilvl w:val="1"/>
          <w:numId w:val="51"/>
        </w:numPr>
        <w:tabs>
          <w:tab w:pos="1713" w:val="left" w:leader="none"/>
          <w:tab w:pos="1714" w:val="left" w:leader="none"/>
          <w:tab w:pos="3285" w:val="left" w:leader="none"/>
        </w:tabs>
        <w:spacing w:line="278" w:lineRule="auto" w:before="0" w:after="0"/>
        <w:ind w:left="3285" w:right="560" w:hanging="2711"/>
        <w:jc w:val="left"/>
        <w:rPr>
          <w:sz w:val="21"/>
        </w:rPr>
      </w:pPr>
      <w:r>
        <w:rPr>
          <w:b/>
          <w:spacing w:val="-2"/>
          <w:sz w:val="21"/>
        </w:rPr>
        <w:t>永</w:t>
      </w:r>
      <w:r>
        <w:rPr>
          <w:b/>
          <w:spacing w:val="-2"/>
          <w:sz w:val="21"/>
        </w:rPr>
        <w:t>久</w:t>
      </w:r>
      <w:r>
        <w:rPr>
          <w:b/>
          <w:spacing w:val="-2"/>
          <w:sz w:val="21"/>
        </w:rPr>
        <w:t>不</w:t>
      </w:r>
      <w:r>
        <w:rPr>
          <w:b/>
          <w:spacing w:val="-2"/>
          <w:sz w:val="21"/>
        </w:rPr>
        <w:t>可</w:t>
      </w:r>
      <w:r>
        <w:rPr>
          <w:b/>
          <w:spacing w:val="-2"/>
          <w:sz w:val="21"/>
        </w:rPr>
        <w:t>逆</w:t>
      </w:r>
      <w:r>
        <w:rPr>
          <w:b/>
          <w:sz w:val="21"/>
        </w:rPr>
        <w:tab/>
      </w:r>
      <w:r>
        <w:rPr>
          <w:spacing w:val="-2"/>
          <w:sz w:val="21"/>
        </w:rPr>
        <w:t>指</w:t>
      </w:r>
      <w:r>
        <w:rPr>
          <w:spacing w:val="-2"/>
          <w:sz w:val="21"/>
        </w:rPr>
        <w:t>自</w:t>
      </w:r>
      <w:r>
        <w:rPr>
          <w:spacing w:val="-2"/>
          <w:sz w:val="21"/>
        </w:rPr>
        <w:t>疾病确诊或意外伤害</w:t>
      </w:r>
      <w:r>
        <w:rPr>
          <w:spacing w:val="-2"/>
          <w:sz w:val="21"/>
        </w:rPr>
        <w:t>发</w:t>
      </w:r>
      <w:r>
        <w:rPr>
          <w:spacing w:val="-2"/>
          <w:sz w:val="21"/>
        </w:rPr>
        <w:t>生</w:t>
      </w:r>
      <w:r>
        <w:rPr>
          <w:spacing w:val="-2"/>
          <w:sz w:val="21"/>
        </w:rPr>
        <w:t>之日起，经过积极治疗</w:t>
      </w:r>
      <w:r>
        <w:rPr>
          <w:spacing w:val="-40"/>
          <w:sz w:val="21"/>
        </w:rPr>
        <w:t> </w:t>
      </w:r>
      <w:r>
        <w:rPr>
          <w:spacing w:val="-2"/>
          <w:sz w:val="21"/>
        </w:rPr>
        <w:t>180</w:t>
      </w:r>
      <w:r>
        <w:rPr>
          <w:spacing w:val="-43"/>
          <w:sz w:val="21"/>
        </w:rPr>
        <w:t> </w:t>
      </w:r>
      <w:r>
        <w:rPr>
          <w:spacing w:val="-2"/>
          <w:sz w:val="21"/>
        </w:rPr>
        <w:t>天后，仍无法通过</w:t>
      </w:r>
      <w:r>
        <w:rPr>
          <w:spacing w:val="-2"/>
          <w:sz w:val="21"/>
        </w:rPr>
        <w:t>现</w:t>
      </w:r>
      <w:r>
        <w:rPr>
          <w:spacing w:val="-2"/>
          <w:sz w:val="21"/>
        </w:rPr>
        <w:t>有</w:t>
      </w:r>
      <w:r>
        <w:rPr>
          <w:spacing w:val="-2"/>
          <w:sz w:val="21"/>
        </w:rPr>
        <w:t>医疗手段恢</w:t>
      </w:r>
      <w:r>
        <w:rPr>
          <w:spacing w:val="-2"/>
          <w:sz w:val="21"/>
        </w:rPr>
        <w:t>复</w:t>
      </w:r>
      <w:r>
        <w:rPr>
          <w:spacing w:val="-2"/>
          <w:sz w:val="21"/>
        </w:rPr>
        <w:t>。</w:t>
      </w:r>
    </w:p>
    <w:p>
      <w:pPr>
        <w:pStyle w:val="BodyText"/>
        <w:spacing w:before="10"/>
        <w:rPr>
          <w:sz w:val="18"/>
        </w:rPr>
      </w:pPr>
    </w:p>
    <w:p>
      <w:pPr>
        <w:spacing w:after="0"/>
        <w:rPr>
          <w:sz w:val="18"/>
        </w:rPr>
        <w:sectPr>
          <w:pgSz w:w="11910" w:h="16840"/>
          <w:pgMar w:top="1200" w:bottom="280" w:left="680" w:right="460"/>
        </w:sectPr>
      </w:pPr>
    </w:p>
    <w:p>
      <w:pPr>
        <w:pStyle w:val="Heading2"/>
        <w:numPr>
          <w:ilvl w:val="1"/>
          <w:numId w:val="51"/>
        </w:numPr>
        <w:tabs>
          <w:tab w:pos="1713" w:val="left" w:leader="none"/>
          <w:tab w:pos="1714" w:val="left" w:leader="none"/>
        </w:tabs>
        <w:spacing w:line="278" w:lineRule="auto" w:before="72" w:after="0"/>
        <w:ind w:left="1713" w:right="0" w:hanging="1138"/>
        <w:jc w:val="left"/>
        <w:rPr>
          <w:rFonts w:ascii="宋体" w:eastAsia="宋体" w:hint="eastAsia"/>
        </w:rPr>
      </w:pPr>
      <w:r>
        <w:rPr>
          <w:rFonts w:ascii="宋体" w:eastAsia="宋体" w:hint="eastAsia"/>
          <w:spacing w:val="-2"/>
        </w:rPr>
        <w:t>美国纽约心脏</w:t>
      </w:r>
      <w:r>
        <w:rPr>
          <w:rFonts w:ascii="宋体" w:eastAsia="宋体" w:hint="eastAsia"/>
          <w:spacing w:val="-2"/>
        </w:rPr>
        <w:t>病学会（New </w:t>
      </w:r>
      <w:r>
        <w:rPr>
          <w:rFonts w:ascii="宋体" w:eastAsia="宋体" w:hint="eastAsia"/>
        </w:rPr>
        <w:t>York Heart </w:t>
      </w:r>
      <w:r>
        <w:rPr>
          <w:rFonts w:ascii="宋体" w:eastAsia="宋体" w:hint="eastAsia"/>
          <w:spacing w:val="-2"/>
        </w:rPr>
        <w:t>Association， NYHA）心功能</w:t>
      </w:r>
      <w:r>
        <w:rPr>
          <w:rFonts w:ascii="宋体" w:eastAsia="宋体" w:hint="eastAsia"/>
          <w:spacing w:val="-4"/>
        </w:rPr>
        <w:t>状态分级</w:t>
      </w:r>
    </w:p>
    <w:p>
      <w:pPr>
        <w:pStyle w:val="BodyText"/>
        <w:spacing w:line="278" w:lineRule="auto" w:before="72"/>
        <w:ind w:left="156" w:right="560"/>
      </w:pPr>
      <w:r>
        <w:rPr/>
        <w:br w:type="column"/>
      </w:r>
      <w:r>
        <w:rPr/>
        <w:t>美国纽约心脏病学会（New</w:t>
      </w:r>
      <w:r>
        <w:rPr>
          <w:spacing w:val="-16"/>
        </w:rPr>
        <w:t> </w:t>
      </w:r>
      <w:r>
        <w:rPr/>
        <w:t>York</w:t>
      </w:r>
      <w:r>
        <w:rPr>
          <w:spacing w:val="-16"/>
        </w:rPr>
        <w:t> </w:t>
      </w:r>
      <w:r>
        <w:rPr/>
        <w:t>Heart</w:t>
      </w:r>
      <w:r>
        <w:rPr>
          <w:spacing w:val="-16"/>
        </w:rPr>
        <w:t> </w:t>
      </w:r>
      <w:r>
        <w:rPr/>
        <w:t>Association，NYHA）将心功能状态</w:t>
      </w:r>
      <w:r>
        <w:rPr>
          <w:spacing w:val="-2"/>
        </w:rPr>
        <w:t>分为四级：</w:t>
      </w:r>
    </w:p>
    <w:p>
      <w:pPr>
        <w:pStyle w:val="BodyText"/>
        <w:spacing w:line="278" w:lineRule="auto"/>
        <w:ind w:left="156" w:right="563"/>
      </w:pPr>
      <w:r>
        <w:rPr>
          <w:spacing w:val="-2"/>
        </w:rPr>
        <w:t>Ⅰ级：心脏病病人日常活动量不受限制，一般活动不引起乏力、呼吸困难等</w:t>
      </w:r>
      <w:r>
        <w:rPr>
          <w:spacing w:val="-2"/>
        </w:rPr>
        <w:t>心衰症状。</w:t>
      </w:r>
    </w:p>
    <w:p>
      <w:pPr>
        <w:pStyle w:val="BodyText"/>
        <w:spacing w:line="278" w:lineRule="auto"/>
        <w:ind w:left="156" w:right="563"/>
      </w:pPr>
      <w:r>
        <w:rPr>
          <w:spacing w:val="-2"/>
        </w:rPr>
        <w:t>Ⅱ级：心脏病病人体力活动轻度受限制，休息时无自觉症状，一般活动下可</w:t>
      </w:r>
      <w:r>
        <w:rPr>
          <w:spacing w:val="-2"/>
        </w:rPr>
        <w:t>出现心衰症状。</w:t>
      </w:r>
    </w:p>
    <w:p>
      <w:pPr>
        <w:pStyle w:val="BodyText"/>
        <w:spacing w:line="278" w:lineRule="auto"/>
        <w:ind w:left="156" w:right="544"/>
        <w:jc w:val="both"/>
      </w:pPr>
      <w:r>
        <w:rPr>
          <w:spacing w:val="-2"/>
        </w:rPr>
        <w:t>Ⅲ级：心脏病病人体力活动明显受限，低于平时一般活动即引起心衰症状。 Ⅳ级：心脏病病人不能从事任何体力活动，休息状态下也存在心衰症状，活</w:t>
      </w:r>
      <w:r>
        <w:rPr>
          <w:spacing w:val="-2"/>
        </w:rPr>
        <w:t>动后加重。</w:t>
      </w:r>
    </w:p>
    <w:p>
      <w:pPr>
        <w:spacing w:after="0" w:line="278" w:lineRule="auto"/>
        <w:jc w:val="both"/>
        <w:sectPr>
          <w:type w:val="continuous"/>
          <w:pgSz w:w="11910" w:h="16840"/>
          <w:pgMar w:top="460" w:bottom="280" w:left="680" w:right="460"/>
          <w:cols w:num="2" w:equalWidth="0">
            <w:col w:w="3090" w:space="40"/>
            <w:col w:w="7640"/>
          </w:cols>
        </w:sectPr>
      </w:pPr>
    </w:p>
    <w:p>
      <w:pPr>
        <w:pStyle w:val="BodyText"/>
        <w:spacing w:before="9"/>
        <w:rPr>
          <w:sz w:val="18"/>
        </w:rPr>
      </w:pPr>
    </w:p>
    <w:p>
      <w:pPr>
        <w:spacing w:after="0"/>
        <w:rPr>
          <w:sz w:val="18"/>
        </w:rPr>
        <w:sectPr>
          <w:type w:val="continuous"/>
          <w:pgSz w:w="11910" w:h="16840"/>
          <w:pgMar w:top="460" w:bottom="280" w:left="680" w:right="460"/>
        </w:sectPr>
      </w:pPr>
    </w:p>
    <w:p>
      <w:pPr>
        <w:pStyle w:val="Heading2"/>
        <w:numPr>
          <w:ilvl w:val="1"/>
          <w:numId w:val="51"/>
        </w:numPr>
        <w:tabs>
          <w:tab w:pos="1713" w:val="left" w:leader="none"/>
          <w:tab w:pos="1714" w:val="left" w:leader="none"/>
        </w:tabs>
        <w:spacing w:line="278" w:lineRule="auto" w:before="71" w:after="0"/>
        <w:ind w:left="1713" w:right="0" w:hanging="1138"/>
        <w:jc w:val="left"/>
        <w:rPr>
          <w:rFonts w:ascii="宋体" w:eastAsia="宋体" w:hint="eastAsia"/>
        </w:rPr>
      </w:pPr>
      <w:r>
        <w:rPr>
          <w:rFonts w:ascii="宋体" w:eastAsia="宋体" w:hint="eastAsia"/>
          <w:spacing w:val="-2"/>
        </w:rPr>
        <w:t>语言能力完全</w:t>
      </w:r>
      <w:r>
        <w:rPr>
          <w:rFonts w:ascii="宋体" w:eastAsia="宋体" w:hint="eastAsia"/>
          <w:spacing w:val="-6"/>
        </w:rPr>
        <w:t>丧失</w:t>
      </w:r>
    </w:p>
    <w:p>
      <w:pPr>
        <w:pStyle w:val="BodyText"/>
        <w:spacing w:line="278" w:lineRule="auto" w:before="71"/>
        <w:ind w:left="265" w:right="560"/>
        <w:jc w:val="both"/>
      </w:pPr>
      <w:r>
        <w:rPr/>
        <w:br w:type="column"/>
      </w:r>
      <w:r>
        <w:rPr>
          <w:spacing w:val="-2"/>
        </w:rPr>
        <w:t>语言能力完全丧失，指无法发出四种语音（包括口唇音、齿舌音、口盖音和</w:t>
      </w:r>
      <w:r>
        <w:rPr>
          <w:spacing w:val="-2"/>
        </w:rPr>
        <w:t>喉头音）中的任何三种、或声带全部切除，或因大脑语言中枢受伤害而患失</w:t>
      </w:r>
      <w:r>
        <w:rPr>
          <w:spacing w:val="-4"/>
        </w:rPr>
        <w:t>语症。</w:t>
      </w:r>
    </w:p>
    <w:p>
      <w:pPr>
        <w:spacing w:after="0" w:line="278" w:lineRule="auto"/>
        <w:jc w:val="both"/>
        <w:sectPr>
          <w:type w:val="continuous"/>
          <w:pgSz w:w="11910" w:h="16840"/>
          <w:pgMar w:top="460" w:bottom="280" w:left="680" w:right="460"/>
          <w:cols w:num="2" w:equalWidth="0">
            <w:col w:w="2981" w:space="40"/>
            <w:col w:w="7749"/>
          </w:cols>
        </w:sectPr>
      </w:pPr>
    </w:p>
    <w:p>
      <w:pPr>
        <w:pStyle w:val="BodyText"/>
        <w:spacing w:before="10"/>
        <w:rPr>
          <w:sz w:val="18"/>
        </w:rPr>
      </w:pPr>
    </w:p>
    <w:p>
      <w:pPr>
        <w:spacing w:after="0"/>
        <w:rPr>
          <w:sz w:val="18"/>
        </w:rPr>
        <w:sectPr>
          <w:type w:val="continuous"/>
          <w:pgSz w:w="11910" w:h="16840"/>
          <w:pgMar w:top="460" w:bottom="280" w:left="680" w:right="460"/>
        </w:sectPr>
      </w:pPr>
    </w:p>
    <w:p>
      <w:pPr>
        <w:pStyle w:val="Heading2"/>
        <w:numPr>
          <w:ilvl w:val="1"/>
          <w:numId w:val="51"/>
        </w:numPr>
        <w:tabs>
          <w:tab w:pos="1713" w:val="left" w:leader="none"/>
          <w:tab w:pos="1714" w:val="left" w:leader="none"/>
        </w:tabs>
        <w:spacing w:line="278" w:lineRule="auto" w:before="72" w:after="0"/>
        <w:ind w:left="1713" w:right="0" w:hanging="1138"/>
        <w:jc w:val="left"/>
        <w:rPr>
          <w:rFonts w:ascii="宋体" w:eastAsia="宋体" w:hint="eastAsia"/>
        </w:rPr>
      </w:pPr>
      <w:r>
        <w:rPr>
          <w:rFonts w:ascii="宋体" w:eastAsia="宋体" w:hint="eastAsia"/>
          <w:spacing w:val="-2"/>
        </w:rPr>
        <w:t>严重咀嚼吞咽</w:t>
      </w:r>
      <w:r>
        <w:rPr>
          <w:rFonts w:ascii="宋体" w:eastAsia="宋体" w:hint="eastAsia"/>
          <w:spacing w:val="-4"/>
        </w:rPr>
        <w:t>功能障碍</w:t>
      </w:r>
    </w:p>
    <w:p>
      <w:pPr>
        <w:pStyle w:val="BodyText"/>
        <w:spacing w:line="278" w:lineRule="auto" w:before="72"/>
        <w:ind w:left="265" w:right="560"/>
      </w:pPr>
      <w:r>
        <w:rPr/>
        <w:br w:type="column"/>
      </w:r>
      <w:r>
        <w:rPr>
          <w:spacing w:val="-2"/>
        </w:rPr>
        <w:t>严重咀嚼吞咽功能障碍，指因牙齿以外的原因导致器质障碍或机能障碍，以</w:t>
      </w:r>
      <w:r>
        <w:rPr>
          <w:spacing w:val="-2"/>
        </w:rPr>
        <w:t>致不能作咀嚼吞咽运动，除流质食物外不能摄取或吞咽的状态。</w:t>
      </w:r>
    </w:p>
    <w:sectPr>
      <w:type w:val="continuous"/>
      <w:pgSz w:w="11910" w:h="16840"/>
      <w:pgMar w:top="460" w:bottom="280" w:left="680" w:right="460"/>
      <w:cols w:num="2" w:equalWidth="0">
        <w:col w:w="2981" w:space="40"/>
        <w:col w:w="7749"/>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仿宋">
    <w:altName w:val="仿宋"/>
    <w:charset w:val="86"/>
    <w:family w:val="modern"/>
    <w:pitch w:val="fixed"/>
  </w:font>
  <w:font w:name="华文新魏">
    <w:altName w:val="华文新魏"/>
    <w:charset w:val="86"/>
    <w:family w:val="auto"/>
    <w:pitch w:val="variable"/>
  </w:font>
  <w:font w:name="Wingdings 2">
    <w:altName w:val="Wingdings 2"/>
    <w:charset w:val="2"/>
    <w:family w:val="roman"/>
    <w:pitch w:val="variable"/>
  </w:font>
  <w:font w:name="楷体">
    <w:altName w:val="楷体"/>
    <w:charset w:val="86"/>
    <w:family w:val="modern"/>
    <w:pitch w:val="fixed"/>
  </w:font>
  <w:font w:name="黑体">
    <w:altName w:val="黑体"/>
    <w:charset w:val="86"/>
    <w:family w:val="modern"/>
    <w:pitch w:val="fixed"/>
  </w:font>
  <w:font w:name="Dotum">
    <w:altName w:val="Dotum"/>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0">
    <w:multiLevelType w:val="hybridMultilevel"/>
    <w:lvl w:ilvl="0">
      <w:start w:val="9"/>
      <w:numFmt w:val="decimal"/>
      <w:lvlText w:val="%1"/>
      <w:lvlJc w:val="left"/>
      <w:pPr>
        <w:ind w:left="3285" w:hanging="1138"/>
        <w:jc w:val="left"/>
      </w:pPr>
      <w:rPr>
        <w:rFonts w:hint="default"/>
        <w:lang w:val="en-US" w:eastAsia="zh-CN" w:bidi="ar-SA"/>
      </w:rPr>
    </w:lvl>
    <w:lvl w:ilvl="1">
      <w:start w:val="32"/>
      <w:numFmt w:val="decimal"/>
      <w:lvlText w:val="%1.%2"/>
      <w:lvlJc w:val="left"/>
      <w:pPr>
        <w:ind w:left="3285" w:hanging="113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777" w:hanging="1138"/>
      </w:pPr>
      <w:rPr>
        <w:rFonts w:hint="default"/>
        <w:lang w:val="en-US" w:eastAsia="zh-CN" w:bidi="ar-SA"/>
      </w:rPr>
    </w:lvl>
    <w:lvl w:ilvl="3">
      <w:start w:val="0"/>
      <w:numFmt w:val="bullet"/>
      <w:lvlText w:val="•"/>
      <w:lvlJc w:val="left"/>
      <w:pPr>
        <w:ind w:left="5525" w:hanging="1138"/>
      </w:pPr>
      <w:rPr>
        <w:rFonts w:hint="default"/>
        <w:lang w:val="en-US" w:eastAsia="zh-CN" w:bidi="ar-SA"/>
      </w:rPr>
    </w:lvl>
    <w:lvl w:ilvl="4">
      <w:start w:val="0"/>
      <w:numFmt w:val="bullet"/>
      <w:lvlText w:val="•"/>
      <w:lvlJc w:val="left"/>
      <w:pPr>
        <w:ind w:left="6274" w:hanging="1138"/>
      </w:pPr>
      <w:rPr>
        <w:rFonts w:hint="default"/>
        <w:lang w:val="en-US" w:eastAsia="zh-CN" w:bidi="ar-SA"/>
      </w:rPr>
    </w:lvl>
    <w:lvl w:ilvl="5">
      <w:start w:val="0"/>
      <w:numFmt w:val="bullet"/>
      <w:lvlText w:val="•"/>
      <w:lvlJc w:val="left"/>
      <w:pPr>
        <w:ind w:left="7023" w:hanging="1138"/>
      </w:pPr>
      <w:rPr>
        <w:rFonts w:hint="default"/>
        <w:lang w:val="en-US" w:eastAsia="zh-CN" w:bidi="ar-SA"/>
      </w:rPr>
    </w:lvl>
    <w:lvl w:ilvl="6">
      <w:start w:val="0"/>
      <w:numFmt w:val="bullet"/>
      <w:lvlText w:val="•"/>
      <w:lvlJc w:val="left"/>
      <w:pPr>
        <w:ind w:left="7771" w:hanging="1138"/>
      </w:pPr>
      <w:rPr>
        <w:rFonts w:hint="default"/>
        <w:lang w:val="en-US" w:eastAsia="zh-CN" w:bidi="ar-SA"/>
      </w:rPr>
    </w:lvl>
    <w:lvl w:ilvl="7">
      <w:start w:val="0"/>
      <w:numFmt w:val="bullet"/>
      <w:lvlText w:val="•"/>
      <w:lvlJc w:val="left"/>
      <w:pPr>
        <w:ind w:left="8520" w:hanging="1138"/>
      </w:pPr>
      <w:rPr>
        <w:rFonts w:hint="default"/>
        <w:lang w:val="en-US" w:eastAsia="zh-CN" w:bidi="ar-SA"/>
      </w:rPr>
    </w:lvl>
    <w:lvl w:ilvl="8">
      <w:start w:val="0"/>
      <w:numFmt w:val="bullet"/>
      <w:lvlText w:val="•"/>
      <w:lvlJc w:val="left"/>
      <w:pPr>
        <w:ind w:left="9269" w:hanging="1138"/>
      </w:pPr>
      <w:rPr>
        <w:rFonts w:hint="default"/>
        <w:lang w:val="en-US" w:eastAsia="zh-CN" w:bidi="ar-SA"/>
      </w:rPr>
    </w:lvl>
  </w:abstractNum>
  <w:abstractNum w:abstractNumId="49">
    <w:multiLevelType w:val="hybridMultilevel"/>
    <w:lvl w:ilvl="0">
      <w:start w:val="1"/>
      <w:numFmt w:val="decimal"/>
      <w:lvlText w:val="（%1）"/>
      <w:lvlJc w:val="left"/>
      <w:pPr>
        <w:ind w:left="794"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814"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4256" w:hanging="529"/>
      </w:pPr>
      <w:rPr>
        <w:rFonts w:hint="default"/>
        <w:lang w:val="en-US" w:eastAsia="zh-CN" w:bidi="ar-SA"/>
      </w:rPr>
    </w:lvl>
    <w:lvl w:ilvl="3">
      <w:start w:val="0"/>
      <w:numFmt w:val="bullet"/>
      <w:lvlText w:val="•"/>
      <w:lvlJc w:val="left"/>
      <w:pPr>
        <w:ind w:left="4692" w:hanging="529"/>
      </w:pPr>
      <w:rPr>
        <w:rFonts w:hint="default"/>
        <w:lang w:val="en-US" w:eastAsia="zh-CN" w:bidi="ar-SA"/>
      </w:rPr>
    </w:lvl>
    <w:lvl w:ilvl="4">
      <w:start w:val="0"/>
      <w:numFmt w:val="bullet"/>
      <w:lvlText w:val="•"/>
      <w:lvlJc w:val="left"/>
      <w:pPr>
        <w:ind w:left="5128" w:hanging="529"/>
      </w:pPr>
      <w:rPr>
        <w:rFonts w:hint="default"/>
        <w:lang w:val="en-US" w:eastAsia="zh-CN" w:bidi="ar-SA"/>
      </w:rPr>
    </w:lvl>
    <w:lvl w:ilvl="5">
      <w:start w:val="0"/>
      <w:numFmt w:val="bullet"/>
      <w:lvlText w:val="•"/>
      <w:lvlJc w:val="left"/>
      <w:pPr>
        <w:ind w:left="5564" w:hanging="529"/>
      </w:pPr>
      <w:rPr>
        <w:rFonts w:hint="default"/>
        <w:lang w:val="en-US" w:eastAsia="zh-CN" w:bidi="ar-SA"/>
      </w:rPr>
    </w:lvl>
    <w:lvl w:ilvl="6">
      <w:start w:val="0"/>
      <w:numFmt w:val="bullet"/>
      <w:lvlText w:val="•"/>
      <w:lvlJc w:val="left"/>
      <w:pPr>
        <w:ind w:left="6001" w:hanging="529"/>
      </w:pPr>
      <w:rPr>
        <w:rFonts w:hint="default"/>
        <w:lang w:val="en-US" w:eastAsia="zh-CN" w:bidi="ar-SA"/>
      </w:rPr>
    </w:lvl>
    <w:lvl w:ilvl="7">
      <w:start w:val="0"/>
      <w:numFmt w:val="bullet"/>
      <w:lvlText w:val="•"/>
      <w:lvlJc w:val="left"/>
      <w:pPr>
        <w:ind w:left="6437" w:hanging="529"/>
      </w:pPr>
      <w:rPr>
        <w:rFonts w:hint="default"/>
        <w:lang w:val="en-US" w:eastAsia="zh-CN" w:bidi="ar-SA"/>
      </w:rPr>
    </w:lvl>
    <w:lvl w:ilvl="8">
      <w:start w:val="0"/>
      <w:numFmt w:val="bullet"/>
      <w:lvlText w:val="•"/>
      <w:lvlJc w:val="left"/>
      <w:pPr>
        <w:ind w:left="6873" w:hanging="529"/>
      </w:pPr>
      <w:rPr>
        <w:rFonts w:hint="default"/>
        <w:lang w:val="en-US" w:eastAsia="zh-CN" w:bidi="ar-SA"/>
      </w:rPr>
    </w:lvl>
  </w:abstractNum>
  <w:abstractNum w:abstractNumId="48">
    <w:multiLevelType w:val="hybridMultilevel"/>
    <w:lvl w:ilvl="0">
      <w:start w:val="1"/>
      <w:numFmt w:val="decimal"/>
      <w:lvlText w:val="（%1）"/>
      <w:lvlJc w:val="left"/>
      <w:pPr>
        <w:ind w:left="815" w:hanging="55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12" w:hanging="550"/>
      </w:pPr>
      <w:rPr>
        <w:rFonts w:hint="default"/>
        <w:lang w:val="en-US" w:eastAsia="zh-CN" w:bidi="ar-SA"/>
      </w:rPr>
    </w:lvl>
    <w:lvl w:ilvl="2">
      <w:start w:val="0"/>
      <w:numFmt w:val="bullet"/>
      <w:lvlText w:val="•"/>
      <w:lvlJc w:val="left"/>
      <w:pPr>
        <w:ind w:left="2205" w:hanging="550"/>
      </w:pPr>
      <w:rPr>
        <w:rFonts w:hint="default"/>
        <w:lang w:val="en-US" w:eastAsia="zh-CN" w:bidi="ar-SA"/>
      </w:rPr>
    </w:lvl>
    <w:lvl w:ilvl="3">
      <w:start w:val="0"/>
      <w:numFmt w:val="bullet"/>
      <w:lvlText w:val="•"/>
      <w:lvlJc w:val="left"/>
      <w:pPr>
        <w:ind w:left="2897" w:hanging="550"/>
      </w:pPr>
      <w:rPr>
        <w:rFonts w:hint="default"/>
        <w:lang w:val="en-US" w:eastAsia="zh-CN" w:bidi="ar-SA"/>
      </w:rPr>
    </w:lvl>
    <w:lvl w:ilvl="4">
      <w:start w:val="0"/>
      <w:numFmt w:val="bullet"/>
      <w:lvlText w:val="•"/>
      <w:lvlJc w:val="left"/>
      <w:pPr>
        <w:ind w:left="3590" w:hanging="550"/>
      </w:pPr>
      <w:rPr>
        <w:rFonts w:hint="default"/>
        <w:lang w:val="en-US" w:eastAsia="zh-CN" w:bidi="ar-SA"/>
      </w:rPr>
    </w:lvl>
    <w:lvl w:ilvl="5">
      <w:start w:val="0"/>
      <w:numFmt w:val="bullet"/>
      <w:lvlText w:val="•"/>
      <w:lvlJc w:val="left"/>
      <w:pPr>
        <w:ind w:left="4283" w:hanging="550"/>
      </w:pPr>
      <w:rPr>
        <w:rFonts w:hint="default"/>
        <w:lang w:val="en-US" w:eastAsia="zh-CN" w:bidi="ar-SA"/>
      </w:rPr>
    </w:lvl>
    <w:lvl w:ilvl="6">
      <w:start w:val="0"/>
      <w:numFmt w:val="bullet"/>
      <w:lvlText w:val="•"/>
      <w:lvlJc w:val="left"/>
      <w:pPr>
        <w:ind w:left="4975" w:hanging="550"/>
      </w:pPr>
      <w:rPr>
        <w:rFonts w:hint="default"/>
        <w:lang w:val="en-US" w:eastAsia="zh-CN" w:bidi="ar-SA"/>
      </w:rPr>
    </w:lvl>
    <w:lvl w:ilvl="7">
      <w:start w:val="0"/>
      <w:numFmt w:val="bullet"/>
      <w:lvlText w:val="•"/>
      <w:lvlJc w:val="left"/>
      <w:pPr>
        <w:ind w:left="5668" w:hanging="550"/>
      </w:pPr>
      <w:rPr>
        <w:rFonts w:hint="default"/>
        <w:lang w:val="en-US" w:eastAsia="zh-CN" w:bidi="ar-SA"/>
      </w:rPr>
    </w:lvl>
    <w:lvl w:ilvl="8">
      <w:start w:val="0"/>
      <w:numFmt w:val="bullet"/>
      <w:lvlText w:val="•"/>
      <w:lvlJc w:val="left"/>
      <w:pPr>
        <w:ind w:left="6360" w:hanging="550"/>
      </w:pPr>
      <w:rPr>
        <w:rFonts w:hint="default"/>
        <w:lang w:val="en-US" w:eastAsia="zh-CN" w:bidi="ar-SA"/>
      </w:rPr>
    </w:lvl>
  </w:abstractNum>
  <w:abstractNum w:abstractNumId="47">
    <w:multiLevelType w:val="hybridMultilevel"/>
    <w:lvl w:ilvl="0">
      <w:start w:val="9"/>
      <w:numFmt w:val="decimal"/>
      <w:lvlText w:val="%1"/>
      <w:lvlJc w:val="left"/>
      <w:pPr>
        <w:ind w:left="1713" w:hanging="1138"/>
        <w:jc w:val="left"/>
      </w:pPr>
      <w:rPr>
        <w:rFonts w:hint="default"/>
        <w:lang w:val="en-US" w:eastAsia="zh-CN" w:bidi="ar-SA"/>
      </w:rPr>
    </w:lvl>
    <w:lvl w:ilvl="1">
      <w:start w:val="15"/>
      <w:numFmt w:val="decimal"/>
      <w:lvlText w:val="%1.%2"/>
      <w:lvlJc w:val="left"/>
      <w:pPr>
        <w:ind w:left="1713" w:hanging="1138"/>
        <w:jc w:val="left"/>
      </w:pPr>
      <w:rPr>
        <w:rFonts w:hint="default"/>
        <w:lang w:val="en-US" w:eastAsia="zh-CN" w:bidi="ar-SA"/>
      </w:rPr>
    </w:lvl>
    <w:lvl w:ilvl="2">
      <w:start w:val="6"/>
      <w:numFmt w:val="decimal"/>
      <w:lvlText w:val="%1.%2.%3"/>
      <w:lvlJc w:val="left"/>
      <w:pPr>
        <w:ind w:left="1713" w:hanging="1138"/>
        <w:jc w:val="left"/>
      </w:pPr>
      <w:rPr>
        <w:rFonts w:hint="default" w:ascii="宋体" w:hAnsi="宋体" w:eastAsia="宋体" w:cs="宋体"/>
        <w:b/>
        <w:bCs/>
        <w:i w:val="0"/>
        <w:iCs w:val="0"/>
        <w:w w:val="99"/>
        <w:sz w:val="21"/>
        <w:szCs w:val="21"/>
        <w:lang w:val="en-US" w:eastAsia="zh-CN" w:bidi="ar-SA"/>
      </w:rPr>
    </w:lvl>
    <w:lvl w:ilvl="3">
      <w:start w:val="0"/>
      <w:numFmt w:val="bullet"/>
      <w:lvlText w:val="•"/>
      <w:lvlJc w:val="left"/>
      <w:pPr>
        <w:ind w:left="4433" w:hanging="1138"/>
      </w:pPr>
      <w:rPr>
        <w:rFonts w:hint="default"/>
        <w:lang w:val="en-US" w:eastAsia="zh-CN" w:bidi="ar-SA"/>
      </w:rPr>
    </w:lvl>
    <w:lvl w:ilvl="4">
      <w:start w:val="0"/>
      <w:numFmt w:val="bullet"/>
      <w:lvlText w:val="•"/>
      <w:lvlJc w:val="left"/>
      <w:pPr>
        <w:ind w:left="5338" w:hanging="1138"/>
      </w:pPr>
      <w:rPr>
        <w:rFonts w:hint="default"/>
        <w:lang w:val="en-US" w:eastAsia="zh-CN" w:bidi="ar-SA"/>
      </w:rPr>
    </w:lvl>
    <w:lvl w:ilvl="5">
      <w:start w:val="0"/>
      <w:numFmt w:val="bullet"/>
      <w:lvlText w:val="•"/>
      <w:lvlJc w:val="left"/>
      <w:pPr>
        <w:ind w:left="6243" w:hanging="1138"/>
      </w:pPr>
      <w:rPr>
        <w:rFonts w:hint="default"/>
        <w:lang w:val="en-US" w:eastAsia="zh-CN" w:bidi="ar-SA"/>
      </w:rPr>
    </w:lvl>
    <w:lvl w:ilvl="6">
      <w:start w:val="0"/>
      <w:numFmt w:val="bullet"/>
      <w:lvlText w:val="•"/>
      <w:lvlJc w:val="left"/>
      <w:pPr>
        <w:ind w:left="7147" w:hanging="1138"/>
      </w:pPr>
      <w:rPr>
        <w:rFonts w:hint="default"/>
        <w:lang w:val="en-US" w:eastAsia="zh-CN" w:bidi="ar-SA"/>
      </w:rPr>
    </w:lvl>
    <w:lvl w:ilvl="7">
      <w:start w:val="0"/>
      <w:numFmt w:val="bullet"/>
      <w:lvlText w:val="•"/>
      <w:lvlJc w:val="left"/>
      <w:pPr>
        <w:ind w:left="8052" w:hanging="1138"/>
      </w:pPr>
      <w:rPr>
        <w:rFonts w:hint="default"/>
        <w:lang w:val="en-US" w:eastAsia="zh-CN" w:bidi="ar-SA"/>
      </w:rPr>
    </w:lvl>
    <w:lvl w:ilvl="8">
      <w:start w:val="0"/>
      <w:numFmt w:val="bullet"/>
      <w:lvlText w:val="•"/>
      <w:lvlJc w:val="left"/>
      <w:pPr>
        <w:ind w:left="8957" w:hanging="1138"/>
      </w:pPr>
      <w:rPr>
        <w:rFonts w:hint="default"/>
        <w:lang w:val="en-US" w:eastAsia="zh-CN" w:bidi="ar-SA"/>
      </w:rPr>
    </w:lvl>
  </w:abstractNum>
  <w:abstractNum w:abstractNumId="46">
    <w:multiLevelType w:val="hybridMultilevel"/>
    <w:lvl w:ilvl="0">
      <w:start w:val="1"/>
      <w:numFmt w:val="decimal"/>
      <w:lvlText w:val="（%1）"/>
      <w:lvlJc w:val="left"/>
      <w:pPr>
        <w:ind w:left="264" w:hanging="55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008" w:hanging="550"/>
      </w:pPr>
      <w:rPr>
        <w:rFonts w:hint="default"/>
        <w:lang w:val="en-US" w:eastAsia="zh-CN" w:bidi="ar-SA"/>
      </w:rPr>
    </w:lvl>
    <w:lvl w:ilvl="2">
      <w:start w:val="0"/>
      <w:numFmt w:val="bullet"/>
      <w:lvlText w:val="•"/>
      <w:lvlJc w:val="left"/>
      <w:pPr>
        <w:ind w:left="1757" w:hanging="550"/>
      </w:pPr>
      <w:rPr>
        <w:rFonts w:hint="default"/>
        <w:lang w:val="en-US" w:eastAsia="zh-CN" w:bidi="ar-SA"/>
      </w:rPr>
    </w:lvl>
    <w:lvl w:ilvl="3">
      <w:start w:val="0"/>
      <w:numFmt w:val="bullet"/>
      <w:lvlText w:val="•"/>
      <w:lvlJc w:val="left"/>
      <w:pPr>
        <w:ind w:left="2505" w:hanging="550"/>
      </w:pPr>
      <w:rPr>
        <w:rFonts w:hint="default"/>
        <w:lang w:val="en-US" w:eastAsia="zh-CN" w:bidi="ar-SA"/>
      </w:rPr>
    </w:lvl>
    <w:lvl w:ilvl="4">
      <w:start w:val="0"/>
      <w:numFmt w:val="bullet"/>
      <w:lvlText w:val="•"/>
      <w:lvlJc w:val="left"/>
      <w:pPr>
        <w:ind w:left="3254" w:hanging="550"/>
      </w:pPr>
      <w:rPr>
        <w:rFonts w:hint="default"/>
        <w:lang w:val="en-US" w:eastAsia="zh-CN" w:bidi="ar-SA"/>
      </w:rPr>
    </w:lvl>
    <w:lvl w:ilvl="5">
      <w:start w:val="0"/>
      <w:numFmt w:val="bullet"/>
      <w:lvlText w:val="•"/>
      <w:lvlJc w:val="left"/>
      <w:pPr>
        <w:ind w:left="4002" w:hanging="550"/>
      </w:pPr>
      <w:rPr>
        <w:rFonts w:hint="default"/>
        <w:lang w:val="en-US" w:eastAsia="zh-CN" w:bidi="ar-SA"/>
      </w:rPr>
    </w:lvl>
    <w:lvl w:ilvl="6">
      <w:start w:val="0"/>
      <w:numFmt w:val="bullet"/>
      <w:lvlText w:val="•"/>
      <w:lvlJc w:val="left"/>
      <w:pPr>
        <w:ind w:left="4751" w:hanging="550"/>
      </w:pPr>
      <w:rPr>
        <w:rFonts w:hint="default"/>
        <w:lang w:val="en-US" w:eastAsia="zh-CN" w:bidi="ar-SA"/>
      </w:rPr>
    </w:lvl>
    <w:lvl w:ilvl="7">
      <w:start w:val="0"/>
      <w:numFmt w:val="bullet"/>
      <w:lvlText w:val="•"/>
      <w:lvlJc w:val="left"/>
      <w:pPr>
        <w:ind w:left="5499" w:hanging="550"/>
      </w:pPr>
      <w:rPr>
        <w:rFonts w:hint="default"/>
        <w:lang w:val="en-US" w:eastAsia="zh-CN" w:bidi="ar-SA"/>
      </w:rPr>
    </w:lvl>
    <w:lvl w:ilvl="8">
      <w:start w:val="0"/>
      <w:numFmt w:val="bullet"/>
      <w:lvlText w:val="•"/>
      <w:lvlJc w:val="left"/>
      <w:pPr>
        <w:ind w:left="6248" w:hanging="550"/>
      </w:pPr>
      <w:rPr>
        <w:rFonts w:hint="default"/>
        <w:lang w:val="en-US" w:eastAsia="zh-CN" w:bidi="ar-SA"/>
      </w:rPr>
    </w:lvl>
  </w:abstractNum>
  <w:abstractNum w:abstractNumId="45">
    <w:multiLevelType w:val="hybridMultilevel"/>
    <w:lvl w:ilvl="0">
      <w:start w:val="1"/>
      <w:numFmt w:val="decimal"/>
      <w:lvlText w:val="（%1）"/>
      <w:lvlJc w:val="left"/>
      <w:pPr>
        <w:ind w:left="381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514" w:hanging="529"/>
      </w:pPr>
      <w:rPr>
        <w:rFonts w:hint="default"/>
        <w:lang w:val="en-US" w:eastAsia="zh-CN" w:bidi="ar-SA"/>
      </w:rPr>
    </w:lvl>
    <w:lvl w:ilvl="2">
      <w:start w:val="0"/>
      <w:numFmt w:val="bullet"/>
      <w:lvlText w:val="•"/>
      <w:lvlJc w:val="left"/>
      <w:pPr>
        <w:ind w:left="5209" w:hanging="529"/>
      </w:pPr>
      <w:rPr>
        <w:rFonts w:hint="default"/>
        <w:lang w:val="en-US" w:eastAsia="zh-CN" w:bidi="ar-SA"/>
      </w:rPr>
    </w:lvl>
    <w:lvl w:ilvl="3">
      <w:start w:val="0"/>
      <w:numFmt w:val="bullet"/>
      <w:lvlText w:val="•"/>
      <w:lvlJc w:val="left"/>
      <w:pPr>
        <w:ind w:left="5903" w:hanging="529"/>
      </w:pPr>
      <w:rPr>
        <w:rFonts w:hint="default"/>
        <w:lang w:val="en-US" w:eastAsia="zh-CN" w:bidi="ar-SA"/>
      </w:rPr>
    </w:lvl>
    <w:lvl w:ilvl="4">
      <w:start w:val="0"/>
      <w:numFmt w:val="bullet"/>
      <w:lvlText w:val="•"/>
      <w:lvlJc w:val="left"/>
      <w:pPr>
        <w:ind w:left="6598" w:hanging="529"/>
      </w:pPr>
      <w:rPr>
        <w:rFonts w:hint="default"/>
        <w:lang w:val="en-US" w:eastAsia="zh-CN" w:bidi="ar-SA"/>
      </w:rPr>
    </w:lvl>
    <w:lvl w:ilvl="5">
      <w:start w:val="0"/>
      <w:numFmt w:val="bullet"/>
      <w:lvlText w:val="•"/>
      <w:lvlJc w:val="left"/>
      <w:pPr>
        <w:ind w:left="7293" w:hanging="529"/>
      </w:pPr>
      <w:rPr>
        <w:rFonts w:hint="default"/>
        <w:lang w:val="en-US" w:eastAsia="zh-CN" w:bidi="ar-SA"/>
      </w:rPr>
    </w:lvl>
    <w:lvl w:ilvl="6">
      <w:start w:val="0"/>
      <w:numFmt w:val="bullet"/>
      <w:lvlText w:val="•"/>
      <w:lvlJc w:val="left"/>
      <w:pPr>
        <w:ind w:left="7987" w:hanging="529"/>
      </w:pPr>
      <w:rPr>
        <w:rFonts w:hint="default"/>
        <w:lang w:val="en-US" w:eastAsia="zh-CN" w:bidi="ar-SA"/>
      </w:rPr>
    </w:lvl>
    <w:lvl w:ilvl="7">
      <w:start w:val="0"/>
      <w:numFmt w:val="bullet"/>
      <w:lvlText w:val="•"/>
      <w:lvlJc w:val="left"/>
      <w:pPr>
        <w:ind w:left="8682" w:hanging="529"/>
      </w:pPr>
      <w:rPr>
        <w:rFonts w:hint="default"/>
        <w:lang w:val="en-US" w:eastAsia="zh-CN" w:bidi="ar-SA"/>
      </w:rPr>
    </w:lvl>
    <w:lvl w:ilvl="8">
      <w:start w:val="0"/>
      <w:numFmt w:val="bullet"/>
      <w:lvlText w:val="•"/>
      <w:lvlJc w:val="left"/>
      <w:pPr>
        <w:ind w:left="9377" w:hanging="529"/>
      </w:pPr>
      <w:rPr>
        <w:rFonts w:hint="default"/>
        <w:lang w:val="en-US" w:eastAsia="zh-CN" w:bidi="ar-SA"/>
      </w:rPr>
    </w:lvl>
  </w:abstractNum>
  <w:abstractNum w:abstractNumId="44">
    <w:multiLevelType w:val="hybridMultilevel"/>
    <w:lvl w:ilvl="0">
      <w:start w:val="1"/>
      <w:numFmt w:val="decimal"/>
      <w:lvlText w:val="（%1）"/>
      <w:lvlJc w:val="left"/>
      <w:pPr>
        <w:ind w:left="7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29"/>
      </w:pPr>
      <w:rPr>
        <w:rFonts w:hint="default"/>
        <w:lang w:val="en-US" w:eastAsia="zh-CN" w:bidi="ar-SA"/>
      </w:rPr>
    </w:lvl>
    <w:lvl w:ilvl="2">
      <w:start w:val="0"/>
      <w:numFmt w:val="bullet"/>
      <w:lvlText w:val="•"/>
      <w:lvlJc w:val="left"/>
      <w:pPr>
        <w:ind w:left="2189" w:hanging="529"/>
      </w:pPr>
      <w:rPr>
        <w:rFonts w:hint="default"/>
        <w:lang w:val="en-US" w:eastAsia="zh-CN" w:bidi="ar-SA"/>
      </w:rPr>
    </w:lvl>
    <w:lvl w:ilvl="3">
      <w:start w:val="0"/>
      <w:numFmt w:val="bullet"/>
      <w:lvlText w:val="•"/>
      <w:lvlJc w:val="left"/>
      <w:pPr>
        <w:ind w:left="2883" w:hanging="529"/>
      </w:pPr>
      <w:rPr>
        <w:rFonts w:hint="default"/>
        <w:lang w:val="en-US" w:eastAsia="zh-CN" w:bidi="ar-SA"/>
      </w:rPr>
    </w:lvl>
    <w:lvl w:ilvl="4">
      <w:start w:val="0"/>
      <w:numFmt w:val="bullet"/>
      <w:lvlText w:val="•"/>
      <w:lvlJc w:val="left"/>
      <w:pPr>
        <w:ind w:left="3578" w:hanging="529"/>
      </w:pPr>
      <w:rPr>
        <w:rFonts w:hint="default"/>
        <w:lang w:val="en-US" w:eastAsia="zh-CN" w:bidi="ar-SA"/>
      </w:rPr>
    </w:lvl>
    <w:lvl w:ilvl="5">
      <w:start w:val="0"/>
      <w:numFmt w:val="bullet"/>
      <w:lvlText w:val="•"/>
      <w:lvlJc w:val="left"/>
      <w:pPr>
        <w:ind w:left="4273" w:hanging="529"/>
      </w:pPr>
      <w:rPr>
        <w:rFonts w:hint="default"/>
        <w:lang w:val="en-US" w:eastAsia="zh-CN" w:bidi="ar-SA"/>
      </w:rPr>
    </w:lvl>
    <w:lvl w:ilvl="6">
      <w:start w:val="0"/>
      <w:numFmt w:val="bullet"/>
      <w:lvlText w:val="•"/>
      <w:lvlJc w:val="left"/>
      <w:pPr>
        <w:ind w:left="4967" w:hanging="529"/>
      </w:pPr>
      <w:rPr>
        <w:rFonts w:hint="default"/>
        <w:lang w:val="en-US" w:eastAsia="zh-CN" w:bidi="ar-SA"/>
      </w:rPr>
    </w:lvl>
    <w:lvl w:ilvl="7">
      <w:start w:val="0"/>
      <w:numFmt w:val="bullet"/>
      <w:lvlText w:val="•"/>
      <w:lvlJc w:val="left"/>
      <w:pPr>
        <w:ind w:left="5662" w:hanging="529"/>
      </w:pPr>
      <w:rPr>
        <w:rFonts w:hint="default"/>
        <w:lang w:val="en-US" w:eastAsia="zh-CN" w:bidi="ar-SA"/>
      </w:rPr>
    </w:lvl>
    <w:lvl w:ilvl="8">
      <w:start w:val="0"/>
      <w:numFmt w:val="bullet"/>
      <w:lvlText w:val="•"/>
      <w:lvlJc w:val="left"/>
      <w:pPr>
        <w:ind w:left="6356" w:hanging="529"/>
      </w:pPr>
      <w:rPr>
        <w:rFonts w:hint="default"/>
        <w:lang w:val="en-US" w:eastAsia="zh-CN" w:bidi="ar-SA"/>
      </w:rPr>
    </w:lvl>
  </w:abstractNum>
  <w:abstractNum w:abstractNumId="43">
    <w:multiLevelType w:val="hybridMultilevel"/>
    <w:lvl w:ilvl="0">
      <w:start w:val="9"/>
      <w:numFmt w:val="decimal"/>
      <w:lvlText w:val="%1"/>
      <w:lvlJc w:val="left"/>
      <w:pPr>
        <w:ind w:left="1713" w:hanging="1138"/>
        <w:jc w:val="left"/>
      </w:pPr>
      <w:rPr>
        <w:rFonts w:hint="default"/>
        <w:lang w:val="en-US" w:eastAsia="zh-CN" w:bidi="ar-SA"/>
      </w:rPr>
    </w:lvl>
    <w:lvl w:ilvl="1">
      <w:start w:val="8"/>
      <w:numFmt w:val="decimal"/>
      <w:lvlText w:val="%1.%2"/>
      <w:lvlJc w:val="left"/>
      <w:pPr>
        <w:ind w:left="1713" w:hanging="1138"/>
        <w:jc w:val="left"/>
      </w:pPr>
      <w:rPr>
        <w:rFonts w:hint="default"/>
        <w:lang w:val="en-US" w:eastAsia="zh-CN" w:bidi="ar-SA"/>
      </w:rPr>
    </w:lvl>
    <w:lvl w:ilvl="2">
      <w:start w:val="97"/>
      <w:numFmt w:val="decimal"/>
      <w:lvlText w:val="%1.%2.%3"/>
      <w:lvlJc w:val="left"/>
      <w:pPr>
        <w:ind w:left="1713" w:hanging="1138"/>
        <w:jc w:val="left"/>
      </w:pPr>
      <w:rPr>
        <w:rFonts w:hint="default" w:ascii="宋体" w:hAnsi="宋体" w:eastAsia="宋体" w:cs="宋体"/>
        <w:b/>
        <w:bCs/>
        <w:i w:val="0"/>
        <w:iCs w:val="0"/>
        <w:w w:val="99"/>
        <w:sz w:val="21"/>
        <w:szCs w:val="21"/>
        <w:lang w:val="en-US" w:eastAsia="zh-CN" w:bidi="ar-SA"/>
      </w:rPr>
    </w:lvl>
    <w:lvl w:ilvl="3">
      <w:start w:val="0"/>
      <w:numFmt w:val="bullet"/>
      <w:lvlText w:val="•"/>
      <w:lvlJc w:val="left"/>
      <w:pPr>
        <w:ind w:left="2098" w:hanging="1138"/>
      </w:pPr>
      <w:rPr>
        <w:rFonts w:hint="default"/>
        <w:lang w:val="en-US" w:eastAsia="zh-CN" w:bidi="ar-SA"/>
      </w:rPr>
    </w:lvl>
    <w:lvl w:ilvl="4">
      <w:start w:val="0"/>
      <w:numFmt w:val="bullet"/>
      <w:lvlText w:val="•"/>
      <w:lvlJc w:val="left"/>
      <w:pPr>
        <w:ind w:left="2224" w:hanging="1138"/>
      </w:pPr>
      <w:rPr>
        <w:rFonts w:hint="default"/>
        <w:lang w:val="en-US" w:eastAsia="zh-CN" w:bidi="ar-SA"/>
      </w:rPr>
    </w:lvl>
    <w:lvl w:ilvl="5">
      <w:start w:val="0"/>
      <w:numFmt w:val="bullet"/>
      <w:lvlText w:val="•"/>
      <w:lvlJc w:val="left"/>
      <w:pPr>
        <w:ind w:left="2350" w:hanging="1138"/>
      </w:pPr>
      <w:rPr>
        <w:rFonts w:hint="default"/>
        <w:lang w:val="en-US" w:eastAsia="zh-CN" w:bidi="ar-SA"/>
      </w:rPr>
    </w:lvl>
    <w:lvl w:ilvl="6">
      <w:start w:val="0"/>
      <w:numFmt w:val="bullet"/>
      <w:lvlText w:val="•"/>
      <w:lvlJc w:val="left"/>
      <w:pPr>
        <w:ind w:left="2476" w:hanging="1138"/>
      </w:pPr>
      <w:rPr>
        <w:rFonts w:hint="default"/>
        <w:lang w:val="en-US" w:eastAsia="zh-CN" w:bidi="ar-SA"/>
      </w:rPr>
    </w:lvl>
    <w:lvl w:ilvl="7">
      <w:start w:val="0"/>
      <w:numFmt w:val="bullet"/>
      <w:lvlText w:val="•"/>
      <w:lvlJc w:val="left"/>
      <w:pPr>
        <w:ind w:left="2602" w:hanging="1138"/>
      </w:pPr>
      <w:rPr>
        <w:rFonts w:hint="default"/>
        <w:lang w:val="en-US" w:eastAsia="zh-CN" w:bidi="ar-SA"/>
      </w:rPr>
    </w:lvl>
    <w:lvl w:ilvl="8">
      <w:start w:val="0"/>
      <w:numFmt w:val="bullet"/>
      <w:lvlText w:val="•"/>
      <w:lvlJc w:val="left"/>
      <w:pPr>
        <w:ind w:left="2728" w:hanging="1138"/>
      </w:pPr>
      <w:rPr>
        <w:rFonts w:hint="default"/>
        <w:lang w:val="en-US" w:eastAsia="zh-CN" w:bidi="ar-SA"/>
      </w:rPr>
    </w:lvl>
  </w:abstractNum>
  <w:abstractNum w:abstractNumId="42">
    <w:multiLevelType w:val="hybridMultilevel"/>
    <w:lvl w:ilvl="0">
      <w:start w:val="1"/>
      <w:numFmt w:val="decimal"/>
      <w:lvlText w:val="（%1）"/>
      <w:lvlJc w:val="left"/>
      <w:pPr>
        <w:ind w:left="63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83" w:hanging="529"/>
      </w:pPr>
      <w:rPr>
        <w:rFonts w:hint="default"/>
        <w:lang w:val="en-US" w:eastAsia="zh-CN" w:bidi="ar-SA"/>
      </w:rPr>
    </w:lvl>
    <w:lvl w:ilvl="2">
      <w:start w:val="0"/>
      <w:numFmt w:val="bullet"/>
      <w:lvlText w:val="•"/>
      <w:lvlJc w:val="left"/>
      <w:pPr>
        <w:ind w:left="1927" w:hanging="529"/>
      </w:pPr>
      <w:rPr>
        <w:rFonts w:hint="default"/>
        <w:lang w:val="en-US" w:eastAsia="zh-CN" w:bidi="ar-SA"/>
      </w:rPr>
    </w:lvl>
    <w:lvl w:ilvl="3">
      <w:start w:val="0"/>
      <w:numFmt w:val="bullet"/>
      <w:lvlText w:val="•"/>
      <w:lvlJc w:val="left"/>
      <w:pPr>
        <w:ind w:left="2571" w:hanging="529"/>
      </w:pPr>
      <w:rPr>
        <w:rFonts w:hint="default"/>
        <w:lang w:val="en-US" w:eastAsia="zh-CN" w:bidi="ar-SA"/>
      </w:rPr>
    </w:lvl>
    <w:lvl w:ilvl="4">
      <w:start w:val="0"/>
      <w:numFmt w:val="bullet"/>
      <w:lvlText w:val="•"/>
      <w:lvlJc w:val="left"/>
      <w:pPr>
        <w:ind w:left="3215" w:hanging="529"/>
      </w:pPr>
      <w:rPr>
        <w:rFonts w:hint="default"/>
        <w:lang w:val="en-US" w:eastAsia="zh-CN" w:bidi="ar-SA"/>
      </w:rPr>
    </w:lvl>
    <w:lvl w:ilvl="5">
      <w:start w:val="0"/>
      <w:numFmt w:val="bullet"/>
      <w:lvlText w:val="•"/>
      <w:lvlJc w:val="left"/>
      <w:pPr>
        <w:ind w:left="3859" w:hanging="529"/>
      </w:pPr>
      <w:rPr>
        <w:rFonts w:hint="default"/>
        <w:lang w:val="en-US" w:eastAsia="zh-CN" w:bidi="ar-SA"/>
      </w:rPr>
    </w:lvl>
    <w:lvl w:ilvl="6">
      <w:start w:val="0"/>
      <w:numFmt w:val="bullet"/>
      <w:lvlText w:val="•"/>
      <w:lvlJc w:val="left"/>
      <w:pPr>
        <w:ind w:left="4503" w:hanging="529"/>
      </w:pPr>
      <w:rPr>
        <w:rFonts w:hint="default"/>
        <w:lang w:val="en-US" w:eastAsia="zh-CN" w:bidi="ar-SA"/>
      </w:rPr>
    </w:lvl>
    <w:lvl w:ilvl="7">
      <w:start w:val="0"/>
      <w:numFmt w:val="bullet"/>
      <w:lvlText w:val="•"/>
      <w:lvlJc w:val="left"/>
      <w:pPr>
        <w:ind w:left="5147" w:hanging="529"/>
      </w:pPr>
      <w:rPr>
        <w:rFonts w:hint="default"/>
        <w:lang w:val="en-US" w:eastAsia="zh-CN" w:bidi="ar-SA"/>
      </w:rPr>
    </w:lvl>
    <w:lvl w:ilvl="8">
      <w:start w:val="0"/>
      <w:numFmt w:val="bullet"/>
      <w:lvlText w:val="•"/>
      <w:lvlJc w:val="left"/>
      <w:pPr>
        <w:ind w:left="5791" w:hanging="529"/>
      </w:pPr>
      <w:rPr>
        <w:rFonts w:hint="default"/>
        <w:lang w:val="en-US" w:eastAsia="zh-CN" w:bidi="ar-SA"/>
      </w:rPr>
    </w:lvl>
  </w:abstractNum>
  <w:abstractNum w:abstractNumId="41">
    <w:multiLevelType w:val="hybridMultilevel"/>
    <w:lvl w:ilvl="0">
      <w:start w:val="9"/>
      <w:numFmt w:val="decimal"/>
      <w:lvlText w:val="%1"/>
      <w:lvlJc w:val="left"/>
      <w:pPr>
        <w:ind w:left="3285" w:hanging="1138"/>
        <w:jc w:val="left"/>
      </w:pPr>
      <w:rPr>
        <w:rFonts w:hint="default"/>
        <w:lang w:val="en-US" w:eastAsia="zh-CN" w:bidi="ar-SA"/>
      </w:rPr>
    </w:lvl>
    <w:lvl w:ilvl="1">
      <w:start w:val="8"/>
      <w:numFmt w:val="decimal"/>
      <w:lvlText w:val="%1.%2"/>
      <w:lvlJc w:val="left"/>
      <w:pPr>
        <w:ind w:left="3285" w:hanging="1138"/>
        <w:jc w:val="left"/>
      </w:pPr>
      <w:rPr>
        <w:rFonts w:hint="default"/>
        <w:lang w:val="en-US" w:eastAsia="zh-CN" w:bidi="ar-SA"/>
      </w:rPr>
    </w:lvl>
    <w:lvl w:ilvl="2">
      <w:start w:val="47"/>
      <w:numFmt w:val="decimal"/>
      <w:lvlText w:val="%1.%2.%3"/>
      <w:lvlJc w:val="left"/>
      <w:pPr>
        <w:ind w:left="3285" w:hanging="1138"/>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285"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6274" w:hanging="529"/>
      </w:pPr>
      <w:rPr>
        <w:rFonts w:hint="default"/>
        <w:lang w:val="en-US" w:eastAsia="zh-CN" w:bidi="ar-SA"/>
      </w:rPr>
    </w:lvl>
    <w:lvl w:ilvl="5">
      <w:start w:val="0"/>
      <w:numFmt w:val="bullet"/>
      <w:lvlText w:val="•"/>
      <w:lvlJc w:val="left"/>
      <w:pPr>
        <w:ind w:left="702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520" w:hanging="529"/>
      </w:pPr>
      <w:rPr>
        <w:rFonts w:hint="default"/>
        <w:lang w:val="en-US" w:eastAsia="zh-CN" w:bidi="ar-SA"/>
      </w:rPr>
    </w:lvl>
    <w:lvl w:ilvl="8">
      <w:start w:val="0"/>
      <w:numFmt w:val="bullet"/>
      <w:lvlText w:val="•"/>
      <w:lvlJc w:val="left"/>
      <w:pPr>
        <w:ind w:left="9269" w:hanging="529"/>
      </w:pPr>
      <w:rPr>
        <w:rFonts w:hint="default"/>
        <w:lang w:val="en-US" w:eastAsia="zh-CN" w:bidi="ar-SA"/>
      </w:rPr>
    </w:lvl>
  </w:abstractNum>
  <w:abstractNum w:abstractNumId="40">
    <w:multiLevelType w:val="hybridMultilevel"/>
    <w:lvl w:ilvl="0">
      <w:start w:val="1"/>
      <w:numFmt w:val="decimal"/>
      <w:lvlText w:val="（%1）"/>
      <w:lvlJc w:val="left"/>
      <w:pPr>
        <w:ind w:left="636" w:hanging="529"/>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1283" w:hanging="529"/>
      </w:pPr>
      <w:rPr>
        <w:rFonts w:hint="default"/>
        <w:lang w:val="en-US" w:eastAsia="zh-CN" w:bidi="ar-SA"/>
      </w:rPr>
    </w:lvl>
    <w:lvl w:ilvl="2">
      <w:start w:val="0"/>
      <w:numFmt w:val="bullet"/>
      <w:lvlText w:val="•"/>
      <w:lvlJc w:val="left"/>
      <w:pPr>
        <w:ind w:left="1927" w:hanging="529"/>
      </w:pPr>
      <w:rPr>
        <w:rFonts w:hint="default"/>
        <w:lang w:val="en-US" w:eastAsia="zh-CN" w:bidi="ar-SA"/>
      </w:rPr>
    </w:lvl>
    <w:lvl w:ilvl="3">
      <w:start w:val="0"/>
      <w:numFmt w:val="bullet"/>
      <w:lvlText w:val="•"/>
      <w:lvlJc w:val="left"/>
      <w:pPr>
        <w:ind w:left="2571" w:hanging="529"/>
      </w:pPr>
      <w:rPr>
        <w:rFonts w:hint="default"/>
        <w:lang w:val="en-US" w:eastAsia="zh-CN" w:bidi="ar-SA"/>
      </w:rPr>
    </w:lvl>
    <w:lvl w:ilvl="4">
      <w:start w:val="0"/>
      <w:numFmt w:val="bullet"/>
      <w:lvlText w:val="•"/>
      <w:lvlJc w:val="left"/>
      <w:pPr>
        <w:ind w:left="3215" w:hanging="529"/>
      </w:pPr>
      <w:rPr>
        <w:rFonts w:hint="default"/>
        <w:lang w:val="en-US" w:eastAsia="zh-CN" w:bidi="ar-SA"/>
      </w:rPr>
    </w:lvl>
    <w:lvl w:ilvl="5">
      <w:start w:val="0"/>
      <w:numFmt w:val="bullet"/>
      <w:lvlText w:val="•"/>
      <w:lvlJc w:val="left"/>
      <w:pPr>
        <w:ind w:left="3859" w:hanging="529"/>
      </w:pPr>
      <w:rPr>
        <w:rFonts w:hint="default"/>
        <w:lang w:val="en-US" w:eastAsia="zh-CN" w:bidi="ar-SA"/>
      </w:rPr>
    </w:lvl>
    <w:lvl w:ilvl="6">
      <w:start w:val="0"/>
      <w:numFmt w:val="bullet"/>
      <w:lvlText w:val="•"/>
      <w:lvlJc w:val="left"/>
      <w:pPr>
        <w:ind w:left="4502" w:hanging="529"/>
      </w:pPr>
      <w:rPr>
        <w:rFonts w:hint="default"/>
        <w:lang w:val="en-US" w:eastAsia="zh-CN" w:bidi="ar-SA"/>
      </w:rPr>
    </w:lvl>
    <w:lvl w:ilvl="7">
      <w:start w:val="0"/>
      <w:numFmt w:val="bullet"/>
      <w:lvlText w:val="•"/>
      <w:lvlJc w:val="left"/>
      <w:pPr>
        <w:ind w:left="5146" w:hanging="529"/>
      </w:pPr>
      <w:rPr>
        <w:rFonts w:hint="default"/>
        <w:lang w:val="en-US" w:eastAsia="zh-CN" w:bidi="ar-SA"/>
      </w:rPr>
    </w:lvl>
    <w:lvl w:ilvl="8">
      <w:start w:val="0"/>
      <w:numFmt w:val="bullet"/>
      <w:lvlText w:val="•"/>
      <w:lvlJc w:val="left"/>
      <w:pPr>
        <w:ind w:left="5790" w:hanging="529"/>
      </w:pPr>
      <w:rPr>
        <w:rFonts w:hint="default"/>
        <w:lang w:val="en-US" w:eastAsia="zh-CN" w:bidi="ar-SA"/>
      </w:rPr>
    </w:lvl>
  </w:abstractNum>
  <w:abstractNum w:abstractNumId="39">
    <w:multiLevelType w:val="hybridMultilevel"/>
    <w:lvl w:ilvl="0">
      <w:start w:val="2"/>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83" w:hanging="529"/>
      </w:pPr>
      <w:rPr>
        <w:rFonts w:hint="default"/>
        <w:lang w:val="en-US" w:eastAsia="zh-CN" w:bidi="ar-SA"/>
      </w:rPr>
    </w:lvl>
    <w:lvl w:ilvl="2">
      <w:start w:val="0"/>
      <w:numFmt w:val="bullet"/>
      <w:lvlText w:val="•"/>
      <w:lvlJc w:val="left"/>
      <w:pPr>
        <w:ind w:left="1927" w:hanging="529"/>
      </w:pPr>
      <w:rPr>
        <w:rFonts w:hint="default"/>
        <w:lang w:val="en-US" w:eastAsia="zh-CN" w:bidi="ar-SA"/>
      </w:rPr>
    </w:lvl>
    <w:lvl w:ilvl="3">
      <w:start w:val="0"/>
      <w:numFmt w:val="bullet"/>
      <w:lvlText w:val="•"/>
      <w:lvlJc w:val="left"/>
      <w:pPr>
        <w:ind w:left="2571" w:hanging="529"/>
      </w:pPr>
      <w:rPr>
        <w:rFonts w:hint="default"/>
        <w:lang w:val="en-US" w:eastAsia="zh-CN" w:bidi="ar-SA"/>
      </w:rPr>
    </w:lvl>
    <w:lvl w:ilvl="4">
      <w:start w:val="0"/>
      <w:numFmt w:val="bullet"/>
      <w:lvlText w:val="•"/>
      <w:lvlJc w:val="left"/>
      <w:pPr>
        <w:ind w:left="3215" w:hanging="529"/>
      </w:pPr>
      <w:rPr>
        <w:rFonts w:hint="default"/>
        <w:lang w:val="en-US" w:eastAsia="zh-CN" w:bidi="ar-SA"/>
      </w:rPr>
    </w:lvl>
    <w:lvl w:ilvl="5">
      <w:start w:val="0"/>
      <w:numFmt w:val="bullet"/>
      <w:lvlText w:val="•"/>
      <w:lvlJc w:val="left"/>
      <w:pPr>
        <w:ind w:left="3859" w:hanging="529"/>
      </w:pPr>
      <w:rPr>
        <w:rFonts w:hint="default"/>
        <w:lang w:val="en-US" w:eastAsia="zh-CN" w:bidi="ar-SA"/>
      </w:rPr>
    </w:lvl>
    <w:lvl w:ilvl="6">
      <w:start w:val="0"/>
      <w:numFmt w:val="bullet"/>
      <w:lvlText w:val="•"/>
      <w:lvlJc w:val="left"/>
      <w:pPr>
        <w:ind w:left="4502" w:hanging="529"/>
      </w:pPr>
      <w:rPr>
        <w:rFonts w:hint="default"/>
        <w:lang w:val="en-US" w:eastAsia="zh-CN" w:bidi="ar-SA"/>
      </w:rPr>
    </w:lvl>
    <w:lvl w:ilvl="7">
      <w:start w:val="0"/>
      <w:numFmt w:val="bullet"/>
      <w:lvlText w:val="•"/>
      <w:lvlJc w:val="left"/>
      <w:pPr>
        <w:ind w:left="5146" w:hanging="529"/>
      </w:pPr>
      <w:rPr>
        <w:rFonts w:hint="default"/>
        <w:lang w:val="en-US" w:eastAsia="zh-CN" w:bidi="ar-SA"/>
      </w:rPr>
    </w:lvl>
    <w:lvl w:ilvl="8">
      <w:start w:val="0"/>
      <w:numFmt w:val="bullet"/>
      <w:lvlText w:val="•"/>
      <w:lvlJc w:val="left"/>
      <w:pPr>
        <w:ind w:left="5790" w:hanging="529"/>
      </w:pPr>
      <w:rPr>
        <w:rFonts w:hint="default"/>
        <w:lang w:val="en-US" w:eastAsia="zh-CN" w:bidi="ar-SA"/>
      </w:rPr>
    </w:lvl>
  </w:abstractNum>
  <w:abstractNum w:abstractNumId="38">
    <w:multiLevelType w:val="hybridMultilevel"/>
    <w:lvl w:ilvl="0">
      <w:start w:val="1"/>
      <w:numFmt w:val="decimal"/>
      <w:lvlText w:val="（%1）"/>
      <w:lvlJc w:val="left"/>
      <w:pPr>
        <w:ind w:left="681" w:hanging="529"/>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1334" w:hanging="529"/>
      </w:pPr>
      <w:rPr>
        <w:rFonts w:hint="default"/>
        <w:lang w:val="en-US" w:eastAsia="zh-CN" w:bidi="ar-SA"/>
      </w:rPr>
    </w:lvl>
    <w:lvl w:ilvl="2">
      <w:start w:val="0"/>
      <w:numFmt w:val="bullet"/>
      <w:lvlText w:val="•"/>
      <w:lvlJc w:val="left"/>
      <w:pPr>
        <w:ind w:left="1989" w:hanging="529"/>
      </w:pPr>
      <w:rPr>
        <w:rFonts w:hint="default"/>
        <w:lang w:val="en-US" w:eastAsia="zh-CN" w:bidi="ar-SA"/>
      </w:rPr>
    </w:lvl>
    <w:lvl w:ilvl="3">
      <w:start w:val="0"/>
      <w:numFmt w:val="bullet"/>
      <w:lvlText w:val="•"/>
      <w:lvlJc w:val="left"/>
      <w:pPr>
        <w:ind w:left="2644" w:hanging="529"/>
      </w:pPr>
      <w:rPr>
        <w:rFonts w:hint="default"/>
        <w:lang w:val="en-US" w:eastAsia="zh-CN" w:bidi="ar-SA"/>
      </w:rPr>
    </w:lvl>
    <w:lvl w:ilvl="4">
      <w:start w:val="0"/>
      <w:numFmt w:val="bullet"/>
      <w:lvlText w:val="•"/>
      <w:lvlJc w:val="left"/>
      <w:pPr>
        <w:ind w:left="3298" w:hanging="529"/>
      </w:pPr>
      <w:rPr>
        <w:rFonts w:hint="default"/>
        <w:lang w:val="en-US" w:eastAsia="zh-CN" w:bidi="ar-SA"/>
      </w:rPr>
    </w:lvl>
    <w:lvl w:ilvl="5">
      <w:start w:val="0"/>
      <w:numFmt w:val="bullet"/>
      <w:lvlText w:val="•"/>
      <w:lvlJc w:val="left"/>
      <w:pPr>
        <w:ind w:left="3953" w:hanging="529"/>
      </w:pPr>
      <w:rPr>
        <w:rFonts w:hint="default"/>
        <w:lang w:val="en-US" w:eastAsia="zh-CN" w:bidi="ar-SA"/>
      </w:rPr>
    </w:lvl>
    <w:lvl w:ilvl="6">
      <w:start w:val="0"/>
      <w:numFmt w:val="bullet"/>
      <w:lvlText w:val="•"/>
      <w:lvlJc w:val="left"/>
      <w:pPr>
        <w:ind w:left="4608" w:hanging="529"/>
      </w:pPr>
      <w:rPr>
        <w:rFonts w:hint="default"/>
        <w:lang w:val="en-US" w:eastAsia="zh-CN" w:bidi="ar-SA"/>
      </w:rPr>
    </w:lvl>
    <w:lvl w:ilvl="7">
      <w:start w:val="0"/>
      <w:numFmt w:val="bullet"/>
      <w:lvlText w:val="•"/>
      <w:lvlJc w:val="left"/>
      <w:pPr>
        <w:ind w:left="5262" w:hanging="529"/>
      </w:pPr>
      <w:rPr>
        <w:rFonts w:hint="default"/>
        <w:lang w:val="en-US" w:eastAsia="zh-CN" w:bidi="ar-SA"/>
      </w:rPr>
    </w:lvl>
    <w:lvl w:ilvl="8">
      <w:start w:val="0"/>
      <w:numFmt w:val="bullet"/>
      <w:lvlText w:val="•"/>
      <w:lvlJc w:val="left"/>
      <w:pPr>
        <w:ind w:left="5917" w:hanging="529"/>
      </w:pPr>
      <w:rPr>
        <w:rFonts w:hint="default"/>
        <w:lang w:val="en-US" w:eastAsia="zh-CN" w:bidi="ar-SA"/>
      </w:rPr>
    </w:lvl>
  </w:abstractNum>
  <w:abstractNum w:abstractNumId="37">
    <w:multiLevelType w:val="hybridMultilevel"/>
    <w:lvl w:ilvl="0">
      <w:start w:val="1"/>
      <w:numFmt w:val="decimal"/>
      <w:lvlText w:val="（%1）"/>
      <w:lvlJc w:val="left"/>
      <w:pPr>
        <w:ind w:left="68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4" w:hanging="529"/>
      </w:pPr>
      <w:rPr>
        <w:rFonts w:hint="default"/>
        <w:lang w:val="en-US" w:eastAsia="zh-CN" w:bidi="ar-SA"/>
      </w:rPr>
    </w:lvl>
    <w:lvl w:ilvl="2">
      <w:start w:val="0"/>
      <w:numFmt w:val="bullet"/>
      <w:lvlText w:val="•"/>
      <w:lvlJc w:val="left"/>
      <w:pPr>
        <w:ind w:left="1989" w:hanging="529"/>
      </w:pPr>
      <w:rPr>
        <w:rFonts w:hint="default"/>
        <w:lang w:val="en-US" w:eastAsia="zh-CN" w:bidi="ar-SA"/>
      </w:rPr>
    </w:lvl>
    <w:lvl w:ilvl="3">
      <w:start w:val="0"/>
      <w:numFmt w:val="bullet"/>
      <w:lvlText w:val="•"/>
      <w:lvlJc w:val="left"/>
      <w:pPr>
        <w:ind w:left="2644" w:hanging="529"/>
      </w:pPr>
      <w:rPr>
        <w:rFonts w:hint="default"/>
        <w:lang w:val="en-US" w:eastAsia="zh-CN" w:bidi="ar-SA"/>
      </w:rPr>
    </w:lvl>
    <w:lvl w:ilvl="4">
      <w:start w:val="0"/>
      <w:numFmt w:val="bullet"/>
      <w:lvlText w:val="•"/>
      <w:lvlJc w:val="left"/>
      <w:pPr>
        <w:ind w:left="3298" w:hanging="529"/>
      </w:pPr>
      <w:rPr>
        <w:rFonts w:hint="default"/>
        <w:lang w:val="en-US" w:eastAsia="zh-CN" w:bidi="ar-SA"/>
      </w:rPr>
    </w:lvl>
    <w:lvl w:ilvl="5">
      <w:start w:val="0"/>
      <w:numFmt w:val="bullet"/>
      <w:lvlText w:val="•"/>
      <w:lvlJc w:val="left"/>
      <w:pPr>
        <w:ind w:left="3953" w:hanging="529"/>
      </w:pPr>
      <w:rPr>
        <w:rFonts w:hint="default"/>
        <w:lang w:val="en-US" w:eastAsia="zh-CN" w:bidi="ar-SA"/>
      </w:rPr>
    </w:lvl>
    <w:lvl w:ilvl="6">
      <w:start w:val="0"/>
      <w:numFmt w:val="bullet"/>
      <w:lvlText w:val="•"/>
      <w:lvlJc w:val="left"/>
      <w:pPr>
        <w:ind w:left="4608" w:hanging="529"/>
      </w:pPr>
      <w:rPr>
        <w:rFonts w:hint="default"/>
        <w:lang w:val="en-US" w:eastAsia="zh-CN" w:bidi="ar-SA"/>
      </w:rPr>
    </w:lvl>
    <w:lvl w:ilvl="7">
      <w:start w:val="0"/>
      <w:numFmt w:val="bullet"/>
      <w:lvlText w:val="•"/>
      <w:lvlJc w:val="left"/>
      <w:pPr>
        <w:ind w:left="5262" w:hanging="529"/>
      </w:pPr>
      <w:rPr>
        <w:rFonts w:hint="default"/>
        <w:lang w:val="en-US" w:eastAsia="zh-CN" w:bidi="ar-SA"/>
      </w:rPr>
    </w:lvl>
    <w:lvl w:ilvl="8">
      <w:start w:val="0"/>
      <w:numFmt w:val="bullet"/>
      <w:lvlText w:val="•"/>
      <w:lvlJc w:val="left"/>
      <w:pPr>
        <w:ind w:left="5917" w:hanging="529"/>
      </w:pPr>
      <w:rPr>
        <w:rFonts w:hint="default"/>
        <w:lang w:val="en-US" w:eastAsia="zh-CN" w:bidi="ar-SA"/>
      </w:rPr>
    </w:lvl>
  </w:abstractNum>
  <w:abstractNum w:abstractNumId="36">
    <w:multiLevelType w:val="hybridMultilevel"/>
    <w:lvl w:ilvl="0">
      <w:start w:val="1"/>
      <w:numFmt w:val="decimal"/>
      <w:lvlText w:val="（%1）"/>
      <w:lvlJc w:val="left"/>
      <w:pPr>
        <w:ind w:left="265" w:hanging="527"/>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285"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776" w:hanging="529"/>
      </w:pPr>
      <w:rPr>
        <w:rFonts w:hint="default"/>
        <w:lang w:val="en-US" w:eastAsia="zh-CN" w:bidi="ar-SA"/>
      </w:rPr>
    </w:lvl>
    <w:lvl w:ilvl="3">
      <w:start w:val="0"/>
      <w:numFmt w:val="bullet"/>
      <w:lvlText w:val="•"/>
      <w:lvlJc w:val="left"/>
      <w:pPr>
        <w:ind w:left="4272" w:hanging="529"/>
      </w:pPr>
      <w:rPr>
        <w:rFonts w:hint="default"/>
        <w:lang w:val="en-US" w:eastAsia="zh-CN" w:bidi="ar-SA"/>
      </w:rPr>
    </w:lvl>
    <w:lvl w:ilvl="4">
      <w:start w:val="0"/>
      <w:numFmt w:val="bullet"/>
      <w:lvlText w:val="•"/>
      <w:lvlJc w:val="left"/>
      <w:pPr>
        <w:ind w:left="4768" w:hanging="529"/>
      </w:pPr>
      <w:rPr>
        <w:rFonts w:hint="default"/>
        <w:lang w:val="en-US" w:eastAsia="zh-CN" w:bidi="ar-SA"/>
      </w:rPr>
    </w:lvl>
    <w:lvl w:ilvl="5">
      <w:start w:val="0"/>
      <w:numFmt w:val="bullet"/>
      <w:lvlText w:val="•"/>
      <w:lvlJc w:val="left"/>
      <w:pPr>
        <w:ind w:left="5264" w:hanging="529"/>
      </w:pPr>
      <w:rPr>
        <w:rFonts w:hint="default"/>
        <w:lang w:val="en-US" w:eastAsia="zh-CN" w:bidi="ar-SA"/>
      </w:rPr>
    </w:lvl>
    <w:lvl w:ilvl="6">
      <w:start w:val="0"/>
      <w:numFmt w:val="bullet"/>
      <w:lvlText w:val="•"/>
      <w:lvlJc w:val="left"/>
      <w:pPr>
        <w:ind w:left="5761" w:hanging="529"/>
      </w:pPr>
      <w:rPr>
        <w:rFonts w:hint="default"/>
        <w:lang w:val="en-US" w:eastAsia="zh-CN" w:bidi="ar-SA"/>
      </w:rPr>
    </w:lvl>
    <w:lvl w:ilvl="7">
      <w:start w:val="0"/>
      <w:numFmt w:val="bullet"/>
      <w:lvlText w:val="•"/>
      <w:lvlJc w:val="left"/>
      <w:pPr>
        <w:ind w:left="6257" w:hanging="529"/>
      </w:pPr>
      <w:rPr>
        <w:rFonts w:hint="default"/>
        <w:lang w:val="en-US" w:eastAsia="zh-CN" w:bidi="ar-SA"/>
      </w:rPr>
    </w:lvl>
    <w:lvl w:ilvl="8">
      <w:start w:val="0"/>
      <w:numFmt w:val="bullet"/>
      <w:lvlText w:val="•"/>
      <w:lvlJc w:val="left"/>
      <w:pPr>
        <w:ind w:left="6753" w:hanging="529"/>
      </w:pPr>
      <w:rPr>
        <w:rFonts w:hint="default"/>
        <w:lang w:val="en-US" w:eastAsia="zh-CN" w:bidi="ar-SA"/>
      </w:rPr>
    </w:lvl>
  </w:abstractNum>
  <w:abstractNum w:abstractNumId="35">
    <w:multiLevelType w:val="hybridMultilevel"/>
    <w:lvl w:ilvl="0">
      <w:start w:val="1"/>
      <w:numFmt w:val="lowerLetter"/>
      <w:lvlText w:val="%1."/>
      <w:lvlJc w:val="left"/>
      <w:pPr>
        <w:ind w:left="265" w:hanging="213"/>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1008" w:hanging="213"/>
      </w:pPr>
      <w:rPr>
        <w:rFonts w:hint="default"/>
        <w:lang w:val="en-US" w:eastAsia="zh-CN" w:bidi="ar-SA"/>
      </w:rPr>
    </w:lvl>
    <w:lvl w:ilvl="2">
      <w:start w:val="0"/>
      <w:numFmt w:val="bullet"/>
      <w:lvlText w:val="•"/>
      <w:lvlJc w:val="left"/>
      <w:pPr>
        <w:ind w:left="1757" w:hanging="213"/>
      </w:pPr>
      <w:rPr>
        <w:rFonts w:hint="default"/>
        <w:lang w:val="en-US" w:eastAsia="zh-CN" w:bidi="ar-SA"/>
      </w:rPr>
    </w:lvl>
    <w:lvl w:ilvl="3">
      <w:start w:val="0"/>
      <w:numFmt w:val="bullet"/>
      <w:lvlText w:val="•"/>
      <w:lvlJc w:val="left"/>
      <w:pPr>
        <w:ind w:left="2505" w:hanging="213"/>
      </w:pPr>
      <w:rPr>
        <w:rFonts w:hint="default"/>
        <w:lang w:val="en-US" w:eastAsia="zh-CN" w:bidi="ar-SA"/>
      </w:rPr>
    </w:lvl>
    <w:lvl w:ilvl="4">
      <w:start w:val="0"/>
      <w:numFmt w:val="bullet"/>
      <w:lvlText w:val="•"/>
      <w:lvlJc w:val="left"/>
      <w:pPr>
        <w:ind w:left="3254" w:hanging="213"/>
      </w:pPr>
      <w:rPr>
        <w:rFonts w:hint="default"/>
        <w:lang w:val="en-US" w:eastAsia="zh-CN" w:bidi="ar-SA"/>
      </w:rPr>
    </w:lvl>
    <w:lvl w:ilvl="5">
      <w:start w:val="0"/>
      <w:numFmt w:val="bullet"/>
      <w:lvlText w:val="•"/>
      <w:lvlJc w:val="left"/>
      <w:pPr>
        <w:ind w:left="4003" w:hanging="213"/>
      </w:pPr>
      <w:rPr>
        <w:rFonts w:hint="default"/>
        <w:lang w:val="en-US" w:eastAsia="zh-CN" w:bidi="ar-SA"/>
      </w:rPr>
    </w:lvl>
    <w:lvl w:ilvl="6">
      <w:start w:val="0"/>
      <w:numFmt w:val="bullet"/>
      <w:lvlText w:val="•"/>
      <w:lvlJc w:val="left"/>
      <w:pPr>
        <w:ind w:left="4751" w:hanging="213"/>
      </w:pPr>
      <w:rPr>
        <w:rFonts w:hint="default"/>
        <w:lang w:val="en-US" w:eastAsia="zh-CN" w:bidi="ar-SA"/>
      </w:rPr>
    </w:lvl>
    <w:lvl w:ilvl="7">
      <w:start w:val="0"/>
      <w:numFmt w:val="bullet"/>
      <w:lvlText w:val="•"/>
      <w:lvlJc w:val="left"/>
      <w:pPr>
        <w:ind w:left="5500" w:hanging="213"/>
      </w:pPr>
      <w:rPr>
        <w:rFonts w:hint="default"/>
        <w:lang w:val="en-US" w:eastAsia="zh-CN" w:bidi="ar-SA"/>
      </w:rPr>
    </w:lvl>
    <w:lvl w:ilvl="8">
      <w:start w:val="0"/>
      <w:numFmt w:val="bullet"/>
      <w:lvlText w:val="•"/>
      <w:lvlJc w:val="left"/>
      <w:pPr>
        <w:ind w:left="6248" w:hanging="213"/>
      </w:pPr>
      <w:rPr>
        <w:rFonts w:hint="default"/>
        <w:lang w:val="en-US" w:eastAsia="zh-CN" w:bidi="ar-SA"/>
      </w:rPr>
    </w:lvl>
  </w:abstractNum>
  <w:abstractNum w:abstractNumId="34">
    <w:multiLevelType w:val="hybridMultilevel"/>
    <w:lvl w:ilvl="0">
      <w:start w:val="1"/>
      <w:numFmt w:val="decimal"/>
      <w:lvlText w:val="（%1）"/>
      <w:lvlJc w:val="left"/>
      <w:pPr>
        <w:ind w:left="265" w:hanging="529"/>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1008" w:hanging="529"/>
      </w:pPr>
      <w:rPr>
        <w:rFonts w:hint="default"/>
        <w:lang w:val="en-US" w:eastAsia="zh-CN" w:bidi="ar-SA"/>
      </w:rPr>
    </w:lvl>
    <w:lvl w:ilvl="2">
      <w:start w:val="0"/>
      <w:numFmt w:val="bullet"/>
      <w:lvlText w:val="•"/>
      <w:lvlJc w:val="left"/>
      <w:pPr>
        <w:ind w:left="1757" w:hanging="529"/>
      </w:pPr>
      <w:rPr>
        <w:rFonts w:hint="default"/>
        <w:lang w:val="en-US" w:eastAsia="zh-CN" w:bidi="ar-SA"/>
      </w:rPr>
    </w:lvl>
    <w:lvl w:ilvl="3">
      <w:start w:val="0"/>
      <w:numFmt w:val="bullet"/>
      <w:lvlText w:val="•"/>
      <w:lvlJc w:val="left"/>
      <w:pPr>
        <w:ind w:left="2505" w:hanging="529"/>
      </w:pPr>
      <w:rPr>
        <w:rFonts w:hint="default"/>
        <w:lang w:val="en-US" w:eastAsia="zh-CN" w:bidi="ar-SA"/>
      </w:rPr>
    </w:lvl>
    <w:lvl w:ilvl="4">
      <w:start w:val="0"/>
      <w:numFmt w:val="bullet"/>
      <w:lvlText w:val="•"/>
      <w:lvlJc w:val="left"/>
      <w:pPr>
        <w:ind w:left="3254" w:hanging="529"/>
      </w:pPr>
      <w:rPr>
        <w:rFonts w:hint="default"/>
        <w:lang w:val="en-US" w:eastAsia="zh-CN" w:bidi="ar-SA"/>
      </w:rPr>
    </w:lvl>
    <w:lvl w:ilvl="5">
      <w:start w:val="0"/>
      <w:numFmt w:val="bullet"/>
      <w:lvlText w:val="•"/>
      <w:lvlJc w:val="left"/>
      <w:pPr>
        <w:ind w:left="4003" w:hanging="529"/>
      </w:pPr>
      <w:rPr>
        <w:rFonts w:hint="default"/>
        <w:lang w:val="en-US" w:eastAsia="zh-CN" w:bidi="ar-SA"/>
      </w:rPr>
    </w:lvl>
    <w:lvl w:ilvl="6">
      <w:start w:val="0"/>
      <w:numFmt w:val="bullet"/>
      <w:lvlText w:val="•"/>
      <w:lvlJc w:val="left"/>
      <w:pPr>
        <w:ind w:left="4751" w:hanging="529"/>
      </w:pPr>
      <w:rPr>
        <w:rFonts w:hint="default"/>
        <w:lang w:val="en-US" w:eastAsia="zh-CN" w:bidi="ar-SA"/>
      </w:rPr>
    </w:lvl>
    <w:lvl w:ilvl="7">
      <w:start w:val="0"/>
      <w:numFmt w:val="bullet"/>
      <w:lvlText w:val="•"/>
      <w:lvlJc w:val="left"/>
      <w:pPr>
        <w:ind w:left="5500" w:hanging="529"/>
      </w:pPr>
      <w:rPr>
        <w:rFonts w:hint="default"/>
        <w:lang w:val="en-US" w:eastAsia="zh-CN" w:bidi="ar-SA"/>
      </w:rPr>
    </w:lvl>
    <w:lvl w:ilvl="8">
      <w:start w:val="0"/>
      <w:numFmt w:val="bullet"/>
      <w:lvlText w:val="•"/>
      <w:lvlJc w:val="left"/>
      <w:pPr>
        <w:ind w:left="6248" w:hanging="529"/>
      </w:pPr>
      <w:rPr>
        <w:rFonts w:hint="default"/>
        <w:lang w:val="en-US" w:eastAsia="zh-CN" w:bidi="ar-SA"/>
      </w:rPr>
    </w:lvl>
  </w:abstractNum>
  <w:abstractNum w:abstractNumId="33">
    <w:multiLevelType w:val="hybridMultilevel"/>
    <w:lvl w:ilvl="0">
      <w:start w:val="9"/>
      <w:numFmt w:val="decimal"/>
      <w:lvlText w:val="%1"/>
      <w:lvlJc w:val="left"/>
      <w:pPr>
        <w:ind w:left="1713" w:hanging="1138"/>
        <w:jc w:val="left"/>
      </w:pPr>
      <w:rPr>
        <w:rFonts w:hint="default"/>
        <w:lang w:val="en-US" w:eastAsia="zh-CN" w:bidi="ar-SA"/>
      </w:rPr>
    </w:lvl>
    <w:lvl w:ilvl="1">
      <w:start w:val="8"/>
      <w:numFmt w:val="decimal"/>
      <w:lvlText w:val="%1.%2"/>
      <w:lvlJc w:val="left"/>
      <w:pPr>
        <w:ind w:left="1713" w:hanging="1138"/>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1713" w:hanging="1138"/>
        <w:jc w:val="left"/>
      </w:pPr>
      <w:rPr>
        <w:rFonts w:hint="default" w:ascii="宋体" w:hAnsi="宋体" w:eastAsia="宋体" w:cs="宋体"/>
        <w:b/>
        <w:bCs/>
        <w:i w:val="0"/>
        <w:iCs w:val="0"/>
        <w:w w:val="99"/>
        <w:sz w:val="21"/>
        <w:szCs w:val="21"/>
        <w:lang w:val="en-US" w:eastAsia="zh-CN" w:bidi="ar-SA"/>
      </w:rPr>
    </w:lvl>
    <w:lvl w:ilvl="3">
      <w:start w:val="0"/>
      <w:numFmt w:val="bullet"/>
      <w:lvlText w:val="•"/>
      <w:lvlJc w:val="left"/>
      <w:pPr>
        <w:ind w:left="3213" w:hanging="1138"/>
      </w:pPr>
      <w:rPr>
        <w:rFonts w:hint="default"/>
        <w:lang w:val="en-US" w:eastAsia="zh-CN" w:bidi="ar-SA"/>
      </w:rPr>
    </w:lvl>
    <w:lvl w:ilvl="4">
      <w:start w:val="0"/>
      <w:numFmt w:val="bullet"/>
      <w:lvlText w:val="•"/>
      <w:lvlJc w:val="left"/>
      <w:pPr>
        <w:ind w:left="3180" w:hanging="1138"/>
      </w:pPr>
      <w:rPr>
        <w:rFonts w:hint="default"/>
        <w:lang w:val="en-US" w:eastAsia="zh-CN" w:bidi="ar-SA"/>
      </w:rPr>
    </w:lvl>
    <w:lvl w:ilvl="5">
      <w:start w:val="0"/>
      <w:numFmt w:val="bullet"/>
      <w:lvlText w:val="•"/>
      <w:lvlJc w:val="left"/>
      <w:pPr>
        <w:ind w:left="3146" w:hanging="1138"/>
      </w:pPr>
      <w:rPr>
        <w:rFonts w:hint="default"/>
        <w:lang w:val="en-US" w:eastAsia="zh-CN" w:bidi="ar-SA"/>
      </w:rPr>
    </w:lvl>
    <w:lvl w:ilvl="6">
      <w:start w:val="0"/>
      <w:numFmt w:val="bullet"/>
      <w:lvlText w:val="•"/>
      <w:lvlJc w:val="left"/>
      <w:pPr>
        <w:ind w:left="3113" w:hanging="1138"/>
      </w:pPr>
      <w:rPr>
        <w:rFonts w:hint="default"/>
        <w:lang w:val="en-US" w:eastAsia="zh-CN" w:bidi="ar-SA"/>
      </w:rPr>
    </w:lvl>
    <w:lvl w:ilvl="7">
      <w:start w:val="0"/>
      <w:numFmt w:val="bullet"/>
      <w:lvlText w:val="•"/>
      <w:lvlJc w:val="left"/>
      <w:pPr>
        <w:ind w:left="3080" w:hanging="1138"/>
      </w:pPr>
      <w:rPr>
        <w:rFonts w:hint="default"/>
        <w:lang w:val="en-US" w:eastAsia="zh-CN" w:bidi="ar-SA"/>
      </w:rPr>
    </w:lvl>
    <w:lvl w:ilvl="8">
      <w:start w:val="0"/>
      <w:numFmt w:val="bullet"/>
      <w:lvlText w:val="•"/>
      <w:lvlJc w:val="left"/>
      <w:pPr>
        <w:ind w:left="3046" w:hanging="1138"/>
      </w:pPr>
      <w:rPr>
        <w:rFonts w:hint="default"/>
        <w:lang w:val="en-US" w:eastAsia="zh-CN" w:bidi="ar-SA"/>
      </w:rPr>
    </w:lvl>
  </w:abstractNum>
  <w:abstractNum w:abstractNumId="32">
    <w:multiLevelType w:val="hybridMultilevel"/>
    <w:lvl w:ilvl="0">
      <w:start w:val="4"/>
      <w:numFmt w:val="decimal"/>
      <w:lvlText w:val="%1"/>
      <w:lvlJc w:val="left"/>
      <w:pPr>
        <w:ind w:left="634" w:hanging="370"/>
        <w:jc w:val="left"/>
      </w:pPr>
      <w:rPr>
        <w:rFonts w:hint="default"/>
        <w:lang w:val="en-US" w:eastAsia="zh-CN" w:bidi="ar-SA"/>
      </w:rPr>
    </w:lvl>
    <w:lvl w:ilvl="1">
      <w:start w:val="1"/>
      <w:numFmt w:val="decimal"/>
      <w:lvlText w:val="%1.%2"/>
      <w:lvlJc w:val="left"/>
      <w:pPr>
        <w:ind w:left="634" w:hanging="3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061" w:hanging="370"/>
      </w:pPr>
      <w:rPr>
        <w:rFonts w:hint="default"/>
        <w:lang w:val="en-US" w:eastAsia="zh-CN" w:bidi="ar-SA"/>
      </w:rPr>
    </w:lvl>
    <w:lvl w:ilvl="3">
      <w:start w:val="0"/>
      <w:numFmt w:val="bullet"/>
      <w:lvlText w:val="•"/>
      <w:lvlJc w:val="left"/>
      <w:pPr>
        <w:ind w:left="2771" w:hanging="370"/>
      </w:pPr>
      <w:rPr>
        <w:rFonts w:hint="default"/>
        <w:lang w:val="en-US" w:eastAsia="zh-CN" w:bidi="ar-SA"/>
      </w:rPr>
    </w:lvl>
    <w:lvl w:ilvl="4">
      <w:start w:val="0"/>
      <w:numFmt w:val="bullet"/>
      <w:lvlText w:val="•"/>
      <w:lvlJc w:val="left"/>
      <w:pPr>
        <w:ind w:left="3482" w:hanging="370"/>
      </w:pPr>
      <w:rPr>
        <w:rFonts w:hint="default"/>
        <w:lang w:val="en-US" w:eastAsia="zh-CN" w:bidi="ar-SA"/>
      </w:rPr>
    </w:lvl>
    <w:lvl w:ilvl="5">
      <w:start w:val="0"/>
      <w:numFmt w:val="bullet"/>
      <w:lvlText w:val="•"/>
      <w:lvlJc w:val="left"/>
      <w:pPr>
        <w:ind w:left="4192" w:hanging="370"/>
      </w:pPr>
      <w:rPr>
        <w:rFonts w:hint="default"/>
        <w:lang w:val="en-US" w:eastAsia="zh-CN" w:bidi="ar-SA"/>
      </w:rPr>
    </w:lvl>
    <w:lvl w:ilvl="6">
      <w:start w:val="0"/>
      <w:numFmt w:val="bullet"/>
      <w:lvlText w:val="•"/>
      <w:lvlJc w:val="left"/>
      <w:pPr>
        <w:ind w:left="4903" w:hanging="370"/>
      </w:pPr>
      <w:rPr>
        <w:rFonts w:hint="default"/>
        <w:lang w:val="en-US" w:eastAsia="zh-CN" w:bidi="ar-SA"/>
      </w:rPr>
    </w:lvl>
    <w:lvl w:ilvl="7">
      <w:start w:val="0"/>
      <w:numFmt w:val="bullet"/>
      <w:lvlText w:val="•"/>
      <w:lvlJc w:val="left"/>
      <w:pPr>
        <w:ind w:left="5613" w:hanging="370"/>
      </w:pPr>
      <w:rPr>
        <w:rFonts w:hint="default"/>
        <w:lang w:val="en-US" w:eastAsia="zh-CN" w:bidi="ar-SA"/>
      </w:rPr>
    </w:lvl>
    <w:lvl w:ilvl="8">
      <w:start w:val="0"/>
      <w:numFmt w:val="bullet"/>
      <w:lvlText w:val="•"/>
      <w:lvlJc w:val="left"/>
      <w:pPr>
        <w:ind w:left="6324" w:hanging="370"/>
      </w:pPr>
      <w:rPr>
        <w:rFonts w:hint="default"/>
        <w:lang w:val="en-US" w:eastAsia="zh-CN" w:bidi="ar-SA"/>
      </w:rPr>
    </w:lvl>
  </w:abstractNum>
  <w:abstractNum w:abstractNumId="31">
    <w:multiLevelType w:val="hybridMultilevel"/>
    <w:lvl w:ilvl="0">
      <w:start w:val="1"/>
      <w:numFmt w:val="decimal"/>
      <w:lvlText w:val="（%1）"/>
      <w:lvlJc w:val="left"/>
      <w:pPr>
        <w:ind w:left="79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29"/>
      </w:pPr>
      <w:rPr>
        <w:rFonts w:hint="default"/>
        <w:lang w:val="en-US" w:eastAsia="zh-CN" w:bidi="ar-SA"/>
      </w:rPr>
    </w:lvl>
    <w:lvl w:ilvl="2">
      <w:start w:val="0"/>
      <w:numFmt w:val="bullet"/>
      <w:lvlText w:val="•"/>
      <w:lvlJc w:val="left"/>
      <w:pPr>
        <w:ind w:left="2189" w:hanging="529"/>
      </w:pPr>
      <w:rPr>
        <w:rFonts w:hint="default"/>
        <w:lang w:val="en-US" w:eastAsia="zh-CN" w:bidi="ar-SA"/>
      </w:rPr>
    </w:lvl>
    <w:lvl w:ilvl="3">
      <w:start w:val="0"/>
      <w:numFmt w:val="bullet"/>
      <w:lvlText w:val="•"/>
      <w:lvlJc w:val="left"/>
      <w:pPr>
        <w:ind w:left="2883" w:hanging="529"/>
      </w:pPr>
      <w:rPr>
        <w:rFonts w:hint="default"/>
        <w:lang w:val="en-US" w:eastAsia="zh-CN" w:bidi="ar-SA"/>
      </w:rPr>
    </w:lvl>
    <w:lvl w:ilvl="4">
      <w:start w:val="0"/>
      <w:numFmt w:val="bullet"/>
      <w:lvlText w:val="•"/>
      <w:lvlJc w:val="left"/>
      <w:pPr>
        <w:ind w:left="3578" w:hanging="529"/>
      </w:pPr>
      <w:rPr>
        <w:rFonts w:hint="default"/>
        <w:lang w:val="en-US" w:eastAsia="zh-CN" w:bidi="ar-SA"/>
      </w:rPr>
    </w:lvl>
    <w:lvl w:ilvl="5">
      <w:start w:val="0"/>
      <w:numFmt w:val="bullet"/>
      <w:lvlText w:val="•"/>
      <w:lvlJc w:val="left"/>
      <w:pPr>
        <w:ind w:left="4272" w:hanging="529"/>
      </w:pPr>
      <w:rPr>
        <w:rFonts w:hint="default"/>
        <w:lang w:val="en-US" w:eastAsia="zh-CN" w:bidi="ar-SA"/>
      </w:rPr>
    </w:lvl>
    <w:lvl w:ilvl="6">
      <w:start w:val="0"/>
      <w:numFmt w:val="bullet"/>
      <w:lvlText w:val="•"/>
      <w:lvlJc w:val="left"/>
      <w:pPr>
        <w:ind w:left="4967" w:hanging="529"/>
      </w:pPr>
      <w:rPr>
        <w:rFonts w:hint="default"/>
        <w:lang w:val="en-US" w:eastAsia="zh-CN" w:bidi="ar-SA"/>
      </w:rPr>
    </w:lvl>
    <w:lvl w:ilvl="7">
      <w:start w:val="0"/>
      <w:numFmt w:val="bullet"/>
      <w:lvlText w:val="•"/>
      <w:lvlJc w:val="left"/>
      <w:pPr>
        <w:ind w:left="5661" w:hanging="529"/>
      </w:pPr>
      <w:rPr>
        <w:rFonts w:hint="default"/>
        <w:lang w:val="en-US" w:eastAsia="zh-CN" w:bidi="ar-SA"/>
      </w:rPr>
    </w:lvl>
    <w:lvl w:ilvl="8">
      <w:start w:val="0"/>
      <w:numFmt w:val="bullet"/>
      <w:lvlText w:val="•"/>
      <w:lvlJc w:val="left"/>
      <w:pPr>
        <w:ind w:left="6356" w:hanging="529"/>
      </w:pPr>
      <w:rPr>
        <w:rFonts w:hint="default"/>
        <w:lang w:val="en-US" w:eastAsia="zh-CN" w:bidi="ar-SA"/>
      </w:rPr>
    </w:lvl>
  </w:abstractNum>
  <w:abstractNum w:abstractNumId="30">
    <w:multiLevelType w:val="hybridMultilevel"/>
    <w:lvl w:ilvl="0">
      <w:start w:val="1"/>
      <w:numFmt w:val="decimal"/>
      <w:lvlText w:val="（%1）"/>
      <w:lvlJc w:val="left"/>
      <w:pPr>
        <w:ind w:left="794" w:hanging="529"/>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1494" w:hanging="529"/>
      </w:pPr>
      <w:rPr>
        <w:rFonts w:hint="default"/>
        <w:lang w:val="en-US" w:eastAsia="zh-CN" w:bidi="ar-SA"/>
      </w:rPr>
    </w:lvl>
    <w:lvl w:ilvl="2">
      <w:start w:val="0"/>
      <w:numFmt w:val="bullet"/>
      <w:lvlText w:val="•"/>
      <w:lvlJc w:val="left"/>
      <w:pPr>
        <w:ind w:left="2189" w:hanging="529"/>
      </w:pPr>
      <w:rPr>
        <w:rFonts w:hint="default"/>
        <w:lang w:val="en-US" w:eastAsia="zh-CN" w:bidi="ar-SA"/>
      </w:rPr>
    </w:lvl>
    <w:lvl w:ilvl="3">
      <w:start w:val="0"/>
      <w:numFmt w:val="bullet"/>
      <w:lvlText w:val="•"/>
      <w:lvlJc w:val="left"/>
      <w:pPr>
        <w:ind w:left="2883" w:hanging="529"/>
      </w:pPr>
      <w:rPr>
        <w:rFonts w:hint="default"/>
        <w:lang w:val="en-US" w:eastAsia="zh-CN" w:bidi="ar-SA"/>
      </w:rPr>
    </w:lvl>
    <w:lvl w:ilvl="4">
      <w:start w:val="0"/>
      <w:numFmt w:val="bullet"/>
      <w:lvlText w:val="•"/>
      <w:lvlJc w:val="left"/>
      <w:pPr>
        <w:ind w:left="3578" w:hanging="529"/>
      </w:pPr>
      <w:rPr>
        <w:rFonts w:hint="default"/>
        <w:lang w:val="en-US" w:eastAsia="zh-CN" w:bidi="ar-SA"/>
      </w:rPr>
    </w:lvl>
    <w:lvl w:ilvl="5">
      <w:start w:val="0"/>
      <w:numFmt w:val="bullet"/>
      <w:lvlText w:val="•"/>
      <w:lvlJc w:val="left"/>
      <w:pPr>
        <w:ind w:left="4273" w:hanging="529"/>
      </w:pPr>
      <w:rPr>
        <w:rFonts w:hint="default"/>
        <w:lang w:val="en-US" w:eastAsia="zh-CN" w:bidi="ar-SA"/>
      </w:rPr>
    </w:lvl>
    <w:lvl w:ilvl="6">
      <w:start w:val="0"/>
      <w:numFmt w:val="bullet"/>
      <w:lvlText w:val="•"/>
      <w:lvlJc w:val="left"/>
      <w:pPr>
        <w:ind w:left="4967" w:hanging="529"/>
      </w:pPr>
      <w:rPr>
        <w:rFonts w:hint="default"/>
        <w:lang w:val="en-US" w:eastAsia="zh-CN" w:bidi="ar-SA"/>
      </w:rPr>
    </w:lvl>
    <w:lvl w:ilvl="7">
      <w:start w:val="0"/>
      <w:numFmt w:val="bullet"/>
      <w:lvlText w:val="•"/>
      <w:lvlJc w:val="left"/>
      <w:pPr>
        <w:ind w:left="5662" w:hanging="529"/>
      </w:pPr>
      <w:rPr>
        <w:rFonts w:hint="default"/>
        <w:lang w:val="en-US" w:eastAsia="zh-CN" w:bidi="ar-SA"/>
      </w:rPr>
    </w:lvl>
    <w:lvl w:ilvl="8">
      <w:start w:val="0"/>
      <w:numFmt w:val="bullet"/>
      <w:lvlText w:val="•"/>
      <w:lvlJc w:val="left"/>
      <w:pPr>
        <w:ind w:left="6356" w:hanging="529"/>
      </w:pPr>
      <w:rPr>
        <w:rFonts w:hint="default"/>
        <w:lang w:val="en-US" w:eastAsia="zh-CN" w:bidi="ar-SA"/>
      </w:rPr>
    </w:lvl>
  </w:abstractNum>
  <w:abstractNum w:abstractNumId="29">
    <w:multiLevelType w:val="hybridMultilevel"/>
    <w:lvl w:ilvl="0">
      <w:start w:val="1"/>
      <w:numFmt w:val="decimal"/>
      <w:lvlText w:val="（%1）"/>
      <w:lvlJc w:val="left"/>
      <w:pPr>
        <w:ind w:left="265" w:hanging="529"/>
        <w:jc w:val="left"/>
      </w:pPr>
      <w:rPr>
        <w:rFonts w:hint="default" w:ascii="宋体" w:hAnsi="宋体" w:eastAsia="宋体" w:cs="宋体"/>
        <w:b w:val="0"/>
        <w:bCs w:val="0"/>
        <w:i w:val="0"/>
        <w:iCs w:val="0"/>
        <w:spacing w:val="-15"/>
        <w:w w:val="100"/>
        <w:sz w:val="19"/>
        <w:szCs w:val="19"/>
        <w:lang w:val="en-US" w:eastAsia="zh-CN" w:bidi="ar-SA"/>
      </w:rPr>
    </w:lvl>
    <w:lvl w:ilvl="1">
      <w:start w:val="0"/>
      <w:numFmt w:val="bullet"/>
      <w:lvlText w:val="•"/>
      <w:lvlJc w:val="left"/>
      <w:pPr>
        <w:ind w:left="1008" w:hanging="529"/>
      </w:pPr>
      <w:rPr>
        <w:rFonts w:hint="default"/>
        <w:lang w:val="en-US" w:eastAsia="zh-CN" w:bidi="ar-SA"/>
      </w:rPr>
    </w:lvl>
    <w:lvl w:ilvl="2">
      <w:start w:val="0"/>
      <w:numFmt w:val="bullet"/>
      <w:lvlText w:val="•"/>
      <w:lvlJc w:val="left"/>
      <w:pPr>
        <w:ind w:left="1757" w:hanging="529"/>
      </w:pPr>
      <w:rPr>
        <w:rFonts w:hint="default"/>
        <w:lang w:val="en-US" w:eastAsia="zh-CN" w:bidi="ar-SA"/>
      </w:rPr>
    </w:lvl>
    <w:lvl w:ilvl="3">
      <w:start w:val="0"/>
      <w:numFmt w:val="bullet"/>
      <w:lvlText w:val="•"/>
      <w:lvlJc w:val="left"/>
      <w:pPr>
        <w:ind w:left="2505" w:hanging="529"/>
      </w:pPr>
      <w:rPr>
        <w:rFonts w:hint="default"/>
        <w:lang w:val="en-US" w:eastAsia="zh-CN" w:bidi="ar-SA"/>
      </w:rPr>
    </w:lvl>
    <w:lvl w:ilvl="4">
      <w:start w:val="0"/>
      <w:numFmt w:val="bullet"/>
      <w:lvlText w:val="•"/>
      <w:lvlJc w:val="left"/>
      <w:pPr>
        <w:ind w:left="3254" w:hanging="529"/>
      </w:pPr>
      <w:rPr>
        <w:rFonts w:hint="default"/>
        <w:lang w:val="en-US" w:eastAsia="zh-CN" w:bidi="ar-SA"/>
      </w:rPr>
    </w:lvl>
    <w:lvl w:ilvl="5">
      <w:start w:val="0"/>
      <w:numFmt w:val="bullet"/>
      <w:lvlText w:val="•"/>
      <w:lvlJc w:val="left"/>
      <w:pPr>
        <w:ind w:left="4003" w:hanging="529"/>
      </w:pPr>
      <w:rPr>
        <w:rFonts w:hint="default"/>
        <w:lang w:val="en-US" w:eastAsia="zh-CN" w:bidi="ar-SA"/>
      </w:rPr>
    </w:lvl>
    <w:lvl w:ilvl="6">
      <w:start w:val="0"/>
      <w:numFmt w:val="bullet"/>
      <w:lvlText w:val="•"/>
      <w:lvlJc w:val="left"/>
      <w:pPr>
        <w:ind w:left="4751" w:hanging="529"/>
      </w:pPr>
      <w:rPr>
        <w:rFonts w:hint="default"/>
        <w:lang w:val="en-US" w:eastAsia="zh-CN" w:bidi="ar-SA"/>
      </w:rPr>
    </w:lvl>
    <w:lvl w:ilvl="7">
      <w:start w:val="0"/>
      <w:numFmt w:val="bullet"/>
      <w:lvlText w:val="•"/>
      <w:lvlJc w:val="left"/>
      <w:pPr>
        <w:ind w:left="5500" w:hanging="529"/>
      </w:pPr>
      <w:rPr>
        <w:rFonts w:hint="default"/>
        <w:lang w:val="en-US" w:eastAsia="zh-CN" w:bidi="ar-SA"/>
      </w:rPr>
    </w:lvl>
    <w:lvl w:ilvl="8">
      <w:start w:val="0"/>
      <w:numFmt w:val="bullet"/>
      <w:lvlText w:val="•"/>
      <w:lvlJc w:val="left"/>
      <w:pPr>
        <w:ind w:left="6248" w:hanging="529"/>
      </w:pPr>
      <w:rPr>
        <w:rFonts w:hint="default"/>
        <w:lang w:val="en-US" w:eastAsia="zh-CN" w:bidi="ar-SA"/>
      </w:rPr>
    </w:lvl>
  </w:abstractNum>
  <w:abstractNum w:abstractNumId="28">
    <w:multiLevelType w:val="hybridMultilevel"/>
    <w:lvl w:ilvl="0">
      <w:start w:val="9"/>
      <w:numFmt w:val="decimal"/>
      <w:lvlText w:val="%1"/>
      <w:lvlJc w:val="left"/>
      <w:pPr>
        <w:ind w:left="1713" w:hanging="1138"/>
        <w:jc w:val="left"/>
      </w:pPr>
      <w:rPr>
        <w:rFonts w:hint="default"/>
        <w:lang w:val="en-US" w:eastAsia="zh-CN" w:bidi="ar-SA"/>
      </w:rPr>
    </w:lvl>
    <w:lvl w:ilvl="1">
      <w:start w:val="7"/>
      <w:numFmt w:val="decimal"/>
      <w:lvlText w:val="%1.%2"/>
      <w:lvlJc w:val="left"/>
      <w:pPr>
        <w:ind w:left="1713" w:hanging="1138"/>
        <w:jc w:val="left"/>
      </w:pPr>
      <w:rPr>
        <w:rFonts w:hint="default"/>
        <w:lang w:val="en-US" w:eastAsia="zh-CN" w:bidi="ar-SA"/>
      </w:rPr>
    </w:lvl>
    <w:lvl w:ilvl="2">
      <w:start w:val="19"/>
      <w:numFmt w:val="decimal"/>
      <w:lvlText w:val="%1.%2.%3"/>
      <w:lvlJc w:val="left"/>
      <w:pPr>
        <w:ind w:left="1713" w:hanging="1138"/>
        <w:jc w:val="left"/>
      </w:pPr>
      <w:rPr>
        <w:rFonts w:hint="default" w:ascii="宋体" w:hAnsi="宋体" w:eastAsia="宋体" w:cs="宋体"/>
        <w:b/>
        <w:bCs/>
        <w:i w:val="0"/>
        <w:iCs w:val="0"/>
        <w:w w:val="99"/>
        <w:sz w:val="21"/>
        <w:szCs w:val="21"/>
        <w:lang w:val="en-US" w:eastAsia="zh-CN" w:bidi="ar-SA"/>
      </w:rPr>
    </w:lvl>
    <w:lvl w:ilvl="3">
      <w:start w:val="0"/>
      <w:numFmt w:val="bullet"/>
      <w:lvlText w:val="•"/>
      <w:lvlJc w:val="left"/>
      <w:pPr>
        <w:ind w:left="2098" w:hanging="1138"/>
      </w:pPr>
      <w:rPr>
        <w:rFonts w:hint="default"/>
        <w:lang w:val="en-US" w:eastAsia="zh-CN" w:bidi="ar-SA"/>
      </w:rPr>
    </w:lvl>
    <w:lvl w:ilvl="4">
      <w:start w:val="0"/>
      <w:numFmt w:val="bullet"/>
      <w:lvlText w:val="•"/>
      <w:lvlJc w:val="left"/>
      <w:pPr>
        <w:ind w:left="2224" w:hanging="1138"/>
      </w:pPr>
      <w:rPr>
        <w:rFonts w:hint="default"/>
        <w:lang w:val="en-US" w:eastAsia="zh-CN" w:bidi="ar-SA"/>
      </w:rPr>
    </w:lvl>
    <w:lvl w:ilvl="5">
      <w:start w:val="0"/>
      <w:numFmt w:val="bullet"/>
      <w:lvlText w:val="•"/>
      <w:lvlJc w:val="left"/>
      <w:pPr>
        <w:ind w:left="2350" w:hanging="1138"/>
      </w:pPr>
      <w:rPr>
        <w:rFonts w:hint="default"/>
        <w:lang w:val="en-US" w:eastAsia="zh-CN" w:bidi="ar-SA"/>
      </w:rPr>
    </w:lvl>
    <w:lvl w:ilvl="6">
      <w:start w:val="0"/>
      <w:numFmt w:val="bullet"/>
      <w:lvlText w:val="•"/>
      <w:lvlJc w:val="left"/>
      <w:pPr>
        <w:ind w:left="2476" w:hanging="1138"/>
      </w:pPr>
      <w:rPr>
        <w:rFonts w:hint="default"/>
        <w:lang w:val="en-US" w:eastAsia="zh-CN" w:bidi="ar-SA"/>
      </w:rPr>
    </w:lvl>
    <w:lvl w:ilvl="7">
      <w:start w:val="0"/>
      <w:numFmt w:val="bullet"/>
      <w:lvlText w:val="•"/>
      <w:lvlJc w:val="left"/>
      <w:pPr>
        <w:ind w:left="2602" w:hanging="1138"/>
      </w:pPr>
      <w:rPr>
        <w:rFonts w:hint="default"/>
        <w:lang w:val="en-US" w:eastAsia="zh-CN" w:bidi="ar-SA"/>
      </w:rPr>
    </w:lvl>
    <w:lvl w:ilvl="8">
      <w:start w:val="0"/>
      <w:numFmt w:val="bullet"/>
      <w:lvlText w:val="•"/>
      <w:lvlJc w:val="left"/>
      <w:pPr>
        <w:ind w:left="2728" w:hanging="1138"/>
      </w:pPr>
      <w:rPr>
        <w:rFonts w:hint="default"/>
        <w:lang w:val="en-US" w:eastAsia="zh-CN" w:bidi="ar-SA"/>
      </w:rPr>
    </w:lvl>
  </w:abstractNum>
  <w:abstractNum w:abstractNumId="27">
    <w:multiLevelType w:val="hybridMultilevel"/>
    <w:lvl w:ilvl="0">
      <w:start w:val="1"/>
      <w:numFmt w:val="decimal"/>
      <w:lvlText w:val="（%1）"/>
      <w:lvlJc w:val="left"/>
      <w:pPr>
        <w:ind w:left="15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864" w:hanging="529"/>
      </w:pPr>
      <w:rPr>
        <w:rFonts w:hint="default"/>
        <w:lang w:val="en-US" w:eastAsia="zh-CN" w:bidi="ar-SA"/>
      </w:rPr>
    </w:lvl>
    <w:lvl w:ilvl="2">
      <w:start w:val="0"/>
      <w:numFmt w:val="bullet"/>
      <w:lvlText w:val="•"/>
      <w:lvlJc w:val="left"/>
      <w:pPr>
        <w:ind w:left="1569" w:hanging="529"/>
      </w:pPr>
      <w:rPr>
        <w:rFonts w:hint="default"/>
        <w:lang w:val="en-US" w:eastAsia="zh-CN" w:bidi="ar-SA"/>
      </w:rPr>
    </w:lvl>
    <w:lvl w:ilvl="3">
      <w:start w:val="0"/>
      <w:numFmt w:val="bullet"/>
      <w:lvlText w:val="•"/>
      <w:lvlJc w:val="left"/>
      <w:pPr>
        <w:ind w:left="2274" w:hanging="529"/>
      </w:pPr>
      <w:rPr>
        <w:rFonts w:hint="default"/>
        <w:lang w:val="en-US" w:eastAsia="zh-CN" w:bidi="ar-SA"/>
      </w:rPr>
    </w:lvl>
    <w:lvl w:ilvl="4">
      <w:start w:val="0"/>
      <w:numFmt w:val="bullet"/>
      <w:lvlText w:val="•"/>
      <w:lvlJc w:val="left"/>
      <w:pPr>
        <w:ind w:left="2979" w:hanging="529"/>
      </w:pPr>
      <w:rPr>
        <w:rFonts w:hint="default"/>
        <w:lang w:val="en-US" w:eastAsia="zh-CN" w:bidi="ar-SA"/>
      </w:rPr>
    </w:lvl>
    <w:lvl w:ilvl="5">
      <w:start w:val="0"/>
      <w:numFmt w:val="bullet"/>
      <w:lvlText w:val="•"/>
      <w:lvlJc w:val="left"/>
      <w:pPr>
        <w:ind w:left="3684" w:hanging="529"/>
      </w:pPr>
      <w:rPr>
        <w:rFonts w:hint="default"/>
        <w:lang w:val="en-US" w:eastAsia="zh-CN" w:bidi="ar-SA"/>
      </w:rPr>
    </w:lvl>
    <w:lvl w:ilvl="6">
      <w:start w:val="0"/>
      <w:numFmt w:val="bullet"/>
      <w:lvlText w:val="•"/>
      <w:lvlJc w:val="left"/>
      <w:pPr>
        <w:ind w:left="4388" w:hanging="529"/>
      </w:pPr>
      <w:rPr>
        <w:rFonts w:hint="default"/>
        <w:lang w:val="en-US" w:eastAsia="zh-CN" w:bidi="ar-SA"/>
      </w:rPr>
    </w:lvl>
    <w:lvl w:ilvl="7">
      <w:start w:val="0"/>
      <w:numFmt w:val="bullet"/>
      <w:lvlText w:val="•"/>
      <w:lvlJc w:val="left"/>
      <w:pPr>
        <w:ind w:left="5093" w:hanging="529"/>
      </w:pPr>
      <w:rPr>
        <w:rFonts w:hint="default"/>
        <w:lang w:val="en-US" w:eastAsia="zh-CN" w:bidi="ar-SA"/>
      </w:rPr>
    </w:lvl>
    <w:lvl w:ilvl="8">
      <w:start w:val="0"/>
      <w:numFmt w:val="bullet"/>
      <w:lvlText w:val="•"/>
      <w:lvlJc w:val="left"/>
      <w:pPr>
        <w:ind w:left="5798" w:hanging="529"/>
      </w:pPr>
      <w:rPr>
        <w:rFonts w:hint="default"/>
        <w:lang w:val="en-US" w:eastAsia="zh-CN" w:bidi="ar-SA"/>
      </w:rPr>
    </w:lvl>
  </w:abstractNum>
  <w:abstractNum w:abstractNumId="26">
    <w:multiLevelType w:val="hybridMultilevel"/>
    <w:lvl w:ilvl="0">
      <w:start w:val="1"/>
      <w:numFmt w:val="decimal"/>
      <w:lvlText w:val="（%1）"/>
      <w:lvlJc w:val="left"/>
      <w:pPr>
        <w:ind w:left="68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2" w:hanging="529"/>
      </w:pPr>
      <w:rPr>
        <w:rFonts w:hint="default"/>
        <w:lang w:val="en-US" w:eastAsia="zh-CN" w:bidi="ar-SA"/>
      </w:rPr>
    </w:lvl>
    <w:lvl w:ilvl="2">
      <w:start w:val="0"/>
      <w:numFmt w:val="bullet"/>
      <w:lvlText w:val="•"/>
      <w:lvlJc w:val="left"/>
      <w:pPr>
        <w:ind w:left="1985" w:hanging="529"/>
      </w:pPr>
      <w:rPr>
        <w:rFonts w:hint="default"/>
        <w:lang w:val="en-US" w:eastAsia="zh-CN" w:bidi="ar-SA"/>
      </w:rPr>
    </w:lvl>
    <w:lvl w:ilvl="3">
      <w:start w:val="0"/>
      <w:numFmt w:val="bullet"/>
      <w:lvlText w:val="•"/>
      <w:lvlJc w:val="left"/>
      <w:pPr>
        <w:ind w:left="2638" w:hanging="529"/>
      </w:pPr>
      <w:rPr>
        <w:rFonts w:hint="default"/>
        <w:lang w:val="en-US" w:eastAsia="zh-CN" w:bidi="ar-SA"/>
      </w:rPr>
    </w:lvl>
    <w:lvl w:ilvl="4">
      <w:start w:val="0"/>
      <w:numFmt w:val="bullet"/>
      <w:lvlText w:val="•"/>
      <w:lvlJc w:val="left"/>
      <w:pPr>
        <w:ind w:left="3291" w:hanging="529"/>
      </w:pPr>
      <w:rPr>
        <w:rFonts w:hint="default"/>
        <w:lang w:val="en-US" w:eastAsia="zh-CN" w:bidi="ar-SA"/>
      </w:rPr>
    </w:lvl>
    <w:lvl w:ilvl="5">
      <w:start w:val="0"/>
      <w:numFmt w:val="bullet"/>
      <w:lvlText w:val="•"/>
      <w:lvlJc w:val="left"/>
      <w:pPr>
        <w:ind w:left="3944" w:hanging="529"/>
      </w:pPr>
      <w:rPr>
        <w:rFonts w:hint="default"/>
        <w:lang w:val="en-US" w:eastAsia="zh-CN" w:bidi="ar-SA"/>
      </w:rPr>
    </w:lvl>
    <w:lvl w:ilvl="6">
      <w:start w:val="0"/>
      <w:numFmt w:val="bullet"/>
      <w:lvlText w:val="•"/>
      <w:lvlJc w:val="left"/>
      <w:pPr>
        <w:ind w:left="4596" w:hanging="529"/>
      </w:pPr>
      <w:rPr>
        <w:rFonts w:hint="default"/>
        <w:lang w:val="en-US" w:eastAsia="zh-CN" w:bidi="ar-SA"/>
      </w:rPr>
    </w:lvl>
    <w:lvl w:ilvl="7">
      <w:start w:val="0"/>
      <w:numFmt w:val="bullet"/>
      <w:lvlText w:val="•"/>
      <w:lvlJc w:val="left"/>
      <w:pPr>
        <w:ind w:left="5249" w:hanging="529"/>
      </w:pPr>
      <w:rPr>
        <w:rFonts w:hint="default"/>
        <w:lang w:val="en-US" w:eastAsia="zh-CN" w:bidi="ar-SA"/>
      </w:rPr>
    </w:lvl>
    <w:lvl w:ilvl="8">
      <w:start w:val="0"/>
      <w:numFmt w:val="bullet"/>
      <w:lvlText w:val="•"/>
      <w:lvlJc w:val="left"/>
      <w:pPr>
        <w:ind w:left="5902" w:hanging="529"/>
      </w:pPr>
      <w:rPr>
        <w:rFonts w:hint="default"/>
        <w:lang w:val="en-US" w:eastAsia="zh-CN" w:bidi="ar-SA"/>
      </w:rPr>
    </w:lvl>
  </w:abstractNum>
  <w:abstractNum w:abstractNumId="25">
    <w:multiLevelType w:val="hybridMultilevel"/>
    <w:lvl w:ilvl="0">
      <w:start w:val="1"/>
      <w:numFmt w:val="decimal"/>
      <w:lvlText w:val="（%1）"/>
      <w:lvlJc w:val="left"/>
      <w:pPr>
        <w:ind w:left="15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864" w:hanging="529"/>
      </w:pPr>
      <w:rPr>
        <w:rFonts w:hint="default"/>
        <w:lang w:val="en-US" w:eastAsia="zh-CN" w:bidi="ar-SA"/>
      </w:rPr>
    </w:lvl>
    <w:lvl w:ilvl="2">
      <w:start w:val="0"/>
      <w:numFmt w:val="bullet"/>
      <w:lvlText w:val="•"/>
      <w:lvlJc w:val="left"/>
      <w:pPr>
        <w:ind w:left="1569" w:hanging="529"/>
      </w:pPr>
      <w:rPr>
        <w:rFonts w:hint="default"/>
        <w:lang w:val="en-US" w:eastAsia="zh-CN" w:bidi="ar-SA"/>
      </w:rPr>
    </w:lvl>
    <w:lvl w:ilvl="3">
      <w:start w:val="0"/>
      <w:numFmt w:val="bullet"/>
      <w:lvlText w:val="•"/>
      <w:lvlJc w:val="left"/>
      <w:pPr>
        <w:ind w:left="2274" w:hanging="529"/>
      </w:pPr>
      <w:rPr>
        <w:rFonts w:hint="default"/>
        <w:lang w:val="en-US" w:eastAsia="zh-CN" w:bidi="ar-SA"/>
      </w:rPr>
    </w:lvl>
    <w:lvl w:ilvl="4">
      <w:start w:val="0"/>
      <w:numFmt w:val="bullet"/>
      <w:lvlText w:val="•"/>
      <w:lvlJc w:val="left"/>
      <w:pPr>
        <w:ind w:left="2979" w:hanging="529"/>
      </w:pPr>
      <w:rPr>
        <w:rFonts w:hint="default"/>
        <w:lang w:val="en-US" w:eastAsia="zh-CN" w:bidi="ar-SA"/>
      </w:rPr>
    </w:lvl>
    <w:lvl w:ilvl="5">
      <w:start w:val="0"/>
      <w:numFmt w:val="bullet"/>
      <w:lvlText w:val="•"/>
      <w:lvlJc w:val="left"/>
      <w:pPr>
        <w:ind w:left="3684" w:hanging="529"/>
      </w:pPr>
      <w:rPr>
        <w:rFonts w:hint="default"/>
        <w:lang w:val="en-US" w:eastAsia="zh-CN" w:bidi="ar-SA"/>
      </w:rPr>
    </w:lvl>
    <w:lvl w:ilvl="6">
      <w:start w:val="0"/>
      <w:numFmt w:val="bullet"/>
      <w:lvlText w:val="•"/>
      <w:lvlJc w:val="left"/>
      <w:pPr>
        <w:ind w:left="4388" w:hanging="529"/>
      </w:pPr>
      <w:rPr>
        <w:rFonts w:hint="default"/>
        <w:lang w:val="en-US" w:eastAsia="zh-CN" w:bidi="ar-SA"/>
      </w:rPr>
    </w:lvl>
    <w:lvl w:ilvl="7">
      <w:start w:val="0"/>
      <w:numFmt w:val="bullet"/>
      <w:lvlText w:val="•"/>
      <w:lvlJc w:val="left"/>
      <w:pPr>
        <w:ind w:left="5093" w:hanging="529"/>
      </w:pPr>
      <w:rPr>
        <w:rFonts w:hint="default"/>
        <w:lang w:val="en-US" w:eastAsia="zh-CN" w:bidi="ar-SA"/>
      </w:rPr>
    </w:lvl>
    <w:lvl w:ilvl="8">
      <w:start w:val="0"/>
      <w:numFmt w:val="bullet"/>
      <w:lvlText w:val="•"/>
      <w:lvlJc w:val="left"/>
      <w:pPr>
        <w:ind w:left="5798" w:hanging="529"/>
      </w:pPr>
      <w:rPr>
        <w:rFonts w:hint="default"/>
        <w:lang w:val="en-US" w:eastAsia="zh-CN" w:bidi="ar-SA"/>
      </w:rPr>
    </w:lvl>
  </w:abstractNum>
  <w:abstractNum w:abstractNumId="24">
    <w:multiLevelType w:val="hybridMultilevel"/>
    <w:lvl w:ilvl="0">
      <w:start w:val="1"/>
      <w:numFmt w:val="decimal"/>
      <w:lvlText w:val="（%1）"/>
      <w:lvlJc w:val="left"/>
      <w:pPr>
        <w:ind w:left="68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2" w:hanging="529"/>
      </w:pPr>
      <w:rPr>
        <w:rFonts w:hint="default"/>
        <w:lang w:val="en-US" w:eastAsia="zh-CN" w:bidi="ar-SA"/>
      </w:rPr>
    </w:lvl>
    <w:lvl w:ilvl="2">
      <w:start w:val="0"/>
      <w:numFmt w:val="bullet"/>
      <w:lvlText w:val="•"/>
      <w:lvlJc w:val="left"/>
      <w:pPr>
        <w:ind w:left="1985" w:hanging="529"/>
      </w:pPr>
      <w:rPr>
        <w:rFonts w:hint="default"/>
        <w:lang w:val="en-US" w:eastAsia="zh-CN" w:bidi="ar-SA"/>
      </w:rPr>
    </w:lvl>
    <w:lvl w:ilvl="3">
      <w:start w:val="0"/>
      <w:numFmt w:val="bullet"/>
      <w:lvlText w:val="•"/>
      <w:lvlJc w:val="left"/>
      <w:pPr>
        <w:ind w:left="2638" w:hanging="529"/>
      </w:pPr>
      <w:rPr>
        <w:rFonts w:hint="default"/>
        <w:lang w:val="en-US" w:eastAsia="zh-CN" w:bidi="ar-SA"/>
      </w:rPr>
    </w:lvl>
    <w:lvl w:ilvl="4">
      <w:start w:val="0"/>
      <w:numFmt w:val="bullet"/>
      <w:lvlText w:val="•"/>
      <w:lvlJc w:val="left"/>
      <w:pPr>
        <w:ind w:left="3291" w:hanging="529"/>
      </w:pPr>
      <w:rPr>
        <w:rFonts w:hint="default"/>
        <w:lang w:val="en-US" w:eastAsia="zh-CN" w:bidi="ar-SA"/>
      </w:rPr>
    </w:lvl>
    <w:lvl w:ilvl="5">
      <w:start w:val="0"/>
      <w:numFmt w:val="bullet"/>
      <w:lvlText w:val="•"/>
      <w:lvlJc w:val="left"/>
      <w:pPr>
        <w:ind w:left="3944" w:hanging="529"/>
      </w:pPr>
      <w:rPr>
        <w:rFonts w:hint="default"/>
        <w:lang w:val="en-US" w:eastAsia="zh-CN" w:bidi="ar-SA"/>
      </w:rPr>
    </w:lvl>
    <w:lvl w:ilvl="6">
      <w:start w:val="0"/>
      <w:numFmt w:val="bullet"/>
      <w:lvlText w:val="•"/>
      <w:lvlJc w:val="left"/>
      <w:pPr>
        <w:ind w:left="4596" w:hanging="529"/>
      </w:pPr>
      <w:rPr>
        <w:rFonts w:hint="default"/>
        <w:lang w:val="en-US" w:eastAsia="zh-CN" w:bidi="ar-SA"/>
      </w:rPr>
    </w:lvl>
    <w:lvl w:ilvl="7">
      <w:start w:val="0"/>
      <w:numFmt w:val="bullet"/>
      <w:lvlText w:val="•"/>
      <w:lvlJc w:val="left"/>
      <w:pPr>
        <w:ind w:left="5249" w:hanging="529"/>
      </w:pPr>
      <w:rPr>
        <w:rFonts w:hint="default"/>
        <w:lang w:val="en-US" w:eastAsia="zh-CN" w:bidi="ar-SA"/>
      </w:rPr>
    </w:lvl>
    <w:lvl w:ilvl="8">
      <w:start w:val="0"/>
      <w:numFmt w:val="bullet"/>
      <w:lvlText w:val="•"/>
      <w:lvlJc w:val="left"/>
      <w:pPr>
        <w:ind w:left="5902" w:hanging="529"/>
      </w:pPr>
      <w:rPr>
        <w:rFonts w:hint="default"/>
        <w:lang w:val="en-US" w:eastAsia="zh-CN" w:bidi="ar-SA"/>
      </w:rPr>
    </w:lvl>
  </w:abstractNum>
  <w:abstractNum w:abstractNumId="23">
    <w:multiLevelType w:val="hybridMultilevel"/>
    <w:lvl w:ilvl="0">
      <w:start w:val="2"/>
      <w:numFmt w:val="decimal"/>
      <w:lvlText w:val="（%1）"/>
      <w:lvlJc w:val="left"/>
      <w:pPr>
        <w:ind w:left="68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2" w:hanging="529"/>
      </w:pPr>
      <w:rPr>
        <w:rFonts w:hint="default"/>
        <w:lang w:val="en-US" w:eastAsia="zh-CN" w:bidi="ar-SA"/>
      </w:rPr>
    </w:lvl>
    <w:lvl w:ilvl="2">
      <w:start w:val="0"/>
      <w:numFmt w:val="bullet"/>
      <w:lvlText w:val="•"/>
      <w:lvlJc w:val="left"/>
      <w:pPr>
        <w:ind w:left="1985" w:hanging="529"/>
      </w:pPr>
      <w:rPr>
        <w:rFonts w:hint="default"/>
        <w:lang w:val="en-US" w:eastAsia="zh-CN" w:bidi="ar-SA"/>
      </w:rPr>
    </w:lvl>
    <w:lvl w:ilvl="3">
      <w:start w:val="0"/>
      <w:numFmt w:val="bullet"/>
      <w:lvlText w:val="•"/>
      <w:lvlJc w:val="left"/>
      <w:pPr>
        <w:ind w:left="2638" w:hanging="529"/>
      </w:pPr>
      <w:rPr>
        <w:rFonts w:hint="default"/>
        <w:lang w:val="en-US" w:eastAsia="zh-CN" w:bidi="ar-SA"/>
      </w:rPr>
    </w:lvl>
    <w:lvl w:ilvl="4">
      <w:start w:val="0"/>
      <w:numFmt w:val="bullet"/>
      <w:lvlText w:val="•"/>
      <w:lvlJc w:val="left"/>
      <w:pPr>
        <w:ind w:left="3291" w:hanging="529"/>
      </w:pPr>
      <w:rPr>
        <w:rFonts w:hint="default"/>
        <w:lang w:val="en-US" w:eastAsia="zh-CN" w:bidi="ar-SA"/>
      </w:rPr>
    </w:lvl>
    <w:lvl w:ilvl="5">
      <w:start w:val="0"/>
      <w:numFmt w:val="bullet"/>
      <w:lvlText w:val="•"/>
      <w:lvlJc w:val="left"/>
      <w:pPr>
        <w:ind w:left="3944" w:hanging="529"/>
      </w:pPr>
      <w:rPr>
        <w:rFonts w:hint="default"/>
        <w:lang w:val="en-US" w:eastAsia="zh-CN" w:bidi="ar-SA"/>
      </w:rPr>
    </w:lvl>
    <w:lvl w:ilvl="6">
      <w:start w:val="0"/>
      <w:numFmt w:val="bullet"/>
      <w:lvlText w:val="•"/>
      <w:lvlJc w:val="left"/>
      <w:pPr>
        <w:ind w:left="4596" w:hanging="529"/>
      </w:pPr>
      <w:rPr>
        <w:rFonts w:hint="default"/>
        <w:lang w:val="en-US" w:eastAsia="zh-CN" w:bidi="ar-SA"/>
      </w:rPr>
    </w:lvl>
    <w:lvl w:ilvl="7">
      <w:start w:val="0"/>
      <w:numFmt w:val="bullet"/>
      <w:lvlText w:val="•"/>
      <w:lvlJc w:val="left"/>
      <w:pPr>
        <w:ind w:left="5249" w:hanging="529"/>
      </w:pPr>
      <w:rPr>
        <w:rFonts w:hint="default"/>
        <w:lang w:val="en-US" w:eastAsia="zh-CN" w:bidi="ar-SA"/>
      </w:rPr>
    </w:lvl>
    <w:lvl w:ilvl="8">
      <w:start w:val="0"/>
      <w:numFmt w:val="bullet"/>
      <w:lvlText w:val="•"/>
      <w:lvlJc w:val="left"/>
      <w:pPr>
        <w:ind w:left="5902" w:hanging="529"/>
      </w:pPr>
      <w:rPr>
        <w:rFonts w:hint="default"/>
        <w:lang w:val="en-US" w:eastAsia="zh-CN" w:bidi="ar-SA"/>
      </w:rPr>
    </w:lvl>
  </w:abstractNum>
  <w:abstractNum w:abstractNumId="22">
    <w:multiLevelType w:val="hybridMultilevel"/>
    <w:lvl w:ilvl="0">
      <w:start w:val="1"/>
      <w:numFmt w:val="decimal"/>
      <w:lvlText w:val="（%1）"/>
      <w:lvlJc w:val="left"/>
      <w:pPr>
        <w:ind w:left="26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008" w:hanging="529"/>
      </w:pPr>
      <w:rPr>
        <w:rFonts w:hint="default"/>
        <w:lang w:val="en-US" w:eastAsia="zh-CN" w:bidi="ar-SA"/>
      </w:rPr>
    </w:lvl>
    <w:lvl w:ilvl="2">
      <w:start w:val="0"/>
      <w:numFmt w:val="bullet"/>
      <w:lvlText w:val="•"/>
      <w:lvlJc w:val="left"/>
      <w:pPr>
        <w:ind w:left="1757" w:hanging="529"/>
      </w:pPr>
      <w:rPr>
        <w:rFonts w:hint="default"/>
        <w:lang w:val="en-US" w:eastAsia="zh-CN" w:bidi="ar-SA"/>
      </w:rPr>
    </w:lvl>
    <w:lvl w:ilvl="3">
      <w:start w:val="0"/>
      <w:numFmt w:val="bullet"/>
      <w:lvlText w:val="•"/>
      <w:lvlJc w:val="left"/>
      <w:pPr>
        <w:ind w:left="2505" w:hanging="529"/>
      </w:pPr>
      <w:rPr>
        <w:rFonts w:hint="default"/>
        <w:lang w:val="en-US" w:eastAsia="zh-CN" w:bidi="ar-SA"/>
      </w:rPr>
    </w:lvl>
    <w:lvl w:ilvl="4">
      <w:start w:val="0"/>
      <w:numFmt w:val="bullet"/>
      <w:lvlText w:val="•"/>
      <w:lvlJc w:val="left"/>
      <w:pPr>
        <w:ind w:left="3254" w:hanging="529"/>
      </w:pPr>
      <w:rPr>
        <w:rFonts w:hint="default"/>
        <w:lang w:val="en-US" w:eastAsia="zh-CN" w:bidi="ar-SA"/>
      </w:rPr>
    </w:lvl>
    <w:lvl w:ilvl="5">
      <w:start w:val="0"/>
      <w:numFmt w:val="bullet"/>
      <w:lvlText w:val="•"/>
      <w:lvlJc w:val="left"/>
      <w:pPr>
        <w:ind w:left="4003" w:hanging="529"/>
      </w:pPr>
      <w:rPr>
        <w:rFonts w:hint="default"/>
        <w:lang w:val="en-US" w:eastAsia="zh-CN" w:bidi="ar-SA"/>
      </w:rPr>
    </w:lvl>
    <w:lvl w:ilvl="6">
      <w:start w:val="0"/>
      <w:numFmt w:val="bullet"/>
      <w:lvlText w:val="•"/>
      <w:lvlJc w:val="left"/>
      <w:pPr>
        <w:ind w:left="4751" w:hanging="529"/>
      </w:pPr>
      <w:rPr>
        <w:rFonts w:hint="default"/>
        <w:lang w:val="en-US" w:eastAsia="zh-CN" w:bidi="ar-SA"/>
      </w:rPr>
    </w:lvl>
    <w:lvl w:ilvl="7">
      <w:start w:val="0"/>
      <w:numFmt w:val="bullet"/>
      <w:lvlText w:val="•"/>
      <w:lvlJc w:val="left"/>
      <w:pPr>
        <w:ind w:left="5500" w:hanging="529"/>
      </w:pPr>
      <w:rPr>
        <w:rFonts w:hint="default"/>
        <w:lang w:val="en-US" w:eastAsia="zh-CN" w:bidi="ar-SA"/>
      </w:rPr>
    </w:lvl>
    <w:lvl w:ilvl="8">
      <w:start w:val="0"/>
      <w:numFmt w:val="bullet"/>
      <w:lvlText w:val="•"/>
      <w:lvlJc w:val="left"/>
      <w:pPr>
        <w:ind w:left="6248" w:hanging="529"/>
      </w:pPr>
      <w:rPr>
        <w:rFonts w:hint="default"/>
        <w:lang w:val="en-US" w:eastAsia="zh-CN" w:bidi="ar-SA"/>
      </w:rPr>
    </w:lvl>
  </w:abstractNum>
  <w:abstractNum w:abstractNumId="21">
    <w:multiLevelType w:val="hybridMultilevel"/>
    <w:lvl w:ilvl="0">
      <w:start w:val="1"/>
      <w:numFmt w:val="decimal"/>
      <w:lvlText w:val="（%1）"/>
      <w:lvlJc w:val="left"/>
      <w:pPr>
        <w:ind w:left="3814" w:hanging="529"/>
        <w:jc w:val="left"/>
      </w:pPr>
      <w:rPr>
        <w:rFonts w:hint="default" w:ascii="宋体" w:hAnsi="宋体" w:eastAsia="宋体" w:cs="宋体"/>
        <w:b/>
        <w:bCs/>
        <w:i/>
        <w:iCs/>
        <w:spacing w:val="-3"/>
        <w:w w:val="95"/>
        <w:sz w:val="20"/>
        <w:szCs w:val="20"/>
        <w:lang w:val="en-US" w:eastAsia="zh-CN" w:bidi="ar-SA"/>
      </w:rPr>
    </w:lvl>
    <w:lvl w:ilvl="1">
      <w:start w:val="0"/>
      <w:numFmt w:val="bullet"/>
      <w:lvlText w:val="•"/>
      <w:lvlJc w:val="left"/>
      <w:pPr>
        <w:ind w:left="4514" w:hanging="529"/>
      </w:pPr>
      <w:rPr>
        <w:rFonts w:hint="default"/>
        <w:lang w:val="en-US" w:eastAsia="zh-CN" w:bidi="ar-SA"/>
      </w:rPr>
    </w:lvl>
    <w:lvl w:ilvl="2">
      <w:start w:val="0"/>
      <w:numFmt w:val="bullet"/>
      <w:lvlText w:val="•"/>
      <w:lvlJc w:val="left"/>
      <w:pPr>
        <w:ind w:left="5209" w:hanging="529"/>
      </w:pPr>
      <w:rPr>
        <w:rFonts w:hint="default"/>
        <w:lang w:val="en-US" w:eastAsia="zh-CN" w:bidi="ar-SA"/>
      </w:rPr>
    </w:lvl>
    <w:lvl w:ilvl="3">
      <w:start w:val="0"/>
      <w:numFmt w:val="bullet"/>
      <w:lvlText w:val="•"/>
      <w:lvlJc w:val="left"/>
      <w:pPr>
        <w:ind w:left="5903" w:hanging="529"/>
      </w:pPr>
      <w:rPr>
        <w:rFonts w:hint="default"/>
        <w:lang w:val="en-US" w:eastAsia="zh-CN" w:bidi="ar-SA"/>
      </w:rPr>
    </w:lvl>
    <w:lvl w:ilvl="4">
      <w:start w:val="0"/>
      <w:numFmt w:val="bullet"/>
      <w:lvlText w:val="•"/>
      <w:lvlJc w:val="left"/>
      <w:pPr>
        <w:ind w:left="6598" w:hanging="529"/>
      </w:pPr>
      <w:rPr>
        <w:rFonts w:hint="default"/>
        <w:lang w:val="en-US" w:eastAsia="zh-CN" w:bidi="ar-SA"/>
      </w:rPr>
    </w:lvl>
    <w:lvl w:ilvl="5">
      <w:start w:val="0"/>
      <w:numFmt w:val="bullet"/>
      <w:lvlText w:val="•"/>
      <w:lvlJc w:val="left"/>
      <w:pPr>
        <w:ind w:left="7293" w:hanging="529"/>
      </w:pPr>
      <w:rPr>
        <w:rFonts w:hint="default"/>
        <w:lang w:val="en-US" w:eastAsia="zh-CN" w:bidi="ar-SA"/>
      </w:rPr>
    </w:lvl>
    <w:lvl w:ilvl="6">
      <w:start w:val="0"/>
      <w:numFmt w:val="bullet"/>
      <w:lvlText w:val="•"/>
      <w:lvlJc w:val="left"/>
      <w:pPr>
        <w:ind w:left="7987" w:hanging="529"/>
      </w:pPr>
      <w:rPr>
        <w:rFonts w:hint="default"/>
        <w:lang w:val="en-US" w:eastAsia="zh-CN" w:bidi="ar-SA"/>
      </w:rPr>
    </w:lvl>
    <w:lvl w:ilvl="7">
      <w:start w:val="0"/>
      <w:numFmt w:val="bullet"/>
      <w:lvlText w:val="•"/>
      <w:lvlJc w:val="left"/>
      <w:pPr>
        <w:ind w:left="8682" w:hanging="529"/>
      </w:pPr>
      <w:rPr>
        <w:rFonts w:hint="default"/>
        <w:lang w:val="en-US" w:eastAsia="zh-CN" w:bidi="ar-SA"/>
      </w:rPr>
    </w:lvl>
    <w:lvl w:ilvl="8">
      <w:start w:val="0"/>
      <w:numFmt w:val="bullet"/>
      <w:lvlText w:val="•"/>
      <w:lvlJc w:val="left"/>
      <w:pPr>
        <w:ind w:left="9377" w:hanging="529"/>
      </w:pPr>
      <w:rPr>
        <w:rFonts w:hint="default"/>
        <w:lang w:val="en-US" w:eastAsia="zh-CN" w:bidi="ar-SA"/>
      </w:rPr>
    </w:lvl>
  </w:abstractNum>
  <w:abstractNum w:abstractNumId="20">
    <w:multiLevelType w:val="hybridMultilevel"/>
    <w:lvl w:ilvl="0">
      <w:start w:val="9"/>
      <w:numFmt w:val="decimal"/>
      <w:lvlText w:val="%1"/>
      <w:lvlJc w:val="left"/>
      <w:pPr>
        <w:ind w:left="1713" w:hanging="1138"/>
        <w:jc w:val="left"/>
      </w:pPr>
      <w:rPr>
        <w:rFonts w:hint="default"/>
        <w:lang w:val="en-US" w:eastAsia="zh-CN" w:bidi="ar-SA"/>
      </w:rPr>
    </w:lvl>
    <w:lvl w:ilvl="1">
      <w:start w:val="7"/>
      <w:numFmt w:val="decimal"/>
      <w:lvlText w:val="%1.%2"/>
      <w:lvlJc w:val="left"/>
      <w:pPr>
        <w:ind w:left="1713" w:hanging="1138"/>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1713" w:hanging="1138"/>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814" w:hanging="529"/>
        <w:jc w:val="left"/>
      </w:pPr>
      <w:rPr>
        <w:rFonts w:hint="default" w:ascii="宋体" w:hAnsi="宋体" w:eastAsia="宋体" w:cs="宋体"/>
        <w:b/>
        <w:bCs/>
        <w:i/>
        <w:iCs/>
        <w:spacing w:val="-3"/>
        <w:w w:val="95"/>
        <w:sz w:val="20"/>
        <w:szCs w:val="20"/>
        <w:lang w:val="en-US" w:eastAsia="zh-CN" w:bidi="ar-SA"/>
      </w:rPr>
    </w:lvl>
    <w:lvl w:ilvl="4">
      <w:start w:val="0"/>
      <w:numFmt w:val="bullet"/>
      <w:lvlText w:val="•"/>
      <w:lvlJc w:val="left"/>
      <w:pPr>
        <w:ind w:left="6135" w:hanging="529"/>
      </w:pPr>
      <w:rPr>
        <w:rFonts w:hint="default"/>
        <w:lang w:val="en-US" w:eastAsia="zh-CN" w:bidi="ar-SA"/>
      </w:rPr>
    </w:lvl>
    <w:lvl w:ilvl="5">
      <w:start w:val="0"/>
      <w:numFmt w:val="bullet"/>
      <w:lvlText w:val="•"/>
      <w:lvlJc w:val="left"/>
      <w:pPr>
        <w:ind w:left="6907" w:hanging="529"/>
      </w:pPr>
      <w:rPr>
        <w:rFonts w:hint="default"/>
        <w:lang w:val="en-US" w:eastAsia="zh-CN" w:bidi="ar-SA"/>
      </w:rPr>
    </w:lvl>
    <w:lvl w:ilvl="6">
      <w:start w:val="0"/>
      <w:numFmt w:val="bullet"/>
      <w:lvlText w:val="•"/>
      <w:lvlJc w:val="left"/>
      <w:pPr>
        <w:ind w:left="7679" w:hanging="529"/>
      </w:pPr>
      <w:rPr>
        <w:rFonts w:hint="default"/>
        <w:lang w:val="en-US" w:eastAsia="zh-CN" w:bidi="ar-SA"/>
      </w:rPr>
    </w:lvl>
    <w:lvl w:ilvl="7">
      <w:start w:val="0"/>
      <w:numFmt w:val="bullet"/>
      <w:lvlText w:val="•"/>
      <w:lvlJc w:val="left"/>
      <w:pPr>
        <w:ind w:left="8450" w:hanging="529"/>
      </w:pPr>
      <w:rPr>
        <w:rFonts w:hint="default"/>
        <w:lang w:val="en-US" w:eastAsia="zh-CN" w:bidi="ar-SA"/>
      </w:rPr>
    </w:lvl>
    <w:lvl w:ilvl="8">
      <w:start w:val="0"/>
      <w:numFmt w:val="bullet"/>
      <w:lvlText w:val="•"/>
      <w:lvlJc w:val="left"/>
      <w:pPr>
        <w:ind w:left="9222" w:hanging="529"/>
      </w:pPr>
      <w:rPr>
        <w:rFonts w:hint="default"/>
        <w:lang w:val="en-US" w:eastAsia="zh-CN" w:bidi="ar-SA"/>
      </w:rPr>
    </w:lvl>
  </w:abstractNum>
  <w:abstractNum w:abstractNumId="19">
    <w:multiLevelType w:val="hybridMultilevel"/>
    <w:lvl w:ilvl="0">
      <w:start w:val="9"/>
      <w:numFmt w:val="decimal"/>
      <w:lvlText w:val="%1"/>
      <w:lvlJc w:val="left"/>
      <w:pPr>
        <w:ind w:left="1713" w:hanging="1138"/>
        <w:jc w:val="left"/>
      </w:pPr>
      <w:rPr>
        <w:rFonts w:hint="default"/>
        <w:lang w:val="en-US" w:eastAsia="zh-CN" w:bidi="ar-SA"/>
      </w:rPr>
    </w:lvl>
    <w:lvl w:ilvl="1">
      <w:start w:val="6"/>
      <w:numFmt w:val="decimal"/>
      <w:lvlText w:val="%1.%2"/>
      <w:lvlJc w:val="left"/>
      <w:pPr>
        <w:ind w:left="1713" w:hanging="1138"/>
        <w:jc w:val="left"/>
      </w:pPr>
      <w:rPr>
        <w:rFonts w:hint="default"/>
        <w:lang w:val="en-US" w:eastAsia="zh-CN" w:bidi="ar-SA"/>
      </w:rPr>
    </w:lvl>
    <w:lvl w:ilvl="2">
      <w:start w:val="38"/>
      <w:numFmt w:val="decimal"/>
      <w:lvlText w:val="%1.%2.%3"/>
      <w:lvlJc w:val="left"/>
      <w:pPr>
        <w:ind w:left="1713" w:hanging="1138"/>
        <w:jc w:val="left"/>
      </w:pPr>
      <w:rPr>
        <w:rFonts w:hint="default" w:ascii="宋体" w:hAnsi="宋体" w:eastAsia="宋体" w:cs="宋体"/>
        <w:b/>
        <w:bCs/>
        <w:i w:val="0"/>
        <w:iCs w:val="0"/>
        <w:w w:val="99"/>
        <w:sz w:val="21"/>
        <w:szCs w:val="21"/>
        <w:lang w:val="en-US" w:eastAsia="zh-CN" w:bidi="ar-SA"/>
      </w:rPr>
    </w:lvl>
    <w:lvl w:ilvl="3">
      <w:start w:val="0"/>
      <w:numFmt w:val="bullet"/>
      <w:lvlText w:val="•"/>
      <w:lvlJc w:val="left"/>
      <w:pPr>
        <w:ind w:left="2098" w:hanging="1138"/>
      </w:pPr>
      <w:rPr>
        <w:rFonts w:hint="default"/>
        <w:lang w:val="en-US" w:eastAsia="zh-CN" w:bidi="ar-SA"/>
      </w:rPr>
    </w:lvl>
    <w:lvl w:ilvl="4">
      <w:start w:val="0"/>
      <w:numFmt w:val="bullet"/>
      <w:lvlText w:val="•"/>
      <w:lvlJc w:val="left"/>
      <w:pPr>
        <w:ind w:left="2224" w:hanging="1138"/>
      </w:pPr>
      <w:rPr>
        <w:rFonts w:hint="default"/>
        <w:lang w:val="en-US" w:eastAsia="zh-CN" w:bidi="ar-SA"/>
      </w:rPr>
    </w:lvl>
    <w:lvl w:ilvl="5">
      <w:start w:val="0"/>
      <w:numFmt w:val="bullet"/>
      <w:lvlText w:val="•"/>
      <w:lvlJc w:val="left"/>
      <w:pPr>
        <w:ind w:left="2350" w:hanging="1138"/>
      </w:pPr>
      <w:rPr>
        <w:rFonts w:hint="default"/>
        <w:lang w:val="en-US" w:eastAsia="zh-CN" w:bidi="ar-SA"/>
      </w:rPr>
    </w:lvl>
    <w:lvl w:ilvl="6">
      <w:start w:val="0"/>
      <w:numFmt w:val="bullet"/>
      <w:lvlText w:val="•"/>
      <w:lvlJc w:val="left"/>
      <w:pPr>
        <w:ind w:left="2476" w:hanging="1138"/>
      </w:pPr>
      <w:rPr>
        <w:rFonts w:hint="default"/>
        <w:lang w:val="en-US" w:eastAsia="zh-CN" w:bidi="ar-SA"/>
      </w:rPr>
    </w:lvl>
    <w:lvl w:ilvl="7">
      <w:start w:val="0"/>
      <w:numFmt w:val="bullet"/>
      <w:lvlText w:val="•"/>
      <w:lvlJc w:val="left"/>
      <w:pPr>
        <w:ind w:left="2602" w:hanging="1138"/>
      </w:pPr>
      <w:rPr>
        <w:rFonts w:hint="default"/>
        <w:lang w:val="en-US" w:eastAsia="zh-CN" w:bidi="ar-SA"/>
      </w:rPr>
    </w:lvl>
    <w:lvl w:ilvl="8">
      <w:start w:val="0"/>
      <w:numFmt w:val="bullet"/>
      <w:lvlText w:val="•"/>
      <w:lvlJc w:val="left"/>
      <w:pPr>
        <w:ind w:left="2728" w:hanging="1138"/>
      </w:pPr>
      <w:rPr>
        <w:rFonts w:hint="default"/>
        <w:lang w:val="en-US" w:eastAsia="zh-CN" w:bidi="ar-SA"/>
      </w:rPr>
    </w:lvl>
  </w:abstractNum>
  <w:abstractNum w:abstractNumId="18">
    <w:multiLevelType w:val="hybridMultilevel"/>
    <w:lvl w:ilvl="0">
      <w:start w:val="1"/>
      <w:numFmt w:val="decimal"/>
      <w:lvlText w:val="（%1）"/>
      <w:lvlJc w:val="left"/>
      <w:pPr>
        <w:ind w:left="794" w:hanging="529"/>
        <w:jc w:val="left"/>
      </w:pPr>
      <w:rPr>
        <w:rFonts w:hint="default" w:ascii="宋体" w:hAnsi="宋体" w:eastAsia="宋体" w:cs="宋体"/>
        <w:b w:val="0"/>
        <w:bCs w:val="0"/>
        <w:i w:val="0"/>
        <w:iCs w:val="0"/>
        <w:spacing w:val="-36"/>
        <w:w w:val="100"/>
        <w:sz w:val="19"/>
        <w:szCs w:val="19"/>
        <w:lang w:val="en-US" w:eastAsia="zh-CN" w:bidi="ar-SA"/>
      </w:rPr>
    </w:lvl>
    <w:lvl w:ilvl="1">
      <w:start w:val="0"/>
      <w:numFmt w:val="bullet"/>
      <w:lvlText w:val="•"/>
      <w:lvlJc w:val="left"/>
      <w:pPr>
        <w:ind w:left="1494" w:hanging="529"/>
      </w:pPr>
      <w:rPr>
        <w:rFonts w:hint="default"/>
        <w:lang w:val="en-US" w:eastAsia="zh-CN" w:bidi="ar-SA"/>
      </w:rPr>
    </w:lvl>
    <w:lvl w:ilvl="2">
      <w:start w:val="0"/>
      <w:numFmt w:val="bullet"/>
      <w:lvlText w:val="•"/>
      <w:lvlJc w:val="left"/>
      <w:pPr>
        <w:ind w:left="2189" w:hanging="529"/>
      </w:pPr>
      <w:rPr>
        <w:rFonts w:hint="default"/>
        <w:lang w:val="en-US" w:eastAsia="zh-CN" w:bidi="ar-SA"/>
      </w:rPr>
    </w:lvl>
    <w:lvl w:ilvl="3">
      <w:start w:val="0"/>
      <w:numFmt w:val="bullet"/>
      <w:lvlText w:val="•"/>
      <w:lvlJc w:val="left"/>
      <w:pPr>
        <w:ind w:left="2883" w:hanging="529"/>
      </w:pPr>
      <w:rPr>
        <w:rFonts w:hint="default"/>
        <w:lang w:val="en-US" w:eastAsia="zh-CN" w:bidi="ar-SA"/>
      </w:rPr>
    </w:lvl>
    <w:lvl w:ilvl="4">
      <w:start w:val="0"/>
      <w:numFmt w:val="bullet"/>
      <w:lvlText w:val="•"/>
      <w:lvlJc w:val="left"/>
      <w:pPr>
        <w:ind w:left="3578" w:hanging="529"/>
      </w:pPr>
      <w:rPr>
        <w:rFonts w:hint="default"/>
        <w:lang w:val="en-US" w:eastAsia="zh-CN" w:bidi="ar-SA"/>
      </w:rPr>
    </w:lvl>
    <w:lvl w:ilvl="5">
      <w:start w:val="0"/>
      <w:numFmt w:val="bullet"/>
      <w:lvlText w:val="•"/>
      <w:lvlJc w:val="left"/>
      <w:pPr>
        <w:ind w:left="4273" w:hanging="529"/>
      </w:pPr>
      <w:rPr>
        <w:rFonts w:hint="default"/>
        <w:lang w:val="en-US" w:eastAsia="zh-CN" w:bidi="ar-SA"/>
      </w:rPr>
    </w:lvl>
    <w:lvl w:ilvl="6">
      <w:start w:val="0"/>
      <w:numFmt w:val="bullet"/>
      <w:lvlText w:val="•"/>
      <w:lvlJc w:val="left"/>
      <w:pPr>
        <w:ind w:left="4967" w:hanging="529"/>
      </w:pPr>
      <w:rPr>
        <w:rFonts w:hint="default"/>
        <w:lang w:val="en-US" w:eastAsia="zh-CN" w:bidi="ar-SA"/>
      </w:rPr>
    </w:lvl>
    <w:lvl w:ilvl="7">
      <w:start w:val="0"/>
      <w:numFmt w:val="bullet"/>
      <w:lvlText w:val="•"/>
      <w:lvlJc w:val="left"/>
      <w:pPr>
        <w:ind w:left="5662" w:hanging="529"/>
      </w:pPr>
      <w:rPr>
        <w:rFonts w:hint="default"/>
        <w:lang w:val="en-US" w:eastAsia="zh-CN" w:bidi="ar-SA"/>
      </w:rPr>
    </w:lvl>
    <w:lvl w:ilvl="8">
      <w:start w:val="0"/>
      <w:numFmt w:val="bullet"/>
      <w:lvlText w:val="•"/>
      <w:lvlJc w:val="left"/>
      <w:pPr>
        <w:ind w:left="6356" w:hanging="529"/>
      </w:pPr>
      <w:rPr>
        <w:rFonts w:hint="default"/>
        <w:lang w:val="en-US" w:eastAsia="zh-CN" w:bidi="ar-SA"/>
      </w:rPr>
    </w:lvl>
  </w:abstractNum>
  <w:abstractNum w:abstractNumId="17">
    <w:multiLevelType w:val="hybridMultilevel"/>
    <w:lvl w:ilvl="0">
      <w:start w:val="1"/>
      <w:numFmt w:val="decimal"/>
      <w:lvlText w:val="（%1）"/>
      <w:lvlJc w:val="left"/>
      <w:pPr>
        <w:ind w:left="26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008" w:hanging="529"/>
      </w:pPr>
      <w:rPr>
        <w:rFonts w:hint="default"/>
        <w:lang w:val="en-US" w:eastAsia="zh-CN" w:bidi="ar-SA"/>
      </w:rPr>
    </w:lvl>
    <w:lvl w:ilvl="2">
      <w:start w:val="0"/>
      <w:numFmt w:val="bullet"/>
      <w:lvlText w:val="•"/>
      <w:lvlJc w:val="left"/>
      <w:pPr>
        <w:ind w:left="1757" w:hanging="529"/>
      </w:pPr>
      <w:rPr>
        <w:rFonts w:hint="default"/>
        <w:lang w:val="en-US" w:eastAsia="zh-CN" w:bidi="ar-SA"/>
      </w:rPr>
    </w:lvl>
    <w:lvl w:ilvl="3">
      <w:start w:val="0"/>
      <w:numFmt w:val="bullet"/>
      <w:lvlText w:val="•"/>
      <w:lvlJc w:val="left"/>
      <w:pPr>
        <w:ind w:left="2505" w:hanging="529"/>
      </w:pPr>
      <w:rPr>
        <w:rFonts w:hint="default"/>
        <w:lang w:val="en-US" w:eastAsia="zh-CN" w:bidi="ar-SA"/>
      </w:rPr>
    </w:lvl>
    <w:lvl w:ilvl="4">
      <w:start w:val="0"/>
      <w:numFmt w:val="bullet"/>
      <w:lvlText w:val="•"/>
      <w:lvlJc w:val="left"/>
      <w:pPr>
        <w:ind w:left="3254" w:hanging="529"/>
      </w:pPr>
      <w:rPr>
        <w:rFonts w:hint="default"/>
        <w:lang w:val="en-US" w:eastAsia="zh-CN" w:bidi="ar-SA"/>
      </w:rPr>
    </w:lvl>
    <w:lvl w:ilvl="5">
      <w:start w:val="0"/>
      <w:numFmt w:val="bullet"/>
      <w:lvlText w:val="•"/>
      <w:lvlJc w:val="left"/>
      <w:pPr>
        <w:ind w:left="4003" w:hanging="529"/>
      </w:pPr>
      <w:rPr>
        <w:rFonts w:hint="default"/>
        <w:lang w:val="en-US" w:eastAsia="zh-CN" w:bidi="ar-SA"/>
      </w:rPr>
    </w:lvl>
    <w:lvl w:ilvl="6">
      <w:start w:val="0"/>
      <w:numFmt w:val="bullet"/>
      <w:lvlText w:val="•"/>
      <w:lvlJc w:val="left"/>
      <w:pPr>
        <w:ind w:left="4751" w:hanging="529"/>
      </w:pPr>
      <w:rPr>
        <w:rFonts w:hint="default"/>
        <w:lang w:val="en-US" w:eastAsia="zh-CN" w:bidi="ar-SA"/>
      </w:rPr>
    </w:lvl>
    <w:lvl w:ilvl="7">
      <w:start w:val="0"/>
      <w:numFmt w:val="bullet"/>
      <w:lvlText w:val="•"/>
      <w:lvlJc w:val="left"/>
      <w:pPr>
        <w:ind w:left="5500" w:hanging="529"/>
      </w:pPr>
      <w:rPr>
        <w:rFonts w:hint="default"/>
        <w:lang w:val="en-US" w:eastAsia="zh-CN" w:bidi="ar-SA"/>
      </w:rPr>
    </w:lvl>
    <w:lvl w:ilvl="8">
      <w:start w:val="0"/>
      <w:numFmt w:val="bullet"/>
      <w:lvlText w:val="•"/>
      <w:lvlJc w:val="left"/>
      <w:pPr>
        <w:ind w:left="6248" w:hanging="529"/>
      </w:pPr>
      <w:rPr>
        <w:rFonts w:hint="default"/>
        <w:lang w:val="en-US" w:eastAsia="zh-CN" w:bidi="ar-SA"/>
      </w:rPr>
    </w:lvl>
  </w:abstractNum>
  <w:abstractNum w:abstractNumId="16">
    <w:multiLevelType w:val="hybridMultilevel"/>
    <w:lvl w:ilvl="0">
      <w:start w:val="9"/>
      <w:numFmt w:val="decimal"/>
      <w:lvlText w:val="%1"/>
      <w:lvlJc w:val="left"/>
      <w:pPr>
        <w:ind w:left="1713" w:hanging="1138"/>
        <w:jc w:val="left"/>
      </w:pPr>
      <w:rPr>
        <w:rFonts w:hint="default"/>
        <w:lang w:val="en-US" w:eastAsia="zh-CN" w:bidi="ar-SA"/>
      </w:rPr>
    </w:lvl>
    <w:lvl w:ilvl="1">
      <w:start w:val="6"/>
      <w:numFmt w:val="decimal"/>
      <w:lvlText w:val="%1.%2"/>
      <w:lvlJc w:val="left"/>
      <w:pPr>
        <w:ind w:left="1713" w:hanging="1138"/>
        <w:jc w:val="left"/>
      </w:pPr>
      <w:rPr>
        <w:rFonts w:hint="default"/>
        <w:lang w:val="en-US" w:eastAsia="zh-CN" w:bidi="ar-SA"/>
      </w:rPr>
    </w:lvl>
    <w:lvl w:ilvl="2">
      <w:start w:val="27"/>
      <w:numFmt w:val="decimal"/>
      <w:lvlText w:val="%1.%2.%3"/>
      <w:lvlJc w:val="left"/>
      <w:pPr>
        <w:ind w:left="1713" w:hanging="1138"/>
        <w:jc w:val="left"/>
      </w:pPr>
      <w:rPr>
        <w:rFonts w:hint="default" w:ascii="宋体" w:hAnsi="宋体" w:eastAsia="宋体" w:cs="宋体"/>
        <w:b/>
        <w:bCs/>
        <w:i w:val="0"/>
        <w:iCs w:val="0"/>
        <w:w w:val="99"/>
        <w:sz w:val="21"/>
        <w:szCs w:val="21"/>
        <w:lang w:val="en-US" w:eastAsia="zh-CN" w:bidi="ar-SA"/>
      </w:rPr>
    </w:lvl>
    <w:lvl w:ilvl="3">
      <w:start w:val="0"/>
      <w:numFmt w:val="bullet"/>
      <w:lvlText w:val="•"/>
      <w:lvlJc w:val="left"/>
      <w:pPr>
        <w:ind w:left="2098" w:hanging="1138"/>
      </w:pPr>
      <w:rPr>
        <w:rFonts w:hint="default"/>
        <w:lang w:val="en-US" w:eastAsia="zh-CN" w:bidi="ar-SA"/>
      </w:rPr>
    </w:lvl>
    <w:lvl w:ilvl="4">
      <w:start w:val="0"/>
      <w:numFmt w:val="bullet"/>
      <w:lvlText w:val="•"/>
      <w:lvlJc w:val="left"/>
      <w:pPr>
        <w:ind w:left="2224" w:hanging="1138"/>
      </w:pPr>
      <w:rPr>
        <w:rFonts w:hint="default"/>
        <w:lang w:val="en-US" w:eastAsia="zh-CN" w:bidi="ar-SA"/>
      </w:rPr>
    </w:lvl>
    <w:lvl w:ilvl="5">
      <w:start w:val="0"/>
      <w:numFmt w:val="bullet"/>
      <w:lvlText w:val="•"/>
      <w:lvlJc w:val="left"/>
      <w:pPr>
        <w:ind w:left="2350" w:hanging="1138"/>
      </w:pPr>
      <w:rPr>
        <w:rFonts w:hint="default"/>
        <w:lang w:val="en-US" w:eastAsia="zh-CN" w:bidi="ar-SA"/>
      </w:rPr>
    </w:lvl>
    <w:lvl w:ilvl="6">
      <w:start w:val="0"/>
      <w:numFmt w:val="bullet"/>
      <w:lvlText w:val="•"/>
      <w:lvlJc w:val="left"/>
      <w:pPr>
        <w:ind w:left="2476" w:hanging="1138"/>
      </w:pPr>
      <w:rPr>
        <w:rFonts w:hint="default"/>
        <w:lang w:val="en-US" w:eastAsia="zh-CN" w:bidi="ar-SA"/>
      </w:rPr>
    </w:lvl>
    <w:lvl w:ilvl="7">
      <w:start w:val="0"/>
      <w:numFmt w:val="bullet"/>
      <w:lvlText w:val="•"/>
      <w:lvlJc w:val="left"/>
      <w:pPr>
        <w:ind w:left="2602" w:hanging="1138"/>
      </w:pPr>
      <w:rPr>
        <w:rFonts w:hint="default"/>
        <w:lang w:val="en-US" w:eastAsia="zh-CN" w:bidi="ar-SA"/>
      </w:rPr>
    </w:lvl>
    <w:lvl w:ilvl="8">
      <w:start w:val="0"/>
      <w:numFmt w:val="bullet"/>
      <w:lvlText w:val="•"/>
      <w:lvlJc w:val="left"/>
      <w:pPr>
        <w:ind w:left="2728" w:hanging="1138"/>
      </w:pPr>
      <w:rPr>
        <w:rFonts w:hint="default"/>
        <w:lang w:val="en-US" w:eastAsia="zh-CN" w:bidi="ar-SA"/>
      </w:rPr>
    </w:lvl>
  </w:abstractNum>
  <w:abstractNum w:abstractNumId="15">
    <w:multiLevelType w:val="hybridMultilevel"/>
    <w:lvl w:ilvl="0">
      <w:start w:val="1"/>
      <w:numFmt w:val="decimal"/>
      <w:lvlText w:val="（%1）"/>
      <w:lvlJc w:val="left"/>
      <w:pPr>
        <w:ind w:left="152" w:hanging="529"/>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864" w:hanging="529"/>
      </w:pPr>
      <w:rPr>
        <w:rFonts w:hint="default"/>
        <w:lang w:val="en-US" w:eastAsia="zh-CN" w:bidi="ar-SA"/>
      </w:rPr>
    </w:lvl>
    <w:lvl w:ilvl="2">
      <w:start w:val="0"/>
      <w:numFmt w:val="bullet"/>
      <w:lvlText w:val="•"/>
      <w:lvlJc w:val="left"/>
      <w:pPr>
        <w:ind w:left="1569" w:hanging="529"/>
      </w:pPr>
      <w:rPr>
        <w:rFonts w:hint="default"/>
        <w:lang w:val="en-US" w:eastAsia="zh-CN" w:bidi="ar-SA"/>
      </w:rPr>
    </w:lvl>
    <w:lvl w:ilvl="3">
      <w:start w:val="0"/>
      <w:numFmt w:val="bullet"/>
      <w:lvlText w:val="•"/>
      <w:lvlJc w:val="left"/>
      <w:pPr>
        <w:ind w:left="2274" w:hanging="529"/>
      </w:pPr>
      <w:rPr>
        <w:rFonts w:hint="default"/>
        <w:lang w:val="en-US" w:eastAsia="zh-CN" w:bidi="ar-SA"/>
      </w:rPr>
    </w:lvl>
    <w:lvl w:ilvl="4">
      <w:start w:val="0"/>
      <w:numFmt w:val="bullet"/>
      <w:lvlText w:val="•"/>
      <w:lvlJc w:val="left"/>
      <w:pPr>
        <w:ind w:left="2978" w:hanging="529"/>
      </w:pPr>
      <w:rPr>
        <w:rFonts w:hint="default"/>
        <w:lang w:val="en-US" w:eastAsia="zh-CN" w:bidi="ar-SA"/>
      </w:rPr>
    </w:lvl>
    <w:lvl w:ilvl="5">
      <w:start w:val="0"/>
      <w:numFmt w:val="bullet"/>
      <w:lvlText w:val="•"/>
      <w:lvlJc w:val="left"/>
      <w:pPr>
        <w:ind w:left="3683" w:hanging="529"/>
      </w:pPr>
      <w:rPr>
        <w:rFonts w:hint="default"/>
        <w:lang w:val="en-US" w:eastAsia="zh-CN" w:bidi="ar-SA"/>
      </w:rPr>
    </w:lvl>
    <w:lvl w:ilvl="6">
      <w:start w:val="0"/>
      <w:numFmt w:val="bullet"/>
      <w:lvlText w:val="•"/>
      <w:lvlJc w:val="left"/>
      <w:pPr>
        <w:ind w:left="4388" w:hanging="529"/>
      </w:pPr>
      <w:rPr>
        <w:rFonts w:hint="default"/>
        <w:lang w:val="en-US" w:eastAsia="zh-CN" w:bidi="ar-SA"/>
      </w:rPr>
    </w:lvl>
    <w:lvl w:ilvl="7">
      <w:start w:val="0"/>
      <w:numFmt w:val="bullet"/>
      <w:lvlText w:val="•"/>
      <w:lvlJc w:val="left"/>
      <w:pPr>
        <w:ind w:left="5092" w:hanging="529"/>
      </w:pPr>
      <w:rPr>
        <w:rFonts w:hint="default"/>
        <w:lang w:val="en-US" w:eastAsia="zh-CN" w:bidi="ar-SA"/>
      </w:rPr>
    </w:lvl>
    <w:lvl w:ilvl="8">
      <w:start w:val="0"/>
      <w:numFmt w:val="bullet"/>
      <w:lvlText w:val="•"/>
      <w:lvlJc w:val="left"/>
      <w:pPr>
        <w:ind w:left="5797" w:hanging="529"/>
      </w:pPr>
      <w:rPr>
        <w:rFonts w:hint="default"/>
        <w:lang w:val="en-US" w:eastAsia="zh-CN" w:bidi="ar-SA"/>
      </w:rPr>
    </w:lvl>
  </w:abstractNum>
  <w:abstractNum w:abstractNumId="14">
    <w:multiLevelType w:val="hybridMultilevel"/>
    <w:lvl w:ilvl="0">
      <w:start w:val="3"/>
      <w:numFmt w:val="decimal"/>
      <w:lvlText w:val="（%1）"/>
      <w:lvlJc w:val="left"/>
      <w:pPr>
        <w:ind w:left="68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2" w:hanging="529"/>
      </w:pPr>
      <w:rPr>
        <w:rFonts w:hint="default"/>
        <w:lang w:val="en-US" w:eastAsia="zh-CN" w:bidi="ar-SA"/>
      </w:rPr>
    </w:lvl>
    <w:lvl w:ilvl="2">
      <w:start w:val="0"/>
      <w:numFmt w:val="bullet"/>
      <w:lvlText w:val="•"/>
      <w:lvlJc w:val="left"/>
      <w:pPr>
        <w:ind w:left="1985" w:hanging="529"/>
      </w:pPr>
      <w:rPr>
        <w:rFonts w:hint="default"/>
        <w:lang w:val="en-US" w:eastAsia="zh-CN" w:bidi="ar-SA"/>
      </w:rPr>
    </w:lvl>
    <w:lvl w:ilvl="3">
      <w:start w:val="0"/>
      <w:numFmt w:val="bullet"/>
      <w:lvlText w:val="•"/>
      <w:lvlJc w:val="left"/>
      <w:pPr>
        <w:ind w:left="2638" w:hanging="529"/>
      </w:pPr>
      <w:rPr>
        <w:rFonts w:hint="default"/>
        <w:lang w:val="en-US" w:eastAsia="zh-CN" w:bidi="ar-SA"/>
      </w:rPr>
    </w:lvl>
    <w:lvl w:ilvl="4">
      <w:start w:val="0"/>
      <w:numFmt w:val="bullet"/>
      <w:lvlText w:val="•"/>
      <w:lvlJc w:val="left"/>
      <w:pPr>
        <w:ind w:left="3290" w:hanging="529"/>
      </w:pPr>
      <w:rPr>
        <w:rFonts w:hint="default"/>
        <w:lang w:val="en-US" w:eastAsia="zh-CN" w:bidi="ar-SA"/>
      </w:rPr>
    </w:lvl>
    <w:lvl w:ilvl="5">
      <w:start w:val="0"/>
      <w:numFmt w:val="bullet"/>
      <w:lvlText w:val="•"/>
      <w:lvlJc w:val="left"/>
      <w:pPr>
        <w:ind w:left="3943" w:hanging="529"/>
      </w:pPr>
      <w:rPr>
        <w:rFonts w:hint="default"/>
        <w:lang w:val="en-US" w:eastAsia="zh-CN" w:bidi="ar-SA"/>
      </w:rPr>
    </w:lvl>
    <w:lvl w:ilvl="6">
      <w:start w:val="0"/>
      <w:numFmt w:val="bullet"/>
      <w:lvlText w:val="•"/>
      <w:lvlJc w:val="left"/>
      <w:pPr>
        <w:ind w:left="4596" w:hanging="529"/>
      </w:pPr>
      <w:rPr>
        <w:rFonts w:hint="default"/>
        <w:lang w:val="en-US" w:eastAsia="zh-CN" w:bidi="ar-SA"/>
      </w:rPr>
    </w:lvl>
    <w:lvl w:ilvl="7">
      <w:start w:val="0"/>
      <w:numFmt w:val="bullet"/>
      <w:lvlText w:val="•"/>
      <w:lvlJc w:val="left"/>
      <w:pPr>
        <w:ind w:left="5248" w:hanging="529"/>
      </w:pPr>
      <w:rPr>
        <w:rFonts w:hint="default"/>
        <w:lang w:val="en-US" w:eastAsia="zh-CN" w:bidi="ar-SA"/>
      </w:rPr>
    </w:lvl>
    <w:lvl w:ilvl="8">
      <w:start w:val="0"/>
      <w:numFmt w:val="bullet"/>
      <w:lvlText w:val="•"/>
      <w:lvlJc w:val="left"/>
      <w:pPr>
        <w:ind w:left="5901" w:hanging="529"/>
      </w:pPr>
      <w:rPr>
        <w:rFonts w:hint="default"/>
        <w:lang w:val="en-US" w:eastAsia="zh-CN" w:bidi="ar-SA"/>
      </w:rPr>
    </w:lvl>
  </w:abstractNum>
  <w:abstractNum w:abstractNumId="13">
    <w:multiLevelType w:val="hybridMultilevel"/>
    <w:lvl w:ilvl="0">
      <w:start w:val="1"/>
      <w:numFmt w:val="decimal"/>
      <w:lvlText w:val="（%1）"/>
      <w:lvlJc w:val="left"/>
      <w:pPr>
        <w:ind w:left="7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29"/>
      </w:pPr>
      <w:rPr>
        <w:rFonts w:hint="default"/>
        <w:lang w:val="en-US" w:eastAsia="zh-CN" w:bidi="ar-SA"/>
      </w:rPr>
    </w:lvl>
    <w:lvl w:ilvl="2">
      <w:start w:val="0"/>
      <w:numFmt w:val="bullet"/>
      <w:lvlText w:val="•"/>
      <w:lvlJc w:val="left"/>
      <w:pPr>
        <w:ind w:left="2189" w:hanging="529"/>
      </w:pPr>
      <w:rPr>
        <w:rFonts w:hint="default"/>
        <w:lang w:val="en-US" w:eastAsia="zh-CN" w:bidi="ar-SA"/>
      </w:rPr>
    </w:lvl>
    <w:lvl w:ilvl="3">
      <w:start w:val="0"/>
      <w:numFmt w:val="bullet"/>
      <w:lvlText w:val="•"/>
      <w:lvlJc w:val="left"/>
      <w:pPr>
        <w:ind w:left="2883" w:hanging="529"/>
      </w:pPr>
      <w:rPr>
        <w:rFonts w:hint="default"/>
        <w:lang w:val="en-US" w:eastAsia="zh-CN" w:bidi="ar-SA"/>
      </w:rPr>
    </w:lvl>
    <w:lvl w:ilvl="4">
      <w:start w:val="0"/>
      <w:numFmt w:val="bullet"/>
      <w:lvlText w:val="•"/>
      <w:lvlJc w:val="left"/>
      <w:pPr>
        <w:ind w:left="3578" w:hanging="529"/>
      </w:pPr>
      <w:rPr>
        <w:rFonts w:hint="default"/>
        <w:lang w:val="en-US" w:eastAsia="zh-CN" w:bidi="ar-SA"/>
      </w:rPr>
    </w:lvl>
    <w:lvl w:ilvl="5">
      <w:start w:val="0"/>
      <w:numFmt w:val="bullet"/>
      <w:lvlText w:val="•"/>
      <w:lvlJc w:val="left"/>
      <w:pPr>
        <w:ind w:left="4273" w:hanging="529"/>
      </w:pPr>
      <w:rPr>
        <w:rFonts w:hint="default"/>
        <w:lang w:val="en-US" w:eastAsia="zh-CN" w:bidi="ar-SA"/>
      </w:rPr>
    </w:lvl>
    <w:lvl w:ilvl="6">
      <w:start w:val="0"/>
      <w:numFmt w:val="bullet"/>
      <w:lvlText w:val="•"/>
      <w:lvlJc w:val="left"/>
      <w:pPr>
        <w:ind w:left="4967" w:hanging="529"/>
      </w:pPr>
      <w:rPr>
        <w:rFonts w:hint="default"/>
        <w:lang w:val="en-US" w:eastAsia="zh-CN" w:bidi="ar-SA"/>
      </w:rPr>
    </w:lvl>
    <w:lvl w:ilvl="7">
      <w:start w:val="0"/>
      <w:numFmt w:val="bullet"/>
      <w:lvlText w:val="•"/>
      <w:lvlJc w:val="left"/>
      <w:pPr>
        <w:ind w:left="5662" w:hanging="529"/>
      </w:pPr>
      <w:rPr>
        <w:rFonts w:hint="default"/>
        <w:lang w:val="en-US" w:eastAsia="zh-CN" w:bidi="ar-SA"/>
      </w:rPr>
    </w:lvl>
    <w:lvl w:ilvl="8">
      <w:start w:val="0"/>
      <w:numFmt w:val="bullet"/>
      <w:lvlText w:val="•"/>
      <w:lvlJc w:val="left"/>
      <w:pPr>
        <w:ind w:left="6356" w:hanging="529"/>
      </w:pPr>
      <w:rPr>
        <w:rFonts w:hint="default"/>
        <w:lang w:val="en-US" w:eastAsia="zh-CN" w:bidi="ar-SA"/>
      </w:rPr>
    </w:lvl>
  </w:abstractNum>
  <w:abstractNum w:abstractNumId="12">
    <w:multiLevelType w:val="hybridMultilevel"/>
    <w:lvl w:ilvl="0">
      <w:start w:val="1"/>
      <w:numFmt w:val="decimal"/>
      <w:lvlText w:val="（%1）"/>
      <w:lvlJc w:val="left"/>
      <w:pPr>
        <w:ind w:left="794" w:hanging="529"/>
        <w:jc w:val="left"/>
      </w:pPr>
      <w:rPr>
        <w:rFonts w:hint="default" w:ascii="宋体" w:hAnsi="宋体" w:eastAsia="宋体" w:cs="宋体"/>
        <w:b w:val="0"/>
        <w:bCs w:val="0"/>
        <w:i w:val="0"/>
        <w:iCs w:val="0"/>
        <w:spacing w:val="-36"/>
        <w:w w:val="100"/>
        <w:sz w:val="19"/>
        <w:szCs w:val="19"/>
        <w:lang w:val="en-US" w:eastAsia="zh-CN" w:bidi="ar-SA"/>
      </w:rPr>
    </w:lvl>
    <w:lvl w:ilvl="1">
      <w:start w:val="0"/>
      <w:numFmt w:val="bullet"/>
      <w:lvlText w:val="•"/>
      <w:lvlJc w:val="left"/>
      <w:pPr>
        <w:ind w:left="1494" w:hanging="529"/>
      </w:pPr>
      <w:rPr>
        <w:rFonts w:hint="default"/>
        <w:lang w:val="en-US" w:eastAsia="zh-CN" w:bidi="ar-SA"/>
      </w:rPr>
    </w:lvl>
    <w:lvl w:ilvl="2">
      <w:start w:val="0"/>
      <w:numFmt w:val="bullet"/>
      <w:lvlText w:val="•"/>
      <w:lvlJc w:val="left"/>
      <w:pPr>
        <w:ind w:left="2189" w:hanging="529"/>
      </w:pPr>
      <w:rPr>
        <w:rFonts w:hint="default"/>
        <w:lang w:val="en-US" w:eastAsia="zh-CN" w:bidi="ar-SA"/>
      </w:rPr>
    </w:lvl>
    <w:lvl w:ilvl="3">
      <w:start w:val="0"/>
      <w:numFmt w:val="bullet"/>
      <w:lvlText w:val="•"/>
      <w:lvlJc w:val="left"/>
      <w:pPr>
        <w:ind w:left="2883" w:hanging="529"/>
      </w:pPr>
      <w:rPr>
        <w:rFonts w:hint="default"/>
        <w:lang w:val="en-US" w:eastAsia="zh-CN" w:bidi="ar-SA"/>
      </w:rPr>
    </w:lvl>
    <w:lvl w:ilvl="4">
      <w:start w:val="0"/>
      <w:numFmt w:val="bullet"/>
      <w:lvlText w:val="•"/>
      <w:lvlJc w:val="left"/>
      <w:pPr>
        <w:ind w:left="3578" w:hanging="529"/>
      </w:pPr>
      <w:rPr>
        <w:rFonts w:hint="default"/>
        <w:lang w:val="en-US" w:eastAsia="zh-CN" w:bidi="ar-SA"/>
      </w:rPr>
    </w:lvl>
    <w:lvl w:ilvl="5">
      <w:start w:val="0"/>
      <w:numFmt w:val="bullet"/>
      <w:lvlText w:val="•"/>
      <w:lvlJc w:val="left"/>
      <w:pPr>
        <w:ind w:left="4273" w:hanging="529"/>
      </w:pPr>
      <w:rPr>
        <w:rFonts w:hint="default"/>
        <w:lang w:val="en-US" w:eastAsia="zh-CN" w:bidi="ar-SA"/>
      </w:rPr>
    </w:lvl>
    <w:lvl w:ilvl="6">
      <w:start w:val="0"/>
      <w:numFmt w:val="bullet"/>
      <w:lvlText w:val="•"/>
      <w:lvlJc w:val="left"/>
      <w:pPr>
        <w:ind w:left="4967" w:hanging="529"/>
      </w:pPr>
      <w:rPr>
        <w:rFonts w:hint="default"/>
        <w:lang w:val="en-US" w:eastAsia="zh-CN" w:bidi="ar-SA"/>
      </w:rPr>
    </w:lvl>
    <w:lvl w:ilvl="7">
      <w:start w:val="0"/>
      <w:numFmt w:val="bullet"/>
      <w:lvlText w:val="•"/>
      <w:lvlJc w:val="left"/>
      <w:pPr>
        <w:ind w:left="5662" w:hanging="529"/>
      </w:pPr>
      <w:rPr>
        <w:rFonts w:hint="default"/>
        <w:lang w:val="en-US" w:eastAsia="zh-CN" w:bidi="ar-SA"/>
      </w:rPr>
    </w:lvl>
    <w:lvl w:ilvl="8">
      <w:start w:val="0"/>
      <w:numFmt w:val="bullet"/>
      <w:lvlText w:val="•"/>
      <w:lvlJc w:val="left"/>
      <w:pPr>
        <w:ind w:left="6356" w:hanging="529"/>
      </w:pPr>
      <w:rPr>
        <w:rFonts w:hint="default"/>
        <w:lang w:val="en-US" w:eastAsia="zh-CN" w:bidi="ar-SA"/>
      </w:rPr>
    </w:lvl>
  </w:abstractNum>
  <w:abstractNum w:abstractNumId="11">
    <w:multiLevelType w:val="hybridMultilevel"/>
    <w:lvl w:ilvl="0">
      <w:start w:val="9"/>
      <w:numFmt w:val="decimal"/>
      <w:lvlText w:val="%1"/>
      <w:lvlJc w:val="left"/>
      <w:pPr>
        <w:ind w:left="1713" w:hanging="1138"/>
        <w:jc w:val="left"/>
      </w:pPr>
      <w:rPr>
        <w:rFonts w:hint="default"/>
        <w:lang w:val="en-US" w:eastAsia="zh-CN" w:bidi="ar-SA"/>
      </w:rPr>
    </w:lvl>
    <w:lvl w:ilvl="1">
      <w:start w:val="6"/>
      <w:numFmt w:val="decimal"/>
      <w:lvlText w:val="%1.%2"/>
      <w:lvlJc w:val="left"/>
      <w:pPr>
        <w:ind w:left="1713" w:hanging="1138"/>
        <w:jc w:val="left"/>
      </w:pPr>
      <w:rPr>
        <w:rFonts w:hint="default"/>
        <w:lang w:val="en-US" w:eastAsia="zh-CN" w:bidi="ar-SA"/>
      </w:rPr>
    </w:lvl>
    <w:lvl w:ilvl="2">
      <w:start w:val="4"/>
      <w:numFmt w:val="decimal"/>
      <w:lvlText w:val="%1.%2.%3"/>
      <w:lvlJc w:val="left"/>
      <w:pPr>
        <w:ind w:left="1713" w:hanging="1138"/>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814"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540" w:hanging="529"/>
      </w:pPr>
      <w:rPr>
        <w:rFonts w:hint="default"/>
        <w:lang w:val="en-US" w:eastAsia="zh-CN" w:bidi="ar-SA"/>
      </w:rPr>
    </w:lvl>
    <w:lvl w:ilvl="5">
      <w:start w:val="0"/>
      <w:numFmt w:val="bullet"/>
      <w:lvlText w:val="•"/>
      <w:lvlJc w:val="left"/>
      <w:pPr>
        <w:ind w:left="3446" w:hanging="529"/>
      </w:pPr>
      <w:rPr>
        <w:rFonts w:hint="default"/>
        <w:lang w:val="en-US" w:eastAsia="zh-CN" w:bidi="ar-SA"/>
      </w:rPr>
    </w:lvl>
    <w:lvl w:ilvl="6">
      <w:start w:val="0"/>
      <w:numFmt w:val="bullet"/>
      <w:lvlText w:val="•"/>
      <w:lvlJc w:val="left"/>
      <w:pPr>
        <w:ind w:left="3353" w:hanging="529"/>
      </w:pPr>
      <w:rPr>
        <w:rFonts w:hint="default"/>
        <w:lang w:val="en-US" w:eastAsia="zh-CN" w:bidi="ar-SA"/>
      </w:rPr>
    </w:lvl>
    <w:lvl w:ilvl="7">
      <w:start w:val="0"/>
      <w:numFmt w:val="bullet"/>
      <w:lvlText w:val="•"/>
      <w:lvlJc w:val="left"/>
      <w:pPr>
        <w:ind w:left="3260" w:hanging="529"/>
      </w:pPr>
      <w:rPr>
        <w:rFonts w:hint="default"/>
        <w:lang w:val="en-US" w:eastAsia="zh-CN" w:bidi="ar-SA"/>
      </w:rPr>
    </w:lvl>
    <w:lvl w:ilvl="8">
      <w:start w:val="0"/>
      <w:numFmt w:val="bullet"/>
      <w:lvlText w:val="•"/>
      <w:lvlJc w:val="left"/>
      <w:pPr>
        <w:ind w:left="3166" w:hanging="529"/>
      </w:pPr>
      <w:rPr>
        <w:rFonts w:hint="default"/>
        <w:lang w:val="en-US" w:eastAsia="zh-CN" w:bidi="ar-SA"/>
      </w:rPr>
    </w:lvl>
  </w:abstractNum>
  <w:abstractNum w:abstractNumId="10">
    <w:multiLevelType w:val="hybridMultilevel"/>
    <w:lvl w:ilvl="0">
      <w:start w:val="1"/>
      <w:numFmt w:val="lowerLetter"/>
      <w:lvlText w:val="%1."/>
      <w:lvlJc w:val="left"/>
      <w:pPr>
        <w:ind w:left="152" w:hanging="213"/>
        <w:jc w:val="left"/>
      </w:pPr>
      <w:rPr>
        <w:rFonts w:hint="default" w:ascii="宋体" w:hAnsi="宋体" w:eastAsia="宋体" w:cs="宋体"/>
        <w:b/>
        <w:bCs/>
        <w:i/>
        <w:iCs/>
        <w:w w:val="95"/>
        <w:sz w:val="20"/>
        <w:szCs w:val="20"/>
        <w:lang w:val="en-US" w:eastAsia="zh-CN" w:bidi="ar-SA"/>
      </w:rPr>
    </w:lvl>
    <w:lvl w:ilvl="1">
      <w:start w:val="0"/>
      <w:numFmt w:val="bullet"/>
      <w:lvlText w:val="•"/>
      <w:lvlJc w:val="left"/>
      <w:pPr>
        <w:ind w:left="864" w:hanging="213"/>
      </w:pPr>
      <w:rPr>
        <w:rFonts w:hint="default"/>
        <w:lang w:val="en-US" w:eastAsia="zh-CN" w:bidi="ar-SA"/>
      </w:rPr>
    </w:lvl>
    <w:lvl w:ilvl="2">
      <w:start w:val="0"/>
      <w:numFmt w:val="bullet"/>
      <w:lvlText w:val="•"/>
      <w:lvlJc w:val="left"/>
      <w:pPr>
        <w:ind w:left="1569" w:hanging="213"/>
      </w:pPr>
      <w:rPr>
        <w:rFonts w:hint="default"/>
        <w:lang w:val="en-US" w:eastAsia="zh-CN" w:bidi="ar-SA"/>
      </w:rPr>
    </w:lvl>
    <w:lvl w:ilvl="3">
      <w:start w:val="0"/>
      <w:numFmt w:val="bullet"/>
      <w:lvlText w:val="•"/>
      <w:lvlJc w:val="left"/>
      <w:pPr>
        <w:ind w:left="2274" w:hanging="213"/>
      </w:pPr>
      <w:rPr>
        <w:rFonts w:hint="default"/>
        <w:lang w:val="en-US" w:eastAsia="zh-CN" w:bidi="ar-SA"/>
      </w:rPr>
    </w:lvl>
    <w:lvl w:ilvl="4">
      <w:start w:val="0"/>
      <w:numFmt w:val="bullet"/>
      <w:lvlText w:val="•"/>
      <w:lvlJc w:val="left"/>
      <w:pPr>
        <w:ind w:left="2979" w:hanging="213"/>
      </w:pPr>
      <w:rPr>
        <w:rFonts w:hint="default"/>
        <w:lang w:val="en-US" w:eastAsia="zh-CN" w:bidi="ar-SA"/>
      </w:rPr>
    </w:lvl>
    <w:lvl w:ilvl="5">
      <w:start w:val="0"/>
      <w:numFmt w:val="bullet"/>
      <w:lvlText w:val="•"/>
      <w:lvlJc w:val="left"/>
      <w:pPr>
        <w:ind w:left="3684" w:hanging="213"/>
      </w:pPr>
      <w:rPr>
        <w:rFonts w:hint="default"/>
        <w:lang w:val="en-US" w:eastAsia="zh-CN" w:bidi="ar-SA"/>
      </w:rPr>
    </w:lvl>
    <w:lvl w:ilvl="6">
      <w:start w:val="0"/>
      <w:numFmt w:val="bullet"/>
      <w:lvlText w:val="•"/>
      <w:lvlJc w:val="left"/>
      <w:pPr>
        <w:ind w:left="4388" w:hanging="213"/>
      </w:pPr>
      <w:rPr>
        <w:rFonts w:hint="default"/>
        <w:lang w:val="en-US" w:eastAsia="zh-CN" w:bidi="ar-SA"/>
      </w:rPr>
    </w:lvl>
    <w:lvl w:ilvl="7">
      <w:start w:val="0"/>
      <w:numFmt w:val="bullet"/>
      <w:lvlText w:val="•"/>
      <w:lvlJc w:val="left"/>
      <w:pPr>
        <w:ind w:left="5093" w:hanging="213"/>
      </w:pPr>
      <w:rPr>
        <w:rFonts w:hint="default"/>
        <w:lang w:val="en-US" w:eastAsia="zh-CN" w:bidi="ar-SA"/>
      </w:rPr>
    </w:lvl>
    <w:lvl w:ilvl="8">
      <w:start w:val="0"/>
      <w:numFmt w:val="bullet"/>
      <w:lvlText w:val="•"/>
      <w:lvlJc w:val="left"/>
      <w:pPr>
        <w:ind w:left="5798" w:hanging="213"/>
      </w:pPr>
      <w:rPr>
        <w:rFonts w:hint="default"/>
        <w:lang w:val="en-US" w:eastAsia="zh-CN" w:bidi="ar-SA"/>
      </w:rPr>
    </w:lvl>
  </w:abstractNum>
  <w:abstractNum w:abstractNumId="9">
    <w:multiLevelType w:val="hybridMultilevel"/>
    <w:lvl w:ilvl="0">
      <w:start w:val="9"/>
      <w:numFmt w:val="decimal"/>
      <w:lvlText w:val="%1"/>
      <w:lvlJc w:val="left"/>
      <w:pPr>
        <w:ind w:left="3285" w:hanging="1138"/>
        <w:jc w:val="left"/>
      </w:pPr>
      <w:rPr>
        <w:rFonts w:hint="default"/>
        <w:lang w:val="en-US" w:eastAsia="zh-CN" w:bidi="ar-SA"/>
      </w:rPr>
    </w:lvl>
    <w:lvl w:ilvl="1">
      <w:start w:val="1"/>
      <w:numFmt w:val="decimal"/>
      <w:lvlText w:val="%1.%2"/>
      <w:lvlJc w:val="left"/>
      <w:pPr>
        <w:ind w:left="3285" w:hanging="1138"/>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814"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363" w:hanging="529"/>
      </w:pPr>
      <w:rPr>
        <w:rFonts w:hint="default"/>
        <w:lang w:val="en-US" w:eastAsia="zh-CN" w:bidi="ar-SA"/>
      </w:rPr>
    </w:lvl>
    <w:lvl w:ilvl="4">
      <w:start w:val="0"/>
      <w:numFmt w:val="bullet"/>
      <w:lvlText w:val="•"/>
      <w:lvlJc w:val="left"/>
      <w:pPr>
        <w:ind w:left="6135" w:hanging="529"/>
      </w:pPr>
      <w:rPr>
        <w:rFonts w:hint="default"/>
        <w:lang w:val="en-US" w:eastAsia="zh-CN" w:bidi="ar-SA"/>
      </w:rPr>
    </w:lvl>
    <w:lvl w:ilvl="5">
      <w:start w:val="0"/>
      <w:numFmt w:val="bullet"/>
      <w:lvlText w:val="•"/>
      <w:lvlJc w:val="left"/>
      <w:pPr>
        <w:ind w:left="6907" w:hanging="529"/>
      </w:pPr>
      <w:rPr>
        <w:rFonts w:hint="default"/>
        <w:lang w:val="en-US" w:eastAsia="zh-CN" w:bidi="ar-SA"/>
      </w:rPr>
    </w:lvl>
    <w:lvl w:ilvl="6">
      <w:start w:val="0"/>
      <w:numFmt w:val="bullet"/>
      <w:lvlText w:val="•"/>
      <w:lvlJc w:val="left"/>
      <w:pPr>
        <w:ind w:left="7679" w:hanging="529"/>
      </w:pPr>
      <w:rPr>
        <w:rFonts w:hint="default"/>
        <w:lang w:val="en-US" w:eastAsia="zh-CN" w:bidi="ar-SA"/>
      </w:rPr>
    </w:lvl>
    <w:lvl w:ilvl="7">
      <w:start w:val="0"/>
      <w:numFmt w:val="bullet"/>
      <w:lvlText w:val="•"/>
      <w:lvlJc w:val="left"/>
      <w:pPr>
        <w:ind w:left="8450" w:hanging="529"/>
      </w:pPr>
      <w:rPr>
        <w:rFonts w:hint="default"/>
        <w:lang w:val="en-US" w:eastAsia="zh-CN" w:bidi="ar-SA"/>
      </w:rPr>
    </w:lvl>
    <w:lvl w:ilvl="8">
      <w:start w:val="0"/>
      <w:numFmt w:val="bullet"/>
      <w:lvlText w:val="•"/>
      <w:lvlJc w:val="left"/>
      <w:pPr>
        <w:ind w:left="9222" w:hanging="529"/>
      </w:pPr>
      <w:rPr>
        <w:rFonts w:hint="default"/>
        <w:lang w:val="en-US" w:eastAsia="zh-CN" w:bidi="ar-SA"/>
      </w:rPr>
    </w:lvl>
  </w:abstractNum>
  <w:abstractNum w:abstractNumId="8">
    <w:multiLevelType w:val="hybridMultilevel"/>
    <w:lvl w:ilvl="0">
      <w:start w:val="8"/>
      <w:numFmt w:val="decimal"/>
      <w:lvlText w:val="%1"/>
      <w:lvlJc w:val="left"/>
      <w:pPr>
        <w:ind w:left="1713" w:hanging="1138"/>
        <w:jc w:val="left"/>
      </w:pPr>
      <w:rPr>
        <w:rFonts w:hint="default"/>
        <w:lang w:val="en-US" w:eastAsia="zh-CN" w:bidi="ar-SA"/>
      </w:rPr>
    </w:lvl>
    <w:lvl w:ilvl="1">
      <w:start w:val="1"/>
      <w:numFmt w:val="decimal"/>
      <w:lvlText w:val="%1.%2"/>
      <w:lvlJc w:val="left"/>
      <w:pPr>
        <w:ind w:left="1713" w:hanging="113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972" w:hanging="1138"/>
      </w:pPr>
      <w:rPr>
        <w:rFonts w:hint="default"/>
        <w:lang w:val="en-US" w:eastAsia="zh-CN" w:bidi="ar-SA"/>
      </w:rPr>
    </w:lvl>
    <w:lvl w:ilvl="3">
      <w:start w:val="0"/>
      <w:numFmt w:val="bullet"/>
      <w:lvlText w:val="•"/>
      <w:lvlJc w:val="left"/>
      <w:pPr>
        <w:ind w:left="2098" w:hanging="1138"/>
      </w:pPr>
      <w:rPr>
        <w:rFonts w:hint="default"/>
        <w:lang w:val="en-US" w:eastAsia="zh-CN" w:bidi="ar-SA"/>
      </w:rPr>
    </w:lvl>
    <w:lvl w:ilvl="4">
      <w:start w:val="0"/>
      <w:numFmt w:val="bullet"/>
      <w:lvlText w:val="•"/>
      <w:lvlJc w:val="left"/>
      <w:pPr>
        <w:ind w:left="2224" w:hanging="1138"/>
      </w:pPr>
      <w:rPr>
        <w:rFonts w:hint="default"/>
        <w:lang w:val="en-US" w:eastAsia="zh-CN" w:bidi="ar-SA"/>
      </w:rPr>
    </w:lvl>
    <w:lvl w:ilvl="5">
      <w:start w:val="0"/>
      <w:numFmt w:val="bullet"/>
      <w:lvlText w:val="•"/>
      <w:lvlJc w:val="left"/>
      <w:pPr>
        <w:ind w:left="2350" w:hanging="1138"/>
      </w:pPr>
      <w:rPr>
        <w:rFonts w:hint="default"/>
        <w:lang w:val="en-US" w:eastAsia="zh-CN" w:bidi="ar-SA"/>
      </w:rPr>
    </w:lvl>
    <w:lvl w:ilvl="6">
      <w:start w:val="0"/>
      <w:numFmt w:val="bullet"/>
      <w:lvlText w:val="•"/>
      <w:lvlJc w:val="left"/>
      <w:pPr>
        <w:ind w:left="2476" w:hanging="1138"/>
      </w:pPr>
      <w:rPr>
        <w:rFonts w:hint="default"/>
        <w:lang w:val="en-US" w:eastAsia="zh-CN" w:bidi="ar-SA"/>
      </w:rPr>
    </w:lvl>
    <w:lvl w:ilvl="7">
      <w:start w:val="0"/>
      <w:numFmt w:val="bullet"/>
      <w:lvlText w:val="•"/>
      <w:lvlJc w:val="left"/>
      <w:pPr>
        <w:ind w:left="2602" w:hanging="1138"/>
      </w:pPr>
      <w:rPr>
        <w:rFonts w:hint="default"/>
        <w:lang w:val="en-US" w:eastAsia="zh-CN" w:bidi="ar-SA"/>
      </w:rPr>
    </w:lvl>
    <w:lvl w:ilvl="8">
      <w:start w:val="0"/>
      <w:numFmt w:val="bullet"/>
      <w:lvlText w:val="•"/>
      <w:lvlJc w:val="left"/>
      <w:pPr>
        <w:ind w:left="2728" w:hanging="1138"/>
      </w:pPr>
      <w:rPr>
        <w:rFonts w:hint="default"/>
        <w:lang w:val="en-US" w:eastAsia="zh-CN" w:bidi="ar-SA"/>
      </w:rPr>
    </w:lvl>
  </w:abstractNum>
  <w:abstractNum w:abstractNumId="7">
    <w:multiLevelType w:val="hybridMultilevel"/>
    <w:lvl w:ilvl="0">
      <w:start w:val="6"/>
      <w:numFmt w:val="decimal"/>
      <w:lvlText w:val="%1"/>
      <w:lvlJc w:val="left"/>
      <w:pPr>
        <w:ind w:left="1713" w:hanging="1138"/>
        <w:jc w:val="left"/>
      </w:pPr>
      <w:rPr>
        <w:rFonts w:hint="default"/>
        <w:lang w:val="en-US" w:eastAsia="zh-CN" w:bidi="ar-SA"/>
      </w:rPr>
    </w:lvl>
    <w:lvl w:ilvl="1">
      <w:start w:val="1"/>
      <w:numFmt w:val="decimal"/>
      <w:lvlText w:val="%1.%2"/>
      <w:lvlJc w:val="left"/>
      <w:pPr>
        <w:ind w:left="1713" w:hanging="113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529" w:hanging="1138"/>
      </w:pPr>
      <w:rPr>
        <w:rFonts w:hint="default"/>
        <w:lang w:val="en-US" w:eastAsia="zh-CN" w:bidi="ar-SA"/>
      </w:rPr>
    </w:lvl>
    <w:lvl w:ilvl="3">
      <w:start w:val="0"/>
      <w:numFmt w:val="bullet"/>
      <w:lvlText w:val="•"/>
      <w:lvlJc w:val="left"/>
      <w:pPr>
        <w:ind w:left="4433" w:hanging="1138"/>
      </w:pPr>
      <w:rPr>
        <w:rFonts w:hint="default"/>
        <w:lang w:val="en-US" w:eastAsia="zh-CN" w:bidi="ar-SA"/>
      </w:rPr>
    </w:lvl>
    <w:lvl w:ilvl="4">
      <w:start w:val="0"/>
      <w:numFmt w:val="bullet"/>
      <w:lvlText w:val="•"/>
      <w:lvlJc w:val="left"/>
      <w:pPr>
        <w:ind w:left="5338" w:hanging="1138"/>
      </w:pPr>
      <w:rPr>
        <w:rFonts w:hint="default"/>
        <w:lang w:val="en-US" w:eastAsia="zh-CN" w:bidi="ar-SA"/>
      </w:rPr>
    </w:lvl>
    <w:lvl w:ilvl="5">
      <w:start w:val="0"/>
      <w:numFmt w:val="bullet"/>
      <w:lvlText w:val="•"/>
      <w:lvlJc w:val="left"/>
      <w:pPr>
        <w:ind w:left="6243" w:hanging="1138"/>
      </w:pPr>
      <w:rPr>
        <w:rFonts w:hint="default"/>
        <w:lang w:val="en-US" w:eastAsia="zh-CN" w:bidi="ar-SA"/>
      </w:rPr>
    </w:lvl>
    <w:lvl w:ilvl="6">
      <w:start w:val="0"/>
      <w:numFmt w:val="bullet"/>
      <w:lvlText w:val="•"/>
      <w:lvlJc w:val="left"/>
      <w:pPr>
        <w:ind w:left="7147" w:hanging="1138"/>
      </w:pPr>
      <w:rPr>
        <w:rFonts w:hint="default"/>
        <w:lang w:val="en-US" w:eastAsia="zh-CN" w:bidi="ar-SA"/>
      </w:rPr>
    </w:lvl>
    <w:lvl w:ilvl="7">
      <w:start w:val="0"/>
      <w:numFmt w:val="bullet"/>
      <w:lvlText w:val="•"/>
      <w:lvlJc w:val="left"/>
      <w:pPr>
        <w:ind w:left="8052" w:hanging="1138"/>
      </w:pPr>
      <w:rPr>
        <w:rFonts w:hint="default"/>
        <w:lang w:val="en-US" w:eastAsia="zh-CN" w:bidi="ar-SA"/>
      </w:rPr>
    </w:lvl>
    <w:lvl w:ilvl="8">
      <w:start w:val="0"/>
      <w:numFmt w:val="bullet"/>
      <w:lvlText w:val="•"/>
      <w:lvlJc w:val="left"/>
      <w:pPr>
        <w:ind w:left="8957" w:hanging="1138"/>
      </w:pPr>
      <w:rPr>
        <w:rFonts w:hint="default"/>
        <w:lang w:val="en-US" w:eastAsia="zh-CN" w:bidi="ar-SA"/>
      </w:rPr>
    </w:lvl>
  </w:abstractNum>
  <w:abstractNum w:abstractNumId="6">
    <w:multiLevelType w:val="hybridMultilevel"/>
    <w:lvl w:ilvl="0">
      <w:start w:val="5"/>
      <w:numFmt w:val="decimal"/>
      <w:lvlText w:val="%1"/>
      <w:lvlJc w:val="left"/>
      <w:pPr>
        <w:ind w:left="3285" w:hanging="1138"/>
        <w:jc w:val="left"/>
      </w:pPr>
      <w:rPr>
        <w:rFonts w:hint="default"/>
        <w:lang w:val="en-US" w:eastAsia="zh-CN" w:bidi="ar-SA"/>
      </w:rPr>
    </w:lvl>
    <w:lvl w:ilvl="1">
      <w:start w:val="1"/>
      <w:numFmt w:val="decimal"/>
      <w:lvlText w:val="%1.%2"/>
      <w:lvlJc w:val="left"/>
      <w:pPr>
        <w:ind w:left="3285" w:hanging="113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777" w:hanging="1138"/>
      </w:pPr>
      <w:rPr>
        <w:rFonts w:hint="default"/>
        <w:lang w:val="en-US" w:eastAsia="zh-CN" w:bidi="ar-SA"/>
      </w:rPr>
    </w:lvl>
    <w:lvl w:ilvl="3">
      <w:start w:val="0"/>
      <w:numFmt w:val="bullet"/>
      <w:lvlText w:val="•"/>
      <w:lvlJc w:val="left"/>
      <w:pPr>
        <w:ind w:left="5525" w:hanging="1138"/>
      </w:pPr>
      <w:rPr>
        <w:rFonts w:hint="default"/>
        <w:lang w:val="en-US" w:eastAsia="zh-CN" w:bidi="ar-SA"/>
      </w:rPr>
    </w:lvl>
    <w:lvl w:ilvl="4">
      <w:start w:val="0"/>
      <w:numFmt w:val="bullet"/>
      <w:lvlText w:val="•"/>
      <w:lvlJc w:val="left"/>
      <w:pPr>
        <w:ind w:left="6274" w:hanging="1138"/>
      </w:pPr>
      <w:rPr>
        <w:rFonts w:hint="default"/>
        <w:lang w:val="en-US" w:eastAsia="zh-CN" w:bidi="ar-SA"/>
      </w:rPr>
    </w:lvl>
    <w:lvl w:ilvl="5">
      <w:start w:val="0"/>
      <w:numFmt w:val="bullet"/>
      <w:lvlText w:val="•"/>
      <w:lvlJc w:val="left"/>
      <w:pPr>
        <w:ind w:left="7023" w:hanging="1138"/>
      </w:pPr>
      <w:rPr>
        <w:rFonts w:hint="default"/>
        <w:lang w:val="en-US" w:eastAsia="zh-CN" w:bidi="ar-SA"/>
      </w:rPr>
    </w:lvl>
    <w:lvl w:ilvl="6">
      <w:start w:val="0"/>
      <w:numFmt w:val="bullet"/>
      <w:lvlText w:val="•"/>
      <w:lvlJc w:val="left"/>
      <w:pPr>
        <w:ind w:left="7771" w:hanging="1138"/>
      </w:pPr>
      <w:rPr>
        <w:rFonts w:hint="default"/>
        <w:lang w:val="en-US" w:eastAsia="zh-CN" w:bidi="ar-SA"/>
      </w:rPr>
    </w:lvl>
    <w:lvl w:ilvl="7">
      <w:start w:val="0"/>
      <w:numFmt w:val="bullet"/>
      <w:lvlText w:val="•"/>
      <w:lvlJc w:val="left"/>
      <w:pPr>
        <w:ind w:left="8520" w:hanging="1138"/>
      </w:pPr>
      <w:rPr>
        <w:rFonts w:hint="default"/>
        <w:lang w:val="en-US" w:eastAsia="zh-CN" w:bidi="ar-SA"/>
      </w:rPr>
    </w:lvl>
    <w:lvl w:ilvl="8">
      <w:start w:val="0"/>
      <w:numFmt w:val="bullet"/>
      <w:lvlText w:val="•"/>
      <w:lvlJc w:val="left"/>
      <w:pPr>
        <w:ind w:left="9269" w:hanging="1138"/>
      </w:pPr>
      <w:rPr>
        <w:rFonts w:hint="default"/>
        <w:lang w:val="en-US" w:eastAsia="zh-CN" w:bidi="ar-SA"/>
      </w:rPr>
    </w:lvl>
  </w:abstractNum>
  <w:abstractNum w:abstractNumId="5">
    <w:multiLevelType w:val="hybridMultilevel"/>
    <w:lvl w:ilvl="0">
      <w:start w:val="4"/>
      <w:numFmt w:val="decimal"/>
      <w:lvlText w:val="%1"/>
      <w:lvlJc w:val="left"/>
      <w:pPr>
        <w:ind w:left="3285" w:hanging="1138"/>
        <w:jc w:val="left"/>
      </w:pPr>
      <w:rPr>
        <w:rFonts w:hint="default"/>
        <w:lang w:val="en-US" w:eastAsia="zh-CN" w:bidi="ar-SA"/>
      </w:rPr>
    </w:lvl>
    <w:lvl w:ilvl="1">
      <w:start w:val="1"/>
      <w:numFmt w:val="decimal"/>
      <w:lvlText w:val="%1.%2"/>
      <w:lvlJc w:val="left"/>
      <w:pPr>
        <w:ind w:left="3285" w:hanging="113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777" w:hanging="1138"/>
      </w:pPr>
      <w:rPr>
        <w:rFonts w:hint="default"/>
        <w:lang w:val="en-US" w:eastAsia="zh-CN" w:bidi="ar-SA"/>
      </w:rPr>
    </w:lvl>
    <w:lvl w:ilvl="3">
      <w:start w:val="0"/>
      <w:numFmt w:val="bullet"/>
      <w:lvlText w:val="•"/>
      <w:lvlJc w:val="left"/>
      <w:pPr>
        <w:ind w:left="5525" w:hanging="1138"/>
      </w:pPr>
      <w:rPr>
        <w:rFonts w:hint="default"/>
        <w:lang w:val="en-US" w:eastAsia="zh-CN" w:bidi="ar-SA"/>
      </w:rPr>
    </w:lvl>
    <w:lvl w:ilvl="4">
      <w:start w:val="0"/>
      <w:numFmt w:val="bullet"/>
      <w:lvlText w:val="•"/>
      <w:lvlJc w:val="left"/>
      <w:pPr>
        <w:ind w:left="6274" w:hanging="1138"/>
      </w:pPr>
      <w:rPr>
        <w:rFonts w:hint="default"/>
        <w:lang w:val="en-US" w:eastAsia="zh-CN" w:bidi="ar-SA"/>
      </w:rPr>
    </w:lvl>
    <w:lvl w:ilvl="5">
      <w:start w:val="0"/>
      <w:numFmt w:val="bullet"/>
      <w:lvlText w:val="•"/>
      <w:lvlJc w:val="left"/>
      <w:pPr>
        <w:ind w:left="7023" w:hanging="1138"/>
      </w:pPr>
      <w:rPr>
        <w:rFonts w:hint="default"/>
        <w:lang w:val="en-US" w:eastAsia="zh-CN" w:bidi="ar-SA"/>
      </w:rPr>
    </w:lvl>
    <w:lvl w:ilvl="6">
      <w:start w:val="0"/>
      <w:numFmt w:val="bullet"/>
      <w:lvlText w:val="•"/>
      <w:lvlJc w:val="left"/>
      <w:pPr>
        <w:ind w:left="7771" w:hanging="1138"/>
      </w:pPr>
      <w:rPr>
        <w:rFonts w:hint="default"/>
        <w:lang w:val="en-US" w:eastAsia="zh-CN" w:bidi="ar-SA"/>
      </w:rPr>
    </w:lvl>
    <w:lvl w:ilvl="7">
      <w:start w:val="0"/>
      <w:numFmt w:val="bullet"/>
      <w:lvlText w:val="•"/>
      <w:lvlJc w:val="left"/>
      <w:pPr>
        <w:ind w:left="8520" w:hanging="1138"/>
      </w:pPr>
      <w:rPr>
        <w:rFonts w:hint="default"/>
        <w:lang w:val="en-US" w:eastAsia="zh-CN" w:bidi="ar-SA"/>
      </w:rPr>
    </w:lvl>
    <w:lvl w:ilvl="8">
      <w:start w:val="0"/>
      <w:numFmt w:val="bullet"/>
      <w:lvlText w:val="•"/>
      <w:lvlJc w:val="left"/>
      <w:pPr>
        <w:ind w:left="9269" w:hanging="1138"/>
      </w:pPr>
      <w:rPr>
        <w:rFonts w:hint="default"/>
        <w:lang w:val="en-US" w:eastAsia="zh-CN" w:bidi="ar-SA"/>
      </w:rPr>
    </w:lvl>
  </w:abstractNum>
  <w:abstractNum w:abstractNumId="4">
    <w:multiLevelType w:val="hybridMultilevel"/>
    <w:lvl w:ilvl="0">
      <w:start w:val="3"/>
      <w:numFmt w:val="decimal"/>
      <w:lvlText w:val="%1"/>
      <w:lvlJc w:val="left"/>
      <w:pPr>
        <w:ind w:left="1713" w:hanging="1138"/>
        <w:jc w:val="left"/>
      </w:pPr>
      <w:rPr>
        <w:rFonts w:hint="default"/>
        <w:lang w:val="en-US" w:eastAsia="zh-CN" w:bidi="ar-SA"/>
      </w:rPr>
    </w:lvl>
    <w:lvl w:ilvl="1">
      <w:start w:val="1"/>
      <w:numFmt w:val="decimal"/>
      <w:lvlText w:val="%1.%2"/>
      <w:lvlJc w:val="left"/>
      <w:pPr>
        <w:ind w:left="1713" w:hanging="113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529" w:hanging="1138"/>
      </w:pPr>
      <w:rPr>
        <w:rFonts w:hint="default"/>
        <w:lang w:val="en-US" w:eastAsia="zh-CN" w:bidi="ar-SA"/>
      </w:rPr>
    </w:lvl>
    <w:lvl w:ilvl="3">
      <w:start w:val="0"/>
      <w:numFmt w:val="bullet"/>
      <w:lvlText w:val="•"/>
      <w:lvlJc w:val="left"/>
      <w:pPr>
        <w:ind w:left="4433" w:hanging="1138"/>
      </w:pPr>
      <w:rPr>
        <w:rFonts w:hint="default"/>
        <w:lang w:val="en-US" w:eastAsia="zh-CN" w:bidi="ar-SA"/>
      </w:rPr>
    </w:lvl>
    <w:lvl w:ilvl="4">
      <w:start w:val="0"/>
      <w:numFmt w:val="bullet"/>
      <w:lvlText w:val="•"/>
      <w:lvlJc w:val="left"/>
      <w:pPr>
        <w:ind w:left="5338" w:hanging="1138"/>
      </w:pPr>
      <w:rPr>
        <w:rFonts w:hint="default"/>
        <w:lang w:val="en-US" w:eastAsia="zh-CN" w:bidi="ar-SA"/>
      </w:rPr>
    </w:lvl>
    <w:lvl w:ilvl="5">
      <w:start w:val="0"/>
      <w:numFmt w:val="bullet"/>
      <w:lvlText w:val="•"/>
      <w:lvlJc w:val="left"/>
      <w:pPr>
        <w:ind w:left="6243" w:hanging="1138"/>
      </w:pPr>
      <w:rPr>
        <w:rFonts w:hint="default"/>
        <w:lang w:val="en-US" w:eastAsia="zh-CN" w:bidi="ar-SA"/>
      </w:rPr>
    </w:lvl>
    <w:lvl w:ilvl="6">
      <w:start w:val="0"/>
      <w:numFmt w:val="bullet"/>
      <w:lvlText w:val="•"/>
      <w:lvlJc w:val="left"/>
      <w:pPr>
        <w:ind w:left="7147" w:hanging="1138"/>
      </w:pPr>
      <w:rPr>
        <w:rFonts w:hint="default"/>
        <w:lang w:val="en-US" w:eastAsia="zh-CN" w:bidi="ar-SA"/>
      </w:rPr>
    </w:lvl>
    <w:lvl w:ilvl="7">
      <w:start w:val="0"/>
      <w:numFmt w:val="bullet"/>
      <w:lvlText w:val="•"/>
      <w:lvlJc w:val="left"/>
      <w:pPr>
        <w:ind w:left="8052" w:hanging="1138"/>
      </w:pPr>
      <w:rPr>
        <w:rFonts w:hint="default"/>
        <w:lang w:val="en-US" w:eastAsia="zh-CN" w:bidi="ar-SA"/>
      </w:rPr>
    </w:lvl>
    <w:lvl w:ilvl="8">
      <w:start w:val="0"/>
      <w:numFmt w:val="bullet"/>
      <w:lvlText w:val="•"/>
      <w:lvlJc w:val="left"/>
      <w:pPr>
        <w:ind w:left="8957" w:hanging="1138"/>
      </w:pPr>
      <w:rPr>
        <w:rFonts w:hint="default"/>
        <w:lang w:val="en-US" w:eastAsia="zh-CN" w:bidi="ar-SA"/>
      </w:rPr>
    </w:lvl>
  </w:abstractNum>
  <w:abstractNum w:abstractNumId="3">
    <w:multiLevelType w:val="hybridMultilevel"/>
    <w:lvl w:ilvl="0">
      <w:start w:val="1"/>
      <w:numFmt w:val="decimal"/>
      <w:lvlText w:val="（%1）"/>
      <w:lvlJc w:val="left"/>
      <w:pPr>
        <w:ind w:left="7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29"/>
      </w:pPr>
      <w:rPr>
        <w:rFonts w:hint="default"/>
        <w:lang w:val="en-US" w:eastAsia="zh-CN" w:bidi="ar-SA"/>
      </w:rPr>
    </w:lvl>
    <w:lvl w:ilvl="2">
      <w:start w:val="0"/>
      <w:numFmt w:val="bullet"/>
      <w:lvlText w:val="•"/>
      <w:lvlJc w:val="left"/>
      <w:pPr>
        <w:ind w:left="2189" w:hanging="529"/>
      </w:pPr>
      <w:rPr>
        <w:rFonts w:hint="default"/>
        <w:lang w:val="en-US" w:eastAsia="zh-CN" w:bidi="ar-SA"/>
      </w:rPr>
    </w:lvl>
    <w:lvl w:ilvl="3">
      <w:start w:val="0"/>
      <w:numFmt w:val="bullet"/>
      <w:lvlText w:val="•"/>
      <w:lvlJc w:val="left"/>
      <w:pPr>
        <w:ind w:left="2883" w:hanging="529"/>
      </w:pPr>
      <w:rPr>
        <w:rFonts w:hint="default"/>
        <w:lang w:val="en-US" w:eastAsia="zh-CN" w:bidi="ar-SA"/>
      </w:rPr>
    </w:lvl>
    <w:lvl w:ilvl="4">
      <w:start w:val="0"/>
      <w:numFmt w:val="bullet"/>
      <w:lvlText w:val="•"/>
      <w:lvlJc w:val="left"/>
      <w:pPr>
        <w:ind w:left="3578" w:hanging="529"/>
      </w:pPr>
      <w:rPr>
        <w:rFonts w:hint="default"/>
        <w:lang w:val="en-US" w:eastAsia="zh-CN" w:bidi="ar-SA"/>
      </w:rPr>
    </w:lvl>
    <w:lvl w:ilvl="5">
      <w:start w:val="0"/>
      <w:numFmt w:val="bullet"/>
      <w:lvlText w:val="•"/>
      <w:lvlJc w:val="left"/>
      <w:pPr>
        <w:ind w:left="4273" w:hanging="529"/>
      </w:pPr>
      <w:rPr>
        <w:rFonts w:hint="default"/>
        <w:lang w:val="en-US" w:eastAsia="zh-CN" w:bidi="ar-SA"/>
      </w:rPr>
    </w:lvl>
    <w:lvl w:ilvl="6">
      <w:start w:val="0"/>
      <w:numFmt w:val="bullet"/>
      <w:lvlText w:val="•"/>
      <w:lvlJc w:val="left"/>
      <w:pPr>
        <w:ind w:left="4967" w:hanging="529"/>
      </w:pPr>
      <w:rPr>
        <w:rFonts w:hint="default"/>
        <w:lang w:val="en-US" w:eastAsia="zh-CN" w:bidi="ar-SA"/>
      </w:rPr>
    </w:lvl>
    <w:lvl w:ilvl="7">
      <w:start w:val="0"/>
      <w:numFmt w:val="bullet"/>
      <w:lvlText w:val="•"/>
      <w:lvlJc w:val="left"/>
      <w:pPr>
        <w:ind w:left="5662" w:hanging="529"/>
      </w:pPr>
      <w:rPr>
        <w:rFonts w:hint="default"/>
        <w:lang w:val="en-US" w:eastAsia="zh-CN" w:bidi="ar-SA"/>
      </w:rPr>
    </w:lvl>
    <w:lvl w:ilvl="8">
      <w:start w:val="0"/>
      <w:numFmt w:val="bullet"/>
      <w:lvlText w:val="•"/>
      <w:lvlJc w:val="left"/>
      <w:pPr>
        <w:ind w:left="6356" w:hanging="529"/>
      </w:pPr>
      <w:rPr>
        <w:rFonts w:hint="default"/>
        <w:lang w:val="en-US" w:eastAsia="zh-CN" w:bidi="ar-SA"/>
      </w:rPr>
    </w:lvl>
  </w:abstractNum>
  <w:abstractNum w:abstractNumId="2">
    <w:multiLevelType w:val="hybridMultilevel"/>
    <w:lvl w:ilvl="0">
      <w:start w:val="2"/>
      <w:numFmt w:val="decimal"/>
      <w:lvlText w:val="%1"/>
      <w:lvlJc w:val="left"/>
      <w:pPr>
        <w:ind w:left="3285" w:hanging="1138"/>
        <w:jc w:val="left"/>
      </w:pPr>
      <w:rPr>
        <w:rFonts w:hint="default"/>
        <w:lang w:val="en-US" w:eastAsia="zh-CN" w:bidi="ar-SA"/>
      </w:rPr>
    </w:lvl>
    <w:lvl w:ilvl="1">
      <w:start w:val="1"/>
      <w:numFmt w:val="decimal"/>
      <w:lvlText w:val="%1.%2"/>
      <w:lvlJc w:val="left"/>
      <w:pPr>
        <w:ind w:left="3285" w:hanging="113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777" w:hanging="1138"/>
      </w:pPr>
      <w:rPr>
        <w:rFonts w:hint="default"/>
        <w:lang w:val="en-US" w:eastAsia="zh-CN" w:bidi="ar-SA"/>
      </w:rPr>
    </w:lvl>
    <w:lvl w:ilvl="3">
      <w:start w:val="0"/>
      <w:numFmt w:val="bullet"/>
      <w:lvlText w:val="•"/>
      <w:lvlJc w:val="left"/>
      <w:pPr>
        <w:ind w:left="5525" w:hanging="1138"/>
      </w:pPr>
      <w:rPr>
        <w:rFonts w:hint="default"/>
        <w:lang w:val="en-US" w:eastAsia="zh-CN" w:bidi="ar-SA"/>
      </w:rPr>
    </w:lvl>
    <w:lvl w:ilvl="4">
      <w:start w:val="0"/>
      <w:numFmt w:val="bullet"/>
      <w:lvlText w:val="•"/>
      <w:lvlJc w:val="left"/>
      <w:pPr>
        <w:ind w:left="6274" w:hanging="1138"/>
      </w:pPr>
      <w:rPr>
        <w:rFonts w:hint="default"/>
        <w:lang w:val="en-US" w:eastAsia="zh-CN" w:bidi="ar-SA"/>
      </w:rPr>
    </w:lvl>
    <w:lvl w:ilvl="5">
      <w:start w:val="0"/>
      <w:numFmt w:val="bullet"/>
      <w:lvlText w:val="•"/>
      <w:lvlJc w:val="left"/>
      <w:pPr>
        <w:ind w:left="7023" w:hanging="1138"/>
      </w:pPr>
      <w:rPr>
        <w:rFonts w:hint="default"/>
        <w:lang w:val="en-US" w:eastAsia="zh-CN" w:bidi="ar-SA"/>
      </w:rPr>
    </w:lvl>
    <w:lvl w:ilvl="6">
      <w:start w:val="0"/>
      <w:numFmt w:val="bullet"/>
      <w:lvlText w:val="•"/>
      <w:lvlJc w:val="left"/>
      <w:pPr>
        <w:ind w:left="7771" w:hanging="1138"/>
      </w:pPr>
      <w:rPr>
        <w:rFonts w:hint="default"/>
        <w:lang w:val="en-US" w:eastAsia="zh-CN" w:bidi="ar-SA"/>
      </w:rPr>
    </w:lvl>
    <w:lvl w:ilvl="7">
      <w:start w:val="0"/>
      <w:numFmt w:val="bullet"/>
      <w:lvlText w:val="•"/>
      <w:lvlJc w:val="left"/>
      <w:pPr>
        <w:ind w:left="8520" w:hanging="1138"/>
      </w:pPr>
      <w:rPr>
        <w:rFonts w:hint="default"/>
        <w:lang w:val="en-US" w:eastAsia="zh-CN" w:bidi="ar-SA"/>
      </w:rPr>
    </w:lvl>
    <w:lvl w:ilvl="8">
      <w:start w:val="0"/>
      <w:numFmt w:val="bullet"/>
      <w:lvlText w:val="•"/>
      <w:lvlJc w:val="left"/>
      <w:pPr>
        <w:ind w:left="9269" w:hanging="1138"/>
      </w:pPr>
      <w:rPr>
        <w:rFonts w:hint="default"/>
        <w:lang w:val="en-US" w:eastAsia="zh-CN" w:bidi="ar-SA"/>
      </w:rPr>
    </w:lvl>
  </w:abstractNum>
  <w:abstractNum w:abstractNumId="1">
    <w:multiLevelType w:val="hybridMultilevel"/>
    <w:lvl w:ilvl="0">
      <w:start w:val="1"/>
      <w:numFmt w:val="decimal"/>
      <w:lvlText w:val="%1"/>
      <w:lvlJc w:val="left"/>
      <w:pPr>
        <w:ind w:left="3285" w:hanging="1138"/>
        <w:jc w:val="left"/>
      </w:pPr>
      <w:rPr>
        <w:rFonts w:hint="default"/>
        <w:lang w:val="en-US" w:eastAsia="zh-CN" w:bidi="ar-SA"/>
      </w:rPr>
    </w:lvl>
    <w:lvl w:ilvl="1">
      <w:start w:val="1"/>
      <w:numFmt w:val="decimal"/>
      <w:lvlText w:val="%1.%2"/>
      <w:lvlJc w:val="left"/>
      <w:pPr>
        <w:ind w:left="3285" w:hanging="1138"/>
        <w:jc w:val="left"/>
      </w:pPr>
      <w:rPr>
        <w:rFonts w:hint="default" w:ascii="宋体" w:hAnsi="宋体" w:eastAsia="宋体" w:cs="宋体"/>
        <w:b/>
        <w:bCs/>
        <w:i w:val="0"/>
        <w:iCs w:val="0"/>
        <w:w w:val="99"/>
        <w:position w:val="-1"/>
        <w:sz w:val="21"/>
        <w:szCs w:val="21"/>
        <w:lang w:val="en-US" w:eastAsia="zh-CN" w:bidi="ar-SA"/>
      </w:rPr>
    </w:lvl>
    <w:lvl w:ilvl="2">
      <w:start w:val="0"/>
      <w:numFmt w:val="bullet"/>
      <w:lvlText w:val="•"/>
      <w:lvlJc w:val="left"/>
      <w:pPr>
        <w:ind w:left="4777" w:hanging="1138"/>
      </w:pPr>
      <w:rPr>
        <w:rFonts w:hint="default"/>
        <w:lang w:val="en-US" w:eastAsia="zh-CN" w:bidi="ar-SA"/>
      </w:rPr>
    </w:lvl>
    <w:lvl w:ilvl="3">
      <w:start w:val="0"/>
      <w:numFmt w:val="bullet"/>
      <w:lvlText w:val="•"/>
      <w:lvlJc w:val="left"/>
      <w:pPr>
        <w:ind w:left="5525" w:hanging="1138"/>
      </w:pPr>
      <w:rPr>
        <w:rFonts w:hint="default"/>
        <w:lang w:val="en-US" w:eastAsia="zh-CN" w:bidi="ar-SA"/>
      </w:rPr>
    </w:lvl>
    <w:lvl w:ilvl="4">
      <w:start w:val="0"/>
      <w:numFmt w:val="bullet"/>
      <w:lvlText w:val="•"/>
      <w:lvlJc w:val="left"/>
      <w:pPr>
        <w:ind w:left="6274" w:hanging="1138"/>
      </w:pPr>
      <w:rPr>
        <w:rFonts w:hint="default"/>
        <w:lang w:val="en-US" w:eastAsia="zh-CN" w:bidi="ar-SA"/>
      </w:rPr>
    </w:lvl>
    <w:lvl w:ilvl="5">
      <w:start w:val="0"/>
      <w:numFmt w:val="bullet"/>
      <w:lvlText w:val="•"/>
      <w:lvlJc w:val="left"/>
      <w:pPr>
        <w:ind w:left="7023" w:hanging="1138"/>
      </w:pPr>
      <w:rPr>
        <w:rFonts w:hint="default"/>
        <w:lang w:val="en-US" w:eastAsia="zh-CN" w:bidi="ar-SA"/>
      </w:rPr>
    </w:lvl>
    <w:lvl w:ilvl="6">
      <w:start w:val="0"/>
      <w:numFmt w:val="bullet"/>
      <w:lvlText w:val="•"/>
      <w:lvlJc w:val="left"/>
      <w:pPr>
        <w:ind w:left="7771" w:hanging="1138"/>
      </w:pPr>
      <w:rPr>
        <w:rFonts w:hint="default"/>
        <w:lang w:val="en-US" w:eastAsia="zh-CN" w:bidi="ar-SA"/>
      </w:rPr>
    </w:lvl>
    <w:lvl w:ilvl="7">
      <w:start w:val="0"/>
      <w:numFmt w:val="bullet"/>
      <w:lvlText w:val="•"/>
      <w:lvlJc w:val="left"/>
      <w:pPr>
        <w:ind w:left="8520" w:hanging="1138"/>
      </w:pPr>
      <w:rPr>
        <w:rFonts w:hint="default"/>
        <w:lang w:val="en-US" w:eastAsia="zh-CN" w:bidi="ar-SA"/>
      </w:rPr>
    </w:lvl>
    <w:lvl w:ilvl="8">
      <w:start w:val="0"/>
      <w:numFmt w:val="bullet"/>
      <w:lvlText w:val="•"/>
      <w:lvlJc w:val="left"/>
      <w:pPr>
        <w:ind w:left="9269" w:hanging="1138"/>
      </w:pPr>
      <w:rPr>
        <w:rFonts w:hint="default"/>
        <w:lang w:val="en-US" w:eastAsia="zh-CN" w:bidi="ar-SA"/>
      </w:rPr>
    </w:lvl>
  </w:abstractNum>
  <w:abstractNum w:abstractNumId="0">
    <w:multiLevelType w:val="hybridMultilevel"/>
    <w:lvl w:ilvl="0">
      <w:start w:val="0"/>
      <w:numFmt w:val="bullet"/>
      <w:lvlText w:val=""/>
      <w:lvlJc w:val="left"/>
      <w:pPr>
        <w:ind w:left="551" w:hanging="303"/>
      </w:pPr>
      <w:rPr>
        <w:rFonts w:hint="default" w:ascii="Wingdings" w:hAnsi="Wingdings" w:eastAsia="Wingdings" w:cs="Wingdings"/>
        <w:b/>
        <w:bCs/>
        <w:i w:val="0"/>
        <w:iCs w:val="0"/>
        <w:spacing w:val="2"/>
        <w:w w:val="99"/>
        <w:sz w:val="30"/>
        <w:szCs w:val="30"/>
        <w:lang w:val="en-US" w:eastAsia="zh-CN" w:bidi="ar-SA"/>
      </w:rPr>
    </w:lvl>
    <w:lvl w:ilvl="1">
      <w:start w:val="0"/>
      <w:numFmt w:val="bullet"/>
      <w:lvlText w:val=""/>
      <w:lvlJc w:val="left"/>
      <w:pPr>
        <w:ind w:left="1091" w:hanging="420"/>
      </w:pPr>
      <w:rPr>
        <w:rFonts w:hint="default" w:ascii="Wingdings" w:hAnsi="Wingdings" w:eastAsia="Wingdings" w:cs="Wingdings"/>
        <w:b/>
        <w:bCs/>
        <w:i w:val="0"/>
        <w:iCs w:val="0"/>
        <w:w w:val="100"/>
        <w:sz w:val="21"/>
        <w:szCs w:val="21"/>
        <w:lang w:val="en-US" w:eastAsia="zh-CN" w:bidi="ar-SA"/>
      </w:rPr>
    </w:lvl>
    <w:lvl w:ilvl="2">
      <w:start w:val="0"/>
      <w:numFmt w:val="bullet"/>
      <w:lvlText w:val="•"/>
      <w:lvlJc w:val="left"/>
      <w:pPr>
        <w:ind w:left="2174" w:hanging="420"/>
      </w:pPr>
      <w:rPr>
        <w:rFonts w:hint="default"/>
        <w:lang w:val="en-US" w:eastAsia="zh-CN" w:bidi="ar-SA"/>
      </w:rPr>
    </w:lvl>
    <w:lvl w:ilvl="3">
      <w:start w:val="0"/>
      <w:numFmt w:val="bullet"/>
      <w:lvlText w:val="•"/>
      <w:lvlJc w:val="left"/>
      <w:pPr>
        <w:ind w:left="3248" w:hanging="420"/>
      </w:pPr>
      <w:rPr>
        <w:rFonts w:hint="default"/>
        <w:lang w:val="en-US" w:eastAsia="zh-CN" w:bidi="ar-SA"/>
      </w:rPr>
    </w:lvl>
    <w:lvl w:ilvl="4">
      <w:start w:val="0"/>
      <w:numFmt w:val="bullet"/>
      <w:lvlText w:val="•"/>
      <w:lvlJc w:val="left"/>
      <w:pPr>
        <w:ind w:left="4322" w:hanging="420"/>
      </w:pPr>
      <w:rPr>
        <w:rFonts w:hint="default"/>
        <w:lang w:val="en-US" w:eastAsia="zh-CN" w:bidi="ar-SA"/>
      </w:rPr>
    </w:lvl>
    <w:lvl w:ilvl="5">
      <w:start w:val="0"/>
      <w:numFmt w:val="bullet"/>
      <w:lvlText w:val="•"/>
      <w:lvlJc w:val="left"/>
      <w:pPr>
        <w:ind w:left="5396" w:hanging="420"/>
      </w:pPr>
      <w:rPr>
        <w:rFonts w:hint="default"/>
        <w:lang w:val="en-US" w:eastAsia="zh-CN" w:bidi="ar-SA"/>
      </w:rPr>
    </w:lvl>
    <w:lvl w:ilvl="6">
      <w:start w:val="0"/>
      <w:numFmt w:val="bullet"/>
      <w:lvlText w:val="•"/>
      <w:lvlJc w:val="left"/>
      <w:pPr>
        <w:ind w:left="6470" w:hanging="420"/>
      </w:pPr>
      <w:rPr>
        <w:rFonts w:hint="default"/>
        <w:lang w:val="en-US" w:eastAsia="zh-CN" w:bidi="ar-SA"/>
      </w:rPr>
    </w:lvl>
    <w:lvl w:ilvl="7">
      <w:start w:val="0"/>
      <w:numFmt w:val="bullet"/>
      <w:lvlText w:val="•"/>
      <w:lvlJc w:val="left"/>
      <w:pPr>
        <w:ind w:left="7544" w:hanging="420"/>
      </w:pPr>
      <w:rPr>
        <w:rFonts w:hint="default"/>
        <w:lang w:val="en-US" w:eastAsia="zh-CN" w:bidi="ar-SA"/>
      </w:rPr>
    </w:lvl>
    <w:lvl w:ilvl="8">
      <w:start w:val="0"/>
      <w:numFmt w:val="bullet"/>
      <w:lvlText w:val="•"/>
      <w:lvlJc w:val="left"/>
      <w:pPr>
        <w:ind w:left="8618" w:hanging="420"/>
      </w:pPr>
      <w:rPr>
        <w:rFonts w:hint="default"/>
        <w:lang w:val="en-US" w:eastAsia="zh-CN" w:bidi="ar-SA"/>
      </w:rPr>
    </w:lvl>
  </w:abstract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575"/>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spacing w:before="72"/>
      <w:ind w:left="1713" w:hanging="1138"/>
      <w:outlineLvl w:val="2"/>
    </w:pPr>
    <w:rPr>
      <w:rFonts w:ascii="黑体" w:hAnsi="黑体" w:eastAsia="黑体" w:cs="黑体"/>
      <w:b/>
      <w:bCs/>
      <w:sz w:val="21"/>
      <w:szCs w:val="21"/>
      <w:lang w:val="en-US" w:eastAsia="zh-CN" w:bidi="ar-SA"/>
    </w:rPr>
  </w:style>
  <w:style w:styleId="Title" w:type="paragraph">
    <w:name w:val="Title"/>
    <w:basedOn w:val="Normal"/>
    <w:uiPriority w:val="1"/>
    <w:qFormat/>
    <w:pPr>
      <w:spacing w:before="4"/>
      <w:ind w:left="632" w:right="629"/>
      <w:jc w:val="center"/>
    </w:pPr>
    <w:rPr>
      <w:rFonts w:ascii="华文新魏" w:hAnsi="华文新魏" w:eastAsia="华文新魏" w:cs="华文新魏"/>
      <w:b/>
      <w:bCs/>
      <w:sz w:val="44"/>
      <w:szCs w:val="44"/>
      <w:lang w:val="en-US" w:eastAsia="zh-CN" w:bidi="ar-SA"/>
    </w:rPr>
  </w:style>
  <w:style w:styleId="ListParagraph" w:type="paragraph">
    <w:name w:val="List Paragraph"/>
    <w:basedOn w:val="Normal"/>
    <w:uiPriority w:val="1"/>
    <w:qFormat/>
    <w:pPr>
      <w:ind w:left="1713" w:hanging="1138"/>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2023-06-02T03:15:09Z</dcterms:created>
  <dcterms:modified xsi:type="dcterms:W3CDTF">2023-06-02T03:15:09Z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