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44"/>
        <w:ind w:left="0" w:right="116" w:firstLine="0"/>
        <w:jc w:val="right"/>
        <w:rPr>
          <w:sz w:val="15"/>
        </w:rPr>
      </w:pPr>
      <w:r>
        <w:drawing>
          <wp:anchor distT="0" distB="0" distL="0" distR="0" simplePos="0" relativeHeight="251659264" behindDoc="0" locked="0" layoutInCell="1" allowOverlap="1">
            <wp:simplePos x="0" y="0"/>
            <wp:positionH relativeFrom="page">
              <wp:posOffset>5808345</wp:posOffset>
            </wp:positionH>
            <wp:positionV relativeFrom="paragraph">
              <wp:posOffset>164465</wp:posOffset>
            </wp:positionV>
            <wp:extent cx="723265" cy="72326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7" cstate="print"/>
                    <a:stretch>
                      <a:fillRect/>
                    </a:stretch>
                  </pic:blipFill>
                  <pic:spPr>
                    <a:xfrm>
                      <a:off x="0" y="0"/>
                      <a:ext cx="723265" cy="723265"/>
                    </a:xfrm>
                    <a:prstGeom prst="rect">
                      <a:avLst/>
                    </a:prstGeom>
                  </pic:spPr>
                </pic:pic>
              </a:graphicData>
            </a:graphic>
          </wp:anchor>
        </w:drawing>
      </w:r>
      <w:r>
        <w:rPr>
          <w:spacing w:val="-2"/>
          <w:sz w:val="15"/>
        </w:rPr>
        <w:t>瑞华保险【2020</w:t>
      </w:r>
      <w:r>
        <w:rPr>
          <w:spacing w:val="-8"/>
          <w:sz w:val="15"/>
        </w:rPr>
        <w:t xml:space="preserve">】医疗保险 </w:t>
      </w:r>
      <w:r>
        <w:rPr>
          <w:spacing w:val="-2"/>
          <w:sz w:val="15"/>
        </w:rPr>
        <w:t>6</w:t>
      </w:r>
      <w:r>
        <w:rPr>
          <w:spacing w:val="-21"/>
          <w:sz w:val="15"/>
        </w:rPr>
        <w:t xml:space="preserve"> 号</w:t>
      </w:r>
    </w:p>
    <w:p>
      <w:pPr>
        <w:pStyle w:val="2"/>
        <w:rPr>
          <w:sz w:val="20"/>
        </w:rPr>
      </w:pPr>
    </w:p>
    <w:p>
      <w:pPr>
        <w:pStyle w:val="2"/>
        <w:rPr>
          <w:sz w:val="20"/>
        </w:rPr>
      </w:pPr>
    </w:p>
    <w:p>
      <w:pPr>
        <w:pStyle w:val="2"/>
        <w:rPr>
          <w:sz w:val="20"/>
        </w:rPr>
      </w:pPr>
    </w:p>
    <w:p>
      <w:pPr>
        <w:pStyle w:val="2"/>
        <w:spacing w:before="4"/>
        <w:rPr>
          <w:sz w:val="17"/>
        </w:rPr>
      </w:pPr>
    </w:p>
    <w:p>
      <w:pPr>
        <w:spacing w:after="0"/>
        <w:rPr>
          <w:sz w:val="17"/>
        </w:rPr>
        <w:sectPr>
          <w:footerReference r:id="rId5" w:type="default"/>
          <w:type w:val="continuous"/>
          <w:pgSz w:w="11910" w:h="16840"/>
          <w:pgMar w:top="260" w:right="1080" w:bottom="1320" w:left="1580" w:header="0" w:footer="1137" w:gutter="0"/>
          <w:pgNumType w:start="1"/>
          <w:cols w:space="720" w:num="1"/>
        </w:sectPr>
      </w:pPr>
    </w:p>
    <w:p>
      <w:pPr>
        <w:spacing w:before="36" w:line="364" w:lineRule="auto"/>
        <w:ind w:left="2263" w:right="0" w:hanging="5"/>
        <w:jc w:val="center"/>
        <w:rPr>
          <w:b/>
          <w:sz w:val="32"/>
        </w:rPr>
      </w:pPr>
      <w:r>
        <w:rPr>
          <w:b/>
          <w:spacing w:val="-2"/>
          <w:sz w:val="32"/>
        </w:rPr>
        <w:t xml:space="preserve">瑞华健康保险股份有限公司 </w:t>
      </w:r>
      <w:r>
        <w:rPr>
          <w:b/>
          <w:spacing w:val="-2"/>
          <w:w w:val="95"/>
          <w:sz w:val="32"/>
        </w:rPr>
        <w:t>瑞华医保加个人医疗保险条款</w:t>
      </w:r>
      <w:r>
        <w:rPr>
          <w:b/>
          <w:sz w:val="32"/>
        </w:rPr>
        <w:t>阅 读 指 引</w:t>
      </w:r>
    </w:p>
    <w:p>
      <w:pPr>
        <w:spacing w:before="5" w:line="240" w:lineRule="auto"/>
        <w:rPr>
          <w:b/>
          <w:sz w:val="16"/>
        </w:rPr>
      </w:pPr>
      <w:r>
        <w:br w:type="column"/>
      </w:r>
    </w:p>
    <w:p>
      <w:pPr>
        <w:spacing w:before="0"/>
        <w:ind w:left="898" w:right="0" w:firstLine="0"/>
        <w:jc w:val="left"/>
        <w:rPr>
          <w:sz w:val="15"/>
        </w:rPr>
      </w:pPr>
      <w:r>
        <w:rPr>
          <w:spacing w:val="-3"/>
          <w:sz w:val="15"/>
        </w:rPr>
        <w:t>请扫描以查询验证条款</w:t>
      </w:r>
    </w:p>
    <w:p>
      <w:pPr>
        <w:spacing w:after="0"/>
        <w:jc w:val="left"/>
        <w:rPr>
          <w:sz w:val="15"/>
        </w:rPr>
        <w:sectPr>
          <w:type w:val="continuous"/>
          <w:pgSz w:w="11910" w:h="16840"/>
          <w:pgMar w:top="260" w:right="1080" w:bottom="1320" w:left="1580" w:header="0" w:footer="1137" w:gutter="0"/>
          <w:cols w:equalWidth="0" w:num="2">
            <w:col w:w="6443" w:space="40"/>
            <w:col w:w="2767"/>
          </w:cols>
        </w:sectPr>
      </w:pPr>
    </w:p>
    <w:p>
      <w:pPr>
        <w:spacing w:before="0" w:line="173" w:lineRule="exact"/>
        <w:ind w:left="705" w:right="0" w:firstLine="0"/>
        <w:jc w:val="left"/>
        <w:rPr>
          <w:sz w:val="18"/>
        </w:rPr>
      </w:pPr>
      <w:r>
        <w:rPr>
          <w:spacing w:val="-1"/>
          <w:sz w:val="18"/>
        </w:rPr>
        <w:t>本阅读指引有助于您理解条款,对“瑞华医保加个人医疗保险条款”内容的解释以条款为准。</w:t>
      </w:r>
    </w:p>
    <w:p>
      <w:pPr>
        <w:pStyle w:val="2"/>
        <w:rPr>
          <w:sz w:val="18"/>
        </w:rPr>
      </w:pPr>
    </w:p>
    <w:p>
      <w:pPr>
        <w:pStyle w:val="2"/>
        <w:spacing w:before="5"/>
        <w:rPr>
          <w:sz w:val="14"/>
        </w:rPr>
      </w:pPr>
    </w:p>
    <w:p>
      <w:pPr>
        <w:tabs>
          <w:tab w:val="left" w:pos="1057"/>
        </w:tabs>
        <w:spacing w:before="0"/>
        <w:ind w:left="218" w:right="0" w:firstLine="0"/>
        <w:jc w:val="left"/>
        <w:rPr>
          <w:b/>
          <w:sz w:val="21"/>
        </w:rPr>
      </w:pPr>
      <w:r>
        <w:rPr>
          <w:rFonts w:ascii="Wingdings 2" w:hAnsi="Wingdings 2" w:eastAsia="Wingdings 2"/>
          <w:spacing w:val="-10"/>
          <w:sz w:val="52"/>
        </w:rPr>
        <w:t></w:t>
      </w:r>
      <w:r>
        <w:rPr>
          <w:rFonts w:ascii="Times New Roman" w:hAnsi="Times New Roman" w:eastAsia="Times New Roman"/>
          <w:sz w:val="52"/>
        </w:rPr>
        <w:tab/>
      </w:r>
      <w:r>
        <w:rPr>
          <w:b/>
          <w:spacing w:val="-2"/>
          <w:sz w:val="21"/>
        </w:rPr>
        <w:t>您拥有的重要权益</w:t>
      </w:r>
    </w:p>
    <w:p>
      <w:pPr>
        <w:pStyle w:val="6"/>
        <w:numPr>
          <w:ilvl w:val="0"/>
          <w:numId w:val="1"/>
        </w:numPr>
        <w:tabs>
          <w:tab w:val="left" w:pos="1057"/>
          <w:tab w:val="left" w:pos="1058"/>
          <w:tab w:val="left" w:leader="dot" w:pos="7784"/>
        </w:tabs>
        <w:spacing w:before="36" w:after="0" w:line="240" w:lineRule="auto"/>
        <w:ind w:left="1058" w:right="0" w:hanging="420"/>
        <w:jc w:val="left"/>
        <w:rPr>
          <w:sz w:val="21"/>
        </w:rPr>
      </w:pPr>
      <w:r>
        <w:rPr>
          <w:spacing w:val="-2"/>
          <w:sz w:val="21"/>
        </w:rPr>
        <w:t>被保险人可以享受本合同提供的保</w:t>
      </w:r>
      <w:r>
        <w:rPr>
          <w:spacing w:val="-10"/>
          <w:sz w:val="21"/>
        </w:rPr>
        <w:t>障</w:t>
      </w:r>
      <w:r>
        <w:rPr>
          <w:rFonts w:ascii="Times New Roman" w:hAnsi="Times New Roman" w:eastAsia="Times New Roman"/>
          <w:sz w:val="21"/>
        </w:rPr>
        <w:tab/>
      </w:r>
      <w:bookmarkStart w:id="0" w:name="_GoBack"/>
      <w:bookmarkEnd w:id="0"/>
      <w:r>
        <w:rPr>
          <w:spacing w:val="-2"/>
          <w:sz w:val="21"/>
        </w:rPr>
        <w:t>三</w:t>
      </w:r>
      <w:r>
        <w:rPr>
          <w:spacing w:val="-10"/>
          <w:sz w:val="21"/>
        </w:rPr>
        <w:t>条</w:t>
      </w:r>
    </w:p>
    <w:p>
      <w:pPr>
        <w:pStyle w:val="6"/>
        <w:numPr>
          <w:ilvl w:val="0"/>
          <w:numId w:val="1"/>
        </w:numPr>
        <w:tabs>
          <w:tab w:val="left" w:pos="1057"/>
          <w:tab w:val="left" w:pos="1058"/>
          <w:tab w:val="left" w:leader="dot" w:pos="7572"/>
        </w:tabs>
        <w:spacing w:before="43" w:after="0" w:line="240" w:lineRule="auto"/>
        <w:ind w:left="1058" w:right="0" w:hanging="420"/>
        <w:jc w:val="left"/>
        <w:rPr>
          <w:sz w:val="21"/>
        </w:rPr>
      </w:pPr>
      <w:r>
        <w:rPr>
          <w:spacing w:val="-2"/>
          <w:sz w:val="21"/>
        </w:rPr>
        <w:t>您有解除合同的权</w:t>
      </w:r>
      <w:r>
        <w:rPr>
          <w:spacing w:val="-10"/>
          <w:sz w:val="21"/>
        </w:rPr>
        <w:t>利</w:t>
      </w:r>
      <w:r>
        <w:rPr>
          <w:rFonts w:ascii="Times New Roman" w:hAnsi="Times New Roman" w:eastAsia="Times New Roman"/>
          <w:sz w:val="21"/>
        </w:rPr>
        <w:tab/>
      </w:r>
      <w:r>
        <w:rPr>
          <w:spacing w:val="-2"/>
          <w:sz w:val="21"/>
        </w:rPr>
        <w:t>十四</w:t>
      </w:r>
      <w:r>
        <w:rPr>
          <w:spacing w:val="-10"/>
          <w:sz w:val="21"/>
        </w:rPr>
        <w:t>条</w:t>
      </w:r>
    </w:p>
    <w:p>
      <w:pPr>
        <w:tabs>
          <w:tab w:val="left" w:pos="1057"/>
        </w:tabs>
        <w:spacing w:before="84"/>
        <w:ind w:left="218" w:right="0" w:firstLine="0"/>
        <w:jc w:val="left"/>
        <w:rPr>
          <w:b/>
          <w:sz w:val="21"/>
        </w:rPr>
      </w:pPr>
      <w:r>
        <w:rPr>
          <w:rFonts w:ascii="Wingdings 2" w:hAnsi="Wingdings 2" w:eastAsia="Wingdings 2"/>
          <w:spacing w:val="-10"/>
          <w:sz w:val="52"/>
        </w:rPr>
        <w:t></w:t>
      </w:r>
      <w:r>
        <w:rPr>
          <w:rFonts w:ascii="Times New Roman" w:hAnsi="Times New Roman" w:eastAsia="Times New Roman"/>
          <w:sz w:val="52"/>
        </w:rPr>
        <w:tab/>
      </w:r>
      <w:r>
        <w:rPr>
          <w:b/>
          <w:spacing w:val="-3"/>
          <w:sz w:val="21"/>
        </w:rPr>
        <w:t>您应当特别注意的事项</w:t>
      </w:r>
    </w:p>
    <w:p>
      <w:pPr>
        <w:pStyle w:val="6"/>
        <w:numPr>
          <w:ilvl w:val="0"/>
          <w:numId w:val="1"/>
        </w:numPr>
        <w:tabs>
          <w:tab w:val="left" w:pos="1057"/>
          <w:tab w:val="left" w:pos="1058"/>
          <w:tab w:val="left" w:leader="dot" w:pos="7783"/>
        </w:tabs>
        <w:spacing w:before="35" w:after="0" w:line="240" w:lineRule="auto"/>
        <w:ind w:left="1058" w:right="0" w:hanging="420"/>
        <w:jc w:val="left"/>
        <w:rPr>
          <w:sz w:val="21"/>
        </w:rPr>
      </w:pPr>
      <w:r>
        <w:rPr>
          <w:spacing w:val="-2"/>
          <w:sz w:val="21"/>
        </w:rPr>
        <w:t>等待期内出险，我们不承担保险责</w:t>
      </w:r>
      <w:r>
        <w:rPr>
          <w:spacing w:val="-10"/>
          <w:sz w:val="21"/>
        </w:rPr>
        <w:t>任</w:t>
      </w:r>
      <w:r>
        <w:rPr>
          <w:rFonts w:ascii="Times New Roman" w:hAnsi="Times New Roman" w:eastAsia="Times New Roman"/>
          <w:sz w:val="21"/>
        </w:rPr>
        <w:tab/>
      </w:r>
      <w:r>
        <w:rPr>
          <w:spacing w:val="-2"/>
          <w:sz w:val="21"/>
        </w:rPr>
        <w:t>三</w:t>
      </w:r>
      <w:r>
        <w:rPr>
          <w:spacing w:val="-10"/>
          <w:sz w:val="21"/>
        </w:rPr>
        <w:t>条</w:t>
      </w:r>
    </w:p>
    <w:p>
      <w:pPr>
        <w:pStyle w:val="6"/>
        <w:numPr>
          <w:ilvl w:val="0"/>
          <w:numId w:val="1"/>
        </w:numPr>
        <w:tabs>
          <w:tab w:val="left" w:pos="1057"/>
          <w:tab w:val="left" w:pos="1058"/>
          <w:tab w:val="left" w:leader="dot" w:pos="5261"/>
        </w:tabs>
        <w:spacing w:before="43" w:after="0" w:line="240" w:lineRule="auto"/>
        <w:ind w:left="1058" w:right="0" w:hanging="420"/>
        <w:jc w:val="left"/>
        <w:rPr>
          <w:sz w:val="21"/>
        </w:rPr>
      </w:pPr>
      <w:r>
        <w:rPr>
          <w:spacing w:val="-2"/>
          <w:sz w:val="21"/>
        </w:rPr>
        <w:t>在部分情况下，我们不承担保险责</w:t>
      </w:r>
      <w:r>
        <w:rPr>
          <w:spacing w:val="-10"/>
          <w:sz w:val="21"/>
        </w:rPr>
        <w:t>任</w:t>
      </w:r>
      <w:r>
        <w:rPr>
          <w:rFonts w:ascii="Times New Roman" w:hAnsi="Times New Roman" w:eastAsia="Times New Roman"/>
          <w:sz w:val="21"/>
        </w:rPr>
        <w:tab/>
      </w:r>
      <w:r>
        <w:rPr>
          <w:spacing w:val="-2"/>
          <w:sz w:val="21"/>
        </w:rPr>
        <w:t>六条及其他显著标识的文字内</w:t>
      </w:r>
      <w:r>
        <w:rPr>
          <w:spacing w:val="-10"/>
          <w:sz w:val="21"/>
        </w:rPr>
        <w:t>容</w:t>
      </w:r>
    </w:p>
    <w:p>
      <w:pPr>
        <w:pStyle w:val="6"/>
        <w:numPr>
          <w:ilvl w:val="0"/>
          <w:numId w:val="1"/>
        </w:numPr>
        <w:tabs>
          <w:tab w:val="left" w:pos="1057"/>
          <w:tab w:val="left" w:pos="1058"/>
        </w:tabs>
        <w:spacing w:before="43" w:after="0" w:line="240" w:lineRule="auto"/>
        <w:ind w:left="1058" w:right="0" w:hanging="420"/>
        <w:jc w:val="left"/>
        <w:rPr>
          <w:sz w:val="21"/>
        </w:rPr>
      </w:pPr>
      <w:r>
        <w:rPr>
          <w:spacing w:val="-2"/>
          <w:sz w:val="21"/>
        </w:rPr>
        <w:t>未能按时交纳续期保险费的，在宽限期内，我们仍然承担保险责任……</w:t>
      </w:r>
      <w:r>
        <w:rPr>
          <w:spacing w:val="-5"/>
          <w:sz w:val="21"/>
        </w:rPr>
        <w:t>十一条</w:t>
      </w:r>
    </w:p>
    <w:p>
      <w:pPr>
        <w:pStyle w:val="6"/>
        <w:numPr>
          <w:ilvl w:val="0"/>
          <w:numId w:val="1"/>
        </w:numPr>
        <w:tabs>
          <w:tab w:val="left" w:pos="1057"/>
          <w:tab w:val="left" w:pos="1058"/>
          <w:tab w:val="left" w:leader="dot" w:pos="7572"/>
        </w:tabs>
        <w:spacing w:before="43" w:after="0" w:line="240" w:lineRule="auto"/>
        <w:ind w:left="1058" w:right="0" w:hanging="420"/>
        <w:jc w:val="left"/>
        <w:rPr>
          <w:sz w:val="21"/>
        </w:rPr>
      </w:pPr>
      <w:r>
        <w:rPr>
          <w:spacing w:val="-2"/>
          <w:sz w:val="21"/>
        </w:rPr>
        <w:t>解除合同会给您造成一定的损失，请您慎重决策</w:t>
      </w:r>
      <w:r>
        <w:rPr>
          <w:spacing w:val="-10"/>
          <w:sz w:val="21"/>
        </w:rPr>
        <w:t>…</w:t>
      </w:r>
      <w:r>
        <w:rPr>
          <w:rFonts w:ascii="Times New Roman" w:hAnsi="Times New Roman" w:eastAsia="Times New Roman"/>
          <w:sz w:val="21"/>
        </w:rPr>
        <w:tab/>
      </w:r>
      <w:r>
        <w:rPr>
          <w:spacing w:val="-2"/>
          <w:sz w:val="21"/>
        </w:rPr>
        <w:t>十四</w:t>
      </w:r>
      <w:r>
        <w:rPr>
          <w:spacing w:val="-10"/>
          <w:sz w:val="21"/>
        </w:rPr>
        <w:t>条</w:t>
      </w:r>
    </w:p>
    <w:p>
      <w:pPr>
        <w:pStyle w:val="6"/>
        <w:numPr>
          <w:ilvl w:val="0"/>
          <w:numId w:val="1"/>
        </w:numPr>
        <w:tabs>
          <w:tab w:val="left" w:pos="1057"/>
          <w:tab w:val="left" w:pos="1058"/>
          <w:tab w:val="left" w:leader="dot" w:pos="7572"/>
        </w:tabs>
        <w:spacing w:before="43" w:after="0" w:line="240" w:lineRule="auto"/>
        <w:ind w:left="1058" w:right="0" w:hanging="420"/>
        <w:jc w:val="left"/>
        <w:rPr>
          <w:sz w:val="21"/>
        </w:rPr>
      </w:pPr>
      <w:r>
        <w:rPr>
          <w:spacing w:val="-2"/>
          <w:sz w:val="21"/>
        </w:rPr>
        <w:t>您有及时向我们通知保险事故的责</w:t>
      </w:r>
      <w:r>
        <w:rPr>
          <w:spacing w:val="-10"/>
          <w:sz w:val="21"/>
        </w:rPr>
        <w:t>任</w:t>
      </w:r>
      <w:r>
        <w:rPr>
          <w:rFonts w:ascii="Times New Roman" w:hAnsi="Times New Roman" w:eastAsia="Times New Roman"/>
          <w:sz w:val="21"/>
        </w:rPr>
        <w:tab/>
      </w:r>
      <w:r>
        <w:rPr>
          <w:spacing w:val="-2"/>
          <w:sz w:val="21"/>
        </w:rPr>
        <w:t>十五</w:t>
      </w:r>
      <w:r>
        <w:rPr>
          <w:spacing w:val="-10"/>
          <w:sz w:val="21"/>
        </w:rPr>
        <w:t>条</w:t>
      </w:r>
    </w:p>
    <w:p>
      <w:pPr>
        <w:pStyle w:val="6"/>
        <w:numPr>
          <w:ilvl w:val="0"/>
          <w:numId w:val="1"/>
        </w:numPr>
        <w:tabs>
          <w:tab w:val="left" w:pos="1057"/>
          <w:tab w:val="left" w:pos="1058"/>
          <w:tab w:val="left" w:leader="dot" w:pos="7572"/>
        </w:tabs>
        <w:spacing w:before="43" w:after="0" w:line="240" w:lineRule="auto"/>
        <w:ind w:left="1058" w:right="0" w:hanging="420"/>
        <w:jc w:val="left"/>
        <w:rPr>
          <w:sz w:val="21"/>
        </w:rPr>
      </w:pPr>
      <w:r>
        <w:rPr>
          <w:spacing w:val="-2"/>
          <w:sz w:val="21"/>
        </w:rPr>
        <w:t>您有如实告知的义</w:t>
      </w:r>
      <w:r>
        <w:rPr>
          <w:spacing w:val="-10"/>
          <w:sz w:val="21"/>
        </w:rPr>
        <w:t>务</w:t>
      </w:r>
      <w:r>
        <w:rPr>
          <w:rFonts w:ascii="Times New Roman" w:hAnsi="Times New Roman" w:eastAsia="Times New Roman"/>
          <w:sz w:val="21"/>
        </w:rPr>
        <w:tab/>
      </w:r>
      <w:r>
        <w:rPr>
          <w:spacing w:val="-2"/>
          <w:sz w:val="21"/>
        </w:rPr>
        <w:t>十九</w:t>
      </w:r>
      <w:r>
        <w:rPr>
          <w:spacing w:val="-10"/>
          <w:sz w:val="21"/>
        </w:rPr>
        <w:t>条</w:t>
      </w:r>
    </w:p>
    <w:p>
      <w:pPr>
        <w:pStyle w:val="6"/>
        <w:numPr>
          <w:ilvl w:val="0"/>
          <w:numId w:val="1"/>
        </w:numPr>
        <w:tabs>
          <w:tab w:val="left" w:pos="1057"/>
          <w:tab w:val="left" w:pos="1058"/>
          <w:tab w:val="left" w:leader="dot" w:pos="7364"/>
        </w:tabs>
        <w:spacing w:before="43" w:after="0" w:line="240" w:lineRule="auto"/>
        <w:ind w:left="1058" w:right="0" w:hanging="420"/>
        <w:jc w:val="left"/>
        <w:rPr>
          <w:sz w:val="21"/>
        </w:rPr>
      </w:pPr>
      <w:r>
        <w:rPr>
          <w:spacing w:val="-2"/>
          <w:sz w:val="21"/>
        </w:rPr>
        <w:t>犹豫期内您可以要求解除合同并退还已交的保险</w:t>
      </w:r>
      <w:r>
        <w:rPr>
          <w:spacing w:val="-10"/>
          <w:sz w:val="21"/>
        </w:rPr>
        <w:t>费</w:t>
      </w:r>
      <w:r>
        <w:rPr>
          <w:rFonts w:ascii="Times New Roman" w:hAnsi="Times New Roman" w:eastAsia="Times New Roman"/>
          <w:sz w:val="21"/>
        </w:rPr>
        <w:tab/>
      </w:r>
      <w:r>
        <w:rPr>
          <w:spacing w:val="-2"/>
          <w:sz w:val="21"/>
        </w:rPr>
        <w:t>二十一</w:t>
      </w:r>
      <w:r>
        <w:rPr>
          <w:spacing w:val="-10"/>
          <w:sz w:val="21"/>
        </w:rPr>
        <w:t>条</w:t>
      </w:r>
    </w:p>
    <w:p>
      <w:pPr>
        <w:tabs>
          <w:tab w:val="left" w:pos="1057"/>
        </w:tabs>
        <w:spacing w:before="83" w:line="288" w:lineRule="auto"/>
        <w:ind w:left="1070" w:right="744" w:hanging="852"/>
        <w:jc w:val="left"/>
        <w:rPr>
          <w:b/>
          <w:sz w:val="21"/>
        </w:rPr>
      </w:pPr>
      <w:r>
        <w:rPr>
          <w:rFonts w:ascii="Wingdings 2" w:hAnsi="Wingdings 2" w:eastAsia="Wingdings 2"/>
          <w:w w:val="100"/>
          <w:sz w:val="52"/>
        </w:rPr>
        <w:t></w:t>
      </w:r>
      <w:r>
        <w:rPr>
          <w:rFonts w:ascii="Times New Roman" w:hAnsi="Times New Roman" w:eastAsia="Times New Roman"/>
          <w:sz w:val="52"/>
        </w:rPr>
        <w:tab/>
      </w:r>
      <w:r>
        <w:rPr>
          <w:b/>
          <w:spacing w:val="-3"/>
          <w:w w:val="100"/>
          <w:sz w:val="21"/>
        </w:rPr>
        <w:t>条款是保险合同的重要内容，为充分保障您的权益，</w:t>
      </w:r>
      <w:r>
        <w:rPr>
          <w:b/>
          <w:spacing w:val="-149"/>
          <w:w w:val="100"/>
          <w:sz w:val="21"/>
        </w:rPr>
        <w:t>请</w:t>
      </w:r>
      <w:r>
        <w:rPr>
          <w:rFonts w:ascii="宋体" w:hAnsi="宋体" w:eastAsia="宋体"/>
          <w:spacing w:val="-63"/>
          <w:w w:val="100"/>
          <w:position w:val="-7"/>
          <w:sz w:val="21"/>
        </w:rPr>
        <w:t>．</w:t>
      </w:r>
      <w:r>
        <w:rPr>
          <w:b/>
          <w:spacing w:val="-149"/>
          <w:w w:val="100"/>
          <w:sz w:val="21"/>
        </w:rPr>
        <w:t>您</w:t>
      </w:r>
      <w:r>
        <w:rPr>
          <w:rFonts w:ascii="宋体" w:hAnsi="宋体" w:eastAsia="宋体"/>
          <w:spacing w:val="-63"/>
          <w:w w:val="100"/>
          <w:position w:val="-7"/>
          <w:sz w:val="21"/>
        </w:rPr>
        <w:t>．</w:t>
      </w:r>
      <w:r>
        <w:rPr>
          <w:b/>
          <w:spacing w:val="-149"/>
          <w:w w:val="100"/>
          <w:sz w:val="21"/>
        </w:rPr>
        <w:t>仔</w:t>
      </w:r>
      <w:r>
        <w:rPr>
          <w:rFonts w:ascii="宋体" w:hAnsi="宋体" w:eastAsia="宋体"/>
          <w:spacing w:val="-63"/>
          <w:w w:val="100"/>
          <w:position w:val="-7"/>
          <w:sz w:val="21"/>
        </w:rPr>
        <w:t>．</w:t>
      </w:r>
      <w:r>
        <w:rPr>
          <w:b/>
          <w:spacing w:val="-149"/>
          <w:w w:val="100"/>
          <w:sz w:val="21"/>
        </w:rPr>
        <w:t>细</w:t>
      </w:r>
      <w:r>
        <w:rPr>
          <w:rFonts w:ascii="宋体" w:hAnsi="宋体" w:eastAsia="宋体"/>
          <w:spacing w:val="-63"/>
          <w:w w:val="100"/>
          <w:position w:val="-7"/>
          <w:sz w:val="21"/>
        </w:rPr>
        <w:t>．</w:t>
      </w:r>
      <w:r>
        <w:rPr>
          <w:b/>
          <w:spacing w:val="-149"/>
          <w:w w:val="100"/>
          <w:sz w:val="21"/>
        </w:rPr>
        <w:t>阅</w:t>
      </w:r>
      <w:r>
        <w:rPr>
          <w:rFonts w:ascii="宋体" w:hAnsi="宋体" w:eastAsia="宋体"/>
          <w:spacing w:val="-63"/>
          <w:w w:val="100"/>
          <w:position w:val="-7"/>
          <w:sz w:val="21"/>
        </w:rPr>
        <w:t>．</w:t>
      </w:r>
      <w:r>
        <w:rPr>
          <w:b/>
          <w:spacing w:val="-149"/>
          <w:w w:val="100"/>
          <w:sz w:val="21"/>
        </w:rPr>
        <w:t>读</w:t>
      </w:r>
      <w:r>
        <w:rPr>
          <w:rFonts w:ascii="宋体" w:hAnsi="宋体" w:eastAsia="宋体"/>
          <w:spacing w:val="-63"/>
          <w:w w:val="100"/>
          <w:position w:val="-7"/>
          <w:sz w:val="21"/>
        </w:rPr>
        <w:t>．</w:t>
      </w:r>
      <w:r>
        <w:rPr>
          <w:b/>
          <w:spacing w:val="-149"/>
          <w:w w:val="100"/>
          <w:sz w:val="21"/>
        </w:rPr>
        <w:t>本</w:t>
      </w:r>
      <w:r>
        <w:rPr>
          <w:rFonts w:ascii="宋体" w:hAnsi="宋体" w:eastAsia="宋体"/>
          <w:spacing w:val="-63"/>
          <w:w w:val="100"/>
          <w:position w:val="-7"/>
          <w:sz w:val="21"/>
        </w:rPr>
        <w:t>．</w:t>
      </w:r>
      <w:r>
        <w:rPr>
          <w:b/>
          <w:spacing w:val="-151"/>
          <w:w w:val="100"/>
          <w:sz w:val="21"/>
        </w:rPr>
        <w:t>条</w:t>
      </w:r>
      <w:r>
        <w:rPr>
          <w:rFonts w:ascii="宋体" w:hAnsi="宋体" w:eastAsia="宋体"/>
          <w:spacing w:val="-63"/>
          <w:w w:val="100"/>
          <w:position w:val="-7"/>
          <w:sz w:val="21"/>
        </w:rPr>
        <w:t>．</w:t>
      </w:r>
      <w:r>
        <w:rPr>
          <w:b/>
          <w:spacing w:val="-149"/>
          <w:w w:val="100"/>
          <w:sz w:val="21"/>
        </w:rPr>
        <w:t>款</w:t>
      </w:r>
      <w:r>
        <w:rPr>
          <w:rFonts w:ascii="宋体" w:hAnsi="宋体" w:eastAsia="宋体"/>
          <w:spacing w:val="-63"/>
          <w:w w:val="100"/>
          <w:position w:val="-7"/>
          <w:sz w:val="21"/>
        </w:rPr>
        <w:t>．</w:t>
      </w:r>
      <w:r>
        <w:rPr>
          <w:b/>
          <w:spacing w:val="-152"/>
          <w:w w:val="100"/>
          <w:sz w:val="21"/>
        </w:rPr>
        <w:t>并</w:t>
      </w:r>
      <w:r>
        <w:rPr>
          <w:rFonts w:ascii="宋体" w:hAnsi="宋体" w:eastAsia="宋体"/>
          <w:spacing w:val="-63"/>
          <w:w w:val="100"/>
          <w:position w:val="-7"/>
          <w:sz w:val="21"/>
        </w:rPr>
        <w:t>．</w:t>
      </w:r>
      <w:r>
        <w:rPr>
          <w:b/>
          <w:spacing w:val="-149"/>
          <w:w w:val="100"/>
          <w:sz w:val="21"/>
        </w:rPr>
        <w:t>关</w:t>
      </w:r>
      <w:r>
        <w:rPr>
          <w:rFonts w:ascii="宋体" w:hAnsi="宋体" w:eastAsia="宋体"/>
          <w:spacing w:val="-63"/>
          <w:w w:val="100"/>
          <w:position w:val="-7"/>
          <w:sz w:val="21"/>
        </w:rPr>
        <w:t>．</w:t>
      </w:r>
      <w:r>
        <w:rPr>
          <w:b/>
          <w:spacing w:val="-149"/>
          <w:w w:val="100"/>
          <w:sz w:val="21"/>
        </w:rPr>
        <w:t>注</w:t>
      </w:r>
      <w:r>
        <w:rPr>
          <w:rFonts w:ascii="宋体" w:hAnsi="宋体" w:eastAsia="宋体"/>
          <w:w w:val="100"/>
          <w:position w:val="-7"/>
          <w:sz w:val="21"/>
        </w:rPr>
        <w:t>．</w:t>
      </w:r>
      <w:r>
        <w:rPr>
          <w:b/>
          <w:spacing w:val="-149"/>
          <w:w w:val="100"/>
          <w:sz w:val="21"/>
        </w:rPr>
        <w:t>注</w:t>
      </w:r>
      <w:r>
        <w:rPr>
          <w:rFonts w:ascii="宋体" w:hAnsi="宋体" w:eastAsia="宋体"/>
          <w:spacing w:val="-63"/>
          <w:w w:val="100"/>
          <w:position w:val="-7"/>
          <w:sz w:val="21"/>
        </w:rPr>
        <w:t>．</w:t>
      </w:r>
      <w:r>
        <w:rPr>
          <w:b/>
          <w:spacing w:val="-149"/>
          <w:w w:val="100"/>
          <w:sz w:val="21"/>
        </w:rPr>
        <w:t>释</w:t>
      </w:r>
      <w:r>
        <w:rPr>
          <w:rFonts w:ascii="宋体" w:hAnsi="宋体" w:eastAsia="宋体"/>
          <w:spacing w:val="-63"/>
          <w:w w:val="100"/>
          <w:position w:val="-7"/>
          <w:sz w:val="21"/>
        </w:rPr>
        <w:t>．</w:t>
      </w:r>
      <w:r>
        <w:rPr>
          <w:b/>
          <w:spacing w:val="-149"/>
          <w:w w:val="100"/>
          <w:sz w:val="21"/>
        </w:rPr>
        <w:t>内</w:t>
      </w:r>
      <w:r>
        <w:rPr>
          <w:rFonts w:ascii="宋体" w:hAnsi="宋体" w:eastAsia="宋体"/>
          <w:spacing w:val="-63"/>
          <w:w w:val="100"/>
          <w:position w:val="-7"/>
          <w:sz w:val="21"/>
        </w:rPr>
        <w:t>．</w:t>
      </w:r>
      <w:r>
        <w:rPr>
          <w:b/>
          <w:spacing w:val="-149"/>
          <w:w w:val="100"/>
          <w:sz w:val="21"/>
        </w:rPr>
        <w:t>容</w:t>
      </w:r>
      <w:r>
        <w:rPr>
          <w:rFonts w:ascii="宋体" w:hAnsi="宋体" w:eastAsia="宋体"/>
          <w:spacing w:val="-63"/>
          <w:w w:val="100"/>
          <w:position w:val="-7"/>
          <w:sz w:val="21"/>
        </w:rPr>
        <w:t>．</w:t>
      </w:r>
      <w:r>
        <w:rPr>
          <w:b/>
          <w:w w:val="100"/>
          <w:sz w:val="21"/>
        </w:rPr>
        <w:t>。</w:t>
      </w:r>
    </w:p>
    <w:p>
      <w:pPr>
        <w:spacing w:after="0" w:line="288" w:lineRule="auto"/>
        <w:jc w:val="left"/>
        <w:rPr>
          <w:sz w:val="21"/>
        </w:rPr>
        <w:sectPr>
          <w:type w:val="continuous"/>
          <w:pgSz w:w="11910" w:h="16840"/>
          <w:pgMar w:top="260" w:right="1080" w:bottom="1320" w:left="1580" w:header="0" w:footer="1137" w:gutter="0"/>
          <w:cols w:space="720" w:num="1"/>
        </w:sectPr>
      </w:pPr>
    </w:p>
    <w:p>
      <w:pPr>
        <w:spacing w:before="29"/>
        <w:ind w:left="2263" w:right="2799" w:firstLine="0"/>
        <w:jc w:val="center"/>
        <w:rPr>
          <w:b/>
          <w:sz w:val="32"/>
        </w:rPr>
      </w:pPr>
      <w:r>
        <w:rPr>
          <w:b/>
          <w:w w:val="95"/>
          <w:sz w:val="32"/>
        </w:rPr>
        <w:t>条款目</w:t>
      </w:r>
      <w:r>
        <w:rPr>
          <w:b/>
          <w:spacing w:val="-10"/>
          <w:w w:val="95"/>
          <w:sz w:val="32"/>
        </w:rPr>
        <w:t>录</w:t>
      </w:r>
    </w:p>
    <w:p>
      <w:pPr>
        <w:pStyle w:val="2"/>
        <w:rPr>
          <w:b/>
          <w:sz w:val="20"/>
        </w:rPr>
      </w:pPr>
    </w:p>
    <w:p>
      <w:pPr>
        <w:pStyle w:val="2"/>
        <w:spacing w:after="1"/>
        <w:rPr>
          <w:b/>
          <w:sz w:val="13"/>
        </w:rPr>
      </w:pPr>
    </w:p>
    <w:tbl>
      <w:tblPr>
        <w:tblStyle w:val="3"/>
        <w:tblW w:w="0" w:type="auto"/>
        <w:tblInd w:w="11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477"/>
        <w:gridCol w:w="2759"/>
        <w:gridCol w:w="1501"/>
        <w:gridCol w:w="27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4236" w:type="dxa"/>
            <w:gridSpan w:val="2"/>
            <w:tcBorders>
              <w:top w:val="dashSmallGap" w:color="000000" w:sz="4" w:space="0"/>
              <w:left w:val="dashSmallGap" w:color="000000" w:sz="4" w:space="0"/>
            </w:tcBorders>
          </w:tcPr>
          <w:p>
            <w:pPr>
              <w:pStyle w:val="7"/>
              <w:spacing w:before="22"/>
              <w:ind w:left="107"/>
              <w:rPr>
                <w:b/>
                <w:sz w:val="21"/>
              </w:rPr>
            </w:pPr>
            <w:r>
              <w:rPr>
                <w:b/>
                <w:spacing w:val="-3"/>
                <w:sz w:val="21"/>
              </w:rPr>
              <w:t>一章 保险合同构成及投保范围</w:t>
            </w:r>
          </w:p>
        </w:tc>
        <w:tc>
          <w:tcPr>
            <w:tcW w:w="1501" w:type="dxa"/>
            <w:tcBorders>
              <w:top w:val="dashSmallGap" w:color="000000" w:sz="4" w:space="0"/>
            </w:tcBorders>
          </w:tcPr>
          <w:p>
            <w:pPr>
              <w:pStyle w:val="7"/>
              <w:spacing w:before="22"/>
              <w:ind w:right="98"/>
              <w:jc w:val="right"/>
              <w:rPr>
                <w:sz w:val="21"/>
              </w:rPr>
            </w:pPr>
            <w:r>
              <w:rPr>
                <w:spacing w:val="-4"/>
                <w:sz w:val="21"/>
              </w:rPr>
              <w:t>三十三条</w:t>
            </w:r>
          </w:p>
        </w:tc>
        <w:tc>
          <w:tcPr>
            <w:tcW w:w="2785" w:type="dxa"/>
            <w:tcBorders>
              <w:top w:val="dashSmallGap" w:color="000000" w:sz="4" w:space="0"/>
              <w:right w:val="dashSmallGap" w:color="000000" w:sz="4" w:space="0"/>
            </w:tcBorders>
          </w:tcPr>
          <w:p>
            <w:pPr>
              <w:pStyle w:val="7"/>
              <w:spacing w:before="22"/>
              <w:ind w:left="102"/>
              <w:rPr>
                <w:sz w:val="21"/>
              </w:rPr>
            </w:pPr>
            <w:r>
              <w:rPr>
                <w:spacing w:val="-7"/>
                <w:sz w:val="21"/>
              </w:rPr>
              <w:t>住院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236" w:type="dxa"/>
            <w:gridSpan w:val="2"/>
            <w:tcBorders>
              <w:left w:val="dashSmallGap" w:color="000000" w:sz="4" w:space="0"/>
            </w:tcBorders>
          </w:tcPr>
          <w:p>
            <w:pPr>
              <w:pStyle w:val="7"/>
              <w:tabs>
                <w:tab w:val="left" w:pos="1581"/>
              </w:tabs>
              <w:spacing w:before="13"/>
              <w:ind w:left="318"/>
              <w:rPr>
                <w:sz w:val="21"/>
              </w:rPr>
            </w:pPr>
            <w:r>
              <w:rPr>
                <w:sz w:val="21"/>
              </w:rPr>
              <w:t>一</w:t>
            </w:r>
            <w:r>
              <w:rPr>
                <w:spacing w:val="-10"/>
                <w:sz w:val="21"/>
              </w:rPr>
              <w:t>条</w:t>
            </w:r>
            <w:r>
              <w:rPr>
                <w:sz w:val="21"/>
              </w:rPr>
              <w:tab/>
            </w:r>
            <w:r>
              <w:rPr>
                <w:spacing w:val="-2"/>
                <w:sz w:val="21"/>
              </w:rPr>
              <w:t>保险合同构</w:t>
            </w:r>
            <w:r>
              <w:rPr>
                <w:spacing w:val="-10"/>
                <w:sz w:val="21"/>
              </w:rPr>
              <w:t>成</w:t>
            </w:r>
          </w:p>
        </w:tc>
        <w:tc>
          <w:tcPr>
            <w:tcW w:w="1501" w:type="dxa"/>
          </w:tcPr>
          <w:p>
            <w:pPr>
              <w:pStyle w:val="7"/>
              <w:spacing w:before="13"/>
              <w:ind w:right="96"/>
              <w:jc w:val="right"/>
              <w:rPr>
                <w:sz w:val="21"/>
              </w:rPr>
            </w:pPr>
            <w:r>
              <w:rPr>
                <w:spacing w:val="-4"/>
                <w:sz w:val="21"/>
              </w:rPr>
              <w:t>三十四条</w:t>
            </w:r>
          </w:p>
        </w:tc>
        <w:tc>
          <w:tcPr>
            <w:tcW w:w="2785" w:type="dxa"/>
            <w:tcBorders>
              <w:right w:val="dashSmallGap" w:color="000000" w:sz="4" w:space="0"/>
            </w:tcBorders>
          </w:tcPr>
          <w:p>
            <w:pPr>
              <w:pStyle w:val="7"/>
              <w:spacing w:before="13"/>
              <w:ind w:left="105"/>
              <w:rPr>
                <w:sz w:val="21"/>
              </w:rPr>
            </w:pPr>
            <w:r>
              <w:rPr>
                <w:spacing w:val="-4"/>
                <w:sz w:val="21"/>
              </w:rPr>
              <w:t>合理且必要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236" w:type="dxa"/>
            <w:gridSpan w:val="2"/>
            <w:tcBorders>
              <w:left w:val="dashSmallGap" w:color="000000" w:sz="4" w:space="0"/>
            </w:tcBorders>
          </w:tcPr>
          <w:p>
            <w:pPr>
              <w:pStyle w:val="7"/>
              <w:tabs>
                <w:tab w:val="left" w:pos="1581"/>
              </w:tabs>
              <w:spacing w:before="13"/>
              <w:ind w:left="318"/>
              <w:rPr>
                <w:sz w:val="21"/>
              </w:rPr>
            </w:pPr>
            <w:r>
              <w:rPr>
                <w:sz w:val="21"/>
              </w:rPr>
              <w:t>二</w:t>
            </w:r>
            <w:r>
              <w:rPr>
                <w:spacing w:val="-10"/>
                <w:sz w:val="21"/>
              </w:rPr>
              <w:t>条</w:t>
            </w:r>
            <w:r>
              <w:rPr>
                <w:sz w:val="21"/>
              </w:rPr>
              <w:tab/>
            </w:r>
            <w:r>
              <w:rPr>
                <w:spacing w:val="-2"/>
                <w:sz w:val="21"/>
              </w:rPr>
              <w:t>投保年</w:t>
            </w:r>
            <w:r>
              <w:rPr>
                <w:spacing w:val="-10"/>
                <w:sz w:val="21"/>
              </w:rPr>
              <w:t>龄</w:t>
            </w:r>
          </w:p>
        </w:tc>
        <w:tc>
          <w:tcPr>
            <w:tcW w:w="1501" w:type="dxa"/>
          </w:tcPr>
          <w:p>
            <w:pPr>
              <w:pStyle w:val="7"/>
              <w:spacing w:before="13"/>
              <w:ind w:right="96"/>
              <w:jc w:val="right"/>
              <w:rPr>
                <w:sz w:val="21"/>
              </w:rPr>
            </w:pPr>
            <w:r>
              <w:rPr>
                <w:spacing w:val="-4"/>
                <w:sz w:val="21"/>
              </w:rPr>
              <w:t>三十五条</w:t>
            </w:r>
          </w:p>
        </w:tc>
        <w:tc>
          <w:tcPr>
            <w:tcW w:w="2785" w:type="dxa"/>
            <w:tcBorders>
              <w:right w:val="dashSmallGap" w:color="000000" w:sz="4" w:space="0"/>
            </w:tcBorders>
          </w:tcPr>
          <w:p>
            <w:pPr>
              <w:pStyle w:val="7"/>
              <w:spacing w:before="13"/>
              <w:ind w:left="105"/>
              <w:rPr>
                <w:sz w:val="21"/>
              </w:rPr>
            </w:pPr>
            <w:r>
              <w:rPr>
                <w:spacing w:val="-4"/>
                <w:sz w:val="21"/>
              </w:rPr>
              <w:t>住院医疗费用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1" w:hRule="atLeast"/>
        </w:trPr>
        <w:tc>
          <w:tcPr>
            <w:tcW w:w="4236" w:type="dxa"/>
            <w:gridSpan w:val="2"/>
            <w:tcBorders>
              <w:left w:val="dashSmallGap" w:color="000000" w:sz="4" w:space="0"/>
            </w:tcBorders>
          </w:tcPr>
          <w:p>
            <w:pPr>
              <w:pStyle w:val="7"/>
              <w:spacing w:before="13"/>
              <w:ind w:left="107"/>
              <w:rPr>
                <w:b/>
                <w:sz w:val="21"/>
              </w:rPr>
            </w:pPr>
            <w:r>
              <w:rPr>
                <w:b/>
                <w:spacing w:val="-3"/>
                <w:sz w:val="21"/>
              </w:rPr>
              <w:t>二章 保险责任及责任免除</w:t>
            </w:r>
          </w:p>
        </w:tc>
        <w:tc>
          <w:tcPr>
            <w:tcW w:w="1501" w:type="dxa"/>
          </w:tcPr>
          <w:p>
            <w:pPr>
              <w:pStyle w:val="7"/>
              <w:spacing w:before="13"/>
              <w:ind w:right="96"/>
              <w:jc w:val="right"/>
              <w:rPr>
                <w:sz w:val="21"/>
              </w:rPr>
            </w:pPr>
            <w:r>
              <w:rPr>
                <w:spacing w:val="-4"/>
                <w:sz w:val="21"/>
              </w:rPr>
              <w:t>三十六条</w:t>
            </w:r>
          </w:p>
        </w:tc>
        <w:tc>
          <w:tcPr>
            <w:tcW w:w="2785" w:type="dxa"/>
            <w:tcBorders>
              <w:right w:val="dashSmallGap" w:color="000000" w:sz="4" w:space="0"/>
            </w:tcBorders>
          </w:tcPr>
          <w:p>
            <w:pPr>
              <w:pStyle w:val="7"/>
              <w:spacing w:before="13"/>
              <w:ind w:left="105"/>
              <w:rPr>
                <w:sz w:val="21"/>
              </w:rPr>
            </w:pPr>
            <w:r>
              <w:rPr>
                <w:spacing w:val="-4"/>
                <w:sz w:val="21"/>
              </w:rPr>
              <w:t>化学疗法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236" w:type="dxa"/>
            <w:gridSpan w:val="2"/>
            <w:tcBorders>
              <w:left w:val="dashSmallGap" w:color="000000" w:sz="4" w:space="0"/>
            </w:tcBorders>
          </w:tcPr>
          <w:p>
            <w:pPr>
              <w:pStyle w:val="7"/>
              <w:tabs>
                <w:tab w:val="left" w:pos="1581"/>
              </w:tabs>
              <w:spacing w:before="13"/>
              <w:ind w:left="318"/>
              <w:rPr>
                <w:sz w:val="21"/>
              </w:rPr>
            </w:pPr>
            <w:r>
              <w:rPr>
                <w:sz w:val="21"/>
              </w:rPr>
              <w:t>三</w:t>
            </w:r>
            <w:r>
              <w:rPr>
                <w:spacing w:val="-10"/>
                <w:sz w:val="21"/>
              </w:rPr>
              <w:t>条</w:t>
            </w:r>
            <w:r>
              <w:rPr>
                <w:sz w:val="21"/>
              </w:rPr>
              <w:tab/>
            </w:r>
            <w:r>
              <w:rPr>
                <w:spacing w:val="-2"/>
                <w:sz w:val="21"/>
              </w:rPr>
              <w:t>保险责</w:t>
            </w:r>
            <w:r>
              <w:rPr>
                <w:spacing w:val="-10"/>
                <w:sz w:val="21"/>
              </w:rPr>
              <w:t>任</w:t>
            </w:r>
          </w:p>
        </w:tc>
        <w:tc>
          <w:tcPr>
            <w:tcW w:w="1501" w:type="dxa"/>
          </w:tcPr>
          <w:p>
            <w:pPr>
              <w:pStyle w:val="7"/>
              <w:spacing w:before="13"/>
              <w:ind w:right="96"/>
              <w:jc w:val="right"/>
              <w:rPr>
                <w:sz w:val="21"/>
              </w:rPr>
            </w:pPr>
            <w:r>
              <w:rPr>
                <w:spacing w:val="-4"/>
                <w:sz w:val="21"/>
              </w:rPr>
              <w:t>三十七条</w:t>
            </w:r>
          </w:p>
        </w:tc>
        <w:tc>
          <w:tcPr>
            <w:tcW w:w="2785" w:type="dxa"/>
            <w:tcBorders>
              <w:right w:val="dashSmallGap" w:color="000000" w:sz="4" w:space="0"/>
            </w:tcBorders>
          </w:tcPr>
          <w:p>
            <w:pPr>
              <w:pStyle w:val="7"/>
              <w:spacing w:before="13"/>
              <w:ind w:left="105"/>
              <w:rPr>
                <w:sz w:val="21"/>
              </w:rPr>
            </w:pPr>
            <w:r>
              <w:rPr>
                <w:spacing w:val="-4"/>
                <w:sz w:val="21"/>
              </w:rPr>
              <w:t>放射疗法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236" w:type="dxa"/>
            <w:gridSpan w:val="2"/>
            <w:tcBorders>
              <w:left w:val="dashSmallGap" w:color="000000" w:sz="4" w:space="0"/>
            </w:tcBorders>
          </w:tcPr>
          <w:p>
            <w:pPr>
              <w:pStyle w:val="7"/>
              <w:tabs>
                <w:tab w:val="left" w:pos="1581"/>
              </w:tabs>
              <w:spacing w:before="13"/>
              <w:ind w:left="318"/>
              <w:rPr>
                <w:sz w:val="21"/>
              </w:rPr>
            </w:pPr>
            <w:r>
              <w:rPr>
                <w:sz w:val="21"/>
              </w:rPr>
              <w:t>四</w:t>
            </w:r>
            <w:r>
              <w:rPr>
                <w:spacing w:val="-10"/>
                <w:sz w:val="21"/>
              </w:rPr>
              <w:t>条</w:t>
            </w:r>
            <w:r>
              <w:rPr>
                <w:sz w:val="21"/>
              </w:rPr>
              <w:tab/>
            </w:r>
            <w:r>
              <w:rPr>
                <w:spacing w:val="-2"/>
                <w:sz w:val="21"/>
              </w:rPr>
              <w:t>保险金计算方</w:t>
            </w:r>
            <w:r>
              <w:rPr>
                <w:spacing w:val="-10"/>
                <w:sz w:val="21"/>
              </w:rPr>
              <w:t>法</w:t>
            </w:r>
          </w:p>
        </w:tc>
        <w:tc>
          <w:tcPr>
            <w:tcW w:w="1501" w:type="dxa"/>
          </w:tcPr>
          <w:p>
            <w:pPr>
              <w:pStyle w:val="7"/>
              <w:spacing w:before="13"/>
              <w:ind w:right="96"/>
              <w:jc w:val="right"/>
              <w:rPr>
                <w:sz w:val="21"/>
              </w:rPr>
            </w:pPr>
            <w:r>
              <w:rPr>
                <w:spacing w:val="-4"/>
                <w:sz w:val="21"/>
              </w:rPr>
              <w:t>三十八条</w:t>
            </w:r>
          </w:p>
        </w:tc>
        <w:tc>
          <w:tcPr>
            <w:tcW w:w="2785" w:type="dxa"/>
            <w:tcBorders>
              <w:right w:val="dashSmallGap" w:color="000000" w:sz="4" w:space="0"/>
            </w:tcBorders>
          </w:tcPr>
          <w:p>
            <w:pPr>
              <w:pStyle w:val="7"/>
              <w:spacing w:before="13"/>
              <w:ind w:left="105"/>
              <w:rPr>
                <w:sz w:val="21"/>
              </w:rPr>
            </w:pPr>
            <w:r>
              <w:rPr>
                <w:spacing w:val="-4"/>
                <w:sz w:val="21"/>
              </w:rPr>
              <w:t>肿瘤免疫疗法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236" w:type="dxa"/>
            <w:gridSpan w:val="2"/>
            <w:tcBorders>
              <w:left w:val="dashSmallGap" w:color="000000" w:sz="4" w:space="0"/>
            </w:tcBorders>
          </w:tcPr>
          <w:p>
            <w:pPr>
              <w:pStyle w:val="7"/>
              <w:tabs>
                <w:tab w:val="left" w:pos="1581"/>
              </w:tabs>
              <w:spacing w:before="13"/>
              <w:ind w:left="318"/>
              <w:rPr>
                <w:sz w:val="21"/>
              </w:rPr>
            </w:pPr>
            <w:r>
              <w:rPr>
                <w:sz w:val="21"/>
              </w:rPr>
              <w:t>五</w:t>
            </w:r>
            <w:r>
              <w:rPr>
                <w:spacing w:val="-10"/>
                <w:sz w:val="21"/>
              </w:rPr>
              <w:t>条</w:t>
            </w:r>
            <w:r>
              <w:rPr>
                <w:sz w:val="21"/>
              </w:rPr>
              <w:tab/>
            </w:r>
            <w:r>
              <w:rPr>
                <w:spacing w:val="-2"/>
                <w:sz w:val="21"/>
              </w:rPr>
              <w:t>补偿原</w:t>
            </w:r>
            <w:r>
              <w:rPr>
                <w:spacing w:val="-10"/>
                <w:sz w:val="21"/>
              </w:rPr>
              <w:t>则</w:t>
            </w:r>
          </w:p>
        </w:tc>
        <w:tc>
          <w:tcPr>
            <w:tcW w:w="1501" w:type="dxa"/>
          </w:tcPr>
          <w:p>
            <w:pPr>
              <w:pStyle w:val="7"/>
              <w:spacing w:before="13"/>
              <w:ind w:right="96"/>
              <w:jc w:val="right"/>
              <w:rPr>
                <w:sz w:val="21"/>
              </w:rPr>
            </w:pPr>
            <w:r>
              <w:rPr>
                <w:spacing w:val="-4"/>
                <w:sz w:val="21"/>
              </w:rPr>
              <w:t>三十九条</w:t>
            </w:r>
          </w:p>
        </w:tc>
        <w:tc>
          <w:tcPr>
            <w:tcW w:w="2785" w:type="dxa"/>
            <w:tcBorders>
              <w:right w:val="dashSmallGap" w:color="000000" w:sz="4" w:space="0"/>
            </w:tcBorders>
          </w:tcPr>
          <w:p>
            <w:pPr>
              <w:pStyle w:val="7"/>
              <w:spacing w:before="13"/>
              <w:ind w:left="105"/>
              <w:rPr>
                <w:sz w:val="21"/>
              </w:rPr>
            </w:pPr>
            <w:r>
              <w:rPr>
                <w:spacing w:val="-4"/>
                <w:sz w:val="21"/>
              </w:rPr>
              <w:t>肿瘤内分泌疗法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236" w:type="dxa"/>
            <w:gridSpan w:val="2"/>
            <w:tcBorders>
              <w:left w:val="dashSmallGap" w:color="000000" w:sz="4" w:space="0"/>
            </w:tcBorders>
          </w:tcPr>
          <w:p>
            <w:pPr>
              <w:pStyle w:val="7"/>
              <w:tabs>
                <w:tab w:val="left" w:pos="1581"/>
              </w:tabs>
              <w:spacing w:before="13"/>
              <w:ind w:left="318"/>
              <w:rPr>
                <w:sz w:val="21"/>
              </w:rPr>
            </w:pPr>
            <w:r>
              <w:rPr>
                <w:sz w:val="21"/>
              </w:rPr>
              <w:t>六</w:t>
            </w:r>
            <w:r>
              <w:rPr>
                <w:spacing w:val="-10"/>
                <w:sz w:val="21"/>
              </w:rPr>
              <w:t>条</w:t>
            </w:r>
            <w:r>
              <w:rPr>
                <w:sz w:val="21"/>
              </w:rPr>
              <w:tab/>
            </w:r>
            <w:r>
              <w:rPr>
                <w:spacing w:val="-2"/>
                <w:sz w:val="21"/>
              </w:rPr>
              <w:t>责任免</w:t>
            </w:r>
            <w:r>
              <w:rPr>
                <w:spacing w:val="-10"/>
                <w:sz w:val="21"/>
              </w:rPr>
              <w:t>除</w:t>
            </w:r>
          </w:p>
        </w:tc>
        <w:tc>
          <w:tcPr>
            <w:tcW w:w="1501" w:type="dxa"/>
          </w:tcPr>
          <w:p>
            <w:pPr>
              <w:pStyle w:val="7"/>
              <w:spacing w:before="13"/>
              <w:ind w:left="348"/>
              <w:rPr>
                <w:sz w:val="21"/>
              </w:rPr>
            </w:pPr>
            <w:r>
              <w:rPr>
                <w:spacing w:val="-5"/>
                <w:sz w:val="21"/>
              </w:rPr>
              <w:t>四十条</w:t>
            </w:r>
          </w:p>
        </w:tc>
        <w:tc>
          <w:tcPr>
            <w:tcW w:w="2785" w:type="dxa"/>
            <w:tcBorders>
              <w:right w:val="dashSmallGap" w:color="000000" w:sz="4" w:space="0"/>
            </w:tcBorders>
          </w:tcPr>
          <w:p>
            <w:pPr>
              <w:pStyle w:val="7"/>
              <w:spacing w:before="13"/>
              <w:ind w:left="105"/>
              <w:rPr>
                <w:sz w:val="21"/>
              </w:rPr>
            </w:pPr>
            <w:r>
              <w:rPr>
                <w:spacing w:val="-4"/>
                <w:sz w:val="21"/>
              </w:rPr>
              <w:t>肿瘤靶向疗法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236" w:type="dxa"/>
            <w:gridSpan w:val="2"/>
            <w:tcBorders>
              <w:left w:val="dashSmallGap" w:color="000000" w:sz="4" w:space="0"/>
            </w:tcBorders>
          </w:tcPr>
          <w:p>
            <w:pPr>
              <w:pStyle w:val="7"/>
              <w:spacing w:before="14"/>
              <w:ind w:left="107"/>
              <w:rPr>
                <w:b/>
                <w:sz w:val="21"/>
              </w:rPr>
            </w:pPr>
            <w:r>
              <w:rPr>
                <w:b/>
                <w:spacing w:val="-3"/>
                <w:sz w:val="21"/>
              </w:rPr>
              <w:t>三章 保险金额、保险费及续保</w:t>
            </w:r>
          </w:p>
        </w:tc>
        <w:tc>
          <w:tcPr>
            <w:tcW w:w="1501" w:type="dxa"/>
          </w:tcPr>
          <w:p>
            <w:pPr>
              <w:pStyle w:val="7"/>
              <w:spacing w:before="14"/>
              <w:ind w:right="96"/>
              <w:jc w:val="right"/>
              <w:rPr>
                <w:sz w:val="21"/>
              </w:rPr>
            </w:pPr>
            <w:r>
              <w:rPr>
                <w:spacing w:val="-4"/>
                <w:sz w:val="21"/>
              </w:rPr>
              <w:t>四十一条</w:t>
            </w:r>
          </w:p>
        </w:tc>
        <w:tc>
          <w:tcPr>
            <w:tcW w:w="2785" w:type="dxa"/>
            <w:tcBorders>
              <w:right w:val="dashSmallGap" w:color="000000" w:sz="4" w:space="0"/>
            </w:tcBorders>
          </w:tcPr>
          <w:p>
            <w:pPr>
              <w:pStyle w:val="7"/>
              <w:spacing w:before="14"/>
              <w:ind w:left="105"/>
              <w:rPr>
                <w:sz w:val="21"/>
              </w:rPr>
            </w:pPr>
            <w:r>
              <w:rPr>
                <w:spacing w:val="-4"/>
                <w:sz w:val="21"/>
              </w:rPr>
              <w:t>初次确诊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4236" w:type="dxa"/>
            <w:gridSpan w:val="2"/>
            <w:tcBorders>
              <w:left w:val="dashSmallGap" w:color="000000" w:sz="4" w:space="0"/>
            </w:tcBorders>
          </w:tcPr>
          <w:p>
            <w:pPr>
              <w:pStyle w:val="7"/>
              <w:tabs>
                <w:tab w:val="left" w:pos="1581"/>
              </w:tabs>
              <w:spacing w:before="13"/>
              <w:ind w:left="318"/>
              <w:rPr>
                <w:sz w:val="21"/>
              </w:rPr>
            </w:pPr>
            <w:r>
              <w:rPr>
                <w:sz w:val="21"/>
              </w:rPr>
              <w:t>七</w:t>
            </w:r>
            <w:r>
              <w:rPr>
                <w:spacing w:val="-10"/>
                <w:sz w:val="21"/>
              </w:rPr>
              <w:t>条</w:t>
            </w:r>
            <w:r>
              <w:rPr>
                <w:sz w:val="21"/>
              </w:rPr>
              <w:tab/>
            </w:r>
            <w:r>
              <w:rPr>
                <w:spacing w:val="-2"/>
                <w:sz w:val="21"/>
              </w:rPr>
              <w:t>保险金</w:t>
            </w:r>
            <w:r>
              <w:rPr>
                <w:spacing w:val="-10"/>
                <w:sz w:val="21"/>
              </w:rPr>
              <w:t>额</w:t>
            </w:r>
          </w:p>
        </w:tc>
        <w:tc>
          <w:tcPr>
            <w:tcW w:w="1501" w:type="dxa"/>
          </w:tcPr>
          <w:p>
            <w:pPr>
              <w:pStyle w:val="7"/>
              <w:spacing w:before="13"/>
              <w:ind w:right="96"/>
              <w:jc w:val="right"/>
              <w:rPr>
                <w:sz w:val="21"/>
              </w:rPr>
            </w:pPr>
            <w:r>
              <w:rPr>
                <w:spacing w:val="-4"/>
                <w:sz w:val="21"/>
              </w:rPr>
              <w:t>四十二条</w:t>
            </w:r>
          </w:p>
        </w:tc>
        <w:tc>
          <w:tcPr>
            <w:tcW w:w="2785" w:type="dxa"/>
            <w:tcBorders>
              <w:right w:val="dashSmallGap" w:color="000000" w:sz="4" w:space="0"/>
            </w:tcBorders>
          </w:tcPr>
          <w:p>
            <w:pPr>
              <w:pStyle w:val="7"/>
              <w:spacing w:before="13"/>
              <w:ind w:left="105"/>
              <w:rPr>
                <w:sz w:val="21"/>
              </w:rPr>
            </w:pPr>
            <w:r>
              <w:rPr>
                <w:spacing w:val="-4"/>
                <w:sz w:val="21"/>
              </w:rPr>
              <w:t>指定的医疗机构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4236" w:type="dxa"/>
            <w:gridSpan w:val="2"/>
            <w:tcBorders>
              <w:left w:val="dashSmallGap" w:color="000000" w:sz="4" w:space="0"/>
            </w:tcBorders>
          </w:tcPr>
          <w:p>
            <w:pPr>
              <w:pStyle w:val="7"/>
              <w:tabs>
                <w:tab w:val="left" w:pos="1581"/>
              </w:tabs>
              <w:spacing w:before="13"/>
              <w:ind w:left="318"/>
              <w:rPr>
                <w:sz w:val="21"/>
              </w:rPr>
            </w:pPr>
            <w:r>
              <w:rPr>
                <w:sz w:val="21"/>
              </w:rPr>
              <w:t>八</w:t>
            </w:r>
            <w:r>
              <w:rPr>
                <w:spacing w:val="-10"/>
                <w:sz w:val="21"/>
              </w:rPr>
              <w:t>条</w:t>
            </w:r>
            <w:r>
              <w:rPr>
                <w:sz w:val="21"/>
              </w:rPr>
              <w:tab/>
            </w:r>
            <w:r>
              <w:rPr>
                <w:spacing w:val="-2"/>
                <w:sz w:val="21"/>
              </w:rPr>
              <w:t>保险费的支</w:t>
            </w:r>
            <w:r>
              <w:rPr>
                <w:spacing w:val="-10"/>
                <w:sz w:val="21"/>
              </w:rPr>
              <w:t>付</w:t>
            </w:r>
          </w:p>
        </w:tc>
        <w:tc>
          <w:tcPr>
            <w:tcW w:w="1501" w:type="dxa"/>
          </w:tcPr>
          <w:p>
            <w:pPr>
              <w:pStyle w:val="7"/>
              <w:spacing w:before="13"/>
              <w:ind w:right="96"/>
              <w:jc w:val="right"/>
              <w:rPr>
                <w:sz w:val="21"/>
              </w:rPr>
            </w:pPr>
            <w:r>
              <w:rPr>
                <w:spacing w:val="-4"/>
                <w:sz w:val="21"/>
              </w:rPr>
              <w:t>四十三条</w:t>
            </w:r>
          </w:p>
        </w:tc>
        <w:tc>
          <w:tcPr>
            <w:tcW w:w="2785" w:type="dxa"/>
            <w:tcBorders>
              <w:right w:val="dashSmallGap" w:color="000000" w:sz="4" w:space="0"/>
            </w:tcBorders>
          </w:tcPr>
          <w:p>
            <w:pPr>
              <w:pStyle w:val="7"/>
              <w:spacing w:before="13"/>
              <w:ind w:left="105"/>
              <w:rPr>
                <w:sz w:val="21"/>
              </w:rPr>
            </w:pPr>
            <w:r>
              <w:rPr>
                <w:spacing w:val="-3"/>
                <w:sz w:val="21"/>
              </w:rPr>
              <w:t>质子重离子放射治疗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236" w:type="dxa"/>
            <w:gridSpan w:val="2"/>
            <w:tcBorders>
              <w:left w:val="dashSmallGap" w:color="000000" w:sz="4" w:space="0"/>
            </w:tcBorders>
          </w:tcPr>
          <w:p>
            <w:pPr>
              <w:pStyle w:val="7"/>
              <w:tabs>
                <w:tab w:val="left" w:pos="1581"/>
              </w:tabs>
              <w:spacing w:before="13"/>
              <w:ind w:left="318"/>
              <w:rPr>
                <w:sz w:val="21"/>
              </w:rPr>
            </w:pPr>
            <w:r>
              <w:rPr>
                <w:sz w:val="21"/>
              </w:rPr>
              <w:t>九</w:t>
            </w:r>
            <w:r>
              <w:rPr>
                <w:spacing w:val="-10"/>
                <w:sz w:val="21"/>
              </w:rPr>
              <w:t>条</w:t>
            </w:r>
            <w:r>
              <w:rPr>
                <w:sz w:val="21"/>
              </w:rPr>
              <w:tab/>
            </w:r>
            <w:r>
              <w:rPr>
                <w:spacing w:val="-2"/>
                <w:sz w:val="21"/>
              </w:rPr>
              <w:t>保证续</w:t>
            </w:r>
            <w:r>
              <w:rPr>
                <w:spacing w:val="-10"/>
                <w:sz w:val="21"/>
              </w:rPr>
              <w:t>保</w:t>
            </w:r>
          </w:p>
        </w:tc>
        <w:tc>
          <w:tcPr>
            <w:tcW w:w="1501" w:type="dxa"/>
          </w:tcPr>
          <w:p>
            <w:pPr>
              <w:pStyle w:val="7"/>
              <w:spacing w:before="13"/>
              <w:ind w:right="96"/>
              <w:jc w:val="right"/>
              <w:rPr>
                <w:sz w:val="21"/>
              </w:rPr>
            </w:pPr>
            <w:r>
              <w:rPr>
                <w:spacing w:val="-4"/>
                <w:sz w:val="21"/>
              </w:rPr>
              <w:t>四十四条</w:t>
            </w:r>
          </w:p>
        </w:tc>
        <w:tc>
          <w:tcPr>
            <w:tcW w:w="2785" w:type="dxa"/>
            <w:tcBorders>
              <w:right w:val="dashSmallGap" w:color="000000" w:sz="4" w:space="0"/>
            </w:tcBorders>
          </w:tcPr>
          <w:p>
            <w:pPr>
              <w:pStyle w:val="7"/>
              <w:spacing w:before="13"/>
              <w:ind w:left="105"/>
              <w:rPr>
                <w:sz w:val="21"/>
              </w:rPr>
            </w:pPr>
            <w:r>
              <w:rPr>
                <w:spacing w:val="-4"/>
                <w:sz w:val="21"/>
              </w:rPr>
              <w:t>每次住院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236" w:type="dxa"/>
            <w:gridSpan w:val="2"/>
            <w:tcBorders>
              <w:left w:val="dashSmallGap" w:color="000000" w:sz="4" w:space="0"/>
            </w:tcBorders>
          </w:tcPr>
          <w:p>
            <w:pPr>
              <w:pStyle w:val="7"/>
              <w:tabs>
                <w:tab w:val="left" w:pos="1581"/>
              </w:tabs>
              <w:spacing w:before="13"/>
              <w:ind w:left="318"/>
              <w:rPr>
                <w:sz w:val="21"/>
              </w:rPr>
            </w:pPr>
            <w:r>
              <w:rPr>
                <w:sz w:val="21"/>
              </w:rPr>
              <w:t>十</w:t>
            </w:r>
            <w:r>
              <w:rPr>
                <w:spacing w:val="-10"/>
                <w:sz w:val="21"/>
              </w:rPr>
              <w:t>条</w:t>
            </w:r>
            <w:r>
              <w:rPr>
                <w:sz w:val="21"/>
              </w:rPr>
              <w:tab/>
            </w:r>
            <w:r>
              <w:rPr>
                <w:spacing w:val="-2"/>
                <w:sz w:val="21"/>
              </w:rPr>
              <w:t>保证续保期间届满时的续</w:t>
            </w:r>
            <w:r>
              <w:rPr>
                <w:spacing w:val="-10"/>
                <w:sz w:val="21"/>
              </w:rPr>
              <w:t>保</w:t>
            </w:r>
          </w:p>
        </w:tc>
        <w:tc>
          <w:tcPr>
            <w:tcW w:w="1501" w:type="dxa"/>
          </w:tcPr>
          <w:p>
            <w:pPr>
              <w:pStyle w:val="7"/>
              <w:spacing w:before="13"/>
              <w:ind w:right="96"/>
              <w:jc w:val="right"/>
              <w:rPr>
                <w:sz w:val="21"/>
              </w:rPr>
            </w:pPr>
            <w:r>
              <w:rPr>
                <w:spacing w:val="-4"/>
                <w:sz w:val="21"/>
              </w:rPr>
              <w:t>四十五条</w:t>
            </w:r>
          </w:p>
        </w:tc>
        <w:tc>
          <w:tcPr>
            <w:tcW w:w="2785" w:type="dxa"/>
            <w:tcBorders>
              <w:right w:val="dashSmallGap" w:color="000000" w:sz="4" w:space="0"/>
            </w:tcBorders>
          </w:tcPr>
          <w:p>
            <w:pPr>
              <w:pStyle w:val="7"/>
              <w:spacing w:before="13"/>
              <w:ind w:left="105"/>
              <w:rPr>
                <w:sz w:val="21"/>
              </w:rPr>
            </w:pPr>
            <w:r>
              <w:rPr>
                <w:spacing w:val="-5"/>
                <w:sz w:val="21"/>
              </w:rPr>
              <w:t>罕见病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4236" w:type="dxa"/>
            <w:gridSpan w:val="2"/>
            <w:tcBorders>
              <w:left w:val="dashSmallGap" w:color="000000" w:sz="4" w:space="0"/>
            </w:tcBorders>
          </w:tcPr>
          <w:p>
            <w:pPr>
              <w:pStyle w:val="7"/>
              <w:tabs>
                <w:tab w:val="left" w:pos="1581"/>
              </w:tabs>
              <w:spacing w:before="13"/>
              <w:ind w:left="318"/>
              <w:rPr>
                <w:sz w:val="21"/>
              </w:rPr>
            </w:pPr>
            <w:r>
              <w:rPr>
                <w:spacing w:val="-2"/>
                <w:sz w:val="21"/>
              </w:rPr>
              <w:t>十一</w:t>
            </w:r>
            <w:r>
              <w:rPr>
                <w:spacing w:val="-10"/>
                <w:sz w:val="21"/>
              </w:rPr>
              <w:t>条</w:t>
            </w:r>
            <w:r>
              <w:rPr>
                <w:sz w:val="21"/>
              </w:rPr>
              <w:tab/>
            </w:r>
            <w:r>
              <w:rPr>
                <w:spacing w:val="-2"/>
                <w:sz w:val="21"/>
              </w:rPr>
              <w:t>宽限</w:t>
            </w:r>
            <w:r>
              <w:rPr>
                <w:spacing w:val="-10"/>
                <w:sz w:val="21"/>
              </w:rPr>
              <w:t>期</w:t>
            </w:r>
          </w:p>
        </w:tc>
        <w:tc>
          <w:tcPr>
            <w:tcW w:w="1501" w:type="dxa"/>
          </w:tcPr>
          <w:p>
            <w:pPr>
              <w:pStyle w:val="7"/>
              <w:spacing w:before="13"/>
              <w:ind w:right="96"/>
              <w:jc w:val="right"/>
              <w:rPr>
                <w:sz w:val="21"/>
              </w:rPr>
            </w:pPr>
            <w:r>
              <w:rPr>
                <w:spacing w:val="-4"/>
                <w:sz w:val="21"/>
              </w:rPr>
              <w:t>四十六条</w:t>
            </w:r>
          </w:p>
        </w:tc>
        <w:tc>
          <w:tcPr>
            <w:tcW w:w="2785" w:type="dxa"/>
            <w:tcBorders>
              <w:right w:val="dashSmallGap" w:color="000000" w:sz="4" w:space="0"/>
            </w:tcBorders>
          </w:tcPr>
          <w:p>
            <w:pPr>
              <w:pStyle w:val="7"/>
              <w:spacing w:before="13"/>
              <w:ind w:left="105"/>
              <w:rPr>
                <w:sz w:val="21"/>
              </w:rPr>
            </w:pPr>
            <w:r>
              <w:rPr>
                <w:spacing w:val="-5"/>
                <w:sz w:val="21"/>
              </w:rPr>
              <w:t>肺结节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4236" w:type="dxa"/>
            <w:gridSpan w:val="2"/>
            <w:tcBorders>
              <w:left w:val="dashSmallGap" w:color="000000" w:sz="4" w:space="0"/>
            </w:tcBorders>
          </w:tcPr>
          <w:p>
            <w:pPr>
              <w:pStyle w:val="7"/>
              <w:spacing w:before="13"/>
              <w:ind w:left="107"/>
              <w:rPr>
                <w:b/>
                <w:sz w:val="21"/>
              </w:rPr>
            </w:pPr>
            <w:r>
              <w:rPr>
                <w:b/>
                <w:spacing w:val="-3"/>
                <w:sz w:val="21"/>
              </w:rPr>
              <w:t>四章 保险期间、保险合同成立与</w:t>
            </w:r>
          </w:p>
        </w:tc>
        <w:tc>
          <w:tcPr>
            <w:tcW w:w="1501" w:type="dxa"/>
          </w:tcPr>
          <w:p>
            <w:pPr>
              <w:pStyle w:val="7"/>
              <w:spacing w:before="13"/>
              <w:ind w:right="96"/>
              <w:jc w:val="right"/>
              <w:rPr>
                <w:sz w:val="21"/>
              </w:rPr>
            </w:pPr>
            <w:r>
              <w:rPr>
                <w:spacing w:val="-4"/>
                <w:sz w:val="21"/>
              </w:rPr>
              <w:t>四十七条</w:t>
            </w:r>
          </w:p>
        </w:tc>
        <w:tc>
          <w:tcPr>
            <w:tcW w:w="2785" w:type="dxa"/>
            <w:tcBorders>
              <w:right w:val="dashSmallGap" w:color="000000" w:sz="4" w:space="0"/>
            </w:tcBorders>
          </w:tcPr>
          <w:p>
            <w:pPr>
              <w:pStyle w:val="7"/>
              <w:spacing w:before="13"/>
              <w:ind w:left="105"/>
              <w:rPr>
                <w:sz w:val="21"/>
              </w:rPr>
            </w:pPr>
            <w:r>
              <w:rPr>
                <w:spacing w:val="-4"/>
                <w:sz w:val="21"/>
              </w:rPr>
              <w:t>基本医疗保险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236" w:type="dxa"/>
            <w:gridSpan w:val="2"/>
            <w:tcBorders>
              <w:left w:val="dashSmallGap" w:color="000000" w:sz="4" w:space="0"/>
            </w:tcBorders>
          </w:tcPr>
          <w:p>
            <w:pPr>
              <w:pStyle w:val="7"/>
              <w:spacing w:before="13"/>
              <w:ind w:left="107"/>
              <w:rPr>
                <w:b/>
                <w:sz w:val="21"/>
              </w:rPr>
            </w:pPr>
            <w:r>
              <w:rPr>
                <w:b/>
                <w:spacing w:val="-2"/>
                <w:sz w:val="21"/>
              </w:rPr>
              <w:t>生效、合同解除</w:t>
            </w:r>
          </w:p>
        </w:tc>
        <w:tc>
          <w:tcPr>
            <w:tcW w:w="1501" w:type="dxa"/>
          </w:tcPr>
          <w:p>
            <w:pPr>
              <w:pStyle w:val="7"/>
              <w:spacing w:before="13"/>
              <w:ind w:right="96"/>
              <w:jc w:val="right"/>
              <w:rPr>
                <w:sz w:val="21"/>
              </w:rPr>
            </w:pPr>
            <w:r>
              <w:rPr>
                <w:spacing w:val="-4"/>
                <w:sz w:val="21"/>
              </w:rPr>
              <w:t>四十八条</w:t>
            </w:r>
          </w:p>
        </w:tc>
        <w:tc>
          <w:tcPr>
            <w:tcW w:w="2785" w:type="dxa"/>
            <w:tcBorders>
              <w:right w:val="dashSmallGap" w:color="000000" w:sz="4" w:space="0"/>
            </w:tcBorders>
          </w:tcPr>
          <w:p>
            <w:pPr>
              <w:pStyle w:val="7"/>
              <w:spacing w:before="13"/>
              <w:ind w:left="105"/>
              <w:rPr>
                <w:sz w:val="21"/>
              </w:rPr>
            </w:pPr>
            <w:r>
              <w:rPr>
                <w:spacing w:val="-5"/>
                <w:sz w:val="21"/>
              </w:rPr>
              <w:t>既往症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236" w:type="dxa"/>
            <w:gridSpan w:val="2"/>
            <w:tcBorders>
              <w:left w:val="dashSmallGap" w:color="000000" w:sz="4" w:space="0"/>
            </w:tcBorders>
          </w:tcPr>
          <w:p>
            <w:pPr>
              <w:pStyle w:val="7"/>
              <w:tabs>
                <w:tab w:val="left" w:pos="1576"/>
              </w:tabs>
              <w:spacing w:before="13"/>
              <w:ind w:left="314"/>
              <w:rPr>
                <w:sz w:val="21"/>
              </w:rPr>
            </w:pPr>
            <w:r>
              <w:rPr>
                <w:spacing w:val="-2"/>
                <w:sz w:val="21"/>
              </w:rPr>
              <w:t>十二</w:t>
            </w:r>
            <w:r>
              <w:rPr>
                <w:spacing w:val="-10"/>
                <w:sz w:val="21"/>
              </w:rPr>
              <w:t>条</w:t>
            </w:r>
            <w:r>
              <w:rPr>
                <w:sz w:val="21"/>
              </w:rPr>
              <w:tab/>
            </w:r>
            <w:r>
              <w:rPr>
                <w:spacing w:val="-2"/>
                <w:sz w:val="21"/>
              </w:rPr>
              <w:t>保险期</w:t>
            </w:r>
            <w:r>
              <w:rPr>
                <w:spacing w:val="-10"/>
                <w:sz w:val="21"/>
              </w:rPr>
              <w:t>间</w:t>
            </w:r>
          </w:p>
        </w:tc>
        <w:tc>
          <w:tcPr>
            <w:tcW w:w="1501" w:type="dxa"/>
          </w:tcPr>
          <w:p>
            <w:pPr>
              <w:pStyle w:val="7"/>
              <w:spacing w:before="13"/>
              <w:ind w:right="96"/>
              <w:jc w:val="right"/>
              <w:rPr>
                <w:sz w:val="21"/>
              </w:rPr>
            </w:pPr>
            <w:r>
              <w:rPr>
                <w:spacing w:val="-4"/>
                <w:sz w:val="21"/>
              </w:rPr>
              <w:t>四十九条</w:t>
            </w:r>
          </w:p>
        </w:tc>
        <w:tc>
          <w:tcPr>
            <w:tcW w:w="2785" w:type="dxa"/>
            <w:tcBorders>
              <w:right w:val="dashSmallGap" w:color="000000" w:sz="4" w:space="0"/>
            </w:tcBorders>
          </w:tcPr>
          <w:p>
            <w:pPr>
              <w:pStyle w:val="7"/>
              <w:spacing w:before="13"/>
              <w:ind w:left="105"/>
              <w:rPr>
                <w:sz w:val="21"/>
              </w:rPr>
            </w:pPr>
            <w:r>
              <w:rPr>
                <w:spacing w:val="-4"/>
                <w:sz w:val="21"/>
              </w:rPr>
              <w:t>遗传性疾病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236" w:type="dxa"/>
            <w:gridSpan w:val="2"/>
            <w:tcBorders>
              <w:left w:val="dashSmallGap" w:color="000000" w:sz="4" w:space="0"/>
            </w:tcBorders>
          </w:tcPr>
          <w:p>
            <w:pPr>
              <w:pStyle w:val="7"/>
              <w:tabs>
                <w:tab w:val="left" w:pos="1581"/>
              </w:tabs>
              <w:spacing w:before="13"/>
              <w:ind w:left="318"/>
              <w:rPr>
                <w:sz w:val="21"/>
              </w:rPr>
            </w:pPr>
            <w:r>
              <w:rPr>
                <w:spacing w:val="-2"/>
                <w:sz w:val="21"/>
              </w:rPr>
              <w:t>十三</w:t>
            </w:r>
            <w:r>
              <w:rPr>
                <w:spacing w:val="-10"/>
                <w:sz w:val="21"/>
              </w:rPr>
              <w:t>条</w:t>
            </w:r>
            <w:r>
              <w:rPr>
                <w:sz w:val="21"/>
              </w:rPr>
              <w:tab/>
            </w:r>
            <w:r>
              <w:rPr>
                <w:spacing w:val="-2"/>
                <w:sz w:val="21"/>
              </w:rPr>
              <w:t>保险合同成立与生</w:t>
            </w:r>
            <w:r>
              <w:rPr>
                <w:spacing w:val="-10"/>
                <w:sz w:val="21"/>
              </w:rPr>
              <w:t>效</w:t>
            </w:r>
          </w:p>
        </w:tc>
        <w:tc>
          <w:tcPr>
            <w:tcW w:w="1501" w:type="dxa"/>
          </w:tcPr>
          <w:p>
            <w:pPr>
              <w:pStyle w:val="7"/>
              <w:spacing w:before="13"/>
              <w:ind w:left="348"/>
              <w:rPr>
                <w:sz w:val="21"/>
              </w:rPr>
            </w:pPr>
            <w:r>
              <w:rPr>
                <w:spacing w:val="-5"/>
                <w:sz w:val="21"/>
              </w:rPr>
              <w:t>五十条</w:t>
            </w:r>
          </w:p>
        </w:tc>
        <w:tc>
          <w:tcPr>
            <w:tcW w:w="2785" w:type="dxa"/>
            <w:tcBorders>
              <w:right w:val="dashSmallGap" w:color="000000" w:sz="4" w:space="0"/>
            </w:tcBorders>
          </w:tcPr>
          <w:p>
            <w:pPr>
              <w:pStyle w:val="7"/>
              <w:spacing w:before="13"/>
              <w:ind w:left="105"/>
              <w:rPr>
                <w:sz w:val="21"/>
              </w:rPr>
            </w:pPr>
            <w:r>
              <w:rPr>
                <w:spacing w:val="-3"/>
                <w:sz w:val="21"/>
              </w:rPr>
              <w:t>先天性畸形、变形或染色体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236" w:type="dxa"/>
            <w:gridSpan w:val="2"/>
            <w:tcBorders>
              <w:left w:val="dashSmallGap" w:color="000000" w:sz="4" w:space="0"/>
            </w:tcBorders>
          </w:tcPr>
          <w:p>
            <w:pPr>
              <w:pStyle w:val="7"/>
              <w:tabs>
                <w:tab w:val="left" w:pos="1581"/>
              </w:tabs>
              <w:spacing w:before="14"/>
              <w:ind w:left="318"/>
              <w:rPr>
                <w:sz w:val="21"/>
              </w:rPr>
            </w:pPr>
            <w:r>
              <w:rPr>
                <w:spacing w:val="-2"/>
                <w:sz w:val="21"/>
              </w:rPr>
              <w:t>十四</w:t>
            </w:r>
            <w:r>
              <w:rPr>
                <w:spacing w:val="-10"/>
                <w:sz w:val="21"/>
              </w:rPr>
              <w:t>条</w:t>
            </w:r>
            <w:r>
              <w:rPr>
                <w:sz w:val="21"/>
              </w:rPr>
              <w:tab/>
            </w:r>
            <w:r>
              <w:rPr>
                <w:spacing w:val="-2"/>
                <w:sz w:val="21"/>
              </w:rPr>
              <w:t>您解除合同的手续及风</w:t>
            </w:r>
            <w:r>
              <w:rPr>
                <w:spacing w:val="-10"/>
                <w:sz w:val="21"/>
              </w:rPr>
              <w:t>险</w:t>
            </w:r>
          </w:p>
        </w:tc>
        <w:tc>
          <w:tcPr>
            <w:tcW w:w="1501" w:type="dxa"/>
          </w:tcPr>
          <w:p>
            <w:pPr>
              <w:pStyle w:val="7"/>
              <w:rPr>
                <w:rFonts w:ascii="Times New Roman"/>
                <w:sz w:val="20"/>
              </w:rPr>
            </w:pPr>
          </w:p>
        </w:tc>
        <w:tc>
          <w:tcPr>
            <w:tcW w:w="2785" w:type="dxa"/>
            <w:tcBorders>
              <w:right w:val="dashSmallGap" w:color="000000" w:sz="4" w:space="0"/>
            </w:tcBorders>
          </w:tcPr>
          <w:p>
            <w:pPr>
              <w:pStyle w:val="7"/>
              <w:spacing w:before="14"/>
              <w:ind w:left="102"/>
              <w:rPr>
                <w:sz w:val="21"/>
              </w:rPr>
            </w:pPr>
            <w:r>
              <w:rPr>
                <w:spacing w:val="-5"/>
                <w:sz w:val="21"/>
              </w:rPr>
              <w:t>异常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4236" w:type="dxa"/>
            <w:gridSpan w:val="2"/>
            <w:tcBorders>
              <w:left w:val="dashSmallGap" w:color="000000" w:sz="4" w:space="0"/>
            </w:tcBorders>
          </w:tcPr>
          <w:p>
            <w:pPr>
              <w:pStyle w:val="7"/>
              <w:spacing w:before="13"/>
              <w:ind w:left="107"/>
              <w:rPr>
                <w:b/>
                <w:sz w:val="21"/>
              </w:rPr>
            </w:pPr>
            <w:r>
              <w:rPr>
                <w:b/>
                <w:spacing w:val="-3"/>
                <w:sz w:val="21"/>
              </w:rPr>
              <w:t>五章 保险金申请</w:t>
            </w:r>
          </w:p>
        </w:tc>
        <w:tc>
          <w:tcPr>
            <w:tcW w:w="1501" w:type="dxa"/>
          </w:tcPr>
          <w:p>
            <w:pPr>
              <w:pStyle w:val="7"/>
              <w:spacing w:before="13"/>
              <w:ind w:right="98"/>
              <w:jc w:val="right"/>
              <w:rPr>
                <w:sz w:val="21"/>
              </w:rPr>
            </w:pPr>
            <w:r>
              <w:rPr>
                <w:spacing w:val="-4"/>
                <w:sz w:val="21"/>
              </w:rPr>
              <w:t>五十一条</w:t>
            </w:r>
          </w:p>
        </w:tc>
        <w:tc>
          <w:tcPr>
            <w:tcW w:w="2785" w:type="dxa"/>
            <w:tcBorders>
              <w:right w:val="dashSmallGap" w:color="000000" w:sz="4" w:space="0"/>
            </w:tcBorders>
          </w:tcPr>
          <w:p>
            <w:pPr>
              <w:pStyle w:val="7"/>
              <w:spacing w:before="13"/>
              <w:ind w:left="102"/>
              <w:rPr>
                <w:sz w:val="21"/>
              </w:rPr>
            </w:pPr>
            <w:r>
              <w:rPr>
                <w:spacing w:val="-3"/>
                <w:sz w:val="21"/>
              </w:rPr>
              <w:t>感染艾滋病病毒或患艾滋病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4236" w:type="dxa"/>
            <w:gridSpan w:val="2"/>
            <w:tcBorders>
              <w:left w:val="dashSmallGap" w:color="000000" w:sz="4" w:space="0"/>
            </w:tcBorders>
          </w:tcPr>
          <w:p>
            <w:pPr>
              <w:pStyle w:val="7"/>
              <w:tabs>
                <w:tab w:val="left" w:pos="1581"/>
              </w:tabs>
              <w:spacing w:before="13"/>
              <w:ind w:left="318"/>
              <w:rPr>
                <w:sz w:val="21"/>
              </w:rPr>
            </w:pPr>
            <w:r>
              <w:rPr>
                <w:spacing w:val="-2"/>
                <w:sz w:val="21"/>
              </w:rPr>
              <w:t>十五</w:t>
            </w:r>
            <w:r>
              <w:rPr>
                <w:spacing w:val="-10"/>
                <w:sz w:val="21"/>
              </w:rPr>
              <w:t>条</w:t>
            </w:r>
            <w:r>
              <w:rPr>
                <w:sz w:val="21"/>
              </w:rPr>
              <w:tab/>
            </w:r>
            <w:r>
              <w:rPr>
                <w:spacing w:val="-2"/>
                <w:sz w:val="21"/>
              </w:rPr>
              <w:t>保险事故通</w:t>
            </w:r>
            <w:r>
              <w:rPr>
                <w:spacing w:val="-10"/>
                <w:sz w:val="21"/>
              </w:rPr>
              <w:t>知</w:t>
            </w:r>
          </w:p>
        </w:tc>
        <w:tc>
          <w:tcPr>
            <w:tcW w:w="1501" w:type="dxa"/>
          </w:tcPr>
          <w:p>
            <w:pPr>
              <w:pStyle w:val="7"/>
              <w:spacing w:before="13"/>
              <w:ind w:right="98"/>
              <w:jc w:val="right"/>
              <w:rPr>
                <w:sz w:val="21"/>
              </w:rPr>
            </w:pPr>
            <w:r>
              <w:rPr>
                <w:spacing w:val="-4"/>
                <w:sz w:val="21"/>
              </w:rPr>
              <w:t>五十二条</w:t>
            </w:r>
          </w:p>
        </w:tc>
        <w:tc>
          <w:tcPr>
            <w:tcW w:w="2785" w:type="dxa"/>
            <w:tcBorders>
              <w:right w:val="dashSmallGap" w:color="000000" w:sz="4" w:space="0"/>
            </w:tcBorders>
          </w:tcPr>
          <w:p>
            <w:pPr>
              <w:pStyle w:val="7"/>
              <w:spacing w:before="13"/>
              <w:ind w:left="102"/>
              <w:rPr>
                <w:sz w:val="21"/>
              </w:rPr>
            </w:pPr>
            <w:r>
              <w:rPr>
                <w:spacing w:val="-5"/>
                <w:sz w:val="21"/>
              </w:rPr>
              <w:t>职业病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236" w:type="dxa"/>
            <w:gridSpan w:val="2"/>
            <w:tcBorders>
              <w:left w:val="dashSmallGap" w:color="000000" w:sz="4" w:space="0"/>
            </w:tcBorders>
          </w:tcPr>
          <w:p>
            <w:pPr>
              <w:pStyle w:val="7"/>
              <w:tabs>
                <w:tab w:val="left" w:pos="1576"/>
              </w:tabs>
              <w:spacing w:before="13"/>
              <w:ind w:left="314"/>
              <w:rPr>
                <w:sz w:val="21"/>
              </w:rPr>
            </w:pPr>
            <w:r>
              <w:rPr>
                <w:spacing w:val="-2"/>
                <w:sz w:val="21"/>
              </w:rPr>
              <w:t>十六</w:t>
            </w:r>
            <w:r>
              <w:rPr>
                <w:spacing w:val="-10"/>
                <w:sz w:val="21"/>
              </w:rPr>
              <w:t>条</w:t>
            </w:r>
            <w:r>
              <w:rPr>
                <w:sz w:val="21"/>
              </w:rPr>
              <w:tab/>
            </w:r>
            <w:r>
              <w:rPr>
                <w:spacing w:val="-2"/>
                <w:sz w:val="21"/>
              </w:rPr>
              <w:t>诉讼时</w:t>
            </w:r>
            <w:r>
              <w:rPr>
                <w:spacing w:val="-10"/>
                <w:sz w:val="21"/>
              </w:rPr>
              <w:t>效</w:t>
            </w:r>
          </w:p>
        </w:tc>
        <w:tc>
          <w:tcPr>
            <w:tcW w:w="1501" w:type="dxa"/>
          </w:tcPr>
          <w:p>
            <w:pPr>
              <w:pStyle w:val="7"/>
              <w:spacing w:before="13"/>
              <w:ind w:right="98"/>
              <w:jc w:val="right"/>
              <w:rPr>
                <w:sz w:val="21"/>
              </w:rPr>
            </w:pPr>
            <w:r>
              <w:rPr>
                <w:spacing w:val="-4"/>
                <w:sz w:val="21"/>
              </w:rPr>
              <w:t>五十三条</w:t>
            </w:r>
          </w:p>
        </w:tc>
        <w:tc>
          <w:tcPr>
            <w:tcW w:w="2785" w:type="dxa"/>
            <w:tcBorders>
              <w:right w:val="dashSmallGap" w:color="000000" w:sz="4" w:space="0"/>
            </w:tcBorders>
          </w:tcPr>
          <w:p>
            <w:pPr>
              <w:pStyle w:val="7"/>
              <w:spacing w:before="13"/>
              <w:ind w:left="102"/>
              <w:rPr>
                <w:sz w:val="21"/>
              </w:rPr>
            </w:pPr>
            <w:r>
              <w:rPr>
                <w:spacing w:val="-4"/>
                <w:sz w:val="21"/>
              </w:rPr>
              <w:t>医疗事故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236" w:type="dxa"/>
            <w:gridSpan w:val="2"/>
            <w:tcBorders>
              <w:left w:val="dashSmallGap" w:color="000000" w:sz="4" w:space="0"/>
            </w:tcBorders>
          </w:tcPr>
          <w:p>
            <w:pPr>
              <w:pStyle w:val="7"/>
              <w:tabs>
                <w:tab w:val="left" w:pos="1578"/>
              </w:tabs>
              <w:spacing w:before="13"/>
              <w:ind w:left="316"/>
              <w:rPr>
                <w:sz w:val="21"/>
              </w:rPr>
            </w:pPr>
            <w:r>
              <w:rPr>
                <w:spacing w:val="-2"/>
                <w:sz w:val="21"/>
              </w:rPr>
              <w:t>十七</w:t>
            </w:r>
            <w:r>
              <w:rPr>
                <w:spacing w:val="-10"/>
                <w:sz w:val="21"/>
              </w:rPr>
              <w:t>条</w:t>
            </w:r>
            <w:r>
              <w:rPr>
                <w:sz w:val="21"/>
              </w:rPr>
              <w:tab/>
            </w:r>
            <w:r>
              <w:rPr>
                <w:spacing w:val="-2"/>
                <w:sz w:val="21"/>
              </w:rPr>
              <w:t>保险金申</w:t>
            </w:r>
            <w:r>
              <w:rPr>
                <w:spacing w:val="-10"/>
                <w:sz w:val="21"/>
              </w:rPr>
              <w:t>请</w:t>
            </w:r>
          </w:p>
        </w:tc>
        <w:tc>
          <w:tcPr>
            <w:tcW w:w="1501" w:type="dxa"/>
          </w:tcPr>
          <w:p>
            <w:pPr>
              <w:pStyle w:val="7"/>
              <w:spacing w:before="13"/>
              <w:ind w:right="98"/>
              <w:jc w:val="right"/>
              <w:rPr>
                <w:sz w:val="21"/>
              </w:rPr>
            </w:pPr>
            <w:r>
              <w:rPr>
                <w:spacing w:val="-4"/>
                <w:sz w:val="21"/>
              </w:rPr>
              <w:t>五十四条</w:t>
            </w:r>
          </w:p>
        </w:tc>
        <w:tc>
          <w:tcPr>
            <w:tcW w:w="2785" w:type="dxa"/>
            <w:tcBorders>
              <w:right w:val="dashSmallGap" w:color="000000" w:sz="4" w:space="0"/>
            </w:tcBorders>
          </w:tcPr>
          <w:p>
            <w:pPr>
              <w:pStyle w:val="7"/>
              <w:spacing w:before="13"/>
              <w:ind w:left="102"/>
              <w:rPr>
                <w:sz w:val="21"/>
              </w:rPr>
            </w:pPr>
            <w:r>
              <w:rPr>
                <w:spacing w:val="-5"/>
                <w:sz w:val="21"/>
              </w:rPr>
              <w:t>醉酒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236" w:type="dxa"/>
            <w:gridSpan w:val="2"/>
            <w:tcBorders>
              <w:left w:val="dashSmallGap" w:color="000000" w:sz="4" w:space="0"/>
            </w:tcBorders>
          </w:tcPr>
          <w:p>
            <w:pPr>
              <w:pStyle w:val="7"/>
              <w:tabs>
                <w:tab w:val="left" w:pos="1581"/>
              </w:tabs>
              <w:spacing w:before="13"/>
              <w:ind w:left="318"/>
              <w:rPr>
                <w:sz w:val="21"/>
              </w:rPr>
            </w:pPr>
            <w:r>
              <w:rPr>
                <w:spacing w:val="-2"/>
                <w:sz w:val="21"/>
              </w:rPr>
              <w:t>十八</w:t>
            </w:r>
            <w:r>
              <w:rPr>
                <w:spacing w:val="-10"/>
                <w:sz w:val="21"/>
              </w:rPr>
              <w:t>条</w:t>
            </w:r>
            <w:r>
              <w:rPr>
                <w:sz w:val="21"/>
              </w:rPr>
              <w:tab/>
            </w:r>
            <w:r>
              <w:rPr>
                <w:spacing w:val="-2"/>
                <w:sz w:val="21"/>
              </w:rPr>
              <w:t>保险金给</w:t>
            </w:r>
            <w:r>
              <w:rPr>
                <w:spacing w:val="-10"/>
                <w:sz w:val="21"/>
              </w:rPr>
              <w:t>付</w:t>
            </w:r>
          </w:p>
        </w:tc>
        <w:tc>
          <w:tcPr>
            <w:tcW w:w="1501" w:type="dxa"/>
          </w:tcPr>
          <w:p>
            <w:pPr>
              <w:pStyle w:val="7"/>
              <w:spacing w:before="13"/>
              <w:ind w:right="98"/>
              <w:jc w:val="right"/>
              <w:rPr>
                <w:sz w:val="21"/>
              </w:rPr>
            </w:pPr>
            <w:r>
              <w:rPr>
                <w:spacing w:val="-4"/>
                <w:sz w:val="21"/>
              </w:rPr>
              <w:t>五十五条</w:t>
            </w:r>
          </w:p>
        </w:tc>
        <w:tc>
          <w:tcPr>
            <w:tcW w:w="2785" w:type="dxa"/>
            <w:tcBorders>
              <w:right w:val="dashSmallGap" w:color="000000" w:sz="4" w:space="0"/>
            </w:tcBorders>
          </w:tcPr>
          <w:p>
            <w:pPr>
              <w:pStyle w:val="7"/>
              <w:spacing w:before="13"/>
              <w:ind w:left="102"/>
              <w:rPr>
                <w:sz w:val="21"/>
              </w:rPr>
            </w:pPr>
            <w:r>
              <w:rPr>
                <w:spacing w:val="-5"/>
                <w:sz w:val="21"/>
              </w:rPr>
              <w:t>毒品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4236" w:type="dxa"/>
            <w:gridSpan w:val="2"/>
            <w:tcBorders>
              <w:left w:val="dashSmallGap" w:color="000000" w:sz="4" w:space="0"/>
            </w:tcBorders>
          </w:tcPr>
          <w:p>
            <w:pPr>
              <w:pStyle w:val="7"/>
              <w:spacing w:before="13"/>
              <w:ind w:left="107"/>
              <w:rPr>
                <w:b/>
                <w:sz w:val="21"/>
              </w:rPr>
            </w:pPr>
            <w:r>
              <w:rPr>
                <w:b/>
                <w:spacing w:val="-3"/>
                <w:sz w:val="21"/>
              </w:rPr>
              <w:t>六章 一般条款</w:t>
            </w:r>
          </w:p>
        </w:tc>
        <w:tc>
          <w:tcPr>
            <w:tcW w:w="1501" w:type="dxa"/>
          </w:tcPr>
          <w:p>
            <w:pPr>
              <w:pStyle w:val="7"/>
              <w:spacing w:before="13"/>
              <w:ind w:right="98"/>
              <w:jc w:val="right"/>
              <w:rPr>
                <w:sz w:val="21"/>
              </w:rPr>
            </w:pPr>
            <w:r>
              <w:rPr>
                <w:spacing w:val="-4"/>
                <w:sz w:val="21"/>
              </w:rPr>
              <w:t>五十六条</w:t>
            </w:r>
          </w:p>
        </w:tc>
        <w:tc>
          <w:tcPr>
            <w:tcW w:w="2785" w:type="dxa"/>
            <w:tcBorders>
              <w:right w:val="dashSmallGap" w:color="000000" w:sz="4" w:space="0"/>
            </w:tcBorders>
          </w:tcPr>
          <w:p>
            <w:pPr>
              <w:pStyle w:val="7"/>
              <w:spacing w:before="13"/>
              <w:ind w:left="102"/>
              <w:rPr>
                <w:sz w:val="21"/>
              </w:rPr>
            </w:pPr>
            <w:r>
              <w:rPr>
                <w:spacing w:val="-5"/>
                <w:sz w:val="21"/>
              </w:rPr>
              <w:t>潜水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4236" w:type="dxa"/>
            <w:gridSpan w:val="2"/>
            <w:tcBorders>
              <w:left w:val="dashSmallGap" w:color="000000" w:sz="4" w:space="0"/>
            </w:tcBorders>
          </w:tcPr>
          <w:p>
            <w:pPr>
              <w:pStyle w:val="7"/>
              <w:tabs>
                <w:tab w:val="left" w:pos="1581"/>
              </w:tabs>
              <w:spacing w:before="13"/>
              <w:ind w:left="318"/>
              <w:rPr>
                <w:sz w:val="21"/>
              </w:rPr>
            </w:pPr>
            <w:r>
              <w:rPr>
                <w:spacing w:val="-2"/>
                <w:sz w:val="21"/>
              </w:rPr>
              <w:t>十九</w:t>
            </w:r>
            <w:r>
              <w:rPr>
                <w:spacing w:val="-10"/>
                <w:sz w:val="21"/>
              </w:rPr>
              <w:t>条</w:t>
            </w:r>
            <w:r>
              <w:rPr>
                <w:sz w:val="21"/>
              </w:rPr>
              <w:tab/>
            </w:r>
            <w:r>
              <w:rPr>
                <w:spacing w:val="-2"/>
                <w:sz w:val="21"/>
              </w:rPr>
              <w:t>如实告</w:t>
            </w:r>
            <w:r>
              <w:rPr>
                <w:spacing w:val="-10"/>
                <w:sz w:val="21"/>
              </w:rPr>
              <w:t>知</w:t>
            </w:r>
          </w:p>
        </w:tc>
        <w:tc>
          <w:tcPr>
            <w:tcW w:w="1501" w:type="dxa"/>
          </w:tcPr>
          <w:p>
            <w:pPr>
              <w:pStyle w:val="7"/>
              <w:spacing w:before="13"/>
              <w:ind w:right="98"/>
              <w:jc w:val="right"/>
              <w:rPr>
                <w:sz w:val="21"/>
              </w:rPr>
            </w:pPr>
            <w:r>
              <w:rPr>
                <w:spacing w:val="-4"/>
                <w:sz w:val="21"/>
              </w:rPr>
              <w:t>五十七条</w:t>
            </w:r>
          </w:p>
        </w:tc>
        <w:tc>
          <w:tcPr>
            <w:tcW w:w="2785" w:type="dxa"/>
            <w:tcBorders>
              <w:right w:val="dashSmallGap" w:color="000000" w:sz="4" w:space="0"/>
            </w:tcBorders>
          </w:tcPr>
          <w:p>
            <w:pPr>
              <w:pStyle w:val="7"/>
              <w:spacing w:before="13"/>
              <w:ind w:left="102"/>
              <w:rPr>
                <w:sz w:val="21"/>
              </w:rPr>
            </w:pPr>
            <w:r>
              <w:rPr>
                <w:spacing w:val="-4"/>
                <w:sz w:val="21"/>
              </w:rPr>
              <w:t>攀岩运动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236" w:type="dxa"/>
            <w:gridSpan w:val="2"/>
            <w:tcBorders>
              <w:left w:val="dashSmallGap" w:color="000000" w:sz="4" w:space="0"/>
            </w:tcBorders>
          </w:tcPr>
          <w:p>
            <w:pPr>
              <w:pStyle w:val="7"/>
              <w:tabs>
                <w:tab w:val="left" w:pos="1581"/>
              </w:tabs>
              <w:spacing w:before="13"/>
              <w:ind w:left="318"/>
              <w:rPr>
                <w:sz w:val="21"/>
              </w:rPr>
            </w:pPr>
            <w:r>
              <w:rPr>
                <w:spacing w:val="-2"/>
                <w:sz w:val="21"/>
              </w:rPr>
              <w:t>二十</w:t>
            </w:r>
            <w:r>
              <w:rPr>
                <w:spacing w:val="-10"/>
                <w:sz w:val="21"/>
              </w:rPr>
              <w:t>条</w:t>
            </w:r>
            <w:r>
              <w:rPr>
                <w:sz w:val="21"/>
              </w:rPr>
              <w:tab/>
            </w:r>
            <w:r>
              <w:rPr>
                <w:spacing w:val="-2"/>
                <w:sz w:val="21"/>
              </w:rPr>
              <w:t>年龄确定及错误处</w:t>
            </w:r>
            <w:r>
              <w:rPr>
                <w:spacing w:val="-10"/>
                <w:sz w:val="21"/>
              </w:rPr>
              <w:t>理</w:t>
            </w:r>
          </w:p>
        </w:tc>
        <w:tc>
          <w:tcPr>
            <w:tcW w:w="1501" w:type="dxa"/>
          </w:tcPr>
          <w:p>
            <w:pPr>
              <w:pStyle w:val="7"/>
              <w:spacing w:before="13"/>
              <w:ind w:right="98"/>
              <w:jc w:val="right"/>
              <w:rPr>
                <w:sz w:val="21"/>
              </w:rPr>
            </w:pPr>
            <w:r>
              <w:rPr>
                <w:spacing w:val="-4"/>
                <w:sz w:val="21"/>
              </w:rPr>
              <w:t>五十八条</w:t>
            </w:r>
          </w:p>
        </w:tc>
        <w:tc>
          <w:tcPr>
            <w:tcW w:w="2785" w:type="dxa"/>
            <w:tcBorders>
              <w:right w:val="dashSmallGap" w:color="000000" w:sz="4" w:space="0"/>
            </w:tcBorders>
          </w:tcPr>
          <w:p>
            <w:pPr>
              <w:pStyle w:val="7"/>
              <w:spacing w:before="13"/>
              <w:ind w:left="102"/>
              <w:rPr>
                <w:sz w:val="21"/>
              </w:rPr>
            </w:pPr>
            <w:r>
              <w:rPr>
                <w:spacing w:val="-4"/>
                <w:sz w:val="21"/>
              </w:rPr>
              <w:t>探险活动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236" w:type="dxa"/>
            <w:gridSpan w:val="2"/>
            <w:tcBorders>
              <w:left w:val="dashSmallGap" w:color="000000" w:sz="4" w:space="0"/>
            </w:tcBorders>
          </w:tcPr>
          <w:p>
            <w:pPr>
              <w:pStyle w:val="7"/>
              <w:spacing w:before="13"/>
              <w:ind w:left="318"/>
              <w:rPr>
                <w:sz w:val="21"/>
              </w:rPr>
            </w:pPr>
            <w:r>
              <w:rPr>
                <w:sz w:val="21"/>
              </w:rPr>
              <w:t>二十一条</w:t>
            </w:r>
            <w:r>
              <w:rPr>
                <w:spacing w:val="44"/>
                <w:w w:val="150"/>
                <w:sz w:val="21"/>
              </w:rPr>
              <w:t xml:space="preserve"> </w:t>
            </w:r>
            <w:r>
              <w:rPr>
                <w:spacing w:val="-4"/>
                <w:sz w:val="21"/>
              </w:rPr>
              <w:t>犹豫期</w:t>
            </w:r>
          </w:p>
        </w:tc>
        <w:tc>
          <w:tcPr>
            <w:tcW w:w="1501" w:type="dxa"/>
          </w:tcPr>
          <w:p>
            <w:pPr>
              <w:pStyle w:val="7"/>
              <w:spacing w:before="13"/>
              <w:ind w:right="98"/>
              <w:jc w:val="right"/>
              <w:rPr>
                <w:sz w:val="21"/>
              </w:rPr>
            </w:pPr>
            <w:r>
              <w:rPr>
                <w:spacing w:val="-4"/>
                <w:sz w:val="21"/>
              </w:rPr>
              <w:t>五十九条</w:t>
            </w:r>
          </w:p>
        </w:tc>
        <w:tc>
          <w:tcPr>
            <w:tcW w:w="2785" w:type="dxa"/>
            <w:tcBorders>
              <w:right w:val="dashSmallGap" w:color="000000" w:sz="4" w:space="0"/>
            </w:tcBorders>
          </w:tcPr>
          <w:p>
            <w:pPr>
              <w:pStyle w:val="7"/>
              <w:spacing w:before="13"/>
              <w:ind w:left="102"/>
              <w:rPr>
                <w:sz w:val="21"/>
              </w:rPr>
            </w:pPr>
            <w:r>
              <w:rPr>
                <w:spacing w:val="-4"/>
                <w:sz w:val="21"/>
              </w:rPr>
              <w:t>酒后驾驶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236" w:type="dxa"/>
            <w:gridSpan w:val="2"/>
            <w:tcBorders>
              <w:left w:val="dashSmallGap" w:color="000000" w:sz="4" w:space="0"/>
            </w:tcBorders>
          </w:tcPr>
          <w:p>
            <w:pPr>
              <w:pStyle w:val="7"/>
              <w:spacing w:before="13"/>
              <w:ind w:left="318"/>
              <w:rPr>
                <w:sz w:val="21"/>
              </w:rPr>
            </w:pPr>
            <w:r>
              <w:rPr>
                <w:sz w:val="21"/>
              </w:rPr>
              <w:t>二十二条</w:t>
            </w:r>
            <w:r>
              <w:rPr>
                <w:spacing w:val="44"/>
                <w:w w:val="150"/>
                <w:sz w:val="21"/>
              </w:rPr>
              <w:t xml:space="preserve"> </w:t>
            </w:r>
            <w:r>
              <w:rPr>
                <w:spacing w:val="-4"/>
                <w:sz w:val="21"/>
              </w:rPr>
              <w:t>受益人</w:t>
            </w:r>
          </w:p>
        </w:tc>
        <w:tc>
          <w:tcPr>
            <w:tcW w:w="1501" w:type="dxa"/>
          </w:tcPr>
          <w:p>
            <w:pPr>
              <w:pStyle w:val="7"/>
              <w:spacing w:before="13"/>
              <w:ind w:left="348"/>
              <w:rPr>
                <w:sz w:val="21"/>
              </w:rPr>
            </w:pPr>
            <w:r>
              <w:rPr>
                <w:spacing w:val="-5"/>
                <w:sz w:val="21"/>
              </w:rPr>
              <w:t>六十条</w:t>
            </w:r>
          </w:p>
        </w:tc>
        <w:tc>
          <w:tcPr>
            <w:tcW w:w="2785" w:type="dxa"/>
            <w:tcBorders>
              <w:right w:val="dashSmallGap" w:color="000000" w:sz="4" w:space="0"/>
            </w:tcBorders>
          </w:tcPr>
          <w:p>
            <w:pPr>
              <w:pStyle w:val="7"/>
              <w:spacing w:before="13"/>
              <w:ind w:left="102"/>
              <w:rPr>
                <w:sz w:val="21"/>
              </w:rPr>
            </w:pPr>
            <w:r>
              <w:rPr>
                <w:spacing w:val="-3"/>
                <w:sz w:val="21"/>
              </w:rPr>
              <w:t>无合法有效驾驶证驾驶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236" w:type="dxa"/>
            <w:gridSpan w:val="2"/>
            <w:tcBorders>
              <w:left w:val="dashSmallGap" w:color="000000" w:sz="4" w:space="0"/>
            </w:tcBorders>
          </w:tcPr>
          <w:p>
            <w:pPr>
              <w:pStyle w:val="7"/>
              <w:spacing w:before="14"/>
              <w:ind w:left="318"/>
              <w:rPr>
                <w:sz w:val="21"/>
              </w:rPr>
            </w:pPr>
            <w:r>
              <w:rPr>
                <w:sz w:val="21"/>
              </w:rPr>
              <w:t>二十三条</w:t>
            </w:r>
            <w:r>
              <w:rPr>
                <w:spacing w:val="38"/>
                <w:w w:val="150"/>
                <w:sz w:val="21"/>
              </w:rPr>
              <w:t xml:space="preserve"> </w:t>
            </w:r>
            <w:r>
              <w:rPr>
                <w:spacing w:val="-2"/>
                <w:sz w:val="21"/>
              </w:rPr>
              <w:t>合同内容变更</w:t>
            </w:r>
          </w:p>
        </w:tc>
        <w:tc>
          <w:tcPr>
            <w:tcW w:w="1501" w:type="dxa"/>
          </w:tcPr>
          <w:p>
            <w:pPr>
              <w:pStyle w:val="7"/>
              <w:spacing w:before="14"/>
              <w:ind w:right="98"/>
              <w:jc w:val="right"/>
              <w:rPr>
                <w:sz w:val="21"/>
              </w:rPr>
            </w:pPr>
            <w:r>
              <w:rPr>
                <w:spacing w:val="-4"/>
                <w:sz w:val="21"/>
              </w:rPr>
              <w:t>六十一条</w:t>
            </w:r>
          </w:p>
        </w:tc>
        <w:tc>
          <w:tcPr>
            <w:tcW w:w="2785" w:type="dxa"/>
            <w:tcBorders>
              <w:right w:val="dashSmallGap" w:color="000000" w:sz="4" w:space="0"/>
            </w:tcBorders>
          </w:tcPr>
          <w:p>
            <w:pPr>
              <w:pStyle w:val="7"/>
              <w:spacing w:before="14"/>
              <w:ind w:left="102"/>
              <w:rPr>
                <w:sz w:val="21"/>
              </w:rPr>
            </w:pPr>
            <w:r>
              <w:rPr>
                <w:spacing w:val="-4"/>
                <w:sz w:val="21"/>
              </w:rPr>
              <w:t>无有效行驶证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4236" w:type="dxa"/>
            <w:gridSpan w:val="2"/>
            <w:tcBorders>
              <w:left w:val="dashSmallGap" w:color="000000" w:sz="4" w:space="0"/>
            </w:tcBorders>
          </w:tcPr>
          <w:p>
            <w:pPr>
              <w:pStyle w:val="7"/>
              <w:spacing w:before="13"/>
              <w:ind w:left="318"/>
              <w:rPr>
                <w:sz w:val="21"/>
              </w:rPr>
            </w:pPr>
            <w:r>
              <w:rPr>
                <w:sz w:val="21"/>
              </w:rPr>
              <w:t>二十四条</w:t>
            </w:r>
            <w:r>
              <w:rPr>
                <w:spacing w:val="38"/>
                <w:w w:val="150"/>
                <w:sz w:val="21"/>
              </w:rPr>
              <w:t xml:space="preserve"> </w:t>
            </w:r>
            <w:r>
              <w:rPr>
                <w:spacing w:val="-2"/>
                <w:sz w:val="21"/>
              </w:rPr>
              <w:t>联系方式变更</w:t>
            </w:r>
          </w:p>
        </w:tc>
        <w:tc>
          <w:tcPr>
            <w:tcW w:w="1501" w:type="dxa"/>
          </w:tcPr>
          <w:p>
            <w:pPr>
              <w:pStyle w:val="7"/>
              <w:spacing w:before="13"/>
              <w:ind w:right="98"/>
              <w:jc w:val="right"/>
              <w:rPr>
                <w:sz w:val="21"/>
              </w:rPr>
            </w:pPr>
            <w:r>
              <w:rPr>
                <w:spacing w:val="-4"/>
                <w:sz w:val="21"/>
              </w:rPr>
              <w:t>六十二条</w:t>
            </w:r>
          </w:p>
        </w:tc>
        <w:tc>
          <w:tcPr>
            <w:tcW w:w="2785" w:type="dxa"/>
            <w:tcBorders>
              <w:right w:val="dashSmallGap" w:color="000000" w:sz="4" w:space="0"/>
            </w:tcBorders>
          </w:tcPr>
          <w:p>
            <w:pPr>
              <w:pStyle w:val="7"/>
              <w:spacing w:before="13"/>
              <w:ind w:left="102"/>
              <w:rPr>
                <w:sz w:val="21"/>
              </w:rPr>
            </w:pPr>
            <w:r>
              <w:rPr>
                <w:spacing w:val="-5"/>
                <w:sz w:val="21"/>
              </w:rPr>
              <w:t>机动车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236" w:type="dxa"/>
            <w:gridSpan w:val="2"/>
            <w:tcBorders>
              <w:left w:val="dashSmallGap" w:color="000000" w:sz="4" w:space="0"/>
            </w:tcBorders>
          </w:tcPr>
          <w:p>
            <w:pPr>
              <w:pStyle w:val="7"/>
              <w:spacing w:before="13"/>
              <w:ind w:left="318"/>
              <w:rPr>
                <w:sz w:val="21"/>
              </w:rPr>
            </w:pPr>
            <w:r>
              <w:rPr>
                <w:sz w:val="21"/>
              </w:rPr>
              <w:t>二十五条</w:t>
            </w:r>
            <w:r>
              <w:rPr>
                <w:spacing w:val="41"/>
                <w:w w:val="150"/>
                <w:sz w:val="21"/>
              </w:rPr>
              <w:t xml:space="preserve"> </w:t>
            </w:r>
            <w:r>
              <w:rPr>
                <w:spacing w:val="-3"/>
                <w:sz w:val="21"/>
              </w:rPr>
              <w:t>职业变更</w:t>
            </w:r>
          </w:p>
        </w:tc>
        <w:tc>
          <w:tcPr>
            <w:tcW w:w="1501" w:type="dxa"/>
          </w:tcPr>
          <w:p>
            <w:pPr>
              <w:pStyle w:val="7"/>
              <w:spacing w:before="13"/>
              <w:ind w:right="98"/>
              <w:jc w:val="right"/>
              <w:rPr>
                <w:sz w:val="21"/>
              </w:rPr>
            </w:pPr>
            <w:r>
              <w:rPr>
                <w:spacing w:val="-4"/>
                <w:sz w:val="21"/>
              </w:rPr>
              <w:t>六十三条</w:t>
            </w:r>
          </w:p>
        </w:tc>
        <w:tc>
          <w:tcPr>
            <w:tcW w:w="2785" w:type="dxa"/>
            <w:tcBorders>
              <w:right w:val="dashSmallGap" w:color="000000" w:sz="4" w:space="0"/>
            </w:tcBorders>
          </w:tcPr>
          <w:p>
            <w:pPr>
              <w:pStyle w:val="7"/>
              <w:spacing w:before="13"/>
              <w:ind w:left="102"/>
              <w:rPr>
                <w:sz w:val="21"/>
              </w:rPr>
            </w:pPr>
            <w:r>
              <w:rPr>
                <w:spacing w:val="-4"/>
                <w:sz w:val="21"/>
              </w:rPr>
              <w:t>现金价值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236" w:type="dxa"/>
            <w:gridSpan w:val="2"/>
            <w:tcBorders>
              <w:left w:val="dashSmallGap" w:color="000000" w:sz="4" w:space="0"/>
            </w:tcBorders>
          </w:tcPr>
          <w:p>
            <w:pPr>
              <w:pStyle w:val="7"/>
              <w:spacing w:before="13"/>
              <w:ind w:left="318"/>
              <w:rPr>
                <w:sz w:val="21"/>
              </w:rPr>
            </w:pPr>
            <w:r>
              <w:rPr>
                <w:sz w:val="21"/>
              </w:rPr>
              <w:t>二十六条</w:t>
            </w:r>
            <w:r>
              <w:rPr>
                <w:spacing w:val="41"/>
                <w:w w:val="150"/>
                <w:sz w:val="21"/>
              </w:rPr>
              <w:t xml:space="preserve"> </w:t>
            </w:r>
            <w:r>
              <w:rPr>
                <w:spacing w:val="-3"/>
                <w:sz w:val="21"/>
              </w:rPr>
              <w:t>司法鉴定</w:t>
            </w:r>
          </w:p>
        </w:tc>
        <w:tc>
          <w:tcPr>
            <w:tcW w:w="1501" w:type="dxa"/>
          </w:tcPr>
          <w:p>
            <w:pPr>
              <w:pStyle w:val="7"/>
              <w:spacing w:before="13"/>
              <w:ind w:right="98"/>
              <w:jc w:val="right"/>
              <w:rPr>
                <w:sz w:val="21"/>
              </w:rPr>
            </w:pPr>
            <w:r>
              <w:rPr>
                <w:spacing w:val="-4"/>
                <w:sz w:val="21"/>
              </w:rPr>
              <w:t>六十四条</w:t>
            </w:r>
          </w:p>
        </w:tc>
        <w:tc>
          <w:tcPr>
            <w:tcW w:w="2785" w:type="dxa"/>
            <w:tcBorders>
              <w:right w:val="dashSmallGap" w:color="000000" w:sz="4" w:space="0"/>
            </w:tcBorders>
          </w:tcPr>
          <w:p>
            <w:pPr>
              <w:pStyle w:val="7"/>
              <w:spacing w:before="13"/>
              <w:ind w:left="102"/>
              <w:rPr>
                <w:sz w:val="21"/>
              </w:rPr>
            </w:pPr>
            <w:r>
              <w:rPr>
                <w:spacing w:val="-4"/>
                <w:sz w:val="21"/>
              </w:rPr>
              <w:t>有效身份证件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4236" w:type="dxa"/>
            <w:gridSpan w:val="2"/>
            <w:tcBorders>
              <w:left w:val="dashSmallGap" w:color="000000" w:sz="4" w:space="0"/>
            </w:tcBorders>
          </w:tcPr>
          <w:p>
            <w:pPr>
              <w:pStyle w:val="7"/>
              <w:spacing w:before="13"/>
              <w:ind w:left="318"/>
              <w:rPr>
                <w:sz w:val="21"/>
              </w:rPr>
            </w:pPr>
            <w:r>
              <w:rPr>
                <w:sz w:val="21"/>
              </w:rPr>
              <w:t>二十七条</w:t>
            </w:r>
            <w:r>
              <w:rPr>
                <w:spacing w:val="41"/>
                <w:w w:val="150"/>
                <w:sz w:val="21"/>
              </w:rPr>
              <w:t xml:space="preserve"> </w:t>
            </w:r>
            <w:r>
              <w:rPr>
                <w:spacing w:val="-3"/>
                <w:sz w:val="21"/>
              </w:rPr>
              <w:t>争议处理</w:t>
            </w:r>
          </w:p>
        </w:tc>
        <w:tc>
          <w:tcPr>
            <w:tcW w:w="1501" w:type="dxa"/>
          </w:tcPr>
          <w:p>
            <w:pPr>
              <w:pStyle w:val="7"/>
              <w:spacing w:before="13"/>
              <w:ind w:right="96"/>
              <w:jc w:val="right"/>
              <w:rPr>
                <w:sz w:val="21"/>
              </w:rPr>
            </w:pPr>
            <w:r>
              <w:rPr>
                <w:spacing w:val="-4"/>
                <w:sz w:val="21"/>
              </w:rPr>
              <w:t>六十五条</w:t>
            </w:r>
          </w:p>
        </w:tc>
        <w:tc>
          <w:tcPr>
            <w:tcW w:w="2785" w:type="dxa"/>
            <w:tcBorders>
              <w:right w:val="dashSmallGap" w:color="000000" w:sz="4" w:space="0"/>
            </w:tcBorders>
          </w:tcPr>
          <w:p>
            <w:pPr>
              <w:pStyle w:val="7"/>
              <w:spacing w:before="13"/>
              <w:ind w:left="105"/>
              <w:rPr>
                <w:sz w:val="21"/>
              </w:rPr>
            </w:pPr>
            <w:r>
              <w:rPr>
                <w:spacing w:val="-5"/>
                <w:sz w:val="21"/>
              </w:rPr>
              <w:t>原位癌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2" w:hRule="atLeast"/>
        </w:trPr>
        <w:tc>
          <w:tcPr>
            <w:tcW w:w="8522" w:type="dxa"/>
            <w:gridSpan w:val="4"/>
            <w:tcBorders>
              <w:left w:val="dashSmallGap" w:color="000000" w:sz="4" w:space="0"/>
              <w:right w:val="dashSmallGap" w:color="000000" w:sz="4" w:space="0"/>
            </w:tcBorders>
          </w:tcPr>
          <w:p>
            <w:pPr>
              <w:pStyle w:val="7"/>
              <w:tabs>
                <w:tab w:val="left" w:pos="4579"/>
              </w:tabs>
              <w:spacing w:before="13"/>
              <w:ind w:left="107"/>
              <w:rPr>
                <w:sz w:val="21"/>
              </w:rPr>
            </w:pPr>
            <w:r>
              <w:rPr>
                <w:b/>
                <w:sz w:val="21"/>
              </w:rPr>
              <w:t>七章</w:t>
            </w:r>
            <w:r>
              <w:rPr>
                <w:b/>
                <w:spacing w:val="51"/>
                <w:w w:val="150"/>
                <w:sz w:val="21"/>
              </w:rPr>
              <w:t xml:space="preserve"> </w:t>
            </w:r>
            <w:r>
              <w:rPr>
                <w:b/>
                <w:sz w:val="21"/>
              </w:rPr>
              <w:t>释</w:t>
            </w:r>
            <w:r>
              <w:rPr>
                <w:b/>
                <w:spacing w:val="-10"/>
                <w:sz w:val="21"/>
              </w:rPr>
              <w:t>义</w:t>
            </w:r>
            <w:r>
              <w:rPr>
                <w:b/>
                <w:sz w:val="21"/>
              </w:rPr>
              <w:tab/>
            </w:r>
            <w:r>
              <w:rPr>
                <w:sz w:val="21"/>
              </w:rPr>
              <w:t>六十六条</w:t>
            </w:r>
            <w:r>
              <w:rPr>
                <w:spacing w:val="36"/>
                <w:w w:val="150"/>
                <w:sz w:val="21"/>
              </w:rPr>
              <w:t xml:space="preserve"> </w:t>
            </w:r>
            <w:r>
              <w:rPr>
                <w:sz w:val="21"/>
              </w:rPr>
              <w:t>六项基本日常生活活</w:t>
            </w:r>
            <w:r>
              <w:rPr>
                <w:spacing w:val="-10"/>
                <w:sz w:val="21"/>
              </w:rPr>
              <w:t>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61" w:hRule="atLeast"/>
        </w:trPr>
        <w:tc>
          <w:tcPr>
            <w:tcW w:w="1477" w:type="dxa"/>
            <w:tcBorders>
              <w:left w:val="dashSmallGap" w:color="000000" w:sz="4" w:space="0"/>
            </w:tcBorders>
          </w:tcPr>
          <w:p>
            <w:pPr>
              <w:pStyle w:val="7"/>
              <w:spacing w:line="232" w:lineRule="exact"/>
              <w:ind w:left="318"/>
              <w:rPr>
                <w:sz w:val="21"/>
              </w:rPr>
            </w:pPr>
            <w:r>
              <w:rPr>
                <w:spacing w:val="-4"/>
                <w:sz w:val="21"/>
              </w:rPr>
              <w:t>二十八条</w:t>
            </w:r>
          </w:p>
        </w:tc>
        <w:tc>
          <w:tcPr>
            <w:tcW w:w="2759" w:type="dxa"/>
          </w:tcPr>
          <w:p>
            <w:pPr>
              <w:pStyle w:val="7"/>
              <w:spacing w:line="232" w:lineRule="exact"/>
              <w:ind w:left="109"/>
              <w:rPr>
                <w:sz w:val="21"/>
              </w:rPr>
            </w:pPr>
            <w:r>
              <w:rPr>
                <w:spacing w:val="-7"/>
                <w:sz w:val="21"/>
              </w:rPr>
              <w:t>周岁</w:t>
            </w:r>
          </w:p>
        </w:tc>
        <w:tc>
          <w:tcPr>
            <w:tcW w:w="1501" w:type="dxa"/>
          </w:tcPr>
          <w:p>
            <w:pPr>
              <w:pStyle w:val="7"/>
              <w:spacing w:line="232" w:lineRule="exact"/>
              <w:ind w:right="96"/>
              <w:jc w:val="right"/>
              <w:rPr>
                <w:sz w:val="21"/>
              </w:rPr>
            </w:pPr>
            <w:r>
              <w:rPr>
                <w:spacing w:val="-4"/>
                <w:sz w:val="21"/>
              </w:rPr>
              <w:t>六十七条</w:t>
            </w:r>
          </w:p>
        </w:tc>
        <w:tc>
          <w:tcPr>
            <w:tcW w:w="2785" w:type="dxa"/>
            <w:tcBorders>
              <w:right w:val="dashSmallGap" w:color="000000" w:sz="4" w:space="0"/>
            </w:tcBorders>
          </w:tcPr>
          <w:p>
            <w:pPr>
              <w:pStyle w:val="7"/>
              <w:spacing w:line="232" w:lineRule="exact"/>
              <w:ind w:left="105"/>
              <w:rPr>
                <w:sz w:val="21"/>
              </w:rPr>
            </w:pPr>
            <w:r>
              <w:rPr>
                <w:spacing w:val="-3"/>
                <w:sz w:val="21"/>
              </w:rPr>
              <w:t>美国纽约心脏病学会心功能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1477" w:type="dxa"/>
            <w:tcBorders>
              <w:left w:val="dashSmallGap" w:color="000000" w:sz="4" w:space="0"/>
            </w:tcBorders>
          </w:tcPr>
          <w:p>
            <w:pPr>
              <w:pStyle w:val="7"/>
              <w:spacing w:before="13"/>
              <w:ind w:left="318"/>
              <w:rPr>
                <w:sz w:val="21"/>
              </w:rPr>
            </w:pPr>
            <w:r>
              <w:rPr>
                <w:spacing w:val="-4"/>
                <w:sz w:val="21"/>
              </w:rPr>
              <w:t>二十九条</w:t>
            </w:r>
          </w:p>
        </w:tc>
        <w:tc>
          <w:tcPr>
            <w:tcW w:w="2759" w:type="dxa"/>
          </w:tcPr>
          <w:p>
            <w:pPr>
              <w:pStyle w:val="7"/>
              <w:spacing w:before="13"/>
              <w:ind w:left="109"/>
              <w:rPr>
                <w:sz w:val="21"/>
              </w:rPr>
            </w:pPr>
            <w:r>
              <w:rPr>
                <w:spacing w:val="-7"/>
                <w:sz w:val="21"/>
              </w:rPr>
              <w:t>续保</w:t>
            </w:r>
          </w:p>
        </w:tc>
        <w:tc>
          <w:tcPr>
            <w:tcW w:w="1501" w:type="dxa"/>
          </w:tcPr>
          <w:p>
            <w:pPr>
              <w:pStyle w:val="7"/>
              <w:rPr>
                <w:rFonts w:ascii="Times New Roman"/>
                <w:sz w:val="20"/>
              </w:rPr>
            </w:pPr>
          </w:p>
        </w:tc>
        <w:tc>
          <w:tcPr>
            <w:tcW w:w="2785" w:type="dxa"/>
            <w:tcBorders>
              <w:right w:val="dashSmallGap" w:color="000000" w:sz="4" w:space="0"/>
            </w:tcBorders>
          </w:tcPr>
          <w:p>
            <w:pPr>
              <w:pStyle w:val="7"/>
              <w:spacing w:before="13"/>
              <w:ind w:left="102"/>
              <w:rPr>
                <w:sz w:val="21"/>
              </w:rPr>
            </w:pPr>
            <w:r>
              <w:rPr>
                <w:spacing w:val="-5"/>
                <w:sz w:val="21"/>
              </w:rPr>
              <w:t>分级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1477" w:type="dxa"/>
            <w:tcBorders>
              <w:left w:val="dashSmallGap" w:color="000000" w:sz="4" w:space="0"/>
            </w:tcBorders>
          </w:tcPr>
          <w:p>
            <w:pPr>
              <w:pStyle w:val="7"/>
              <w:spacing w:before="13"/>
              <w:ind w:left="318"/>
              <w:rPr>
                <w:sz w:val="21"/>
              </w:rPr>
            </w:pPr>
            <w:r>
              <w:rPr>
                <w:spacing w:val="-5"/>
                <w:sz w:val="21"/>
              </w:rPr>
              <w:t>三十条</w:t>
            </w:r>
          </w:p>
        </w:tc>
        <w:tc>
          <w:tcPr>
            <w:tcW w:w="2759" w:type="dxa"/>
          </w:tcPr>
          <w:p>
            <w:pPr>
              <w:pStyle w:val="7"/>
              <w:spacing w:before="13"/>
              <w:ind w:left="109"/>
              <w:rPr>
                <w:sz w:val="21"/>
              </w:rPr>
            </w:pPr>
            <w:r>
              <w:rPr>
                <w:spacing w:val="-4"/>
                <w:sz w:val="21"/>
              </w:rPr>
              <w:t>意外伤害</w:t>
            </w:r>
          </w:p>
        </w:tc>
        <w:tc>
          <w:tcPr>
            <w:tcW w:w="1501" w:type="dxa"/>
          </w:tcPr>
          <w:p>
            <w:pPr>
              <w:pStyle w:val="7"/>
              <w:spacing w:before="13"/>
              <w:ind w:right="94"/>
              <w:jc w:val="right"/>
              <w:rPr>
                <w:b/>
                <w:sz w:val="21"/>
              </w:rPr>
            </w:pPr>
            <w:r>
              <w:rPr>
                <w:b/>
                <w:sz w:val="21"/>
              </w:rPr>
              <w:t>八章</w:t>
            </w:r>
            <w:r>
              <w:rPr>
                <w:b/>
                <w:spacing w:val="51"/>
                <w:w w:val="150"/>
                <w:sz w:val="21"/>
              </w:rPr>
              <w:t xml:space="preserve"> </w:t>
            </w:r>
            <w:r>
              <w:rPr>
                <w:b/>
                <w:spacing w:val="-5"/>
                <w:sz w:val="21"/>
              </w:rPr>
              <w:t>附件</w:t>
            </w:r>
          </w:p>
        </w:tc>
        <w:tc>
          <w:tcPr>
            <w:tcW w:w="2785" w:type="dxa"/>
            <w:tcBorders>
              <w:right w:val="dashSmallGap" w:color="000000" w:sz="4" w:space="0"/>
            </w:tcBorders>
          </w:tcPr>
          <w:p>
            <w:pPr>
              <w:pStyle w:val="7"/>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1477" w:type="dxa"/>
            <w:tcBorders>
              <w:left w:val="dashSmallGap" w:color="000000" w:sz="4" w:space="0"/>
            </w:tcBorders>
          </w:tcPr>
          <w:p>
            <w:pPr>
              <w:pStyle w:val="7"/>
              <w:spacing w:before="13"/>
              <w:ind w:left="318"/>
              <w:rPr>
                <w:sz w:val="21"/>
              </w:rPr>
            </w:pPr>
            <w:r>
              <w:rPr>
                <w:spacing w:val="-4"/>
                <w:sz w:val="21"/>
              </w:rPr>
              <w:t>三十一条</w:t>
            </w:r>
          </w:p>
        </w:tc>
        <w:tc>
          <w:tcPr>
            <w:tcW w:w="2759" w:type="dxa"/>
          </w:tcPr>
          <w:p>
            <w:pPr>
              <w:pStyle w:val="7"/>
              <w:spacing w:before="13"/>
              <w:ind w:left="109"/>
              <w:rPr>
                <w:sz w:val="21"/>
              </w:rPr>
            </w:pPr>
            <w:r>
              <w:rPr>
                <w:spacing w:val="-4"/>
                <w:sz w:val="21"/>
              </w:rPr>
              <w:t>保险事故</w:t>
            </w:r>
          </w:p>
        </w:tc>
        <w:tc>
          <w:tcPr>
            <w:tcW w:w="1501" w:type="dxa"/>
          </w:tcPr>
          <w:p>
            <w:pPr>
              <w:pStyle w:val="7"/>
              <w:spacing w:before="13"/>
              <w:ind w:right="98"/>
              <w:jc w:val="right"/>
              <w:rPr>
                <w:sz w:val="21"/>
              </w:rPr>
            </w:pPr>
            <w:r>
              <w:rPr>
                <w:spacing w:val="-4"/>
                <w:sz w:val="21"/>
              </w:rPr>
              <w:t>六十八条</w:t>
            </w:r>
          </w:p>
        </w:tc>
        <w:tc>
          <w:tcPr>
            <w:tcW w:w="2785" w:type="dxa"/>
            <w:tcBorders>
              <w:right w:val="dashSmallGap" w:color="000000" w:sz="4" w:space="0"/>
            </w:tcBorders>
          </w:tcPr>
          <w:p>
            <w:pPr>
              <w:pStyle w:val="7"/>
              <w:spacing w:before="13"/>
              <w:ind w:left="102"/>
              <w:rPr>
                <w:sz w:val="21"/>
              </w:rPr>
            </w:pPr>
            <w:r>
              <w:rPr>
                <w:spacing w:val="-4"/>
                <w:sz w:val="21"/>
              </w:rPr>
              <w:t>重大疾病定义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2" w:hRule="atLeast"/>
        </w:trPr>
        <w:tc>
          <w:tcPr>
            <w:tcW w:w="1477" w:type="dxa"/>
            <w:tcBorders>
              <w:left w:val="dashSmallGap" w:color="000000" w:sz="4" w:space="0"/>
              <w:bottom w:val="dashSmallGap" w:color="000000" w:sz="4" w:space="0"/>
            </w:tcBorders>
          </w:tcPr>
          <w:p>
            <w:pPr>
              <w:pStyle w:val="7"/>
              <w:spacing w:before="14"/>
              <w:ind w:left="318"/>
              <w:rPr>
                <w:sz w:val="21"/>
              </w:rPr>
            </w:pPr>
            <w:r>
              <w:rPr>
                <w:spacing w:val="-4"/>
                <w:sz w:val="21"/>
              </w:rPr>
              <w:t>三十二条</w:t>
            </w:r>
          </w:p>
        </w:tc>
        <w:tc>
          <w:tcPr>
            <w:tcW w:w="2759" w:type="dxa"/>
            <w:tcBorders>
              <w:bottom w:val="dashSmallGap" w:color="000000" w:sz="4" w:space="0"/>
            </w:tcBorders>
          </w:tcPr>
          <w:p>
            <w:pPr>
              <w:pStyle w:val="7"/>
              <w:spacing w:before="14"/>
              <w:ind w:left="109"/>
              <w:rPr>
                <w:sz w:val="21"/>
              </w:rPr>
            </w:pPr>
            <w:r>
              <w:rPr>
                <w:spacing w:val="-7"/>
                <w:sz w:val="21"/>
              </w:rPr>
              <w:t>医院</w:t>
            </w:r>
          </w:p>
        </w:tc>
        <w:tc>
          <w:tcPr>
            <w:tcW w:w="1501" w:type="dxa"/>
            <w:tcBorders>
              <w:bottom w:val="dashSmallGap" w:color="000000" w:sz="4" w:space="0"/>
            </w:tcBorders>
          </w:tcPr>
          <w:p>
            <w:pPr>
              <w:pStyle w:val="7"/>
              <w:spacing w:before="14"/>
              <w:ind w:right="98"/>
              <w:jc w:val="right"/>
              <w:rPr>
                <w:sz w:val="21"/>
              </w:rPr>
            </w:pPr>
            <w:r>
              <w:rPr>
                <w:spacing w:val="-4"/>
                <w:sz w:val="21"/>
              </w:rPr>
              <w:t>六十九条</w:t>
            </w:r>
          </w:p>
        </w:tc>
        <w:tc>
          <w:tcPr>
            <w:tcW w:w="2785" w:type="dxa"/>
            <w:tcBorders>
              <w:bottom w:val="dashSmallGap" w:color="000000" w:sz="4" w:space="0"/>
              <w:right w:val="dashSmallGap" w:color="000000" w:sz="4" w:space="0"/>
            </w:tcBorders>
          </w:tcPr>
          <w:p>
            <w:pPr>
              <w:pStyle w:val="7"/>
              <w:spacing w:before="14"/>
              <w:ind w:left="102"/>
              <w:rPr>
                <w:sz w:val="21"/>
              </w:rPr>
            </w:pPr>
            <w:r>
              <w:rPr>
                <w:spacing w:val="-4"/>
                <w:sz w:val="21"/>
              </w:rPr>
              <w:t>保障利益表</w:t>
            </w:r>
          </w:p>
        </w:tc>
      </w:tr>
    </w:tbl>
    <w:p>
      <w:pPr>
        <w:spacing w:after="0"/>
        <w:rPr>
          <w:sz w:val="21"/>
        </w:rPr>
        <w:sectPr>
          <w:pgSz w:w="11910" w:h="16840"/>
          <w:pgMar w:top="1500" w:right="1080" w:bottom="1320" w:left="1580" w:header="0" w:footer="1137" w:gutter="0"/>
          <w:cols w:space="720" w:num="1"/>
        </w:sectPr>
      </w:pPr>
    </w:p>
    <w:p>
      <w:pPr>
        <w:spacing w:before="29" w:line="364" w:lineRule="auto"/>
        <w:ind w:left="2263" w:right="2802" w:firstLine="0"/>
        <w:jc w:val="center"/>
        <w:rPr>
          <w:b/>
          <w:sz w:val="32"/>
        </w:rPr>
      </w:pPr>
      <w:r>
        <w:rPr>
          <w:b/>
          <w:spacing w:val="-2"/>
          <w:sz w:val="32"/>
        </w:rPr>
        <w:t xml:space="preserve">瑞华健康保险股份有限公司 </w:t>
      </w:r>
      <w:r>
        <w:rPr>
          <w:b/>
          <w:spacing w:val="-2"/>
          <w:w w:val="95"/>
          <w:sz w:val="32"/>
        </w:rPr>
        <w:t>瑞华医保加个人医疗保险条款</w:t>
      </w:r>
    </w:p>
    <w:p>
      <w:pPr>
        <w:pStyle w:val="2"/>
        <w:spacing w:line="186" w:lineRule="exact"/>
        <w:ind w:left="638"/>
      </w:pPr>
      <w:r>
        <w:rPr>
          <w:spacing w:val="-2"/>
        </w:rPr>
        <w:t>在本条款中</w:t>
      </w:r>
      <w:r>
        <w:rPr>
          <w:spacing w:val="-30"/>
        </w:rPr>
        <w:t>，“您”指投保人</w:t>
      </w:r>
      <w:r>
        <w:rPr>
          <w:spacing w:val="-28"/>
        </w:rPr>
        <w:t>，“我们”、“本公司”均指瑞华健康保险股份有限公司, “本</w:t>
      </w:r>
    </w:p>
    <w:p>
      <w:pPr>
        <w:pStyle w:val="2"/>
        <w:spacing w:before="43"/>
        <w:ind w:left="218"/>
      </w:pPr>
      <w:r>
        <w:rPr>
          <w:spacing w:val="-3"/>
        </w:rPr>
        <w:t>合同”指您与我们之间订立的《瑞华医保加个人医疗保险》合同。</w:t>
      </w:r>
    </w:p>
    <w:p>
      <w:pPr>
        <w:pStyle w:val="2"/>
        <w:spacing w:before="9"/>
        <w:rPr>
          <w:sz w:val="27"/>
        </w:rPr>
      </w:pPr>
    </w:p>
    <w:p>
      <w:pPr>
        <w:spacing w:before="0"/>
        <w:ind w:left="2263" w:right="2801" w:firstLine="0"/>
        <w:jc w:val="center"/>
        <w:rPr>
          <w:b/>
          <w:sz w:val="21"/>
        </w:rPr>
      </w:pPr>
      <w:r>
        <w:rPr>
          <w:b/>
          <w:spacing w:val="-6"/>
          <w:sz w:val="21"/>
        </w:rPr>
        <w:t>一章 保险合同构成及投保范围</w:t>
      </w:r>
    </w:p>
    <w:p>
      <w:pPr>
        <w:pStyle w:val="2"/>
        <w:spacing w:before="9"/>
        <w:rPr>
          <w:b/>
          <w:sz w:val="27"/>
        </w:rPr>
      </w:pPr>
    </w:p>
    <w:p>
      <w:pPr>
        <w:pStyle w:val="2"/>
        <w:tabs>
          <w:tab w:val="left" w:pos="1477"/>
        </w:tabs>
        <w:ind w:left="218"/>
      </w:pPr>
      <w:r>
        <w:t>一</w:t>
      </w:r>
      <w:r>
        <w:rPr>
          <w:spacing w:val="-10"/>
        </w:rPr>
        <w:t>条</w:t>
      </w:r>
      <w:r>
        <w:tab/>
      </w:r>
      <w:r>
        <w:rPr>
          <w:spacing w:val="-2"/>
        </w:rPr>
        <w:t>保险合同构</w:t>
      </w:r>
      <w:r>
        <w:rPr>
          <w:spacing w:val="-10"/>
        </w:rPr>
        <w:t>成</w:t>
      </w:r>
    </w:p>
    <w:p>
      <w:pPr>
        <w:pStyle w:val="2"/>
        <w:spacing w:before="43" w:line="278" w:lineRule="auto"/>
        <w:ind w:left="218" w:right="757" w:firstLine="419"/>
      </w:pPr>
      <w:r>
        <w:rPr>
          <w:spacing w:val="-2"/>
        </w:rPr>
        <w:t>本合同由保险单及其所附条款、声明、批注，以及与本合同有关的投保单、其他投保文件及其他约定书共同构成。</w:t>
      </w:r>
    </w:p>
    <w:p>
      <w:pPr>
        <w:pStyle w:val="2"/>
        <w:spacing w:line="278" w:lineRule="auto"/>
        <w:ind w:left="218" w:right="749" w:firstLine="419"/>
        <w:jc w:val="both"/>
      </w:pPr>
      <w:r>
        <w:rPr>
          <w:spacing w:val="-2"/>
        </w:rPr>
        <w:t>我们为网上投保的投保人提供电子保单。根据《中华人民共和国合同法》十一条规定，数据电文是合法的合同表现形式，您向我们在线提交的电子信息与您向我们提交的书面文件具有同等的法律效力，电子保单与纸质保单具有同等法律效力。</w:t>
      </w:r>
    </w:p>
    <w:p>
      <w:pPr>
        <w:pStyle w:val="2"/>
        <w:spacing w:before="4"/>
        <w:rPr>
          <w:sz w:val="24"/>
        </w:rPr>
      </w:pPr>
    </w:p>
    <w:p>
      <w:pPr>
        <w:pStyle w:val="2"/>
        <w:ind w:left="218"/>
        <w:jc w:val="both"/>
      </w:pPr>
      <w:r>
        <w:t>二条</w:t>
      </w:r>
      <w:r>
        <w:rPr>
          <w:spacing w:val="516"/>
        </w:rPr>
        <w:t xml:space="preserve"> </w:t>
      </w:r>
      <w:r>
        <w:rPr>
          <w:spacing w:val="-3"/>
        </w:rPr>
        <w:t>投保年龄</w:t>
      </w:r>
    </w:p>
    <w:p>
      <w:pPr>
        <w:pStyle w:val="2"/>
        <w:spacing w:before="43" w:line="278" w:lineRule="auto"/>
        <w:ind w:left="218" w:right="752" w:firstLine="424"/>
        <w:jc w:val="both"/>
      </w:pPr>
      <w:r>
        <w:rPr>
          <w:spacing w:val="-2"/>
        </w:rPr>
        <w:t>本合同接受的被保险人的投保年龄为出生满二十八天且健康出院至六十</w:t>
      </w:r>
      <w:r>
        <w:rPr>
          <w:b/>
          <w:spacing w:val="-2"/>
        </w:rPr>
        <w:t>周岁</w:t>
      </w:r>
      <w:r>
        <w:rPr>
          <w:spacing w:val="-2"/>
        </w:rPr>
        <w:t>（见二十八条</w:t>
      </w:r>
      <w:r>
        <w:rPr>
          <w:spacing w:val="-58"/>
        </w:rPr>
        <w:t>）</w:t>
      </w:r>
      <w:r>
        <w:rPr>
          <w:spacing w:val="-10"/>
        </w:rPr>
        <w:t>，且符合我们当时规定的其他投保条件，最高可以</w:t>
      </w:r>
      <w:r>
        <w:rPr>
          <w:b/>
          <w:spacing w:val="-2"/>
        </w:rPr>
        <w:t>续保</w:t>
      </w:r>
      <w:r>
        <w:rPr>
          <w:spacing w:val="-2"/>
        </w:rPr>
        <w:t>（见二十九条）至一百周</w:t>
      </w:r>
      <w:r>
        <w:rPr>
          <w:spacing w:val="-6"/>
        </w:rPr>
        <w:t>岁。</w:t>
      </w:r>
    </w:p>
    <w:p>
      <w:pPr>
        <w:pStyle w:val="2"/>
        <w:spacing w:before="5"/>
        <w:rPr>
          <w:sz w:val="24"/>
        </w:rPr>
      </w:pPr>
    </w:p>
    <w:p>
      <w:pPr>
        <w:spacing w:before="0"/>
        <w:ind w:left="2263" w:right="2799" w:firstLine="0"/>
        <w:jc w:val="center"/>
        <w:rPr>
          <w:b/>
          <w:sz w:val="21"/>
        </w:rPr>
      </w:pPr>
      <w:r>
        <w:rPr>
          <w:b/>
          <w:spacing w:val="-6"/>
          <w:sz w:val="21"/>
        </w:rPr>
        <w:t>二章 保险责任及责任免除</w:t>
      </w:r>
    </w:p>
    <w:p>
      <w:pPr>
        <w:pStyle w:val="2"/>
        <w:spacing w:before="9"/>
        <w:rPr>
          <w:b/>
          <w:sz w:val="27"/>
        </w:rPr>
      </w:pPr>
    </w:p>
    <w:p>
      <w:pPr>
        <w:pStyle w:val="2"/>
        <w:spacing w:line="278" w:lineRule="auto"/>
        <w:ind w:left="218" w:right="6923"/>
        <w:jc w:val="both"/>
      </w:pPr>
      <w:r>
        <w:t>三条</w:t>
      </w:r>
      <w:r>
        <w:rPr>
          <w:spacing w:val="493"/>
        </w:rPr>
        <w:t xml:space="preserve"> </w:t>
      </w:r>
      <w:r>
        <w:t>保险责任一、等待期</w:t>
      </w:r>
    </w:p>
    <w:p>
      <w:pPr>
        <w:spacing w:before="0" w:line="278" w:lineRule="auto"/>
        <w:ind w:left="218" w:right="752" w:firstLine="422"/>
        <w:jc w:val="both"/>
        <w:rPr>
          <w:rFonts w:hint="eastAsia" w:ascii="黑体" w:eastAsia="黑体"/>
          <w:b/>
          <w:sz w:val="21"/>
        </w:rPr>
      </w:pPr>
      <w:r>
        <w:rPr>
          <w:rFonts w:hint="eastAsia" w:ascii="黑体" w:eastAsia="黑体"/>
          <w:b/>
          <w:w w:val="95"/>
          <w:sz w:val="21"/>
        </w:rPr>
        <w:t>本合同生效之日起</w:t>
      </w:r>
      <w:r>
        <w:rPr>
          <w:rFonts w:hint="eastAsia" w:ascii="黑体" w:eastAsia="黑体"/>
          <w:b/>
          <w:spacing w:val="34"/>
          <w:sz w:val="21"/>
        </w:rPr>
        <w:t xml:space="preserve"> </w:t>
      </w:r>
      <w:r>
        <w:rPr>
          <w:rFonts w:hint="eastAsia" w:ascii="黑体" w:eastAsia="黑体"/>
          <w:b/>
          <w:w w:val="95"/>
          <w:sz w:val="21"/>
        </w:rPr>
        <w:t>30</w:t>
      </w:r>
      <w:r>
        <w:rPr>
          <w:rFonts w:hint="eastAsia" w:ascii="黑体" w:eastAsia="黑体"/>
          <w:b/>
          <w:spacing w:val="31"/>
          <w:sz w:val="21"/>
        </w:rPr>
        <w:t xml:space="preserve"> </w:t>
      </w:r>
      <w:r>
        <w:rPr>
          <w:rFonts w:hint="eastAsia" w:ascii="黑体" w:eastAsia="黑体"/>
          <w:b/>
          <w:w w:val="95"/>
          <w:sz w:val="21"/>
        </w:rPr>
        <w:t>日为等待期。被保险人等待期内因意外伤害（见第三十条）之外</w:t>
      </w:r>
      <w:r>
        <w:rPr>
          <w:rFonts w:hint="eastAsia" w:ascii="黑体" w:eastAsia="黑体"/>
          <w:b/>
          <w:spacing w:val="-2"/>
          <w:sz w:val="21"/>
        </w:rPr>
        <w:t>的原因发生本合同定义的保险事故（见第三十一条）的，我们不承担给付保险金的责任。续保或因意外伤害导致的保险事故没有等待期。</w:t>
      </w:r>
    </w:p>
    <w:p>
      <w:pPr>
        <w:pStyle w:val="2"/>
        <w:spacing w:before="4"/>
        <w:rPr>
          <w:rFonts w:ascii="黑体"/>
          <w:b/>
          <w:sz w:val="24"/>
        </w:rPr>
      </w:pPr>
    </w:p>
    <w:p>
      <w:pPr>
        <w:pStyle w:val="2"/>
        <w:ind w:left="218"/>
      </w:pPr>
      <w:r>
        <w:rPr>
          <w:spacing w:val="-2"/>
        </w:rPr>
        <w:t>二、一般医疗保险金</w:t>
      </w:r>
    </w:p>
    <w:p>
      <w:pPr>
        <w:pStyle w:val="2"/>
        <w:spacing w:before="43"/>
        <w:ind w:left="652"/>
      </w:pPr>
      <w:r>
        <w:t>在保险期间内，被保险人等待期后在</w:t>
      </w:r>
      <w:r>
        <w:rPr>
          <w:b/>
        </w:rPr>
        <w:t>医院</w:t>
      </w:r>
      <w:r>
        <w:t>（见三十二条）</w:t>
      </w:r>
      <w:r>
        <w:rPr>
          <w:spacing w:val="-1"/>
        </w:rPr>
        <w:t>接受治疗的，我们对下述</w:t>
      </w:r>
    </w:p>
    <w:p>
      <w:pPr>
        <w:pStyle w:val="2"/>
        <w:spacing w:before="43"/>
        <w:ind w:left="218"/>
      </w:pPr>
      <w:r>
        <w:rPr>
          <w:spacing w:val="-2"/>
        </w:rPr>
        <w:t>1-4</w:t>
      </w:r>
      <w:r>
        <w:rPr>
          <w:spacing w:val="-9"/>
        </w:rPr>
        <w:t xml:space="preserve"> 类费用，按照本合同的约定承担给付一般医疗保险金的责任：</w:t>
      </w:r>
    </w:p>
    <w:p>
      <w:pPr>
        <w:pStyle w:val="6"/>
        <w:numPr>
          <w:ilvl w:val="0"/>
          <w:numId w:val="2"/>
        </w:numPr>
        <w:tabs>
          <w:tab w:val="left" w:pos="578"/>
        </w:tabs>
        <w:spacing w:before="43" w:after="0" w:line="240" w:lineRule="auto"/>
        <w:ind w:left="578" w:right="0" w:hanging="360"/>
        <w:jc w:val="left"/>
        <w:rPr>
          <w:sz w:val="21"/>
        </w:rPr>
      </w:pPr>
      <w:r>
        <w:rPr>
          <w:spacing w:val="-4"/>
          <w:sz w:val="21"/>
        </w:rPr>
        <w:t>住院医疗费用</w:t>
      </w:r>
    </w:p>
    <w:p>
      <w:pPr>
        <w:pStyle w:val="2"/>
        <w:spacing w:before="43" w:line="278" w:lineRule="auto"/>
        <w:ind w:left="218" w:right="824" w:firstLine="424"/>
        <w:rPr>
          <w:rFonts w:ascii="黑体" w:eastAsia="黑体"/>
        </w:rPr>
      </w:pPr>
      <w:r>
        <w:rPr>
          <w:spacing w:val="-2"/>
        </w:rPr>
        <w:t>被保险人等待期后经医院诊断必须</w:t>
      </w:r>
      <w:r>
        <w:rPr>
          <w:b/>
          <w:spacing w:val="-2"/>
        </w:rPr>
        <w:t>住院</w:t>
      </w:r>
      <w:r>
        <w:rPr>
          <w:spacing w:val="-2"/>
        </w:rPr>
        <w:t>（见三十三条）治疗的，住院期间发生的</w:t>
      </w:r>
      <w:r>
        <w:rPr>
          <w:b/>
          <w:spacing w:val="-2"/>
        </w:rPr>
        <w:t>合理且必要</w:t>
      </w:r>
      <w:r>
        <w:rPr>
          <w:spacing w:val="-2"/>
        </w:rPr>
        <w:t>（见三十四条）的</w:t>
      </w:r>
      <w:r>
        <w:rPr>
          <w:b/>
          <w:spacing w:val="-2"/>
        </w:rPr>
        <w:t>住院医疗费用</w:t>
      </w:r>
      <w:r>
        <w:rPr>
          <w:spacing w:val="-2"/>
        </w:rPr>
        <w:t>（见三十五条</w:t>
      </w:r>
      <w:r>
        <w:rPr>
          <w:spacing w:val="-108"/>
        </w:rPr>
        <w:t>）</w:t>
      </w:r>
      <w:r>
        <w:rPr>
          <w:rFonts w:ascii="黑体" w:eastAsia="黑体"/>
          <w:spacing w:val="-2"/>
        </w:rPr>
        <w:t>。</w:t>
      </w:r>
    </w:p>
    <w:p>
      <w:pPr>
        <w:spacing w:before="0" w:line="278" w:lineRule="auto"/>
        <w:ind w:left="218" w:right="753" w:firstLine="419"/>
        <w:jc w:val="left"/>
        <w:rPr>
          <w:sz w:val="21"/>
        </w:rPr>
      </w:pPr>
      <w:r>
        <w:rPr>
          <w:spacing w:val="-2"/>
          <w:sz w:val="21"/>
        </w:rPr>
        <w:t>到本合同满期日时，被保险人未结束本次住院治疗且未续保的，我们继续承担因本次</w:t>
      </w:r>
      <w:r>
        <w:rPr>
          <w:sz w:val="21"/>
        </w:rPr>
        <w:t>住院发生的、</w:t>
      </w:r>
      <w:r>
        <w:rPr>
          <w:rFonts w:hint="eastAsia" w:ascii="黑体" w:eastAsia="黑体"/>
          <w:b/>
          <w:spacing w:val="-2"/>
          <w:sz w:val="21"/>
        </w:rPr>
        <w:t xml:space="preserve">最高不超过本合同满期日后 </w:t>
      </w:r>
      <w:r>
        <w:rPr>
          <w:rFonts w:hint="eastAsia" w:ascii="黑体" w:eastAsia="黑体"/>
          <w:b/>
          <w:sz w:val="21"/>
        </w:rPr>
        <w:t>180</w:t>
      </w:r>
      <w:r>
        <w:rPr>
          <w:rFonts w:hint="eastAsia" w:ascii="黑体" w:eastAsia="黑体"/>
          <w:b/>
          <w:spacing w:val="-5"/>
          <w:sz w:val="21"/>
        </w:rPr>
        <w:t xml:space="preserve"> 日内的住院医疗费用</w:t>
      </w:r>
      <w:r>
        <w:rPr>
          <w:sz w:val="21"/>
        </w:rPr>
        <w:t>。</w:t>
      </w:r>
    </w:p>
    <w:p>
      <w:pPr>
        <w:pStyle w:val="2"/>
        <w:spacing w:before="4"/>
        <w:rPr>
          <w:sz w:val="24"/>
        </w:rPr>
      </w:pPr>
    </w:p>
    <w:p>
      <w:pPr>
        <w:pStyle w:val="6"/>
        <w:numPr>
          <w:ilvl w:val="0"/>
          <w:numId w:val="2"/>
        </w:numPr>
        <w:tabs>
          <w:tab w:val="left" w:pos="578"/>
        </w:tabs>
        <w:spacing w:before="0" w:after="0" w:line="240" w:lineRule="auto"/>
        <w:ind w:left="578" w:right="0" w:hanging="360"/>
        <w:jc w:val="left"/>
        <w:rPr>
          <w:sz w:val="21"/>
        </w:rPr>
      </w:pPr>
      <w:r>
        <w:rPr>
          <w:spacing w:val="-4"/>
          <w:sz w:val="21"/>
        </w:rPr>
        <w:t>特殊门诊医疗费用</w:t>
      </w:r>
    </w:p>
    <w:p>
      <w:pPr>
        <w:pStyle w:val="2"/>
        <w:spacing w:before="43" w:line="278" w:lineRule="auto"/>
        <w:ind w:left="218" w:right="753" w:firstLine="419"/>
      </w:pPr>
      <w:r>
        <w:rPr>
          <w:spacing w:val="-2"/>
        </w:rPr>
        <w:t>被保险人等待期后经医院诊断必须在医院进行如下治疗而发生的合理且必要的医疗费</w:t>
      </w:r>
      <w:r>
        <w:rPr>
          <w:spacing w:val="-6"/>
        </w:rPr>
        <w:t>用：</w:t>
      </w:r>
    </w:p>
    <w:p>
      <w:pPr>
        <w:pStyle w:val="6"/>
        <w:numPr>
          <w:ilvl w:val="0"/>
          <w:numId w:val="3"/>
        </w:numPr>
        <w:tabs>
          <w:tab w:val="left" w:pos="638"/>
        </w:tabs>
        <w:spacing w:before="0" w:after="0" w:line="269" w:lineRule="exact"/>
        <w:ind w:left="638" w:right="0" w:hanging="420"/>
        <w:jc w:val="left"/>
        <w:rPr>
          <w:sz w:val="21"/>
        </w:rPr>
      </w:pPr>
      <w:r>
        <w:rPr>
          <w:spacing w:val="-4"/>
          <w:sz w:val="21"/>
        </w:rPr>
        <w:t>门诊肾透析费；</w:t>
      </w:r>
    </w:p>
    <w:p>
      <w:pPr>
        <w:pStyle w:val="6"/>
        <w:numPr>
          <w:ilvl w:val="0"/>
          <w:numId w:val="3"/>
        </w:numPr>
        <w:tabs>
          <w:tab w:val="left" w:pos="638"/>
        </w:tabs>
        <w:spacing w:before="43" w:after="0" w:line="278" w:lineRule="auto"/>
        <w:ind w:left="645" w:right="752" w:hanging="428"/>
        <w:jc w:val="left"/>
        <w:rPr>
          <w:sz w:val="21"/>
        </w:rPr>
      </w:pPr>
      <w:r>
        <w:rPr>
          <w:spacing w:val="-2"/>
          <w:sz w:val="21"/>
        </w:rPr>
        <w:t>门诊恶性肿瘤治疗费，包括</w:t>
      </w:r>
      <w:r>
        <w:rPr>
          <w:b/>
          <w:spacing w:val="-2"/>
          <w:sz w:val="21"/>
        </w:rPr>
        <w:t>化学疗法</w:t>
      </w:r>
      <w:r>
        <w:rPr>
          <w:spacing w:val="-2"/>
          <w:sz w:val="21"/>
        </w:rPr>
        <w:t>（见三十六条</w:t>
      </w:r>
      <w:r>
        <w:rPr>
          <w:spacing w:val="-106"/>
          <w:sz w:val="21"/>
        </w:rPr>
        <w:t>）</w:t>
      </w:r>
      <w:r>
        <w:rPr>
          <w:spacing w:val="-2"/>
          <w:sz w:val="21"/>
        </w:rPr>
        <w:t>、</w:t>
      </w:r>
      <w:r>
        <w:rPr>
          <w:b/>
          <w:spacing w:val="-2"/>
          <w:sz w:val="21"/>
        </w:rPr>
        <w:t>放射疗法</w:t>
      </w:r>
      <w:r>
        <w:rPr>
          <w:spacing w:val="-2"/>
          <w:sz w:val="21"/>
        </w:rPr>
        <w:t>（见三十七条</w:t>
      </w:r>
      <w:r>
        <w:rPr>
          <w:spacing w:val="-104"/>
          <w:sz w:val="21"/>
        </w:rPr>
        <w:t>）</w:t>
      </w:r>
      <w:r>
        <w:rPr>
          <w:spacing w:val="-2"/>
          <w:sz w:val="21"/>
        </w:rPr>
        <w:t>、</w:t>
      </w:r>
      <w:r>
        <w:rPr>
          <w:b/>
          <w:spacing w:val="-4"/>
          <w:sz w:val="21"/>
        </w:rPr>
        <w:t>肿瘤免疫疗法</w:t>
      </w:r>
      <w:r>
        <w:rPr>
          <w:spacing w:val="-4"/>
          <w:sz w:val="21"/>
        </w:rPr>
        <w:t>（见三十八条</w:t>
      </w:r>
      <w:r>
        <w:rPr>
          <w:spacing w:val="-108"/>
          <w:sz w:val="21"/>
        </w:rPr>
        <w:t>）</w:t>
      </w:r>
      <w:r>
        <w:rPr>
          <w:b/>
          <w:spacing w:val="-4"/>
          <w:sz w:val="21"/>
        </w:rPr>
        <w:t>、肿瘤内分泌疗法</w:t>
      </w:r>
      <w:r>
        <w:rPr>
          <w:spacing w:val="-4"/>
          <w:sz w:val="21"/>
        </w:rPr>
        <w:t>（见三十九条</w:t>
      </w:r>
      <w:r>
        <w:rPr>
          <w:spacing w:val="-108"/>
          <w:sz w:val="21"/>
        </w:rPr>
        <w:t>）</w:t>
      </w:r>
      <w:r>
        <w:rPr>
          <w:spacing w:val="-4"/>
          <w:sz w:val="21"/>
        </w:rPr>
        <w:t>、</w:t>
      </w:r>
      <w:r>
        <w:rPr>
          <w:b/>
          <w:spacing w:val="-4"/>
          <w:sz w:val="21"/>
        </w:rPr>
        <w:t>肿瘤靶向疗法</w:t>
      </w:r>
      <w:r>
        <w:rPr>
          <w:spacing w:val="-4"/>
          <w:sz w:val="21"/>
        </w:rPr>
        <w:t>（见</w:t>
      </w:r>
    </w:p>
    <w:p>
      <w:pPr>
        <w:spacing w:after="0" w:line="278" w:lineRule="auto"/>
        <w:jc w:val="left"/>
        <w:rPr>
          <w:sz w:val="21"/>
        </w:rPr>
        <w:sectPr>
          <w:pgSz w:w="11910" w:h="16840"/>
          <w:pgMar w:top="1500" w:right="1080" w:bottom="1320" w:left="1580" w:header="0" w:footer="1137" w:gutter="0"/>
          <w:cols w:space="720" w:num="1"/>
        </w:sectPr>
      </w:pPr>
    </w:p>
    <w:p>
      <w:pPr>
        <w:pStyle w:val="2"/>
        <w:spacing w:before="44"/>
        <w:ind w:left="645"/>
      </w:pPr>
      <w:r>
        <w:rPr>
          <w:spacing w:val="-2"/>
        </w:rPr>
        <w:t>四十条）</w:t>
      </w:r>
      <w:r>
        <w:rPr>
          <w:spacing w:val="-4"/>
        </w:rPr>
        <w:t>治疗费用；</w:t>
      </w:r>
    </w:p>
    <w:p>
      <w:pPr>
        <w:pStyle w:val="6"/>
        <w:numPr>
          <w:ilvl w:val="0"/>
          <w:numId w:val="3"/>
        </w:numPr>
        <w:tabs>
          <w:tab w:val="left" w:pos="638"/>
        </w:tabs>
        <w:spacing w:before="43" w:after="0" w:line="240" w:lineRule="auto"/>
        <w:ind w:left="638" w:right="0" w:hanging="420"/>
        <w:jc w:val="left"/>
        <w:rPr>
          <w:sz w:val="21"/>
        </w:rPr>
      </w:pPr>
      <w:r>
        <w:rPr>
          <w:spacing w:val="-3"/>
          <w:sz w:val="21"/>
        </w:rPr>
        <w:t>器官移植后的门诊抗排异治疗费。</w:t>
      </w:r>
    </w:p>
    <w:p>
      <w:pPr>
        <w:pStyle w:val="2"/>
        <w:spacing w:before="9"/>
        <w:rPr>
          <w:sz w:val="27"/>
        </w:rPr>
      </w:pPr>
    </w:p>
    <w:p>
      <w:pPr>
        <w:pStyle w:val="6"/>
        <w:numPr>
          <w:ilvl w:val="0"/>
          <w:numId w:val="2"/>
        </w:numPr>
        <w:tabs>
          <w:tab w:val="left" w:pos="578"/>
        </w:tabs>
        <w:spacing w:before="0" w:after="0" w:line="240" w:lineRule="auto"/>
        <w:ind w:left="578" w:right="0" w:hanging="360"/>
        <w:jc w:val="left"/>
        <w:rPr>
          <w:sz w:val="21"/>
        </w:rPr>
      </w:pPr>
      <w:r>
        <w:rPr>
          <w:spacing w:val="-4"/>
          <w:sz w:val="21"/>
        </w:rPr>
        <w:t>门诊手术医疗费用</w:t>
      </w:r>
    </w:p>
    <w:p>
      <w:pPr>
        <w:pStyle w:val="2"/>
        <w:spacing w:before="43" w:line="278" w:lineRule="auto"/>
        <w:ind w:left="218" w:right="752" w:firstLine="419"/>
      </w:pPr>
      <w:r>
        <w:rPr>
          <w:spacing w:val="-2"/>
        </w:rPr>
        <w:t>被保险人等待期后经医院诊断必须接受门诊手术治疗的，被保险人需个人支付的、合理且必要的门诊手术医疗费用。</w:t>
      </w:r>
    </w:p>
    <w:p>
      <w:pPr>
        <w:pStyle w:val="2"/>
        <w:spacing w:before="4"/>
        <w:rPr>
          <w:sz w:val="24"/>
        </w:rPr>
      </w:pPr>
    </w:p>
    <w:p>
      <w:pPr>
        <w:pStyle w:val="6"/>
        <w:numPr>
          <w:ilvl w:val="0"/>
          <w:numId w:val="2"/>
        </w:numPr>
        <w:tabs>
          <w:tab w:val="left" w:pos="578"/>
        </w:tabs>
        <w:spacing w:before="1" w:after="0" w:line="240" w:lineRule="auto"/>
        <w:ind w:left="578" w:right="0" w:hanging="360"/>
        <w:jc w:val="both"/>
        <w:rPr>
          <w:sz w:val="21"/>
        </w:rPr>
      </w:pPr>
      <w:r>
        <w:rPr>
          <w:spacing w:val="-3"/>
          <w:sz w:val="21"/>
        </w:rPr>
        <w:t>住院前后门诊急诊费用</w:t>
      </w:r>
    </w:p>
    <w:p>
      <w:pPr>
        <w:spacing w:before="43" w:line="278" w:lineRule="auto"/>
        <w:ind w:left="218" w:right="754" w:firstLine="419"/>
        <w:jc w:val="both"/>
        <w:rPr>
          <w:rFonts w:hint="eastAsia" w:ascii="黑体" w:eastAsia="黑体"/>
          <w:b/>
          <w:sz w:val="21"/>
        </w:rPr>
      </w:pPr>
      <w:r>
        <w:rPr>
          <w:w w:val="95"/>
          <w:sz w:val="21"/>
        </w:rPr>
        <w:t>被保险人等待期后经医院诊断必须住院治疗的，在住院前 7 日和出院后 30 日（含住院</w:t>
      </w:r>
      <w:r>
        <w:rPr>
          <w:spacing w:val="-2"/>
          <w:sz w:val="21"/>
        </w:rPr>
        <w:t>当日和出院当日）内，因与该次住院相同原因而发生的合理且必要的门急诊医疗费用，</w:t>
      </w:r>
      <w:r>
        <w:rPr>
          <w:rFonts w:hint="eastAsia" w:ascii="黑体" w:eastAsia="黑体"/>
          <w:b/>
          <w:spacing w:val="-2"/>
          <w:sz w:val="21"/>
        </w:rPr>
        <w:t>此处费用不包含一般医疗保险金责任中约定的特殊门诊医疗费用和门诊手术医疗费用。</w:t>
      </w:r>
    </w:p>
    <w:p>
      <w:pPr>
        <w:spacing w:before="0" w:line="278" w:lineRule="auto"/>
        <w:ind w:left="218" w:right="749" w:firstLine="422"/>
        <w:jc w:val="both"/>
        <w:rPr>
          <w:rFonts w:hint="eastAsia" w:ascii="黑体" w:eastAsia="黑体"/>
          <w:b/>
          <w:sz w:val="21"/>
        </w:rPr>
      </w:pPr>
      <w:r>
        <w:rPr>
          <w:rFonts w:hint="eastAsia" w:ascii="黑体" w:eastAsia="黑体"/>
          <w:b/>
          <w:spacing w:val="-2"/>
          <w:sz w:val="21"/>
        </w:rPr>
        <w:t>在保险期间内，我们根据本合同约定的保险金计算方法，在一般医疗保险金年度累计给付限额内给付一般医疗保险金。当累计给付的一般医疗保险金达到一般医疗保险金年度累计给付限额时，本项保险责任终止。</w:t>
      </w:r>
    </w:p>
    <w:p>
      <w:pPr>
        <w:pStyle w:val="2"/>
        <w:spacing w:before="4"/>
        <w:rPr>
          <w:rFonts w:ascii="黑体"/>
          <w:b/>
          <w:sz w:val="24"/>
        </w:rPr>
      </w:pPr>
    </w:p>
    <w:p>
      <w:pPr>
        <w:pStyle w:val="2"/>
        <w:ind w:left="218"/>
      </w:pPr>
      <w:r>
        <w:rPr>
          <w:spacing w:val="-1"/>
        </w:rPr>
        <w:t>三、重大疾病医疗保险金</w:t>
      </w:r>
    </w:p>
    <w:p>
      <w:pPr>
        <w:pStyle w:val="2"/>
        <w:spacing w:before="43" w:line="278" w:lineRule="auto"/>
        <w:ind w:left="218" w:right="646" w:firstLine="419"/>
      </w:pPr>
      <w:r>
        <w:rPr>
          <w:spacing w:val="-4"/>
          <w:w w:val="100"/>
        </w:rPr>
        <w:t>在保险期间内，被保险人等待期后经医院</w:t>
      </w:r>
      <w:r>
        <w:rPr>
          <w:b/>
          <w:spacing w:val="-3"/>
          <w:w w:val="100"/>
        </w:rPr>
        <w:t>初次确诊</w:t>
      </w:r>
      <w:r>
        <w:rPr>
          <w:w w:val="100"/>
        </w:rPr>
        <w:t>（</w:t>
      </w:r>
      <w:r>
        <w:rPr>
          <w:spacing w:val="-3"/>
          <w:w w:val="100"/>
        </w:rPr>
        <w:t>见四十一条</w:t>
      </w:r>
      <w:r>
        <w:rPr>
          <w:spacing w:val="-118"/>
          <w:w w:val="100"/>
        </w:rPr>
        <w:t>）</w:t>
      </w:r>
      <w:r>
        <w:rPr>
          <w:w w:val="100"/>
        </w:rPr>
        <w:t>（</w:t>
      </w:r>
      <w:r>
        <w:rPr>
          <w:spacing w:val="-3"/>
          <w:w w:val="100"/>
        </w:rPr>
        <w:t>在该保险期间内</w:t>
      </w:r>
      <w:r>
        <w:rPr>
          <w:spacing w:val="-5"/>
          <w:w w:val="100"/>
        </w:rPr>
        <w:t>初次确诊且在续保期间内再次在医院接受治疗的，我们仍按照本合同的约定承担保险责任</w:t>
      </w:r>
      <w:r>
        <w:rPr>
          <w:w w:val="100"/>
        </w:rPr>
        <w:t>）为本合同约定的重大疾病，并在医院接受治疗的，我们首先按照前款约定给付一般医疗保险金，当我们累计给付的金额达到一般医疗保险金年度累计给付限额后，我们对下述</w:t>
      </w:r>
      <w:r>
        <w:rPr>
          <w:spacing w:val="3"/>
        </w:rPr>
        <w:t xml:space="preserve"> </w:t>
      </w:r>
      <w:r>
        <w:rPr>
          <w:w w:val="100"/>
        </w:rPr>
        <w:t>1-4</w:t>
      </w:r>
      <w:r>
        <w:rPr>
          <w:spacing w:val="-3"/>
          <w:w w:val="100"/>
        </w:rPr>
        <w:t>类费用，按照本合同的约定承担给付重大疾病医疗保险金的责任：</w:t>
      </w:r>
    </w:p>
    <w:p>
      <w:pPr>
        <w:pStyle w:val="6"/>
        <w:numPr>
          <w:ilvl w:val="0"/>
          <w:numId w:val="4"/>
        </w:numPr>
        <w:tabs>
          <w:tab w:val="left" w:pos="578"/>
        </w:tabs>
        <w:spacing w:before="0" w:after="0" w:line="240" w:lineRule="auto"/>
        <w:ind w:left="578" w:right="0" w:hanging="360"/>
        <w:jc w:val="left"/>
        <w:rPr>
          <w:sz w:val="21"/>
        </w:rPr>
      </w:pPr>
      <w:r>
        <w:rPr>
          <w:spacing w:val="-3"/>
          <w:sz w:val="21"/>
        </w:rPr>
        <w:t>重大疾病住院医疗费用</w:t>
      </w:r>
    </w:p>
    <w:p>
      <w:pPr>
        <w:pStyle w:val="2"/>
        <w:spacing w:before="43" w:line="278" w:lineRule="auto"/>
        <w:ind w:left="218" w:right="752" w:firstLine="419"/>
        <w:rPr>
          <w:rFonts w:ascii="黑体" w:eastAsia="黑体"/>
        </w:rPr>
      </w:pPr>
      <w:r>
        <w:rPr>
          <w:spacing w:val="-2"/>
        </w:rPr>
        <w:t>被保险人等待期后经医院初次确诊为本合同约定的重大疾病且必须住院治疗的，住院期间发生的合理且必要的重大疾病住院医疗费用</w:t>
      </w:r>
      <w:r>
        <w:rPr>
          <w:rFonts w:ascii="黑体" w:eastAsia="黑体"/>
          <w:spacing w:val="-2"/>
        </w:rPr>
        <w:t>。</w:t>
      </w:r>
    </w:p>
    <w:p>
      <w:pPr>
        <w:spacing w:before="0" w:line="278" w:lineRule="auto"/>
        <w:ind w:left="218" w:right="753" w:firstLine="419"/>
        <w:jc w:val="left"/>
        <w:rPr>
          <w:sz w:val="21"/>
        </w:rPr>
      </w:pPr>
      <w:r>
        <w:rPr>
          <w:spacing w:val="-2"/>
          <w:sz w:val="21"/>
        </w:rPr>
        <w:t>到本合同满期日时，被保险人未结束本次住院治疗且未续保的，我们继续承担因本次</w:t>
      </w:r>
      <w:r>
        <w:rPr>
          <w:sz w:val="21"/>
        </w:rPr>
        <w:t>住院发生的、</w:t>
      </w:r>
      <w:r>
        <w:rPr>
          <w:rFonts w:hint="eastAsia" w:ascii="黑体" w:eastAsia="黑体"/>
          <w:b/>
          <w:spacing w:val="-2"/>
          <w:sz w:val="21"/>
        </w:rPr>
        <w:t xml:space="preserve">最高不超过本合同满期日后 </w:t>
      </w:r>
      <w:r>
        <w:rPr>
          <w:rFonts w:hint="eastAsia" w:ascii="黑体" w:eastAsia="黑体"/>
          <w:b/>
          <w:sz w:val="21"/>
        </w:rPr>
        <w:t>180</w:t>
      </w:r>
      <w:r>
        <w:rPr>
          <w:rFonts w:hint="eastAsia" w:ascii="黑体" w:eastAsia="黑体"/>
          <w:b/>
          <w:spacing w:val="-5"/>
          <w:sz w:val="21"/>
        </w:rPr>
        <w:t xml:space="preserve"> 日内的住院医疗费用</w:t>
      </w:r>
      <w:r>
        <w:rPr>
          <w:sz w:val="21"/>
        </w:rPr>
        <w:t>。</w:t>
      </w:r>
    </w:p>
    <w:p>
      <w:pPr>
        <w:pStyle w:val="2"/>
        <w:spacing w:before="4"/>
        <w:rPr>
          <w:sz w:val="24"/>
        </w:rPr>
      </w:pPr>
    </w:p>
    <w:p>
      <w:pPr>
        <w:pStyle w:val="6"/>
        <w:numPr>
          <w:ilvl w:val="0"/>
          <w:numId w:val="4"/>
        </w:numPr>
        <w:tabs>
          <w:tab w:val="left" w:pos="578"/>
        </w:tabs>
        <w:spacing w:before="0" w:after="0" w:line="240" w:lineRule="auto"/>
        <w:ind w:left="578" w:right="0" w:hanging="360"/>
        <w:jc w:val="left"/>
        <w:rPr>
          <w:sz w:val="21"/>
        </w:rPr>
      </w:pPr>
      <w:r>
        <w:rPr>
          <w:spacing w:val="-3"/>
          <w:sz w:val="21"/>
        </w:rPr>
        <w:t>重大疾病特殊门诊医疗费用</w:t>
      </w:r>
    </w:p>
    <w:p>
      <w:pPr>
        <w:pStyle w:val="2"/>
        <w:spacing w:before="43" w:line="278" w:lineRule="auto"/>
        <w:ind w:left="218" w:right="752" w:firstLine="419"/>
      </w:pPr>
      <w:r>
        <w:rPr>
          <w:spacing w:val="-2"/>
        </w:rPr>
        <w:t>被保险人等待期后经医院初次确诊为本合同约定的重大疾病且必须在医院进行如下治疗而发生的合理且必要的医疗费用：</w:t>
      </w:r>
    </w:p>
    <w:p>
      <w:pPr>
        <w:pStyle w:val="6"/>
        <w:numPr>
          <w:ilvl w:val="0"/>
          <w:numId w:val="5"/>
        </w:numPr>
        <w:tabs>
          <w:tab w:val="left" w:pos="638"/>
        </w:tabs>
        <w:spacing w:before="0" w:after="0" w:line="269" w:lineRule="exact"/>
        <w:ind w:left="638" w:right="0" w:hanging="420"/>
        <w:jc w:val="left"/>
        <w:rPr>
          <w:sz w:val="21"/>
        </w:rPr>
      </w:pPr>
      <w:r>
        <w:rPr>
          <w:spacing w:val="-4"/>
          <w:sz w:val="21"/>
        </w:rPr>
        <w:t>门诊肾透析费；</w:t>
      </w:r>
    </w:p>
    <w:p>
      <w:pPr>
        <w:pStyle w:val="6"/>
        <w:numPr>
          <w:ilvl w:val="0"/>
          <w:numId w:val="5"/>
        </w:numPr>
        <w:tabs>
          <w:tab w:val="left" w:pos="638"/>
        </w:tabs>
        <w:spacing w:before="43" w:after="0" w:line="278" w:lineRule="auto"/>
        <w:ind w:left="645" w:right="752" w:hanging="428"/>
        <w:jc w:val="left"/>
        <w:rPr>
          <w:sz w:val="21"/>
        </w:rPr>
      </w:pPr>
      <w:r>
        <w:rPr>
          <w:spacing w:val="-2"/>
          <w:sz w:val="21"/>
        </w:rPr>
        <w:t>门诊恶性肿瘤治疗费，包括化学疗法、放射疗法、肿瘤免疫疗法、肿瘤内分泌疗法、肿瘤靶向疗法治疗费用；</w:t>
      </w:r>
    </w:p>
    <w:p>
      <w:pPr>
        <w:pStyle w:val="6"/>
        <w:numPr>
          <w:ilvl w:val="0"/>
          <w:numId w:val="5"/>
        </w:numPr>
        <w:tabs>
          <w:tab w:val="left" w:pos="638"/>
        </w:tabs>
        <w:spacing w:before="0" w:after="0" w:line="240" w:lineRule="auto"/>
        <w:ind w:left="638" w:right="0" w:hanging="420"/>
        <w:jc w:val="left"/>
        <w:rPr>
          <w:sz w:val="21"/>
        </w:rPr>
      </w:pPr>
      <w:r>
        <w:rPr>
          <w:spacing w:val="-3"/>
          <w:sz w:val="21"/>
        </w:rPr>
        <w:t>器官移植后的门诊抗排异治疗费。</w:t>
      </w:r>
    </w:p>
    <w:p>
      <w:pPr>
        <w:pStyle w:val="2"/>
        <w:spacing w:before="9"/>
        <w:rPr>
          <w:sz w:val="27"/>
        </w:rPr>
      </w:pPr>
    </w:p>
    <w:p>
      <w:pPr>
        <w:pStyle w:val="6"/>
        <w:numPr>
          <w:ilvl w:val="0"/>
          <w:numId w:val="4"/>
        </w:numPr>
        <w:tabs>
          <w:tab w:val="left" w:pos="578"/>
        </w:tabs>
        <w:spacing w:before="0" w:after="0" w:line="240" w:lineRule="auto"/>
        <w:ind w:left="578" w:right="0" w:hanging="360"/>
        <w:jc w:val="left"/>
        <w:rPr>
          <w:sz w:val="21"/>
        </w:rPr>
      </w:pPr>
      <w:r>
        <w:rPr>
          <w:spacing w:val="-3"/>
          <w:sz w:val="21"/>
        </w:rPr>
        <w:t>重大疾病门诊手术医疗费用</w:t>
      </w:r>
    </w:p>
    <w:p>
      <w:pPr>
        <w:pStyle w:val="2"/>
        <w:spacing w:before="43" w:line="278" w:lineRule="auto"/>
        <w:ind w:left="218" w:right="753" w:firstLine="419"/>
      </w:pPr>
      <w:r>
        <w:rPr>
          <w:spacing w:val="-2"/>
        </w:rPr>
        <w:t>被保险人等待期后经医院初次确诊为本合同约定的重大疾病且必须接受门诊手术治疗的，被保险人需个人支付的、合理且必要的门诊手术医疗费用。</w:t>
      </w:r>
    </w:p>
    <w:p>
      <w:pPr>
        <w:pStyle w:val="2"/>
        <w:spacing w:before="4"/>
        <w:rPr>
          <w:sz w:val="24"/>
        </w:rPr>
      </w:pPr>
    </w:p>
    <w:p>
      <w:pPr>
        <w:pStyle w:val="6"/>
        <w:numPr>
          <w:ilvl w:val="0"/>
          <w:numId w:val="4"/>
        </w:numPr>
        <w:tabs>
          <w:tab w:val="left" w:pos="578"/>
        </w:tabs>
        <w:spacing w:before="0" w:after="0" w:line="240" w:lineRule="auto"/>
        <w:ind w:left="578" w:right="0" w:hanging="360"/>
        <w:jc w:val="both"/>
        <w:rPr>
          <w:sz w:val="21"/>
        </w:rPr>
      </w:pPr>
      <w:r>
        <w:rPr>
          <w:spacing w:val="-3"/>
          <w:sz w:val="21"/>
        </w:rPr>
        <w:t>重大疾病住院前后门诊急诊费用</w:t>
      </w:r>
    </w:p>
    <w:p>
      <w:pPr>
        <w:spacing w:before="43" w:line="278" w:lineRule="auto"/>
        <w:ind w:left="218" w:right="749" w:firstLine="419"/>
        <w:jc w:val="both"/>
        <w:rPr>
          <w:rFonts w:hint="eastAsia" w:ascii="黑体" w:eastAsia="黑体"/>
          <w:b/>
          <w:sz w:val="21"/>
        </w:rPr>
      </w:pPr>
      <w:r>
        <w:rPr>
          <w:spacing w:val="-2"/>
          <w:sz w:val="21"/>
        </w:rPr>
        <w:t>被保险人等待期后经医院初次确诊为本合同约定的重大疾病且必须住院治疗的，在住</w:t>
      </w:r>
      <w:r>
        <w:rPr>
          <w:w w:val="95"/>
          <w:sz w:val="21"/>
        </w:rPr>
        <w:t>院前 7 日和出院后 30 日（含住院当日和出院当日）内，因与该次住院相同原因而发生的合</w:t>
      </w:r>
      <w:r>
        <w:rPr>
          <w:spacing w:val="-2"/>
          <w:sz w:val="21"/>
        </w:rPr>
        <w:t>理且必要的门急诊医疗费用，</w:t>
      </w:r>
      <w:r>
        <w:rPr>
          <w:rFonts w:hint="eastAsia" w:ascii="黑体" w:eastAsia="黑体"/>
          <w:b/>
          <w:spacing w:val="-2"/>
          <w:sz w:val="21"/>
        </w:rPr>
        <w:t>此处费用不包含重大疾病医疗保险金责任中约定的重大疾病特殊门诊医疗费用和重大疾病门诊手术医疗费用。</w:t>
      </w:r>
    </w:p>
    <w:p>
      <w:pPr>
        <w:spacing w:after="0" w:line="278" w:lineRule="auto"/>
        <w:jc w:val="both"/>
        <w:rPr>
          <w:rFonts w:hint="eastAsia" w:ascii="黑体" w:eastAsia="黑体"/>
          <w:sz w:val="21"/>
        </w:rPr>
        <w:sectPr>
          <w:pgSz w:w="11910" w:h="16840"/>
          <w:pgMar w:top="1400" w:right="1080" w:bottom="1320" w:left="1580" w:header="0" w:footer="1137" w:gutter="0"/>
          <w:cols w:space="720" w:num="1"/>
        </w:sectPr>
      </w:pPr>
    </w:p>
    <w:p>
      <w:pPr>
        <w:spacing w:before="44" w:line="278" w:lineRule="auto"/>
        <w:ind w:left="218" w:right="749" w:firstLine="422"/>
        <w:jc w:val="both"/>
        <w:rPr>
          <w:rFonts w:hint="eastAsia" w:ascii="黑体" w:eastAsia="黑体"/>
          <w:b/>
          <w:sz w:val="21"/>
        </w:rPr>
      </w:pPr>
      <w:r>
        <w:rPr>
          <w:rFonts w:hint="eastAsia" w:ascii="黑体" w:eastAsia="黑体"/>
          <w:b/>
          <w:spacing w:val="-2"/>
          <w:sz w:val="21"/>
        </w:rPr>
        <w:t>在保险期间内，我们根据本合同约定的保险金计算方法，在重大疾病医疗保险金年度累计给付限额内给付重大疾病医疗保险金。当累计给付的重大疾病医疗保险金达到重大疾病医疗保险金年度累计给付限额时，本项保险责任终止。</w:t>
      </w:r>
    </w:p>
    <w:p>
      <w:pPr>
        <w:pStyle w:val="2"/>
        <w:spacing w:line="269" w:lineRule="exact"/>
        <w:ind w:left="638"/>
      </w:pPr>
      <w:r>
        <w:rPr>
          <w:spacing w:val="-7"/>
        </w:rPr>
        <w:t>本合同定义的重大疾病载明于本合同“重大疾病定义”</w:t>
      </w:r>
      <w:r>
        <w:rPr>
          <w:spacing w:val="-3"/>
        </w:rPr>
        <w:t>（</w:t>
      </w:r>
      <w:r>
        <w:rPr>
          <w:spacing w:val="-2"/>
        </w:rPr>
        <w:t>见六十八条）</w:t>
      </w:r>
      <w:r>
        <w:rPr>
          <w:spacing w:val="-6"/>
        </w:rPr>
        <w:t>中。</w:t>
      </w:r>
    </w:p>
    <w:p>
      <w:pPr>
        <w:pStyle w:val="2"/>
        <w:spacing w:before="9"/>
        <w:rPr>
          <w:sz w:val="27"/>
        </w:rPr>
      </w:pPr>
    </w:p>
    <w:p>
      <w:pPr>
        <w:pStyle w:val="2"/>
        <w:spacing w:before="1"/>
        <w:ind w:left="218"/>
      </w:pPr>
      <w:r>
        <w:rPr>
          <w:spacing w:val="-2"/>
        </w:rPr>
        <w:t>四、质子重离子医疗保险金</w:t>
      </w:r>
    </w:p>
    <w:p>
      <w:pPr>
        <w:pStyle w:val="2"/>
        <w:spacing w:before="42" w:line="278" w:lineRule="auto"/>
        <w:ind w:left="218" w:right="752" w:firstLine="419"/>
        <w:jc w:val="both"/>
      </w:pPr>
      <w:r>
        <w:rPr>
          <w:spacing w:val="-2"/>
        </w:rPr>
        <w:t>在保险期间内，被保险人等待期后经医院初次确诊（在该保险期间内初次确诊且在续保期间内再次在医院接受治疗的，我们仍按照本合同的约定承担保险责任）为本合同约定</w:t>
      </w:r>
      <w:r>
        <w:t>的“</w:t>
      </w:r>
      <w:r>
        <w:rPr>
          <w:b/>
          <w:spacing w:val="-22"/>
        </w:rPr>
        <w:t>恶性肿瘤”</w:t>
      </w:r>
      <w:r>
        <w:rPr>
          <w:spacing w:val="-3"/>
        </w:rPr>
        <w:t>（</w:t>
      </w:r>
      <w:r>
        <w:t>见六十八条</w:t>
      </w:r>
      <w:r>
        <w:rPr>
          <w:spacing w:val="-27"/>
        </w:rPr>
        <w:t xml:space="preserve"> </w:t>
      </w:r>
      <w:r>
        <w:t>1</w:t>
      </w:r>
      <w:r>
        <w:rPr>
          <w:spacing w:val="-13"/>
        </w:rPr>
        <w:t xml:space="preserve"> 点</w:t>
      </w:r>
      <w:r>
        <w:rPr>
          <w:spacing w:val="-108"/>
        </w:rPr>
        <w:t>）</w:t>
      </w:r>
      <w:r>
        <w:t>，并在我们</w:t>
      </w:r>
      <w:r>
        <w:rPr>
          <w:b/>
        </w:rPr>
        <w:t>指定的医疗机构</w:t>
      </w:r>
      <w:r>
        <w:t>（见四十二条）接受</w:t>
      </w:r>
      <w:r>
        <w:rPr>
          <w:b/>
          <w:spacing w:val="-2"/>
        </w:rPr>
        <w:t>质子重离子放射治疗</w:t>
      </w:r>
      <w:r>
        <w:rPr>
          <w:spacing w:val="-2"/>
        </w:rPr>
        <w:t>（见四十三条）的，治疗期间所发生的合理且必要的质子重离子医</w:t>
      </w:r>
      <w:r>
        <w:rPr>
          <w:spacing w:val="-4"/>
        </w:rPr>
        <w:t>疗费用。</w:t>
      </w:r>
    </w:p>
    <w:p>
      <w:pPr>
        <w:spacing w:before="0" w:line="278" w:lineRule="auto"/>
        <w:ind w:left="218" w:right="749" w:firstLine="422"/>
        <w:jc w:val="both"/>
        <w:rPr>
          <w:rFonts w:hint="eastAsia" w:ascii="黑体" w:eastAsia="黑体"/>
          <w:b/>
          <w:sz w:val="21"/>
        </w:rPr>
      </w:pPr>
      <w:r>
        <w:rPr>
          <w:rFonts w:hint="eastAsia" w:ascii="黑体" w:eastAsia="黑体"/>
          <w:b/>
          <w:spacing w:val="-2"/>
          <w:sz w:val="21"/>
        </w:rPr>
        <w:t>在保险期间内，我们根据本合同约定的保险金计算方法，在质子重离子医疗保险金年度累计给付限额内给付质子重离子医疗保险金。当累计给付的质子重离子医疗保险金达到质子重离子医疗保险金年度累计给付限额时，本项保险责任终止。</w:t>
      </w:r>
    </w:p>
    <w:p>
      <w:pPr>
        <w:pStyle w:val="2"/>
        <w:spacing w:before="4"/>
        <w:rPr>
          <w:rFonts w:ascii="黑体"/>
          <w:b/>
          <w:sz w:val="24"/>
        </w:rPr>
      </w:pPr>
    </w:p>
    <w:p>
      <w:pPr>
        <w:pStyle w:val="2"/>
        <w:spacing w:before="1"/>
        <w:ind w:left="218"/>
      </w:pPr>
      <w:r>
        <w:rPr>
          <w:spacing w:val="-2"/>
        </w:rPr>
        <w:t>五、重大疾病住院津贴保险金</w:t>
      </w:r>
    </w:p>
    <w:p>
      <w:pPr>
        <w:pStyle w:val="2"/>
        <w:spacing w:before="43" w:line="278" w:lineRule="auto"/>
        <w:ind w:left="218" w:right="749" w:firstLine="419"/>
        <w:jc w:val="both"/>
      </w:pPr>
      <w:r>
        <w:rPr>
          <w:spacing w:val="-2"/>
        </w:rPr>
        <w:t>在保险期间内，被保险人在等待期后经医院初次确诊为本合同约定的重大疾病且必须住院治疗的，自该重大疾病确诊之日起，</w:t>
      </w:r>
      <w:r>
        <w:rPr>
          <w:b/>
          <w:spacing w:val="-2"/>
        </w:rPr>
        <w:t>每次住院</w:t>
      </w:r>
      <w:r>
        <w:rPr>
          <w:spacing w:val="-2"/>
        </w:rPr>
        <w:t>（见四十四条）我们按重大疾病住院津贴日额乘以住院日数给付重大疾病住院津贴保险金。</w:t>
      </w:r>
    </w:p>
    <w:p>
      <w:pPr>
        <w:spacing w:before="0" w:line="269" w:lineRule="exact"/>
        <w:ind w:left="640" w:right="0" w:firstLine="0"/>
        <w:jc w:val="left"/>
        <w:rPr>
          <w:rFonts w:hint="eastAsia" w:ascii="黑体" w:eastAsia="黑体"/>
          <w:b/>
          <w:sz w:val="21"/>
        </w:rPr>
      </w:pPr>
      <w:r>
        <w:rPr>
          <w:rFonts w:hint="eastAsia" w:ascii="黑体" w:eastAsia="黑体"/>
          <w:b/>
          <w:spacing w:val="-3"/>
          <w:sz w:val="21"/>
        </w:rPr>
        <w:t>在保险期间内，我们对被保险人累计给付的住院日数以一百八十日为限。</w:t>
      </w:r>
    </w:p>
    <w:p>
      <w:pPr>
        <w:pStyle w:val="2"/>
        <w:spacing w:before="9"/>
        <w:rPr>
          <w:rFonts w:ascii="黑体"/>
          <w:b/>
          <w:sz w:val="27"/>
        </w:rPr>
      </w:pPr>
    </w:p>
    <w:p>
      <w:pPr>
        <w:spacing w:before="0" w:line="278" w:lineRule="auto"/>
        <w:ind w:left="218" w:right="754" w:firstLine="422"/>
        <w:jc w:val="left"/>
        <w:rPr>
          <w:rFonts w:hint="eastAsia" w:ascii="黑体" w:eastAsia="黑体"/>
          <w:b/>
          <w:sz w:val="21"/>
        </w:rPr>
      </w:pPr>
      <w:r>
        <w:rPr>
          <w:rFonts w:hint="eastAsia" w:ascii="黑体" w:eastAsia="黑体"/>
          <w:b/>
          <w:spacing w:val="-2"/>
          <w:sz w:val="21"/>
        </w:rPr>
        <w:t>在保险期间内，一般医疗保险金、重大疾病医疗保险金、质子重离子医疗保险金和重大疾病住院津贴保险金四项责任累计给付金额以本合同载明的总年度累计给付限额为限。</w:t>
      </w:r>
    </w:p>
    <w:p>
      <w:pPr>
        <w:pStyle w:val="2"/>
        <w:spacing w:before="4"/>
        <w:rPr>
          <w:rFonts w:ascii="黑体"/>
          <w:b/>
          <w:sz w:val="24"/>
        </w:rPr>
      </w:pPr>
    </w:p>
    <w:p>
      <w:pPr>
        <w:pStyle w:val="2"/>
        <w:ind w:left="218"/>
      </w:pPr>
      <w:r>
        <w:rPr>
          <w:spacing w:val="-1"/>
        </w:rPr>
        <w:t>六、重大疾病豁免保险费</w:t>
      </w:r>
    </w:p>
    <w:p>
      <w:pPr>
        <w:spacing w:before="43" w:line="278" w:lineRule="auto"/>
        <w:ind w:left="218" w:right="749" w:firstLine="419"/>
        <w:jc w:val="both"/>
        <w:rPr>
          <w:rFonts w:hint="eastAsia" w:ascii="黑体" w:eastAsia="黑体"/>
          <w:b/>
          <w:sz w:val="21"/>
        </w:rPr>
      </w:pPr>
      <w:r>
        <w:rPr>
          <w:spacing w:val="-2"/>
          <w:sz w:val="21"/>
        </w:rPr>
        <w:t>在保险期间内，被保险人在等待期后经医院初次确诊为本合同约定的一种或多种重大疾病，</w:t>
      </w:r>
      <w:r>
        <w:rPr>
          <w:rFonts w:hint="eastAsia" w:ascii="黑体" w:eastAsia="黑体"/>
          <w:b/>
          <w:spacing w:val="-2"/>
          <w:sz w:val="21"/>
        </w:rPr>
        <w:t>如在该保证续保期间内，您继续投保的，我们免收该保证续保期间内剩余各期的保险费。在该保证续保期间内，我们不再承担豁免保险费的责任，本项保险责任终止。</w:t>
      </w:r>
    </w:p>
    <w:p>
      <w:pPr>
        <w:pStyle w:val="2"/>
        <w:spacing w:before="4"/>
        <w:rPr>
          <w:rFonts w:ascii="黑体"/>
          <w:b/>
          <w:sz w:val="24"/>
        </w:rPr>
      </w:pPr>
    </w:p>
    <w:p>
      <w:pPr>
        <w:pStyle w:val="2"/>
        <w:ind w:left="218"/>
      </w:pPr>
      <w:r>
        <w:rPr>
          <w:spacing w:val="-2"/>
        </w:rPr>
        <w:t>七、重大疾病绿色通道服务</w:t>
      </w:r>
    </w:p>
    <w:p>
      <w:pPr>
        <w:spacing w:before="43" w:line="278" w:lineRule="auto"/>
        <w:ind w:left="218" w:right="754" w:firstLine="419"/>
        <w:jc w:val="left"/>
        <w:rPr>
          <w:rFonts w:hint="eastAsia" w:ascii="黑体" w:eastAsia="黑体"/>
          <w:b/>
          <w:sz w:val="21"/>
        </w:rPr>
      </w:pPr>
      <w:r>
        <w:rPr>
          <w:spacing w:val="-2"/>
          <w:sz w:val="21"/>
        </w:rPr>
        <w:t>本产品包含重大疾病绿色通道服务（含质子重离子就医协助</w:t>
      </w:r>
      <w:r>
        <w:rPr>
          <w:spacing w:val="-65"/>
          <w:sz w:val="21"/>
        </w:rPr>
        <w:t>），</w:t>
      </w:r>
      <w:r>
        <w:rPr>
          <w:rFonts w:hint="eastAsia" w:ascii="黑体" w:eastAsia="黑体"/>
          <w:b/>
          <w:spacing w:val="-2"/>
          <w:sz w:val="21"/>
        </w:rPr>
        <w:t>具体内容及规则详见本合同附属的服务手册。</w:t>
      </w:r>
    </w:p>
    <w:p>
      <w:pPr>
        <w:pStyle w:val="2"/>
        <w:spacing w:before="5"/>
        <w:rPr>
          <w:rFonts w:ascii="黑体"/>
          <w:b/>
          <w:sz w:val="24"/>
        </w:rPr>
      </w:pPr>
    </w:p>
    <w:p>
      <w:pPr>
        <w:pStyle w:val="2"/>
        <w:ind w:left="218"/>
      </w:pPr>
      <w:r>
        <w:rPr>
          <w:spacing w:val="-2"/>
        </w:rPr>
        <w:t>八、恶性肿瘤多学科会诊服务</w:t>
      </w:r>
    </w:p>
    <w:p>
      <w:pPr>
        <w:spacing w:before="43" w:line="278" w:lineRule="auto"/>
        <w:ind w:left="218" w:right="754" w:firstLine="419"/>
        <w:jc w:val="left"/>
        <w:rPr>
          <w:rFonts w:hint="eastAsia" w:ascii="黑体" w:eastAsia="黑体"/>
          <w:b/>
          <w:sz w:val="21"/>
        </w:rPr>
      </w:pPr>
      <w:r>
        <w:rPr>
          <w:spacing w:val="-2"/>
          <w:sz w:val="21"/>
        </w:rPr>
        <w:t>本产品包含恶性肿瘤多学科会诊（MDT）服务，</w:t>
      </w:r>
      <w:r>
        <w:rPr>
          <w:rFonts w:hint="eastAsia" w:ascii="黑体" w:eastAsia="黑体"/>
          <w:b/>
          <w:spacing w:val="-2"/>
          <w:sz w:val="21"/>
        </w:rPr>
        <w:t>具体内容及规则详见本合同附属的服务</w:t>
      </w:r>
      <w:r>
        <w:rPr>
          <w:rFonts w:hint="eastAsia" w:ascii="黑体" w:eastAsia="黑体"/>
          <w:b/>
          <w:spacing w:val="-4"/>
          <w:sz w:val="21"/>
        </w:rPr>
        <w:t>手册。</w:t>
      </w:r>
    </w:p>
    <w:p>
      <w:pPr>
        <w:pStyle w:val="2"/>
        <w:spacing w:before="4"/>
        <w:rPr>
          <w:rFonts w:ascii="黑体"/>
          <w:b/>
          <w:sz w:val="24"/>
        </w:rPr>
      </w:pPr>
    </w:p>
    <w:p>
      <w:pPr>
        <w:pStyle w:val="2"/>
        <w:ind w:left="218"/>
      </w:pPr>
      <w:r>
        <w:rPr>
          <w:spacing w:val="-2"/>
        </w:rPr>
        <w:t>九、住院垫付服务</w:t>
      </w:r>
    </w:p>
    <w:p>
      <w:pPr>
        <w:spacing w:before="43"/>
        <w:ind w:left="638" w:right="0" w:firstLine="0"/>
        <w:jc w:val="left"/>
        <w:rPr>
          <w:rFonts w:hint="eastAsia" w:ascii="黑体" w:eastAsia="黑体"/>
          <w:b/>
          <w:sz w:val="21"/>
        </w:rPr>
      </w:pPr>
      <w:r>
        <w:rPr>
          <w:spacing w:val="-2"/>
          <w:sz w:val="21"/>
        </w:rPr>
        <w:t>本产品包含住院垫付服务，</w:t>
      </w:r>
      <w:r>
        <w:rPr>
          <w:rFonts w:hint="eastAsia" w:ascii="黑体" w:eastAsia="黑体"/>
          <w:b/>
          <w:spacing w:val="-3"/>
          <w:sz w:val="21"/>
        </w:rPr>
        <w:t>具体内容及规则详见本合同附属的服务手册。</w:t>
      </w:r>
    </w:p>
    <w:p>
      <w:pPr>
        <w:pStyle w:val="2"/>
        <w:spacing w:before="9"/>
        <w:rPr>
          <w:rFonts w:ascii="黑体"/>
          <w:b/>
          <w:sz w:val="27"/>
        </w:rPr>
      </w:pPr>
    </w:p>
    <w:p>
      <w:pPr>
        <w:pStyle w:val="2"/>
        <w:ind w:left="218"/>
      </w:pPr>
      <w:r>
        <w:rPr>
          <w:spacing w:val="-2"/>
        </w:rPr>
        <w:t>十、恶性肿瘤特药及罕见病药品服务</w:t>
      </w:r>
    </w:p>
    <w:p>
      <w:pPr>
        <w:spacing w:before="43" w:line="278" w:lineRule="auto"/>
        <w:ind w:left="218" w:right="752" w:firstLine="419"/>
        <w:jc w:val="left"/>
        <w:rPr>
          <w:rFonts w:hint="eastAsia" w:ascii="黑体" w:eastAsia="黑体"/>
          <w:b/>
          <w:sz w:val="21"/>
        </w:rPr>
      </w:pPr>
      <w:r>
        <w:rPr>
          <w:spacing w:val="-2"/>
          <w:sz w:val="21"/>
        </w:rPr>
        <w:t>本产品包含恶性肿瘤特药及</w:t>
      </w:r>
      <w:r>
        <w:rPr>
          <w:b/>
          <w:spacing w:val="-2"/>
          <w:sz w:val="21"/>
        </w:rPr>
        <w:t>罕见病</w:t>
      </w:r>
      <w:r>
        <w:rPr>
          <w:spacing w:val="-2"/>
          <w:sz w:val="21"/>
        </w:rPr>
        <w:t>(见四十五条)药品服务，</w:t>
      </w:r>
      <w:r>
        <w:rPr>
          <w:rFonts w:hint="eastAsia" w:ascii="黑体" w:eastAsia="黑体"/>
          <w:b/>
          <w:spacing w:val="-2"/>
          <w:sz w:val="21"/>
        </w:rPr>
        <w:t>具体内容及规则详见本合同附属的服务手册。</w:t>
      </w:r>
    </w:p>
    <w:p>
      <w:pPr>
        <w:spacing w:after="0" w:line="278" w:lineRule="auto"/>
        <w:jc w:val="left"/>
        <w:rPr>
          <w:rFonts w:hint="eastAsia" w:ascii="黑体" w:eastAsia="黑体"/>
          <w:sz w:val="21"/>
        </w:rPr>
        <w:sectPr>
          <w:pgSz w:w="11910" w:h="16840"/>
          <w:pgMar w:top="1400" w:right="1080" w:bottom="1320" w:left="1580" w:header="0" w:footer="1137" w:gutter="0"/>
          <w:cols w:space="720" w:num="1"/>
        </w:sectPr>
      </w:pPr>
    </w:p>
    <w:p>
      <w:pPr>
        <w:pStyle w:val="2"/>
        <w:tabs>
          <w:tab w:val="left" w:pos="1477"/>
        </w:tabs>
        <w:spacing w:before="44"/>
        <w:ind w:left="218"/>
      </w:pPr>
      <w:r>
        <w:t>四</w:t>
      </w:r>
      <w:r>
        <w:rPr>
          <w:spacing w:val="-10"/>
        </w:rPr>
        <w:t>条</w:t>
      </w:r>
      <w:r>
        <w:tab/>
      </w:r>
      <w:r>
        <w:rPr>
          <w:spacing w:val="-2"/>
        </w:rPr>
        <w:t>保险金计算方</w:t>
      </w:r>
      <w:r>
        <w:rPr>
          <w:spacing w:val="-10"/>
        </w:rPr>
        <w:t>法</w:t>
      </w:r>
    </w:p>
    <w:p>
      <w:pPr>
        <w:pStyle w:val="2"/>
        <w:spacing w:before="43" w:line="278" w:lineRule="auto"/>
        <w:ind w:left="218" w:right="752" w:firstLine="419"/>
      </w:pPr>
      <w:r>
        <w:rPr>
          <w:spacing w:val="-2"/>
        </w:rPr>
        <w:t>在本合同有效期内，被保险人发生上述二至四点的、合理且必要的医疗费用，即保险责任范围内的医疗费用，按照如下公式计算每次就诊应当给付的保险金：</w:t>
      </w:r>
    </w:p>
    <w:p>
      <w:pPr>
        <w:spacing w:before="0" w:line="278" w:lineRule="auto"/>
        <w:ind w:left="218" w:right="756" w:firstLine="422"/>
        <w:jc w:val="left"/>
        <w:rPr>
          <w:rFonts w:hint="eastAsia" w:ascii="黑体" w:eastAsia="黑体"/>
          <w:b/>
          <w:sz w:val="21"/>
        </w:rPr>
      </w:pPr>
      <w:r>
        <w:rPr>
          <w:rFonts w:hint="eastAsia" w:ascii="黑体" w:eastAsia="黑体"/>
          <w:b/>
          <w:spacing w:val="-2"/>
          <w:sz w:val="21"/>
        </w:rPr>
        <w:t>一次就诊应当给付的保险金额=（被保险人发生的医疗费用的有效金额-免赔额余额）*</w:t>
      </w:r>
      <w:r>
        <w:rPr>
          <w:rFonts w:hint="eastAsia" w:ascii="黑体" w:eastAsia="黑体"/>
          <w:b/>
          <w:spacing w:val="-4"/>
          <w:sz w:val="21"/>
        </w:rPr>
        <w:t>赔付比例</w:t>
      </w:r>
    </w:p>
    <w:p>
      <w:pPr>
        <w:pStyle w:val="2"/>
        <w:spacing w:line="269" w:lineRule="exact"/>
        <w:ind w:left="638"/>
      </w:pPr>
      <w:r>
        <w:rPr>
          <w:spacing w:val="-4"/>
        </w:rPr>
        <w:t>说明：</w:t>
      </w:r>
    </w:p>
    <w:p>
      <w:pPr>
        <w:pStyle w:val="6"/>
        <w:numPr>
          <w:ilvl w:val="0"/>
          <w:numId w:val="6"/>
        </w:numPr>
        <w:tabs>
          <w:tab w:val="left" w:pos="578"/>
        </w:tabs>
        <w:spacing w:before="43" w:after="0" w:line="240" w:lineRule="auto"/>
        <w:ind w:left="578" w:right="0" w:hanging="360"/>
        <w:jc w:val="left"/>
        <w:rPr>
          <w:sz w:val="21"/>
        </w:rPr>
      </w:pPr>
      <w:r>
        <w:rPr>
          <w:spacing w:val="-2"/>
          <w:sz w:val="21"/>
        </w:rPr>
        <w:t>一次就诊指一次住院，或一次门诊（包括指定门诊或住院前后的门急诊</w:t>
      </w:r>
      <w:r>
        <w:rPr>
          <w:spacing w:val="-106"/>
          <w:sz w:val="21"/>
        </w:rPr>
        <w:t>）</w:t>
      </w:r>
      <w:r>
        <w:rPr>
          <w:spacing w:val="-10"/>
          <w:sz w:val="21"/>
        </w:rPr>
        <w:t>。</w:t>
      </w:r>
    </w:p>
    <w:p>
      <w:pPr>
        <w:pStyle w:val="2"/>
        <w:spacing w:before="43" w:line="278" w:lineRule="auto"/>
        <w:ind w:left="645" w:right="753"/>
        <w:jc w:val="both"/>
      </w:pPr>
      <w:r>
        <w:rPr>
          <w:spacing w:val="-2"/>
        </w:rPr>
        <w:t>一次住院指被保险人因疾病或意外伤害住院治疗，自入院日起至出院日止之期间；但</w:t>
      </w:r>
      <w:r>
        <w:rPr>
          <w:spacing w:val="-5"/>
        </w:rPr>
        <w:t xml:space="preserve">如果因同一疾病或意外伤害再次住院，且前次出院与下次住院间隔未超过 </w:t>
      </w:r>
      <w:r>
        <w:rPr>
          <w:spacing w:val="-4"/>
        </w:rPr>
        <w:t>30</w:t>
      </w:r>
      <w:r>
        <w:rPr>
          <w:spacing w:val="-7"/>
        </w:rPr>
        <w:t xml:space="preserve"> 日，视为</w:t>
      </w:r>
      <w:r>
        <w:rPr>
          <w:spacing w:val="-2"/>
        </w:rPr>
        <w:t>同一次住院。</w:t>
      </w:r>
    </w:p>
    <w:p>
      <w:pPr>
        <w:pStyle w:val="2"/>
        <w:spacing w:line="269" w:lineRule="exact"/>
        <w:ind w:left="645"/>
      </w:pPr>
      <w:r>
        <w:rPr>
          <w:spacing w:val="-4"/>
        </w:rPr>
        <w:t>一次门诊指被保险人在一日（零时起至二十四时止）</w:t>
      </w:r>
      <w:r>
        <w:rPr>
          <w:spacing w:val="-5"/>
        </w:rPr>
        <w:t>在同一所医院同一个科室的就诊。</w:t>
      </w:r>
    </w:p>
    <w:p>
      <w:pPr>
        <w:pStyle w:val="6"/>
        <w:numPr>
          <w:ilvl w:val="0"/>
          <w:numId w:val="6"/>
        </w:numPr>
        <w:tabs>
          <w:tab w:val="left" w:pos="578"/>
        </w:tabs>
        <w:spacing w:before="44" w:after="0" w:line="278" w:lineRule="auto"/>
        <w:ind w:left="578" w:right="752" w:hanging="360"/>
        <w:jc w:val="left"/>
        <w:rPr>
          <w:sz w:val="21"/>
        </w:rPr>
      </w:pPr>
      <w:r>
        <w:rPr>
          <w:spacing w:val="-2"/>
          <w:sz w:val="21"/>
        </w:rPr>
        <w:t>被保险人发生的医疗费用的有效金额=被保险人每次就诊发生的合理且必要的属于保险责任范围内的医疗费用-被保险人从</w:t>
      </w:r>
      <w:r>
        <w:rPr>
          <w:b/>
          <w:spacing w:val="-2"/>
          <w:sz w:val="21"/>
        </w:rPr>
        <w:t>其他途径</w:t>
      </w:r>
      <w:r>
        <w:rPr>
          <w:spacing w:val="-2"/>
          <w:sz w:val="21"/>
        </w:rPr>
        <w:t>（见五条）取得的费用补偿。</w:t>
      </w:r>
    </w:p>
    <w:p>
      <w:pPr>
        <w:pStyle w:val="2"/>
        <w:spacing w:line="278" w:lineRule="auto"/>
        <w:ind w:left="645" w:right="754"/>
      </w:pPr>
      <w:r>
        <w:rPr>
          <w:spacing w:val="-2"/>
        </w:rPr>
        <w:t>被保险人多次就诊累计发生的医疗费用的有效金额等于单次就诊被保险人发生的医疗费用的有效金额相加。</w:t>
      </w:r>
    </w:p>
    <w:p>
      <w:pPr>
        <w:pStyle w:val="6"/>
        <w:numPr>
          <w:ilvl w:val="0"/>
          <w:numId w:val="6"/>
        </w:numPr>
        <w:tabs>
          <w:tab w:val="left" w:pos="578"/>
        </w:tabs>
        <w:spacing w:before="0" w:after="0" w:line="278" w:lineRule="auto"/>
        <w:ind w:left="578" w:right="682" w:hanging="360"/>
        <w:jc w:val="left"/>
        <w:rPr>
          <w:sz w:val="21"/>
        </w:rPr>
      </w:pPr>
      <w:r>
        <w:rPr>
          <w:spacing w:val="-2"/>
          <w:sz w:val="21"/>
        </w:rPr>
        <w:t>若被保险人在等待期后经医院初次确诊本合同约定的重大疾病、罕见病或</w:t>
      </w:r>
      <w:r>
        <w:rPr>
          <w:b/>
          <w:spacing w:val="-2"/>
          <w:sz w:val="21"/>
        </w:rPr>
        <w:t>肺结节</w:t>
      </w:r>
      <w:r>
        <w:rPr>
          <w:spacing w:val="-2"/>
          <w:sz w:val="21"/>
        </w:rPr>
        <w:t>（见四十六条</w:t>
      </w:r>
      <w:r>
        <w:rPr>
          <w:spacing w:val="-108"/>
          <w:sz w:val="21"/>
        </w:rPr>
        <w:t>）</w:t>
      </w:r>
      <w:r>
        <w:rPr>
          <w:sz w:val="21"/>
        </w:rPr>
        <w:t>（</w:t>
      </w:r>
      <w:r>
        <w:rPr>
          <w:spacing w:val="-2"/>
          <w:sz w:val="21"/>
        </w:rPr>
        <w:t>或在投保前已发生经我们审核同意承保的肺结节</w:t>
      </w:r>
      <w:r>
        <w:rPr>
          <w:spacing w:val="-108"/>
          <w:sz w:val="21"/>
        </w:rPr>
        <w:t>）</w:t>
      </w:r>
      <w:r>
        <w:rPr>
          <w:spacing w:val="-2"/>
          <w:sz w:val="21"/>
        </w:rPr>
        <w:t>，并在医院接受治疗的，对于自确诊之日起，因治疗该疾病所发生的符合本合同约定的全部医疗费用，我们在给付保险金时，不再扣除免赔额。</w:t>
      </w:r>
    </w:p>
    <w:p>
      <w:pPr>
        <w:pStyle w:val="6"/>
        <w:numPr>
          <w:ilvl w:val="0"/>
          <w:numId w:val="6"/>
        </w:numPr>
        <w:tabs>
          <w:tab w:val="left" w:pos="578"/>
        </w:tabs>
        <w:spacing w:before="0" w:after="0" w:line="278" w:lineRule="auto"/>
        <w:ind w:left="578" w:right="754" w:hanging="360"/>
        <w:jc w:val="both"/>
        <w:rPr>
          <w:b/>
          <w:sz w:val="21"/>
        </w:rPr>
      </w:pPr>
      <w:r>
        <w:rPr>
          <w:rFonts w:hint="eastAsia" w:ascii="黑体" w:hAnsi="黑体" w:eastAsia="黑体"/>
          <w:b/>
          <w:spacing w:val="-9"/>
          <w:w w:val="100"/>
          <w:sz w:val="21"/>
        </w:rPr>
        <w:t>免赔额余额是指前次理赔经“保险责任范围内的医疗费用”抵扣剩余的免赔额。举例来</w:t>
      </w:r>
      <w:r>
        <w:rPr>
          <w:rFonts w:hint="eastAsia" w:ascii="黑体" w:hAnsi="黑体" w:eastAsia="黑体"/>
          <w:b/>
          <w:w w:val="100"/>
          <w:sz w:val="21"/>
        </w:rPr>
        <w:t>说，假设免赔额为</w:t>
      </w:r>
      <w:r>
        <w:rPr>
          <w:rFonts w:hint="eastAsia" w:ascii="黑体" w:hAnsi="黑体" w:eastAsia="黑体"/>
          <w:b/>
          <w:spacing w:val="-53"/>
          <w:sz w:val="21"/>
        </w:rPr>
        <w:t xml:space="preserve"> </w:t>
      </w:r>
      <w:r>
        <w:rPr>
          <w:rFonts w:hint="eastAsia" w:ascii="黑体" w:hAnsi="黑体" w:eastAsia="黑体"/>
          <w:b/>
          <w:w w:val="99"/>
          <w:sz w:val="21"/>
        </w:rPr>
        <w:t>1000</w:t>
      </w:r>
      <w:r>
        <w:rPr>
          <w:rFonts w:hint="eastAsia" w:ascii="黑体" w:hAnsi="黑体" w:eastAsia="黑体"/>
          <w:b/>
          <w:spacing w:val="-3"/>
          <w:w w:val="99"/>
          <w:sz w:val="21"/>
        </w:rPr>
        <w:t>0</w:t>
      </w:r>
      <w:r>
        <w:rPr>
          <w:rFonts w:hint="eastAsia" w:ascii="黑体" w:hAnsi="黑体" w:eastAsia="黑体"/>
          <w:b/>
          <w:spacing w:val="-2"/>
          <w:w w:val="100"/>
          <w:sz w:val="21"/>
        </w:rPr>
        <w:t>，如未就诊过，则免赔额余额为</w:t>
      </w:r>
      <w:r>
        <w:rPr>
          <w:rFonts w:hint="eastAsia" w:ascii="黑体" w:hAnsi="黑体" w:eastAsia="黑体"/>
          <w:b/>
          <w:spacing w:val="-54"/>
          <w:sz w:val="21"/>
        </w:rPr>
        <w:t xml:space="preserve"> </w:t>
      </w:r>
      <w:r>
        <w:rPr>
          <w:rFonts w:hint="eastAsia" w:ascii="黑体" w:hAnsi="黑体" w:eastAsia="黑体"/>
          <w:b/>
          <w:w w:val="99"/>
          <w:sz w:val="21"/>
        </w:rPr>
        <w:t>10000</w:t>
      </w:r>
      <w:r>
        <w:rPr>
          <w:rFonts w:hint="eastAsia" w:ascii="黑体" w:hAnsi="黑体" w:eastAsia="黑体"/>
          <w:b/>
          <w:spacing w:val="-3"/>
          <w:w w:val="100"/>
          <w:sz w:val="21"/>
        </w:rPr>
        <w:t>；如第一次就诊累计的</w:t>
      </w:r>
      <w:r>
        <w:rPr>
          <w:rFonts w:hint="eastAsia" w:ascii="黑体" w:hAnsi="黑体" w:eastAsia="黑体"/>
          <w:b/>
          <w:w w:val="100"/>
          <w:sz w:val="21"/>
        </w:rPr>
        <w:t xml:space="preserve"> </w:t>
      </w:r>
      <w:r>
        <w:rPr>
          <w:rFonts w:hint="eastAsia" w:ascii="黑体" w:hAnsi="黑体" w:eastAsia="黑体"/>
          <w:b/>
          <w:spacing w:val="-2"/>
          <w:w w:val="100"/>
          <w:sz w:val="21"/>
        </w:rPr>
        <w:t>“保险责任范围内医疗费用”为</w:t>
      </w:r>
      <w:r>
        <w:rPr>
          <w:rFonts w:hint="eastAsia" w:ascii="黑体" w:hAnsi="黑体" w:eastAsia="黑体"/>
          <w:b/>
          <w:spacing w:val="-53"/>
          <w:sz w:val="21"/>
        </w:rPr>
        <w:t xml:space="preserve"> </w:t>
      </w:r>
      <w:r>
        <w:rPr>
          <w:rFonts w:hint="eastAsia" w:ascii="黑体" w:hAnsi="黑体" w:eastAsia="黑体"/>
          <w:b/>
          <w:w w:val="99"/>
          <w:sz w:val="21"/>
        </w:rPr>
        <w:t>8000</w:t>
      </w:r>
      <w:r>
        <w:rPr>
          <w:rFonts w:hint="eastAsia" w:ascii="黑体" w:hAnsi="黑体" w:eastAsia="黑体"/>
          <w:b/>
          <w:spacing w:val="-2"/>
          <w:w w:val="100"/>
          <w:sz w:val="21"/>
        </w:rPr>
        <w:t>，则针对本次就诊理赔后免赔额余额为</w:t>
      </w:r>
      <w:r>
        <w:rPr>
          <w:rFonts w:hint="eastAsia" w:ascii="黑体" w:hAnsi="黑体" w:eastAsia="黑体"/>
          <w:b/>
          <w:spacing w:val="-55"/>
          <w:sz w:val="21"/>
        </w:rPr>
        <w:t xml:space="preserve"> </w:t>
      </w:r>
      <w:r>
        <w:rPr>
          <w:rFonts w:hint="eastAsia" w:ascii="黑体" w:hAnsi="黑体" w:eastAsia="黑体"/>
          <w:b/>
          <w:w w:val="99"/>
          <w:sz w:val="21"/>
        </w:rPr>
        <w:t>2000</w:t>
      </w:r>
      <w:r>
        <w:rPr>
          <w:rFonts w:hint="eastAsia" w:ascii="黑体" w:hAnsi="黑体" w:eastAsia="黑体"/>
          <w:b/>
          <w:spacing w:val="-6"/>
          <w:w w:val="100"/>
          <w:sz w:val="21"/>
        </w:rPr>
        <w:t>，本</w:t>
      </w:r>
      <w:r>
        <w:rPr>
          <w:rFonts w:hint="eastAsia" w:ascii="黑体" w:hAnsi="黑体" w:eastAsia="黑体"/>
          <w:b/>
          <w:w w:val="100"/>
          <w:sz w:val="21"/>
        </w:rPr>
        <w:t>次赔付为</w:t>
      </w:r>
      <w:r>
        <w:rPr>
          <w:rFonts w:hint="eastAsia" w:ascii="黑体" w:hAnsi="黑体" w:eastAsia="黑体"/>
          <w:b/>
          <w:spacing w:val="-54"/>
          <w:sz w:val="21"/>
        </w:rPr>
        <w:t xml:space="preserve"> </w:t>
      </w:r>
      <w:r>
        <w:rPr>
          <w:rFonts w:hint="eastAsia" w:ascii="黑体" w:hAnsi="黑体" w:eastAsia="黑体"/>
          <w:b/>
          <w:w w:val="99"/>
          <w:sz w:val="21"/>
        </w:rPr>
        <w:t>0</w:t>
      </w:r>
      <w:r>
        <w:rPr>
          <w:rFonts w:hint="eastAsia" w:ascii="黑体" w:hAnsi="黑体" w:eastAsia="黑体"/>
          <w:b/>
          <w:spacing w:val="-10"/>
          <w:w w:val="100"/>
          <w:sz w:val="21"/>
        </w:rPr>
        <w:t>；如第二次就诊累计的“保险责任范围内医疗费用”为</w:t>
      </w:r>
      <w:r>
        <w:rPr>
          <w:rFonts w:hint="eastAsia" w:ascii="黑体" w:hAnsi="黑体" w:eastAsia="黑体"/>
          <w:b/>
          <w:spacing w:val="-54"/>
          <w:sz w:val="21"/>
        </w:rPr>
        <w:t xml:space="preserve"> </w:t>
      </w:r>
      <w:r>
        <w:rPr>
          <w:rFonts w:hint="eastAsia" w:ascii="黑体" w:hAnsi="黑体" w:eastAsia="黑体"/>
          <w:b/>
          <w:w w:val="99"/>
          <w:sz w:val="21"/>
        </w:rPr>
        <w:t>6000</w:t>
      </w:r>
      <w:r>
        <w:rPr>
          <w:rFonts w:hint="eastAsia" w:ascii="黑体" w:hAnsi="黑体" w:eastAsia="黑体"/>
          <w:b/>
          <w:spacing w:val="-6"/>
          <w:w w:val="100"/>
          <w:sz w:val="21"/>
        </w:rPr>
        <w:t>，则针对本次就诊理赔后免赔额余额为</w:t>
      </w:r>
      <w:r>
        <w:rPr>
          <w:rFonts w:hint="eastAsia" w:ascii="黑体" w:hAnsi="黑体" w:eastAsia="黑体"/>
          <w:b/>
          <w:spacing w:val="-53"/>
          <w:sz w:val="21"/>
        </w:rPr>
        <w:t xml:space="preserve"> </w:t>
      </w:r>
      <w:r>
        <w:rPr>
          <w:rFonts w:hint="eastAsia" w:ascii="黑体" w:hAnsi="黑体" w:eastAsia="黑体"/>
          <w:b/>
          <w:w w:val="99"/>
          <w:sz w:val="21"/>
        </w:rPr>
        <w:t>0</w:t>
      </w:r>
      <w:r>
        <w:rPr>
          <w:rFonts w:hint="eastAsia" w:ascii="黑体" w:hAnsi="黑体" w:eastAsia="黑体"/>
          <w:b/>
          <w:spacing w:val="-10"/>
          <w:w w:val="100"/>
          <w:sz w:val="21"/>
        </w:rPr>
        <w:t>，本次赔付为</w:t>
      </w:r>
      <w:r>
        <w:rPr>
          <w:rFonts w:hint="eastAsia" w:ascii="黑体" w:hAnsi="黑体" w:eastAsia="黑体"/>
          <w:b/>
          <w:spacing w:val="-54"/>
          <w:sz w:val="21"/>
        </w:rPr>
        <w:t xml:space="preserve"> </w:t>
      </w:r>
      <w:r>
        <w:rPr>
          <w:rFonts w:hint="eastAsia" w:ascii="黑体" w:hAnsi="黑体" w:eastAsia="黑体"/>
          <w:b/>
          <w:w w:val="99"/>
          <w:sz w:val="21"/>
        </w:rPr>
        <w:t>4000</w:t>
      </w:r>
      <w:r>
        <w:rPr>
          <w:rFonts w:hint="eastAsia" w:ascii="黑体" w:hAnsi="黑体" w:eastAsia="黑体"/>
          <w:b/>
          <w:spacing w:val="-8"/>
          <w:w w:val="100"/>
          <w:sz w:val="21"/>
        </w:rPr>
        <w:t>。免赔额是指一个保证续保期间内对应的免赔额。在基本医疗保险</w:t>
      </w:r>
      <w:r>
        <w:rPr>
          <w:rFonts w:hint="eastAsia" w:ascii="黑体" w:hAnsi="黑体" w:eastAsia="黑体"/>
          <w:b/>
          <w:spacing w:val="-3"/>
          <w:w w:val="100"/>
          <w:sz w:val="21"/>
        </w:rPr>
        <w:t>（</w:t>
      </w:r>
      <w:r>
        <w:rPr>
          <w:rFonts w:hint="eastAsia" w:ascii="黑体" w:hAnsi="黑体" w:eastAsia="黑体"/>
          <w:b/>
          <w:w w:val="100"/>
          <w:sz w:val="21"/>
        </w:rPr>
        <w:t>见第四十七条</w:t>
      </w:r>
      <w:r>
        <w:rPr>
          <w:rFonts w:hint="eastAsia" w:ascii="黑体" w:hAnsi="黑体" w:eastAsia="黑体"/>
          <w:b/>
          <w:spacing w:val="-22"/>
          <w:w w:val="100"/>
          <w:sz w:val="21"/>
        </w:rPr>
        <w:t>）</w:t>
      </w:r>
      <w:r>
        <w:rPr>
          <w:rFonts w:hint="eastAsia" w:ascii="黑体" w:hAnsi="黑体" w:eastAsia="黑体"/>
          <w:b/>
          <w:spacing w:val="-5"/>
          <w:w w:val="100"/>
          <w:sz w:val="21"/>
        </w:rPr>
        <w:t>或公费医疗报销的部分，不能计入免赔额；在</w:t>
      </w:r>
      <w:r>
        <w:rPr>
          <w:rFonts w:hint="eastAsia" w:ascii="黑体" w:hAnsi="黑体" w:eastAsia="黑体"/>
          <w:b/>
          <w:spacing w:val="-9"/>
          <w:w w:val="100"/>
          <w:sz w:val="21"/>
        </w:rPr>
        <w:t>其它商业保险已报销的部分以及个人自付的部分，只要符合本合同赔付条件的，均可以</w:t>
      </w:r>
      <w:r>
        <w:rPr>
          <w:rFonts w:hint="eastAsia" w:ascii="黑体" w:hAnsi="黑体" w:eastAsia="黑体"/>
          <w:b/>
          <w:w w:val="100"/>
          <w:sz w:val="21"/>
        </w:rPr>
        <w:t>计入免赔额。</w:t>
      </w:r>
    </w:p>
    <w:p>
      <w:pPr>
        <w:pStyle w:val="6"/>
        <w:numPr>
          <w:ilvl w:val="0"/>
          <w:numId w:val="6"/>
        </w:numPr>
        <w:tabs>
          <w:tab w:val="left" w:pos="578"/>
        </w:tabs>
        <w:spacing w:before="0" w:after="0" w:line="278" w:lineRule="auto"/>
        <w:ind w:left="578" w:right="754" w:hanging="360"/>
        <w:jc w:val="left"/>
        <w:rPr>
          <w:sz w:val="21"/>
        </w:rPr>
      </w:pPr>
      <w:r>
        <w:rPr>
          <w:spacing w:val="1"/>
          <w:w w:val="100"/>
          <w:sz w:val="21"/>
        </w:rPr>
        <w:t>被保险人在同一保证续保期间内累计的符合本合同约定的医疗费用可用于抵扣本合同</w:t>
      </w:r>
      <w:r>
        <w:rPr>
          <w:spacing w:val="-3"/>
          <w:w w:val="100"/>
          <w:sz w:val="21"/>
        </w:rPr>
        <w:t>保险期间内的免赔额。</w:t>
      </w:r>
    </w:p>
    <w:p>
      <w:pPr>
        <w:pStyle w:val="6"/>
        <w:numPr>
          <w:ilvl w:val="0"/>
          <w:numId w:val="6"/>
        </w:numPr>
        <w:tabs>
          <w:tab w:val="left" w:pos="578"/>
        </w:tabs>
        <w:spacing w:before="0" w:after="0" w:line="278" w:lineRule="auto"/>
        <w:ind w:left="578" w:right="752" w:hanging="360"/>
        <w:jc w:val="left"/>
        <w:rPr>
          <w:sz w:val="21"/>
        </w:rPr>
      </w:pPr>
      <w:r>
        <w:rPr>
          <w:spacing w:val="-2"/>
          <w:sz w:val="21"/>
        </w:rPr>
        <w:t>当某次就诊保险责任范围内的医疗费用&gt;免赔额余额时，本次赔付金额&gt;0；当某次就诊保险责任范围内的医疗费用≤免赔额余额时，本次赔付金额=0。</w:t>
      </w:r>
    </w:p>
    <w:p>
      <w:pPr>
        <w:pStyle w:val="6"/>
        <w:numPr>
          <w:ilvl w:val="0"/>
          <w:numId w:val="6"/>
        </w:numPr>
        <w:tabs>
          <w:tab w:val="left" w:pos="578"/>
        </w:tabs>
        <w:spacing w:before="0" w:after="0" w:line="278" w:lineRule="auto"/>
        <w:ind w:left="578" w:right="754" w:hanging="360"/>
        <w:jc w:val="both"/>
        <w:rPr>
          <w:b/>
          <w:sz w:val="21"/>
        </w:rPr>
      </w:pPr>
      <w:r>
        <w:rPr>
          <w:rFonts w:hint="eastAsia" w:ascii="黑体" w:eastAsia="黑体"/>
          <w:b/>
          <w:spacing w:val="-11"/>
          <w:sz w:val="21"/>
        </w:rPr>
        <w:t>赔付比例：如投保时被保险人有基本医疗保险，但本次就诊时被保险人未使用基本医疗</w:t>
      </w:r>
      <w:r>
        <w:rPr>
          <w:rFonts w:hint="eastAsia" w:ascii="黑体" w:eastAsia="黑体"/>
          <w:b/>
          <w:spacing w:val="-3"/>
          <w:sz w:val="21"/>
        </w:rPr>
        <w:t xml:space="preserve">保险，则该赔付比例为 </w:t>
      </w:r>
      <w:r>
        <w:rPr>
          <w:rFonts w:hint="eastAsia" w:ascii="黑体" w:eastAsia="黑体"/>
          <w:b/>
          <w:sz w:val="21"/>
        </w:rPr>
        <w:t>60%</w:t>
      </w:r>
      <w:r>
        <w:rPr>
          <w:rFonts w:hint="eastAsia" w:ascii="黑体" w:eastAsia="黑体"/>
          <w:b/>
          <w:spacing w:val="-2"/>
          <w:sz w:val="21"/>
        </w:rPr>
        <w:t xml:space="preserve">；在其他情况下，该赔付比例为 </w:t>
      </w:r>
      <w:r>
        <w:rPr>
          <w:rFonts w:hint="eastAsia" w:ascii="黑体" w:eastAsia="黑体"/>
          <w:b/>
          <w:sz w:val="21"/>
        </w:rPr>
        <w:t>100%。</w:t>
      </w:r>
    </w:p>
    <w:p>
      <w:pPr>
        <w:spacing w:before="0"/>
        <w:ind w:left="578" w:right="0" w:firstLine="0"/>
        <w:jc w:val="both"/>
        <w:rPr>
          <w:rFonts w:hint="eastAsia" w:ascii="黑体" w:eastAsia="黑体"/>
          <w:b/>
          <w:sz w:val="21"/>
        </w:rPr>
      </w:pPr>
      <w:r>
        <w:rPr>
          <w:rFonts w:hint="eastAsia" w:ascii="黑体" w:eastAsia="黑体"/>
          <w:b/>
          <w:w w:val="95"/>
          <w:sz w:val="21"/>
        </w:rPr>
        <w:t>质子重离子医疗费用的赔付比例不受上述限制，该赔付比例为</w:t>
      </w:r>
      <w:r>
        <w:rPr>
          <w:rFonts w:hint="eastAsia" w:ascii="黑体" w:eastAsia="黑体"/>
          <w:b/>
          <w:spacing w:val="64"/>
          <w:sz w:val="21"/>
        </w:rPr>
        <w:t xml:space="preserve">  </w:t>
      </w:r>
      <w:r>
        <w:rPr>
          <w:rFonts w:hint="eastAsia" w:ascii="黑体" w:eastAsia="黑体"/>
          <w:b/>
          <w:w w:val="95"/>
          <w:sz w:val="21"/>
        </w:rPr>
        <w:t>100%</w:t>
      </w:r>
      <w:r>
        <w:rPr>
          <w:rFonts w:hint="eastAsia" w:ascii="黑体" w:eastAsia="黑体"/>
          <w:b/>
          <w:spacing w:val="-10"/>
          <w:w w:val="95"/>
          <w:sz w:val="21"/>
        </w:rPr>
        <w:t>。</w:t>
      </w:r>
    </w:p>
    <w:p>
      <w:pPr>
        <w:pStyle w:val="2"/>
        <w:spacing w:before="7"/>
        <w:rPr>
          <w:rFonts w:ascii="黑体"/>
          <w:b/>
          <w:sz w:val="27"/>
        </w:rPr>
      </w:pPr>
    </w:p>
    <w:p>
      <w:pPr>
        <w:pStyle w:val="2"/>
        <w:tabs>
          <w:tab w:val="left" w:pos="1477"/>
        </w:tabs>
        <w:ind w:left="218"/>
      </w:pPr>
      <w:r>
        <w:t>五</w:t>
      </w:r>
      <w:r>
        <w:rPr>
          <w:spacing w:val="-10"/>
        </w:rPr>
        <w:t>条</w:t>
      </w:r>
      <w:r>
        <w:tab/>
      </w:r>
      <w:r>
        <w:rPr>
          <w:spacing w:val="-2"/>
        </w:rPr>
        <w:t>补偿原</w:t>
      </w:r>
      <w:r>
        <w:rPr>
          <w:spacing w:val="-10"/>
        </w:rPr>
        <w:t>则</w:t>
      </w:r>
    </w:p>
    <w:p>
      <w:pPr>
        <w:spacing w:before="43" w:line="278" w:lineRule="auto"/>
        <w:ind w:left="218" w:right="752" w:firstLine="422"/>
        <w:jc w:val="both"/>
        <w:rPr>
          <w:rFonts w:hint="eastAsia" w:ascii="黑体" w:eastAsia="黑体"/>
          <w:b/>
          <w:sz w:val="21"/>
        </w:rPr>
      </w:pPr>
      <w:r>
        <w:rPr>
          <w:rFonts w:hint="eastAsia" w:ascii="黑体" w:eastAsia="黑体"/>
          <w:b/>
          <w:spacing w:val="-2"/>
          <w:sz w:val="21"/>
        </w:rPr>
        <w:t>若被保险人已从其他途径（包括基本医疗保险、公费医疗、我们在内的任何商业保险机构等）取得补偿的，则我们仅对被保险人实际发生的医疗费用扣除其所获医疗费用补偿后的余额按照本合同的约定进行赔付。</w:t>
      </w:r>
    </w:p>
    <w:p>
      <w:pPr>
        <w:pStyle w:val="2"/>
        <w:spacing w:before="4"/>
        <w:rPr>
          <w:rFonts w:ascii="黑体"/>
          <w:b/>
          <w:sz w:val="24"/>
        </w:rPr>
      </w:pPr>
    </w:p>
    <w:p>
      <w:pPr>
        <w:pStyle w:val="2"/>
        <w:tabs>
          <w:tab w:val="left" w:pos="1477"/>
        </w:tabs>
        <w:ind w:left="218"/>
      </w:pPr>
      <w:r>
        <w:t>六</w:t>
      </w:r>
      <w:r>
        <w:rPr>
          <w:spacing w:val="-10"/>
        </w:rPr>
        <w:t>条</w:t>
      </w:r>
      <w:r>
        <w:tab/>
      </w:r>
      <w:r>
        <w:rPr>
          <w:spacing w:val="-2"/>
        </w:rPr>
        <w:t>责任免</w:t>
      </w:r>
      <w:r>
        <w:rPr>
          <w:spacing w:val="-10"/>
        </w:rPr>
        <w:t>除</w:t>
      </w:r>
    </w:p>
    <w:p>
      <w:pPr>
        <w:spacing w:before="43" w:line="278" w:lineRule="auto"/>
        <w:ind w:left="218" w:right="1222" w:firstLine="424"/>
        <w:jc w:val="left"/>
        <w:rPr>
          <w:rFonts w:hint="eastAsia" w:ascii="黑体" w:eastAsia="黑体"/>
          <w:b/>
          <w:sz w:val="21"/>
        </w:rPr>
      </w:pPr>
      <w:r>
        <w:rPr>
          <w:rFonts w:hint="eastAsia" w:ascii="黑体" w:eastAsia="黑体"/>
          <w:b/>
          <w:spacing w:val="-2"/>
          <w:sz w:val="21"/>
        </w:rPr>
        <w:t>因下列情形之一造成被保险人医疗费用支出的，我们不承担给付保险金的责任：一、投保人对被保险人的故意杀害、故意伤害；</w:t>
      </w:r>
    </w:p>
    <w:p>
      <w:pPr>
        <w:spacing w:before="0"/>
        <w:ind w:left="218" w:right="0" w:firstLine="0"/>
        <w:jc w:val="left"/>
        <w:rPr>
          <w:rFonts w:hint="eastAsia" w:ascii="黑体" w:eastAsia="黑体"/>
          <w:b/>
          <w:sz w:val="21"/>
        </w:rPr>
      </w:pPr>
      <w:r>
        <w:rPr>
          <w:rFonts w:hint="eastAsia" w:ascii="黑体" w:eastAsia="黑体"/>
          <w:b/>
          <w:sz w:val="21"/>
        </w:rPr>
        <w:t>二、被保险人在投保时（同一保证续保期间内的续保除外）未如实告知的既往症（</w:t>
      </w:r>
      <w:r>
        <w:rPr>
          <w:rFonts w:hint="eastAsia" w:ascii="黑体" w:eastAsia="黑体"/>
          <w:b/>
          <w:spacing w:val="-4"/>
          <w:sz w:val="21"/>
        </w:rPr>
        <w:t>见第四</w:t>
      </w:r>
    </w:p>
    <w:p>
      <w:pPr>
        <w:spacing w:after="0"/>
        <w:jc w:val="left"/>
        <w:rPr>
          <w:rFonts w:hint="eastAsia" w:ascii="黑体" w:eastAsia="黑体"/>
          <w:sz w:val="21"/>
        </w:rPr>
        <w:sectPr>
          <w:pgSz w:w="11910" w:h="16840"/>
          <w:pgMar w:top="1400" w:right="1080" w:bottom="1320" w:left="1580" w:header="0" w:footer="1137" w:gutter="0"/>
          <w:cols w:space="720" w:num="1"/>
        </w:sectPr>
      </w:pPr>
    </w:p>
    <w:p>
      <w:pPr>
        <w:spacing w:before="44" w:line="278" w:lineRule="auto"/>
        <w:ind w:left="645" w:right="648" w:firstLine="0"/>
        <w:jc w:val="left"/>
        <w:rPr>
          <w:rFonts w:hint="eastAsia" w:ascii="黑体" w:eastAsia="黑体"/>
          <w:b/>
          <w:sz w:val="21"/>
        </w:rPr>
      </w:pPr>
      <w:r>
        <w:rPr>
          <w:rFonts w:hint="eastAsia" w:ascii="黑体" w:eastAsia="黑体"/>
          <w:b/>
          <w:spacing w:val="-2"/>
          <w:sz w:val="21"/>
        </w:rPr>
        <w:t>十八条）及本合同特别约定的除外疾病引起的医疗费用；被保险人在投保前已确诊的、投保时尚未治愈的疾病，但投保时我们已知晓并做出书面认可的除外；</w:t>
      </w:r>
    </w:p>
    <w:p>
      <w:pPr>
        <w:spacing w:before="0" w:line="278" w:lineRule="auto"/>
        <w:ind w:left="645" w:right="756" w:hanging="428"/>
        <w:jc w:val="left"/>
        <w:rPr>
          <w:rFonts w:hint="eastAsia" w:ascii="黑体" w:eastAsia="黑体"/>
          <w:b/>
          <w:sz w:val="21"/>
        </w:rPr>
      </w:pPr>
      <w:r>
        <w:rPr>
          <w:rFonts w:hint="eastAsia" w:ascii="黑体" w:eastAsia="黑体"/>
          <w:b/>
          <w:spacing w:val="-2"/>
          <w:sz w:val="21"/>
        </w:rPr>
        <w:t>三、遗传性疾病（见第四十九条）、先天性畸形、变形或染色体异常（见第五十条）引起的医疗费用；</w:t>
      </w:r>
    </w:p>
    <w:p>
      <w:pPr>
        <w:spacing w:before="0" w:line="278" w:lineRule="auto"/>
        <w:ind w:left="645" w:right="756" w:hanging="428"/>
        <w:jc w:val="left"/>
        <w:rPr>
          <w:rFonts w:hint="eastAsia" w:ascii="黑体" w:eastAsia="黑体"/>
          <w:b/>
          <w:sz w:val="21"/>
        </w:rPr>
      </w:pPr>
      <w:r>
        <w:rPr>
          <w:rFonts w:hint="eastAsia" w:ascii="黑体" w:eastAsia="黑体"/>
          <w:b/>
          <w:spacing w:val="-2"/>
          <w:sz w:val="21"/>
        </w:rPr>
        <w:t>四、疗养、视力矫正手术、各种健康体检项目及预防性医疗项目、牙科保健及牙科治疗、康复治疗、非意外事故所致整容手术；</w:t>
      </w:r>
    </w:p>
    <w:p>
      <w:pPr>
        <w:spacing w:before="0" w:line="278" w:lineRule="auto"/>
        <w:ind w:left="645" w:right="754" w:hanging="428"/>
        <w:jc w:val="both"/>
        <w:rPr>
          <w:rFonts w:hint="eastAsia" w:ascii="黑体" w:eastAsia="黑体"/>
          <w:b/>
          <w:sz w:val="21"/>
        </w:rPr>
      </w:pPr>
      <w:r>
        <w:rPr>
          <w:rFonts w:hint="eastAsia" w:ascii="黑体" w:eastAsia="黑体"/>
          <w:b/>
          <w:spacing w:val="-2"/>
          <w:sz w:val="21"/>
        </w:rPr>
        <w:t>五、如下项目的治疗费用：皮肤色素沉着、痤疮治疗、红斑痤疮治疗；雀斑、老年斑、痣的治疗和去除；对浅表静脉曲张、蜘蛛脉、除瘢痕疙瘩型外的其它瘢痕、纹身去除、皮肤变色的治疗或手术；激光美容、除皱、除眼袋、开双眼皮、治疗斑秃、白发、秃发、脱发、植毛、脱毛、隆鼻、隆胸；</w:t>
      </w:r>
    </w:p>
    <w:p>
      <w:pPr>
        <w:spacing w:before="0" w:line="278" w:lineRule="auto"/>
        <w:ind w:left="645" w:right="649" w:hanging="428"/>
        <w:jc w:val="left"/>
        <w:rPr>
          <w:rFonts w:hint="eastAsia" w:ascii="黑体" w:eastAsia="黑体"/>
          <w:b/>
          <w:sz w:val="21"/>
        </w:rPr>
      </w:pPr>
      <w:r>
        <w:rPr>
          <w:rFonts w:hint="eastAsia" w:ascii="黑体" w:eastAsia="黑体"/>
          <w:b/>
          <w:spacing w:val="-5"/>
          <w:sz w:val="21"/>
        </w:rPr>
        <w:t>六、各种矫形及生理缺陷的手术和检查治疗项目，包括但不限于平足及各种非功能性整容、</w:t>
      </w:r>
      <w:r>
        <w:rPr>
          <w:rFonts w:hint="eastAsia" w:ascii="黑体" w:eastAsia="黑体"/>
          <w:b/>
          <w:spacing w:val="-2"/>
          <w:sz w:val="21"/>
        </w:rPr>
        <w:t>矫形手术费用；</w:t>
      </w:r>
    </w:p>
    <w:p>
      <w:pPr>
        <w:spacing w:before="0"/>
        <w:ind w:left="218" w:right="0" w:firstLine="0"/>
        <w:jc w:val="left"/>
        <w:rPr>
          <w:rFonts w:hint="eastAsia" w:ascii="黑体" w:eastAsia="黑体"/>
          <w:b/>
          <w:sz w:val="21"/>
        </w:rPr>
      </w:pPr>
      <w:r>
        <w:rPr>
          <w:rFonts w:hint="eastAsia" w:ascii="黑体" w:eastAsia="黑体"/>
          <w:b/>
          <w:spacing w:val="-3"/>
          <w:sz w:val="21"/>
        </w:rPr>
        <w:t>七、各种健美治疗项目，包括但不限于营养、减肥、增胖、增高费用；</w:t>
      </w:r>
    </w:p>
    <w:p>
      <w:pPr>
        <w:spacing w:before="43" w:line="278" w:lineRule="auto"/>
        <w:ind w:left="645" w:right="755" w:hanging="428"/>
        <w:jc w:val="left"/>
        <w:rPr>
          <w:rFonts w:hint="eastAsia" w:ascii="黑体" w:eastAsia="黑体"/>
          <w:b/>
          <w:sz w:val="21"/>
        </w:rPr>
      </w:pPr>
      <w:r>
        <w:rPr>
          <w:rFonts w:hint="eastAsia" w:ascii="黑体" w:eastAsia="黑体"/>
          <w:b/>
          <w:spacing w:val="-2"/>
          <w:sz w:val="21"/>
        </w:rPr>
        <w:t>八、不孕不育治疗、人工受精、怀孕、分娩（含难产</w:t>
      </w:r>
      <w:r>
        <w:rPr>
          <w:rFonts w:hint="eastAsia" w:ascii="黑体" w:eastAsia="黑体"/>
          <w:b/>
          <w:spacing w:val="-104"/>
          <w:sz w:val="21"/>
        </w:rPr>
        <w:t>）</w:t>
      </w:r>
      <w:r>
        <w:rPr>
          <w:rFonts w:hint="eastAsia" w:ascii="黑体" w:eastAsia="黑体"/>
          <w:b/>
          <w:spacing w:val="-2"/>
          <w:sz w:val="21"/>
        </w:rPr>
        <w:t>、流产、堕胎、节育（含绝育</w:t>
      </w:r>
      <w:r>
        <w:rPr>
          <w:rFonts w:hint="eastAsia" w:ascii="黑体" w:eastAsia="黑体"/>
          <w:b/>
          <w:spacing w:val="-104"/>
          <w:sz w:val="21"/>
        </w:rPr>
        <w:t>）</w:t>
      </w:r>
      <w:r>
        <w:rPr>
          <w:rFonts w:hint="eastAsia" w:ascii="黑体" w:eastAsia="黑体"/>
          <w:b/>
          <w:spacing w:val="-2"/>
          <w:sz w:val="21"/>
        </w:rPr>
        <w:t>、产前产后检查以及由以上原因引起的并发症；</w:t>
      </w:r>
    </w:p>
    <w:p>
      <w:pPr>
        <w:spacing w:before="0" w:line="278" w:lineRule="auto"/>
        <w:ind w:left="218" w:right="2694" w:firstLine="0"/>
        <w:jc w:val="left"/>
        <w:rPr>
          <w:rFonts w:hint="eastAsia" w:ascii="黑体" w:eastAsia="黑体"/>
          <w:b/>
          <w:sz w:val="21"/>
        </w:rPr>
      </w:pPr>
      <w:r>
        <w:rPr>
          <w:rFonts w:hint="eastAsia" w:ascii="黑体" w:eastAsia="黑体"/>
          <w:b/>
          <w:spacing w:val="-2"/>
          <w:sz w:val="21"/>
        </w:rPr>
        <w:t>九、包皮环切术、包皮剥离术、包皮气囊扩张术、性功能障碍治疗；十、被保险人患性病引起的医疗费用；</w:t>
      </w:r>
    </w:p>
    <w:p>
      <w:pPr>
        <w:spacing w:before="0" w:line="269" w:lineRule="exact"/>
        <w:ind w:left="218" w:right="0" w:firstLine="0"/>
        <w:jc w:val="left"/>
        <w:rPr>
          <w:rFonts w:hint="eastAsia" w:ascii="黑体" w:eastAsia="黑体"/>
          <w:b/>
          <w:sz w:val="21"/>
        </w:rPr>
      </w:pPr>
      <w:r>
        <w:rPr>
          <w:rFonts w:hint="eastAsia" w:ascii="黑体" w:eastAsia="黑体"/>
          <w:b/>
          <w:sz w:val="21"/>
        </w:rPr>
        <w:t>十一、 被保险人感染艾滋病病毒或患艾滋病（见第五十一条）</w:t>
      </w:r>
      <w:r>
        <w:rPr>
          <w:rFonts w:hint="eastAsia" w:ascii="黑体" w:eastAsia="黑体"/>
          <w:b/>
          <w:spacing w:val="-2"/>
          <w:sz w:val="21"/>
        </w:rPr>
        <w:t>期间因疾病导致的；</w:t>
      </w:r>
    </w:p>
    <w:p>
      <w:pPr>
        <w:spacing w:before="42" w:line="278" w:lineRule="auto"/>
        <w:ind w:left="645" w:right="754" w:hanging="428"/>
        <w:jc w:val="both"/>
        <w:rPr>
          <w:rFonts w:hint="eastAsia" w:ascii="黑体" w:eastAsia="黑体"/>
          <w:b/>
          <w:sz w:val="21"/>
        </w:rPr>
      </w:pPr>
      <w:r>
        <w:rPr>
          <w:rFonts w:hint="eastAsia" w:ascii="黑体" w:eastAsia="黑体"/>
          <w:b/>
          <w:sz w:val="21"/>
        </w:rPr>
        <w:t>十二、 除心脏瓣膜、人工晶体、人工关节之外的其他人工器官材料费、安装和置换等费</w:t>
      </w:r>
      <w:r>
        <w:rPr>
          <w:rFonts w:hint="eastAsia" w:ascii="黑体" w:eastAsia="黑体"/>
          <w:b/>
          <w:spacing w:val="-2"/>
          <w:sz w:val="21"/>
        </w:rPr>
        <w:t>用、各种康复治疗器械、假体、义肢、自用的按摩保健和治疗用品、所有非处方医疗</w:t>
      </w:r>
      <w:r>
        <w:rPr>
          <w:rFonts w:hint="eastAsia" w:ascii="黑体" w:eastAsia="黑体"/>
          <w:b/>
          <w:spacing w:val="-4"/>
          <w:sz w:val="21"/>
        </w:rPr>
        <w:t>器械；</w:t>
      </w:r>
    </w:p>
    <w:p>
      <w:pPr>
        <w:spacing w:before="0" w:line="278" w:lineRule="auto"/>
        <w:ind w:left="645" w:right="754" w:hanging="428"/>
        <w:jc w:val="both"/>
        <w:rPr>
          <w:rFonts w:hint="eastAsia" w:ascii="黑体" w:eastAsia="黑体"/>
          <w:b/>
          <w:sz w:val="21"/>
        </w:rPr>
      </w:pPr>
      <w:r>
        <w:rPr>
          <w:rFonts w:hint="eastAsia" w:ascii="黑体" w:eastAsia="黑体"/>
          <w:b/>
          <w:sz w:val="21"/>
        </w:rPr>
        <w:t>十三、 耐用医疗设备（指各种康复设备、矫形支具以及其他耐用医疗设备）的购买或租</w:t>
      </w:r>
      <w:r>
        <w:rPr>
          <w:rFonts w:hint="eastAsia" w:ascii="黑体" w:eastAsia="黑体"/>
          <w:b/>
          <w:spacing w:val="-4"/>
          <w:sz w:val="21"/>
        </w:rPr>
        <w:t>赁费用；</w:t>
      </w:r>
    </w:p>
    <w:p>
      <w:pPr>
        <w:spacing w:before="0" w:line="278" w:lineRule="auto"/>
        <w:ind w:left="645" w:right="754" w:hanging="428"/>
        <w:jc w:val="both"/>
        <w:rPr>
          <w:rFonts w:hint="eastAsia" w:ascii="黑体" w:eastAsia="黑体"/>
          <w:b/>
          <w:sz w:val="21"/>
        </w:rPr>
      </w:pPr>
      <w:r>
        <w:rPr>
          <w:rFonts w:hint="eastAsia" w:ascii="黑体" w:eastAsia="黑体"/>
          <w:b/>
          <w:sz w:val="21"/>
        </w:rPr>
        <w:t>十四、 未经医生处方自行购买的药品或非医院药房购买的药品、滋补类中草药及其泡制</w:t>
      </w:r>
      <w:r>
        <w:rPr>
          <w:rFonts w:hint="eastAsia" w:ascii="黑体" w:eastAsia="黑体"/>
          <w:b/>
          <w:spacing w:val="-2"/>
          <w:sz w:val="21"/>
        </w:rPr>
        <w:t xml:space="preserve">的各类酒制剂、医生开具的超过 </w:t>
      </w:r>
      <w:r>
        <w:rPr>
          <w:rFonts w:hint="eastAsia" w:ascii="黑体" w:eastAsia="黑体"/>
          <w:b/>
          <w:sz w:val="21"/>
        </w:rPr>
        <w:t>30</w:t>
      </w:r>
      <w:r>
        <w:rPr>
          <w:rFonts w:hint="eastAsia" w:ascii="黑体" w:eastAsia="黑体"/>
          <w:b/>
          <w:spacing w:val="-5"/>
          <w:sz w:val="21"/>
        </w:rPr>
        <w:t xml:space="preserve"> 天部分的药品费用；</w:t>
      </w:r>
    </w:p>
    <w:p>
      <w:pPr>
        <w:spacing w:before="0" w:line="278" w:lineRule="auto"/>
        <w:ind w:left="645" w:right="756" w:hanging="428"/>
        <w:jc w:val="both"/>
        <w:rPr>
          <w:rFonts w:hint="eastAsia" w:ascii="黑体" w:eastAsia="黑体"/>
          <w:b/>
          <w:sz w:val="21"/>
        </w:rPr>
      </w:pPr>
      <w:r>
        <w:rPr>
          <w:rFonts w:hint="eastAsia" w:ascii="黑体" w:eastAsia="黑体"/>
          <w:b/>
          <w:sz w:val="21"/>
        </w:rPr>
        <w:t>十五、 被保险人患精神性疾病（依据世界卫生组织《疾病和有关健康问题的国际统计分</w:t>
      </w:r>
      <w:r>
        <w:rPr>
          <w:rFonts w:hint="eastAsia" w:ascii="黑体" w:eastAsia="黑体"/>
          <w:b/>
          <w:spacing w:val="-2"/>
          <w:sz w:val="21"/>
        </w:rPr>
        <w:t>类》（ICD10）分类为精神和行为障碍的疾病）；</w:t>
      </w:r>
    </w:p>
    <w:p>
      <w:pPr>
        <w:spacing w:before="0" w:line="278" w:lineRule="auto"/>
        <w:ind w:left="645" w:right="756" w:hanging="428"/>
        <w:jc w:val="both"/>
        <w:rPr>
          <w:rFonts w:hint="eastAsia" w:ascii="黑体" w:eastAsia="黑体"/>
          <w:b/>
          <w:sz w:val="21"/>
        </w:rPr>
      </w:pPr>
      <w:r>
        <w:rPr>
          <w:rFonts w:hint="eastAsia" w:ascii="黑体" w:eastAsia="黑体"/>
          <w:b/>
          <w:sz w:val="21"/>
        </w:rPr>
        <w:t>十六、 各种医疗咨询和健康预测：如健康咨询、睡眠咨询、性咨询、心理咨询（依照世</w:t>
      </w:r>
      <w:r>
        <w:rPr>
          <w:rFonts w:hint="eastAsia" w:ascii="黑体" w:eastAsia="黑体"/>
          <w:b/>
          <w:spacing w:val="-2"/>
          <w:sz w:val="21"/>
        </w:rPr>
        <w:t>界卫生组织《疾病和有关健康问题的国际统计分类》（ICD-10）确定的精神和行为障碍及以外的一般心理问题，如职场问题、家庭问题、婚恋问题、个人发展、情绪管理等）等费用；</w:t>
      </w:r>
    </w:p>
    <w:p>
      <w:pPr>
        <w:spacing w:before="0" w:line="278" w:lineRule="auto"/>
        <w:ind w:left="218" w:right="756" w:firstLine="0"/>
        <w:jc w:val="both"/>
        <w:rPr>
          <w:rFonts w:hint="eastAsia" w:ascii="黑体" w:eastAsia="黑体"/>
          <w:b/>
          <w:sz w:val="21"/>
        </w:rPr>
      </w:pPr>
      <w:r>
        <w:rPr>
          <w:rFonts w:hint="eastAsia" w:ascii="黑体" w:eastAsia="黑体"/>
          <w:b/>
          <w:spacing w:val="8"/>
          <w:sz w:val="21"/>
        </w:rPr>
        <w:t>十七、 由于职业病</w:t>
      </w:r>
      <w:r>
        <w:rPr>
          <w:rFonts w:hint="eastAsia" w:ascii="黑体" w:eastAsia="黑体"/>
          <w:b/>
          <w:sz w:val="21"/>
        </w:rPr>
        <w:t>（见第五十二条）、医疗事故（见第五十三条）引起的医疗费用； 十八、  不符合入院标准、挂床住院或住院病人应当出院而拒不出院（</w:t>
      </w:r>
      <w:r>
        <w:rPr>
          <w:rFonts w:hint="eastAsia" w:ascii="黑体" w:eastAsia="黑体"/>
          <w:b/>
          <w:spacing w:val="-2"/>
          <w:sz w:val="21"/>
        </w:rPr>
        <w:t>从医院确定出院之</w:t>
      </w:r>
    </w:p>
    <w:p>
      <w:pPr>
        <w:spacing w:before="0"/>
        <w:ind w:left="645" w:right="0" w:firstLine="0"/>
        <w:jc w:val="left"/>
        <w:rPr>
          <w:rFonts w:hint="eastAsia" w:ascii="黑体" w:eastAsia="黑体"/>
          <w:b/>
          <w:sz w:val="21"/>
        </w:rPr>
      </w:pPr>
      <w:r>
        <w:rPr>
          <w:rFonts w:hint="eastAsia" w:ascii="黑体" w:eastAsia="黑体"/>
          <w:b/>
          <w:spacing w:val="-2"/>
          <w:sz w:val="21"/>
        </w:rPr>
        <w:t>日起发生的一切医疗费用</w:t>
      </w:r>
      <w:r>
        <w:rPr>
          <w:rFonts w:hint="eastAsia" w:ascii="黑体" w:eastAsia="黑体"/>
          <w:b/>
          <w:spacing w:val="-5"/>
          <w:sz w:val="21"/>
        </w:rPr>
        <w:t>）；</w:t>
      </w:r>
    </w:p>
    <w:p>
      <w:pPr>
        <w:spacing w:before="43"/>
        <w:ind w:left="218" w:right="0" w:firstLine="0"/>
        <w:jc w:val="left"/>
        <w:rPr>
          <w:rFonts w:hint="eastAsia" w:ascii="黑体" w:eastAsia="黑体"/>
          <w:b/>
          <w:sz w:val="21"/>
        </w:rPr>
      </w:pPr>
      <w:r>
        <w:rPr>
          <w:rFonts w:hint="eastAsia" w:ascii="黑体" w:eastAsia="黑体"/>
          <w:b/>
          <w:spacing w:val="-1"/>
          <w:sz w:val="21"/>
        </w:rPr>
        <w:t>十九、 被保险人接受实验性治疗，即未经科学或医学认可的医疗；</w:t>
      </w:r>
    </w:p>
    <w:p>
      <w:pPr>
        <w:spacing w:before="43" w:line="278" w:lineRule="auto"/>
        <w:ind w:left="645" w:right="760" w:hanging="428"/>
        <w:jc w:val="left"/>
        <w:rPr>
          <w:rFonts w:hint="eastAsia" w:ascii="黑体" w:eastAsia="黑体"/>
          <w:b/>
          <w:sz w:val="21"/>
        </w:rPr>
      </w:pPr>
      <w:r>
        <w:rPr>
          <w:rFonts w:hint="eastAsia" w:ascii="黑体" w:eastAsia="黑体"/>
          <w:b/>
          <w:sz w:val="21"/>
        </w:rPr>
        <w:t>二十、 未被治疗所在地权威部门批准的治疗，未获得治疗所在地政府许可或批准的药品</w:t>
      </w:r>
      <w:r>
        <w:rPr>
          <w:rFonts w:hint="eastAsia" w:ascii="黑体" w:eastAsia="黑体"/>
          <w:b/>
          <w:spacing w:val="-4"/>
          <w:sz w:val="21"/>
        </w:rPr>
        <w:t>或药物；</w:t>
      </w:r>
    </w:p>
    <w:p>
      <w:pPr>
        <w:tabs>
          <w:tab w:val="left" w:pos="1477"/>
        </w:tabs>
        <w:spacing w:before="0" w:line="278" w:lineRule="auto"/>
        <w:ind w:left="645" w:right="755" w:hanging="428"/>
        <w:jc w:val="left"/>
        <w:rPr>
          <w:rFonts w:hint="eastAsia" w:ascii="黑体" w:eastAsia="黑体"/>
          <w:b/>
          <w:sz w:val="21"/>
        </w:rPr>
      </w:pPr>
      <w:r>
        <w:rPr>
          <w:rFonts w:hint="eastAsia" w:ascii="黑体" w:eastAsia="黑体"/>
          <w:b/>
          <w:spacing w:val="-4"/>
          <w:sz w:val="21"/>
        </w:rPr>
        <w:t>二十一、</w:t>
      </w:r>
      <w:r>
        <w:rPr>
          <w:rFonts w:hint="eastAsia" w:ascii="黑体" w:eastAsia="黑体"/>
          <w:b/>
          <w:sz w:val="21"/>
        </w:rPr>
        <w:tab/>
      </w:r>
      <w:r>
        <w:rPr>
          <w:rFonts w:hint="eastAsia" w:ascii="黑体" w:eastAsia="黑体"/>
          <w:b/>
          <w:spacing w:val="-2"/>
          <w:sz w:val="21"/>
        </w:rPr>
        <w:t>各类医疗鉴定，包括但不限于医疗事故鉴定、精神病鉴定、孕妇胎儿性别鉴定、验伤鉴定、亲子鉴定、遗传基因鉴定费用；</w:t>
      </w:r>
    </w:p>
    <w:p>
      <w:pPr>
        <w:tabs>
          <w:tab w:val="left" w:pos="1477"/>
        </w:tabs>
        <w:spacing w:before="0" w:line="269" w:lineRule="exact"/>
        <w:ind w:left="218" w:right="0" w:firstLine="0"/>
        <w:jc w:val="left"/>
        <w:rPr>
          <w:rFonts w:hint="eastAsia" w:ascii="黑体" w:eastAsia="黑体"/>
          <w:b/>
          <w:sz w:val="21"/>
        </w:rPr>
      </w:pPr>
      <w:r>
        <w:rPr>
          <w:rFonts w:hint="eastAsia" w:ascii="黑体" w:eastAsia="黑体"/>
          <w:b/>
          <w:sz w:val="21"/>
        </w:rPr>
        <w:t>二十二</w:t>
      </w:r>
      <w:r>
        <w:rPr>
          <w:rFonts w:hint="eastAsia" w:ascii="黑体" w:eastAsia="黑体"/>
          <w:b/>
          <w:spacing w:val="-10"/>
          <w:sz w:val="21"/>
        </w:rPr>
        <w:t>、</w:t>
      </w:r>
      <w:r>
        <w:rPr>
          <w:rFonts w:hint="eastAsia" w:ascii="黑体" w:eastAsia="黑体"/>
          <w:b/>
          <w:sz w:val="21"/>
        </w:rPr>
        <w:tab/>
      </w:r>
      <w:r>
        <w:rPr>
          <w:rFonts w:hint="eastAsia" w:ascii="黑体" w:eastAsia="黑体"/>
          <w:b/>
          <w:spacing w:val="-2"/>
          <w:sz w:val="21"/>
        </w:rPr>
        <w:t>被保险人被政府依法拘禁或入狱期间因伤病导致的</w:t>
      </w:r>
      <w:r>
        <w:rPr>
          <w:rFonts w:hint="eastAsia" w:ascii="黑体" w:eastAsia="黑体"/>
          <w:b/>
          <w:spacing w:val="-10"/>
          <w:sz w:val="21"/>
        </w:rPr>
        <w:t>；</w:t>
      </w:r>
    </w:p>
    <w:p>
      <w:pPr>
        <w:tabs>
          <w:tab w:val="left" w:pos="1477"/>
        </w:tabs>
        <w:spacing w:before="42" w:line="278" w:lineRule="auto"/>
        <w:ind w:left="645" w:right="752" w:hanging="428"/>
        <w:jc w:val="left"/>
        <w:rPr>
          <w:rFonts w:hint="eastAsia" w:ascii="黑体" w:eastAsia="黑体"/>
          <w:b/>
          <w:sz w:val="21"/>
        </w:rPr>
      </w:pPr>
      <w:r>
        <w:rPr>
          <w:rFonts w:hint="eastAsia" w:ascii="黑体" w:eastAsia="黑体"/>
          <w:b/>
          <w:spacing w:val="-4"/>
          <w:sz w:val="21"/>
        </w:rPr>
        <w:t>二十三、</w:t>
      </w:r>
      <w:r>
        <w:rPr>
          <w:rFonts w:hint="eastAsia" w:ascii="黑体" w:eastAsia="黑体"/>
          <w:b/>
          <w:sz w:val="21"/>
        </w:rPr>
        <w:tab/>
      </w:r>
      <w:r>
        <w:rPr>
          <w:rFonts w:hint="eastAsia" w:ascii="黑体" w:eastAsia="黑体"/>
          <w:b/>
          <w:spacing w:val="-2"/>
          <w:sz w:val="21"/>
        </w:rPr>
        <w:t>被保险人醉酒（见第五十四条）、参与殴斗、故意犯罪或者抗拒依法采取的刑事强制措施；</w:t>
      </w:r>
    </w:p>
    <w:p>
      <w:pPr>
        <w:tabs>
          <w:tab w:val="left" w:pos="1477"/>
        </w:tabs>
        <w:spacing w:before="0"/>
        <w:ind w:left="218" w:right="0" w:firstLine="0"/>
        <w:jc w:val="left"/>
        <w:rPr>
          <w:rFonts w:hint="eastAsia" w:ascii="黑体" w:eastAsia="黑体"/>
          <w:b/>
          <w:sz w:val="21"/>
        </w:rPr>
      </w:pPr>
      <w:r>
        <w:rPr>
          <w:rFonts w:hint="eastAsia" w:ascii="黑体" w:eastAsia="黑体"/>
          <w:b/>
          <w:sz w:val="21"/>
        </w:rPr>
        <w:t>二十四</w:t>
      </w:r>
      <w:r>
        <w:rPr>
          <w:rFonts w:hint="eastAsia" w:ascii="黑体" w:eastAsia="黑体"/>
          <w:b/>
          <w:spacing w:val="-10"/>
          <w:sz w:val="21"/>
        </w:rPr>
        <w:t>、</w:t>
      </w:r>
      <w:r>
        <w:rPr>
          <w:rFonts w:hint="eastAsia" w:ascii="黑体" w:eastAsia="黑体"/>
          <w:b/>
          <w:sz w:val="21"/>
        </w:rPr>
        <w:tab/>
      </w:r>
      <w:r>
        <w:rPr>
          <w:rFonts w:hint="eastAsia" w:ascii="黑体" w:eastAsia="黑体"/>
          <w:b/>
          <w:spacing w:val="-2"/>
          <w:sz w:val="21"/>
        </w:rPr>
        <w:t>被保险人故意自伤及主动吸食、注射毒品（见第五十五条</w:t>
      </w:r>
      <w:r>
        <w:rPr>
          <w:rFonts w:hint="eastAsia" w:ascii="黑体" w:eastAsia="黑体"/>
          <w:b/>
          <w:spacing w:val="-5"/>
          <w:sz w:val="21"/>
        </w:rPr>
        <w:t>）；</w:t>
      </w:r>
    </w:p>
    <w:p>
      <w:pPr>
        <w:tabs>
          <w:tab w:val="left" w:pos="1477"/>
        </w:tabs>
        <w:spacing w:before="43"/>
        <w:ind w:left="218" w:right="0" w:firstLine="0"/>
        <w:jc w:val="left"/>
        <w:rPr>
          <w:rFonts w:hint="eastAsia" w:ascii="黑体" w:eastAsia="黑体"/>
          <w:b/>
          <w:sz w:val="21"/>
        </w:rPr>
      </w:pPr>
      <w:r>
        <w:rPr>
          <w:rFonts w:hint="eastAsia" w:ascii="黑体" w:eastAsia="黑体"/>
          <w:b/>
          <w:sz w:val="21"/>
        </w:rPr>
        <w:t>二十五</w:t>
      </w:r>
      <w:r>
        <w:rPr>
          <w:rFonts w:hint="eastAsia" w:ascii="黑体" w:eastAsia="黑体"/>
          <w:b/>
          <w:spacing w:val="-10"/>
          <w:sz w:val="21"/>
        </w:rPr>
        <w:t>、</w:t>
      </w:r>
      <w:r>
        <w:rPr>
          <w:rFonts w:hint="eastAsia" w:ascii="黑体" w:eastAsia="黑体"/>
          <w:b/>
          <w:sz w:val="21"/>
        </w:rPr>
        <w:tab/>
      </w:r>
      <w:r>
        <w:rPr>
          <w:rFonts w:hint="eastAsia" w:ascii="黑体" w:eastAsia="黑体"/>
          <w:b/>
          <w:sz w:val="21"/>
        </w:rPr>
        <w:t>被保险人进行潜水（见第五十六条）、滑水、滑雪、滑冰、冲浪、驾驶滑</w:t>
      </w:r>
      <w:r>
        <w:rPr>
          <w:rFonts w:hint="eastAsia" w:ascii="黑体" w:eastAsia="黑体"/>
          <w:b/>
          <w:spacing w:val="-10"/>
          <w:sz w:val="21"/>
        </w:rPr>
        <w:t>翔</w:t>
      </w:r>
    </w:p>
    <w:p>
      <w:pPr>
        <w:spacing w:after="0"/>
        <w:jc w:val="left"/>
        <w:rPr>
          <w:rFonts w:hint="eastAsia" w:ascii="黑体" w:eastAsia="黑体"/>
          <w:sz w:val="21"/>
        </w:rPr>
        <w:sectPr>
          <w:pgSz w:w="11910" w:h="16840"/>
          <w:pgMar w:top="1400" w:right="1080" w:bottom="1320" w:left="1580" w:header="0" w:footer="1137" w:gutter="0"/>
          <w:cols w:space="720" w:num="1"/>
        </w:sectPr>
      </w:pPr>
    </w:p>
    <w:p>
      <w:pPr>
        <w:spacing w:before="44" w:line="278" w:lineRule="auto"/>
        <w:ind w:left="645" w:right="756" w:firstLine="0"/>
        <w:jc w:val="left"/>
        <w:rPr>
          <w:rFonts w:hint="eastAsia" w:ascii="黑体" w:eastAsia="黑体"/>
          <w:b/>
          <w:sz w:val="21"/>
        </w:rPr>
      </w:pPr>
      <w:r>
        <w:rPr>
          <w:rFonts w:hint="eastAsia" w:ascii="黑体" w:eastAsia="黑体"/>
          <w:b/>
          <w:spacing w:val="-2"/>
          <w:sz w:val="21"/>
        </w:rPr>
        <w:t>机或滑翔伞、跳伞、蹦极、攀岩运动（见第五十七条）或探险活动（见第五十八条）等高风险运动导致的伤害引起的治疗；</w:t>
      </w:r>
    </w:p>
    <w:p>
      <w:pPr>
        <w:tabs>
          <w:tab w:val="left" w:pos="1477"/>
        </w:tabs>
        <w:spacing w:before="0" w:line="278" w:lineRule="auto"/>
        <w:ind w:left="645" w:right="648" w:hanging="428"/>
        <w:jc w:val="left"/>
        <w:rPr>
          <w:rFonts w:hint="eastAsia" w:ascii="黑体" w:eastAsia="黑体"/>
          <w:b/>
          <w:sz w:val="21"/>
        </w:rPr>
      </w:pPr>
      <w:r>
        <w:rPr>
          <w:rFonts w:hint="eastAsia" w:ascii="黑体" w:eastAsia="黑体"/>
          <w:b/>
          <w:w w:val="100"/>
          <w:sz w:val="21"/>
        </w:rPr>
        <w:t>二十六、</w:t>
      </w:r>
      <w:r>
        <w:rPr>
          <w:rFonts w:hint="eastAsia" w:ascii="黑体" w:eastAsia="黑体"/>
          <w:b/>
          <w:sz w:val="21"/>
        </w:rPr>
        <w:tab/>
      </w:r>
      <w:r>
        <w:rPr>
          <w:rFonts w:hint="eastAsia" w:ascii="黑体" w:eastAsia="黑体"/>
          <w:b/>
          <w:w w:val="100"/>
          <w:sz w:val="21"/>
        </w:rPr>
        <w:t>被保险人酒后驾</w:t>
      </w:r>
      <w:r>
        <w:rPr>
          <w:rFonts w:hint="eastAsia" w:ascii="黑体" w:eastAsia="黑体"/>
          <w:b/>
          <w:spacing w:val="-53"/>
          <w:w w:val="100"/>
          <w:sz w:val="21"/>
        </w:rPr>
        <w:t>驶</w:t>
      </w:r>
      <w:r>
        <w:rPr>
          <w:rFonts w:hint="eastAsia" w:ascii="黑体" w:eastAsia="黑体"/>
          <w:b/>
          <w:spacing w:val="-3"/>
          <w:w w:val="100"/>
          <w:sz w:val="21"/>
        </w:rPr>
        <w:t>（</w:t>
      </w:r>
      <w:r>
        <w:rPr>
          <w:rFonts w:hint="eastAsia" w:ascii="黑体" w:eastAsia="黑体"/>
          <w:b/>
          <w:w w:val="100"/>
          <w:sz w:val="21"/>
        </w:rPr>
        <w:t>见</w:t>
      </w:r>
      <w:r>
        <w:rPr>
          <w:rFonts w:hint="eastAsia" w:ascii="黑体" w:eastAsia="黑体"/>
          <w:b/>
          <w:spacing w:val="-3"/>
          <w:w w:val="100"/>
          <w:sz w:val="21"/>
        </w:rPr>
        <w:t>第</w:t>
      </w:r>
      <w:r>
        <w:rPr>
          <w:rFonts w:hint="eastAsia" w:ascii="黑体" w:eastAsia="黑体"/>
          <w:b/>
          <w:w w:val="100"/>
          <w:sz w:val="21"/>
        </w:rPr>
        <w:t>五十九条</w:t>
      </w:r>
      <w:r>
        <w:rPr>
          <w:rFonts w:hint="eastAsia" w:ascii="黑体" w:eastAsia="黑体"/>
          <w:b/>
          <w:spacing w:val="-53"/>
          <w:w w:val="100"/>
          <w:sz w:val="21"/>
        </w:rPr>
        <w:t>）、</w:t>
      </w:r>
      <w:r>
        <w:rPr>
          <w:rFonts w:hint="eastAsia" w:ascii="黑体" w:eastAsia="黑体"/>
          <w:b/>
          <w:w w:val="100"/>
          <w:sz w:val="21"/>
        </w:rPr>
        <w:t>无</w:t>
      </w:r>
      <w:r>
        <w:rPr>
          <w:rFonts w:hint="eastAsia" w:ascii="黑体" w:eastAsia="黑体"/>
          <w:b/>
          <w:spacing w:val="-3"/>
          <w:w w:val="100"/>
          <w:sz w:val="21"/>
        </w:rPr>
        <w:t>合</w:t>
      </w:r>
      <w:r>
        <w:rPr>
          <w:rFonts w:hint="eastAsia" w:ascii="黑体" w:eastAsia="黑体"/>
          <w:b/>
          <w:w w:val="100"/>
          <w:sz w:val="21"/>
        </w:rPr>
        <w:t>法有效</w:t>
      </w:r>
      <w:r>
        <w:rPr>
          <w:rFonts w:hint="eastAsia" w:ascii="黑体" w:eastAsia="黑体"/>
          <w:b/>
          <w:spacing w:val="-3"/>
          <w:w w:val="100"/>
          <w:sz w:val="21"/>
        </w:rPr>
        <w:t>驾</w:t>
      </w:r>
      <w:r>
        <w:rPr>
          <w:rFonts w:hint="eastAsia" w:ascii="黑体" w:eastAsia="黑体"/>
          <w:b/>
          <w:w w:val="100"/>
          <w:sz w:val="21"/>
        </w:rPr>
        <w:t>驶证驾</w:t>
      </w:r>
      <w:r>
        <w:rPr>
          <w:rFonts w:hint="eastAsia" w:ascii="黑体" w:eastAsia="黑体"/>
          <w:b/>
          <w:spacing w:val="-53"/>
          <w:w w:val="100"/>
          <w:sz w:val="21"/>
        </w:rPr>
        <w:t>驶</w:t>
      </w:r>
      <w:r>
        <w:rPr>
          <w:rFonts w:hint="eastAsia" w:ascii="黑体" w:eastAsia="黑体"/>
          <w:b/>
          <w:w w:val="100"/>
          <w:sz w:val="21"/>
        </w:rPr>
        <w:t>（见第六</w:t>
      </w:r>
      <w:r>
        <w:rPr>
          <w:rFonts w:hint="eastAsia" w:ascii="黑体" w:eastAsia="黑体"/>
          <w:b/>
          <w:spacing w:val="-3"/>
          <w:w w:val="100"/>
          <w:sz w:val="21"/>
        </w:rPr>
        <w:t>十</w:t>
      </w:r>
      <w:r>
        <w:rPr>
          <w:rFonts w:hint="eastAsia" w:ascii="黑体" w:eastAsia="黑体"/>
          <w:b/>
          <w:w w:val="100"/>
          <w:sz w:val="21"/>
        </w:rPr>
        <w:t>条</w:t>
      </w:r>
      <w:r>
        <w:rPr>
          <w:rFonts w:hint="eastAsia" w:ascii="黑体" w:eastAsia="黑体"/>
          <w:b/>
          <w:spacing w:val="-59"/>
          <w:w w:val="100"/>
          <w:sz w:val="21"/>
        </w:rPr>
        <w:t>）</w:t>
      </w:r>
      <w:r>
        <w:rPr>
          <w:rFonts w:hint="eastAsia" w:ascii="黑体" w:eastAsia="黑体"/>
          <w:b/>
          <w:spacing w:val="-6"/>
          <w:w w:val="100"/>
          <w:sz w:val="21"/>
        </w:rPr>
        <w:t>，</w:t>
      </w:r>
      <w:r>
        <w:rPr>
          <w:rFonts w:hint="eastAsia" w:ascii="黑体" w:eastAsia="黑体"/>
          <w:b/>
          <w:spacing w:val="2"/>
          <w:w w:val="100"/>
          <w:sz w:val="21"/>
        </w:rPr>
        <w:t>或</w:t>
      </w:r>
      <w:r>
        <w:rPr>
          <w:rFonts w:hint="eastAsia" w:ascii="黑体" w:eastAsia="黑体"/>
          <w:b/>
          <w:w w:val="100"/>
          <w:sz w:val="21"/>
        </w:rPr>
        <w:t>驾驶</w:t>
      </w:r>
      <w:r>
        <w:rPr>
          <w:rFonts w:hint="eastAsia" w:ascii="黑体" w:eastAsia="黑体"/>
          <w:b/>
          <w:spacing w:val="2"/>
          <w:w w:val="100"/>
          <w:sz w:val="21"/>
        </w:rPr>
        <w:t>无</w:t>
      </w:r>
      <w:r>
        <w:rPr>
          <w:rFonts w:hint="eastAsia" w:ascii="黑体" w:eastAsia="黑体"/>
          <w:b/>
          <w:w w:val="100"/>
          <w:sz w:val="21"/>
        </w:rPr>
        <w:t>有效</w:t>
      </w:r>
      <w:r>
        <w:rPr>
          <w:rFonts w:hint="eastAsia" w:ascii="黑体" w:eastAsia="黑体"/>
          <w:b/>
          <w:spacing w:val="2"/>
          <w:w w:val="100"/>
          <w:sz w:val="21"/>
        </w:rPr>
        <w:t>行</w:t>
      </w:r>
      <w:r>
        <w:rPr>
          <w:rFonts w:hint="eastAsia" w:ascii="黑体" w:eastAsia="黑体"/>
          <w:b/>
          <w:w w:val="100"/>
          <w:sz w:val="21"/>
        </w:rPr>
        <w:t>驶</w:t>
      </w:r>
      <w:r>
        <w:rPr>
          <w:rFonts w:hint="eastAsia" w:ascii="黑体" w:eastAsia="黑体"/>
          <w:b/>
          <w:spacing w:val="1"/>
          <w:w w:val="100"/>
          <w:sz w:val="21"/>
        </w:rPr>
        <w:t>证</w:t>
      </w:r>
      <w:r>
        <w:rPr>
          <w:rFonts w:hint="eastAsia" w:ascii="黑体" w:eastAsia="黑体"/>
          <w:b/>
          <w:spacing w:val="2"/>
          <w:w w:val="100"/>
          <w:sz w:val="21"/>
        </w:rPr>
        <w:t>（</w:t>
      </w:r>
      <w:r>
        <w:rPr>
          <w:rFonts w:hint="eastAsia" w:ascii="黑体" w:eastAsia="黑体"/>
          <w:b/>
          <w:w w:val="100"/>
          <w:sz w:val="21"/>
        </w:rPr>
        <w:t>见</w:t>
      </w:r>
      <w:r>
        <w:rPr>
          <w:rFonts w:hint="eastAsia" w:ascii="黑体" w:eastAsia="黑体"/>
          <w:b/>
          <w:spacing w:val="2"/>
          <w:w w:val="100"/>
          <w:sz w:val="21"/>
        </w:rPr>
        <w:t>第</w:t>
      </w:r>
      <w:r>
        <w:rPr>
          <w:rFonts w:hint="eastAsia" w:ascii="黑体" w:eastAsia="黑体"/>
          <w:b/>
          <w:w w:val="100"/>
          <w:sz w:val="21"/>
        </w:rPr>
        <w:t>六十</w:t>
      </w:r>
      <w:r>
        <w:rPr>
          <w:rFonts w:hint="eastAsia" w:ascii="黑体" w:eastAsia="黑体"/>
          <w:b/>
          <w:spacing w:val="2"/>
          <w:w w:val="100"/>
          <w:sz w:val="21"/>
        </w:rPr>
        <w:t>一</w:t>
      </w:r>
      <w:r>
        <w:rPr>
          <w:rFonts w:hint="eastAsia" w:ascii="黑体" w:eastAsia="黑体"/>
          <w:b/>
          <w:w w:val="100"/>
          <w:sz w:val="21"/>
        </w:rPr>
        <w:t>条）</w:t>
      </w:r>
      <w:r>
        <w:rPr>
          <w:rFonts w:hint="eastAsia" w:ascii="黑体" w:eastAsia="黑体"/>
          <w:b/>
          <w:spacing w:val="2"/>
          <w:w w:val="100"/>
          <w:sz w:val="21"/>
        </w:rPr>
        <w:t>的</w:t>
      </w:r>
      <w:r>
        <w:rPr>
          <w:rFonts w:hint="eastAsia" w:ascii="黑体" w:eastAsia="黑体"/>
          <w:b/>
          <w:w w:val="100"/>
          <w:sz w:val="21"/>
        </w:rPr>
        <w:t>机动</w:t>
      </w:r>
      <w:r>
        <w:rPr>
          <w:rFonts w:hint="eastAsia" w:ascii="黑体" w:eastAsia="黑体"/>
          <w:b/>
          <w:spacing w:val="3"/>
          <w:w w:val="100"/>
          <w:sz w:val="21"/>
        </w:rPr>
        <w:t>车</w:t>
      </w:r>
      <w:r>
        <w:rPr>
          <w:rFonts w:hint="eastAsia" w:ascii="黑体" w:eastAsia="黑体"/>
          <w:b/>
          <w:w w:val="100"/>
          <w:sz w:val="21"/>
        </w:rPr>
        <w:t>（</w:t>
      </w:r>
      <w:r>
        <w:rPr>
          <w:rFonts w:hint="eastAsia" w:ascii="黑体" w:eastAsia="黑体"/>
          <w:b/>
          <w:spacing w:val="2"/>
          <w:w w:val="100"/>
          <w:sz w:val="21"/>
        </w:rPr>
        <w:t>见</w:t>
      </w:r>
      <w:r>
        <w:rPr>
          <w:rFonts w:hint="eastAsia" w:ascii="黑体" w:eastAsia="黑体"/>
          <w:b/>
          <w:w w:val="100"/>
          <w:sz w:val="21"/>
        </w:rPr>
        <w:t>第六</w:t>
      </w:r>
      <w:r>
        <w:rPr>
          <w:rFonts w:hint="eastAsia" w:ascii="黑体" w:eastAsia="黑体"/>
          <w:b/>
          <w:spacing w:val="2"/>
          <w:w w:val="100"/>
          <w:sz w:val="21"/>
        </w:rPr>
        <w:t>十</w:t>
      </w:r>
      <w:r>
        <w:rPr>
          <w:rFonts w:hint="eastAsia" w:ascii="黑体" w:eastAsia="黑体"/>
          <w:b/>
          <w:w w:val="100"/>
          <w:sz w:val="21"/>
        </w:rPr>
        <w:t>二条</w:t>
      </w:r>
      <w:r>
        <w:rPr>
          <w:rFonts w:hint="eastAsia" w:ascii="黑体" w:eastAsia="黑体"/>
          <w:b/>
          <w:spacing w:val="2"/>
          <w:w w:val="100"/>
          <w:sz w:val="21"/>
        </w:rPr>
        <w:t>）</w:t>
      </w:r>
      <w:r>
        <w:rPr>
          <w:rFonts w:hint="eastAsia" w:ascii="黑体" w:eastAsia="黑体"/>
          <w:b/>
          <w:w w:val="100"/>
          <w:sz w:val="21"/>
        </w:rPr>
        <w:t>导致</w:t>
      </w:r>
      <w:r>
        <w:rPr>
          <w:rFonts w:hint="eastAsia" w:ascii="黑体" w:eastAsia="黑体"/>
          <w:b/>
          <w:spacing w:val="3"/>
          <w:w w:val="100"/>
          <w:sz w:val="21"/>
        </w:rPr>
        <w:t>交</w:t>
      </w:r>
      <w:r>
        <w:rPr>
          <w:rFonts w:hint="eastAsia" w:ascii="黑体" w:eastAsia="黑体"/>
          <w:b/>
          <w:w w:val="100"/>
          <w:sz w:val="21"/>
        </w:rPr>
        <w:t>通</w:t>
      </w:r>
      <w:r>
        <w:rPr>
          <w:rFonts w:hint="eastAsia" w:ascii="黑体" w:eastAsia="黑体"/>
          <w:b/>
          <w:spacing w:val="2"/>
          <w:w w:val="100"/>
          <w:sz w:val="21"/>
        </w:rPr>
        <w:t>意</w:t>
      </w:r>
      <w:r>
        <w:rPr>
          <w:rFonts w:hint="eastAsia" w:ascii="黑体" w:eastAsia="黑体"/>
          <w:b/>
          <w:w w:val="100"/>
          <w:sz w:val="21"/>
        </w:rPr>
        <w:t>外</w:t>
      </w:r>
      <w:r>
        <w:rPr>
          <w:rFonts w:hint="eastAsia" w:ascii="黑体" w:eastAsia="黑体"/>
          <w:b/>
          <w:spacing w:val="-3"/>
          <w:w w:val="100"/>
          <w:sz w:val="21"/>
        </w:rPr>
        <w:t>引起</w:t>
      </w:r>
      <w:r>
        <w:rPr>
          <w:rFonts w:hint="eastAsia" w:ascii="黑体" w:eastAsia="黑体"/>
          <w:b/>
          <w:w w:val="100"/>
          <w:sz w:val="21"/>
        </w:rPr>
        <w:t>的医疗费用；</w:t>
      </w:r>
    </w:p>
    <w:p>
      <w:pPr>
        <w:tabs>
          <w:tab w:val="left" w:pos="1477"/>
        </w:tabs>
        <w:spacing w:before="0" w:line="269" w:lineRule="exact"/>
        <w:ind w:left="218" w:right="0" w:firstLine="0"/>
        <w:jc w:val="left"/>
        <w:rPr>
          <w:rFonts w:hint="eastAsia" w:ascii="黑体" w:eastAsia="黑体"/>
          <w:b/>
          <w:sz w:val="21"/>
        </w:rPr>
      </w:pPr>
      <w:r>
        <w:rPr>
          <w:rFonts w:hint="eastAsia" w:ascii="黑体" w:eastAsia="黑体"/>
          <w:b/>
          <w:sz w:val="21"/>
        </w:rPr>
        <w:t>二十七</w:t>
      </w:r>
      <w:r>
        <w:rPr>
          <w:rFonts w:hint="eastAsia" w:ascii="黑体" w:eastAsia="黑体"/>
          <w:b/>
          <w:spacing w:val="-10"/>
          <w:sz w:val="21"/>
        </w:rPr>
        <w:t>、</w:t>
      </w:r>
      <w:r>
        <w:rPr>
          <w:rFonts w:hint="eastAsia" w:ascii="黑体" w:eastAsia="黑体"/>
          <w:b/>
          <w:sz w:val="21"/>
        </w:rPr>
        <w:tab/>
      </w:r>
      <w:r>
        <w:rPr>
          <w:rFonts w:hint="eastAsia" w:ascii="黑体" w:eastAsia="黑体"/>
          <w:b/>
          <w:spacing w:val="-2"/>
          <w:sz w:val="21"/>
        </w:rPr>
        <w:t>核爆炸、核辐射或核污染</w:t>
      </w:r>
      <w:r>
        <w:rPr>
          <w:rFonts w:hint="eastAsia" w:ascii="黑体" w:eastAsia="黑体"/>
          <w:b/>
          <w:spacing w:val="-10"/>
          <w:sz w:val="21"/>
        </w:rPr>
        <w:t>；</w:t>
      </w:r>
    </w:p>
    <w:p>
      <w:pPr>
        <w:tabs>
          <w:tab w:val="left" w:pos="1477"/>
        </w:tabs>
        <w:spacing w:before="43"/>
        <w:ind w:left="218" w:right="0" w:firstLine="0"/>
        <w:jc w:val="left"/>
        <w:rPr>
          <w:rFonts w:hint="eastAsia" w:ascii="黑体" w:eastAsia="黑体"/>
          <w:b/>
          <w:sz w:val="21"/>
        </w:rPr>
      </w:pPr>
      <w:r>
        <w:rPr>
          <w:rFonts w:hint="eastAsia" w:ascii="黑体" w:eastAsia="黑体"/>
          <w:b/>
          <w:sz w:val="21"/>
        </w:rPr>
        <w:t>二十八</w:t>
      </w:r>
      <w:r>
        <w:rPr>
          <w:rFonts w:hint="eastAsia" w:ascii="黑体" w:eastAsia="黑体"/>
          <w:b/>
          <w:spacing w:val="-10"/>
          <w:sz w:val="21"/>
        </w:rPr>
        <w:t>、</w:t>
      </w:r>
      <w:r>
        <w:rPr>
          <w:rFonts w:hint="eastAsia" w:ascii="黑体" w:eastAsia="黑体"/>
          <w:b/>
          <w:sz w:val="21"/>
        </w:rPr>
        <w:tab/>
      </w:r>
      <w:r>
        <w:rPr>
          <w:rFonts w:hint="eastAsia" w:ascii="黑体" w:eastAsia="黑体"/>
          <w:b/>
          <w:spacing w:val="-2"/>
          <w:sz w:val="21"/>
        </w:rPr>
        <w:t>战争、军事冲突、暴乱或武装叛乱</w:t>
      </w:r>
      <w:r>
        <w:rPr>
          <w:rFonts w:hint="eastAsia" w:ascii="黑体" w:eastAsia="黑体"/>
          <w:b/>
          <w:spacing w:val="-10"/>
          <w:sz w:val="21"/>
        </w:rPr>
        <w:t>。</w:t>
      </w:r>
    </w:p>
    <w:p>
      <w:pPr>
        <w:spacing w:before="43" w:line="278" w:lineRule="auto"/>
        <w:ind w:left="218" w:right="755" w:firstLine="424"/>
        <w:jc w:val="left"/>
        <w:rPr>
          <w:rFonts w:hint="eastAsia" w:ascii="黑体" w:eastAsia="黑体"/>
          <w:b/>
          <w:sz w:val="21"/>
        </w:rPr>
      </w:pPr>
      <w:r>
        <w:rPr>
          <w:rFonts w:hint="eastAsia" w:ascii="黑体" w:eastAsia="黑体"/>
          <w:b/>
          <w:spacing w:val="-2"/>
          <w:sz w:val="21"/>
        </w:rPr>
        <w:t>发生上述第（一）项情形导致被保险人身故的，我们对被保险人的保险责任终止，并向除您之外的被保险人的继承人退还现金价值（见第六十三条）。</w:t>
      </w:r>
    </w:p>
    <w:p>
      <w:pPr>
        <w:spacing w:before="0" w:line="278" w:lineRule="auto"/>
        <w:ind w:left="218" w:right="800" w:firstLine="424"/>
        <w:jc w:val="left"/>
        <w:rPr>
          <w:rFonts w:hint="eastAsia" w:ascii="黑体" w:eastAsia="黑体"/>
          <w:b/>
          <w:sz w:val="21"/>
        </w:rPr>
      </w:pPr>
      <w:r>
        <w:rPr>
          <w:rFonts w:hint="eastAsia" w:ascii="黑体" w:eastAsia="黑体"/>
          <w:b/>
          <w:spacing w:val="-2"/>
          <w:sz w:val="21"/>
        </w:rPr>
        <w:t>发生上述其他情形导致被保险人身故的，我们对被保险人的保险责任终止，并向您退还现金价值。</w:t>
      </w:r>
    </w:p>
    <w:p>
      <w:pPr>
        <w:pStyle w:val="2"/>
        <w:spacing w:before="5"/>
        <w:rPr>
          <w:rFonts w:ascii="黑体"/>
          <w:b/>
          <w:sz w:val="24"/>
        </w:rPr>
      </w:pPr>
    </w:p>
    <w:p>
      <w:pPr>
        <w:spacing w:before="0"/>
        <w:ind w:left="2832" w:right="0" w:firstLine="0"/>
        <w:jc w:val="left"/>
        <w:rPr>
          <w:b/>
          <w:sz w:val="21"/>
        </w:rPr>
      </w:pPr>
      <w:r>
        <w:rPr>
          <w:b/>
          <w:spacing w:val="-6"/>
          <w:sz w:val="21"/>
        </w:rPr>
        <w:t>三章 保险金额、保险费及续保</w:t>
      </w:r>
    </w:p>
    <w:p>
      <w:pPr>
        <w:pStyle w:val="2"/>
        <w:spacing w:before="9"/>
        <w:rPr>
          <w:b/>
          <w:sz w:val="27"/>
        </w:rPr>
      </w:pPr>
    </w:p>
    <w:p>
      <w:pPr>
        <w:pStyle w:val="2"/>
        <w:tabs>
          <w:tab w:val="left" w:pos="1477"/>
        </w:tabs>
        <w:ind w:left="218"/>
      </w:pPr>
      <w:r>
        <w:t>七</w:t>
      </w:r>
      <w:r>
        <w:rPr>
          <w:spacing w:val="-10"/>
        </w:rPr>
        <w:t>条</w:t>
      </w:r>
      <w:r>
        <w:tab/>
      </w:r>
      <w:r>
        <w:rPr>
          <w:spacing w:val="-2"/>
        </w:rPr>
        <w:t>保险金</w:t>
      </w:r>
      <w:r>
        <w:rPr>
          <w:spacing w:val="-10"/>
        </w:rPr>
        <w:t>额</w:t>
      </w:r>
    </w:p>
    <w:p>
      <w:pPr>
        <w:spacing w:before="43" w:line="278" w:lineRule="auto"/>
        <w:ind w:left="218" w:right="648" w:firstLine="424"/>
        <w:jc w:val="left"/>
        <w:rPr>
          <w:rFonts w:hint="eastAsia" w:ascii="黑体" w:eastAsia="黑体"/>
          <w:b/>
          <w:sz w:val="21"/>
        </w:rPr>
      </w:pPr>
      <w:r>
        <w:rPr>
          <w:rFonts w:hint="eastAsia" w:ascii="黑体" w:eastAsia="黑体"/>
          <w:b/>
          <w:w w:val="100"/>
          <w:sz w:val="21"/>
        </w:rPr>
        <w:t>本合同的保险金额、年度累计给付限额、给付比例、免赔额、重大疾病住院津贴日额</w:t>
      </w:r>
      <w:r>
        <w:rPr>
          <w:rFonts w:hint="eastAsia" w:ascii="黑体" w:eastAsia="黑体"/>
          <w:b/>
          <w:spacing w:val="-4"/>
          <w:w w:val="100"/>
          <w:sz w:val="21"/>
        </w:rPr>
        <w:t>详见本合同的保障利益表</w:t>
      </w:r>
      <w:r>
        <w:rPr>
          <w:rFonts w:hint="eastAsia" w:ascii="黑体" w:eastAsia="黑体"/>
          <w:b/>
          <w:w w:val="100"/>
          <w:sz w:val="21"/>
        </w:rPr>
        <w:t>（</w:t>
      </w:r>
      <w:r>
        <w:rPr>
          <w:rFonts w:hint="eastAsia" w:ascii="黑体" w:eastAsia="黑体"/>
          <w:b/>
          <w:spacing w:val="-1"/>
          <w:w w:val="100"/>
          <w:sz w:val="21"/>
        </w:rPr>
        <w:t>见第六十九条</w:t>
      </w:r>
      <w:r>
        <w:rPr>
          <w:rFonts w:hint="eastAsia" w:ascii="黑体" w:eastAsia="黑体"/>
          <w:b/>
          <w:spacing w:val="-20"/>
          <w:w w:val="100"/>
          <w:sz w:val="21"/>
        </w:rPr>
        <w:t>），</w:t>
      </w:r>
      <w:r>
        <w:rPr>
          <w:rFonts w:hint="eastAsia" w:ascii="黑体" w:eastAsia="黑体"/>
          <w:b/>
          <w:spacing w:val="-3"/>
          <w:w w:val="100"/>
          <w:sz w:val="21"/>
        </w:rPr>
        <w:t>由您在投保时与我们约定并在保险单上载明。</w:t>
      </w:r>
    </w:p>
    <w:p>
      <w:pPr>
        <w:pStyle w:val="2"/>
        <w:spacing w:before="4"/>
        <w:rPr>
          <w:rFonts w:ascii="黑体"/>
          <w:b/>
          <w:sz w:val="24"/>
        </w:rPr>
      </w:pPr>
    </w:p>
    <w:p>
      <w:pPr>
        <w:pStyle w:val="2"/>
        <w:tabs>
          <w:tab w:val="left" w:pos="1477"/>
        </w:tabs>
        <w:ind w:left="218"/>
      </w:pPr>
      <w:r>
        <w:t>八</w:t>
      </w:r>
      <w:r>
        <w:rPr>
          <w:spacing w:val="-10"/>
        </w:rPr>
        <w:t>条</w:t>
      </w:r>
      <w:r>
        <w:tab/>
      </w:r>
      <w:r>
        <w:rPr>
          <w:spacing w:val="-2"/>
        </w:rPr>
        <w:t>保险费的支</w:t>
      </w:r>
      <w:r>
        <w:rPr>
          <w:spacing w:val="-10"/>
        </w:rPr>
        <w:t>付</w:t>
      </w:r>
    </w:p>
    <w:p>
      <w:pPr>
        <w:pStyle w:val="2"/>
        <w:spacing w:before="43" w:line="278" w:lineRule="auto"/>
        <w:ind w:left="638" w:right="1880"/>
      </w:pPr>
      <w:r>
        <w:rPr>
          <w:spacing w:val="-2"/>
        </w:rPr>
        <w:t>本合同的保险费和交费方式由您在投保时与我们约定并在保险单上载明。保险费的交费方式分为年交和月交，由您在投保时选择。</w:t>
      </w:r>
    </w:p>
    <w:p>
      <w:pPr>
        <w:spacing w:before="0" w:line="278" w:lineRule="auto"/>
        <w:ind w:left="218" w:right="755" w:firstLine="419"/>
        <w:jc w:val="left"/>
        <w:rPr>
          <w:rFonts w:hint="eastAsia" w:ascii="黑体" w:eastAsia="黑体"/>
          <w:b/>
          <w:sz w:val="21"/>
        </w:rPr>
      </w:pPr>
      <w:r>
        <w:rPr>
          <w:spacing w:val="-2"/>
          <w:sz w:val="21"/>
        </w:rPr>
        <w:t>您应按本合同约定的保险费的应付日、交费方式等交付本合同的保险费。</w:t>
      </w:r>
      <w:r>
        <w:rPr>
          <w:rFonts w:hint="eastAsia" w:ascii="黑体" w:eastAsia="黑体"/>
          <w:b/>
          <w:spacing w:val="-2"/>
          <w:sz w:val="21"/>
        </w:rPr>
        <w:t>保险费交清前，本合同不生效，对保险费交清前发生的保险事故，我们不承担保险责任。</w:t>
      </w:r>
    </w:p>
    <w:p>
      <w:pPr>
        <w:pStyle w:val="2"/>
        <w:spacing w:before="4"/>
        <w:rPr>
          <w:rFonts w:ascii="黑体"/>
          <w:b/>
          <w:sz w:val="24"/>
        </w:rPr>
      </w:pPr>
    </w:p>
    <w:p>
      <w:pPr>
        <w:pStyle w:val="2"/>
        <w:tabs>
          <w:tab w:val="left" w:pos="1477"/>
        </w:tabs>
        <w:spacing w:line="278" w:lineRule="auto"/>
        <w:ind w:left="218" w:right="6924"/>
      </w:pPr>
      <w:r>
        <w:rPr>
          <w:spacing w:val="-4"/>
        </w:rPr>
        <w:t>九条</w:t>
      </w:r>
      <w:r>
        <w:tab/>
      </w:r>
      <w:r>
        <w:rPr>
          <w:spacing w:val="-4"/>
        </w:rPr>
        <w:t>保证续保</w:t>
      </w:r>
      <w:r>
        <w:t>一</w:t>
      </w:r>
      <w:r>
        <w:rPr>
          <w:spacing w:val="4"/>
        </w:rPr>
        <w:t>、</w:t>
      </w:r>
      <w:r>
        <w:t>保证续保期间</w:t>
      </w:r>
    </w:p>
    <w:p>
      <w:pPr>
        <w:pStyle w:val="2"/>
        <w:spacing w:line="278" w:lineRule="auto"/>
        <w:ind w:left="218" w:right="752" w:firstLine="419"/>
      </w:pPr>
      <w:r>
        <w:rPr>
          <w:spacing w:val="-1"/>
        </w:rPr>
        <w:t xml:space="preserve">若您首次投保本保险，自首次投保本保险的合同生效日起，每 </w:t>
      </w:r>
      <w:r>
        <w:t>6</w:t>
      </w:r>
      <w:r>
        <w:rPr>
          <w:spacing w:val="-5"/>
        </w:rPr>
        <w:t xml:space="preserve"> 年为一个保证续保期</w:t>
      </w:r>
      <w:r>
        <w:rPr>
          <w:spacing w:val="-6"/>
        </w:rPr>
        <w:t>间；</w:t>
      </w:r>
    </w:p>
    <w:p>
      <w:pPr>
        <w:pStyle w:val="2"/>
        <w:spacing w:line="278" w:lineRule="auto"/>
        <w:ind w:left="218" w:right="752" w:firstLine="419"/>
      </w:pPr>
      <w:r>
        <w:rPr>
          <w:spacing w:val="-1"/>
        </w:rPr>
        <w:t xml:space="preserve">若您非连续投保本保险，则自非连续投保本保险的合同生效日起，每 </w:t>
      </w:r>
      <w:r>
        <w:t>6</w:t>
      </w:r>
      <w:r>
        <w:rPr>
          <w:spacing w:val="-5"/>
        </w:rPr>
        <w:t xml:space="preserve"> 年为一个保证</w:t>
      </w:r>
      <w:r>
        <w:rPr>
          <w:spacing w:val="-2"/>
        </w:rPr>
        <w:t>续保期间。</w:t>
      </w:r>
    </w:p>
    <w:p>
      <w:pPr>
        <w:pStyle w:val="2"/>
        <w:spacing w:before="4"/>
        <w:rPr>
          <w:sz w:val="24"/>
        </w:rPr>
      </w:pPr>
    </w:p>
    <w:p>
      <w:pPr>
        <w:pStyle w:val="2"/>
        <w:ind w:left="218"/>
      </w:pPr>
      <w:r>
        <w:rPr>
          <w:spacing w:val="-2"/>
        </w:rPr>
        <w:t>二、保证续保权</w:t>
      </w:r>
    </w:p>
    <w:p>
      <w:pPr>
        <w:pStyle w:val="2"/>
        <w:spacing w:before="44"/>
        <w:ind w:left="654"/>
      </w:pPr>
      <w:r>
        <w:rPr>
          <w:spacing w:val="-3"/>
        </w:rPr>
        <w:t>在保证续保期间内，您享有如下保证续保权：</w:t>
      </w:r>
    </w:p>
    <w:p>
      <w:pPr>
        <w:pStyle w:val="6"/>
        <w:numPr>
          <w:ilvl w:val="0"/>
          <w:numId w:val="7"/>
        </w:numPr>
        <w:tabs>
          <w:tab w:val="left" w:pos="535"/>
        </w:tabs>
        <w:spacing w:before="43" w:after="0" w:line="278" w:lineRule="auto"/>
        <w:ind w:left="218" w:right="754" w:firstLine="0"/>
        <w:jc w:val="left"/>
        <w:rPr>
          <w:sz w:val="21"/>
        </w:rPr>
      </w:pPr>
      <w:r>
        <w:rPr>
          <w:spacing w:val="-2"/>
          <w:sz w:val="21"/>
        </w:rPr>
        <w:t>每个保证续保期间内，您按该保证续保期初约定的费率表依被保险人年龄变化交纳相应的保险费；</w:t>
      </w:r>
    </w:p>
    <w:p>
      <w:pPr>
        <w:pStyle w:val="6"/>
        <w:numPr>
          <w:ilvl w:val="0"/>
          <w:numId w:val="7"/>
        </w:numPr>
        <w:tabs>
          <w:tab w:val="left" w:pos="535"/>
        </w:tabs>
        <w:spacing w:before="0" w:after="0" w:line="278" w:lineRule="auto"/>
        <w:ind w:left="218" w:right="751" w:firstLine="0"/>
        <w:jc w:val="left"/>
        <w:rPr>
          <w:sz w:val="21"/>
        </w:rPr>
      </w:pPr>
      <w:r>
        <w:rPr>
          <w:spacing w:val="-2"/>
          <w:sz w:val="21"/>
        </w:rPr>
        <w:t>每个保证续保期间内，我们不因被保险人的健康状况或历史理赔情况而拒绝您的续保申</w:t>
      </w:r>
      <w:r>
        <w:rPr>
          <w:spacing w:val="-6"/>
          <w:sz w:val="21"/>
        </w:rPr>
        <w:t>请；</w:t>
      </w:r>
    </w:p>
    <w:p>
      <w:pPr>
        <w:pStyle w:val="6"/>
        <w:numPr>
          <w:ilvl w:val="0"/>
          <w:numId w:val="7"/>
        </w:numPr>
        <w:tabs>
          <w:tab w:val="left" w:pos="535"/>
        </w:tabs>
        <w:spacing w:before="0" w:after="0" w:line="269" w:lineRule="exact"/>
        <w:ind w:left="534" w:right="0" w:hanging="317"/>
        <w:jc w:val="left"/>
        <w:rPr>
          <w:sz w:val="21"/>
        </w:rPr>
      </w:pPr>
      <w:r>
        <w:rPr>
          <w:spacing w:val="-3"/>
          <w:sz w:val="21"/>
        </w:rPr>
        <w:t>每个保证续保期间内，您的保证续保权不因本保险的统一停售而终止。</w:t>
      </w:r>
    </w:p>
    <w:p>
      <w:pPr>
        <w:pStyle w:val="2"/>
        <w:spacing w:before="8"/>
        <w:rPr>
          <w:sz w:val="27"/>
        </w:rPr>
      </w:pPr>
    </w:p>
    <w:p>
      <w:pPr>
        <w:pStyle w:val="2"/>
        <w:ind w:left="218"/>
      </w:pPr>
      <w:r>
        <w:rPr>
          <w:spacing w:val="-2"/>
        </w:rPr>
        <w:t>三、保证续保权终止</w:t>
      </w:r>
    </w:p>
    <w:p>
      <w:pPr>
        <w:spacing w:before="43"/>
        <w:ind w:left="654" w:right="0" w:firstLine="0"/>
        <w:jc w:val="left"/>
        <w:rPr>
          <w:rFonts w:hint="eastAsia" w:ascii="黑体" w:eastAsia="黑体"/>
          <w:b/>
          <w:sz w:val="21"/>
        </w:rPr>
      </w:pPr>
      <w:r>
        <w:rPr>
          <w:rFonts w:hint="eastAsia" w:ascii="黑体" w:eastAsia="黑体"/>
          <w:b/>
          <w:spacing w:val="-3"/>
          <w:sz w:val="21"/>
        </w:rPr>
        <w:t>在保证续保期间内，若被保险人发生下列情形之一，我们不再接受续保：</w:t>
      </w:r>
    </w:p>
    <w:p>
      <w:pPr>
        <w:pStyle w:val="6"/>
        <w:numPr>
          <w:ilvl w:val="0"/>
          <w:numId w:val="8"/>
        </w:numPr>
        <w:tabs>
          <w:tab w:val="left" w:pos="535"/>
        </w:tabs>
        <w:spacing w:before="43" w:after="0" w:line="240" w:lineRule="auto"/>
        <w:ind w:left="534" w:right="0" w:hanging="317"/>
        <w:jc w:val="left"/>
        <w:rPr>
          <w:rFonts w:hint="eastAsia" w:ascii="黑体" w:eastAsia="黑体"/>
          <w:b/>
          <w:sz w:val="21"/>
        </w:rPr>
      </w:pPr>
      <w:r>
        <w:rPr>
          <w:rFonts w:hint="eastAsia" w:ascii="黑体" w:eastAsia="黑体"/>
          <w:b/>
          <w:spacing w:val="-3"/>
          <w:sz w:val="21"/>
        </w:rPr>
        <w:t>您在本合同保险期间届满之前向我们提出停止续保申请；</w:t>
      </w:r>
    </w:p>
    <w:p>
      <w:pPr>
        <w:pStyle w:val="6"/>
        <w:numPr>
          <w:ilvl w:val="0"/>
          <w:numId w:val="8"/>
        </w:numPr>
        <w:tabs>
          <w:tab w:val="left" w:pos="535"/>
        </w:tabs>
        <w:spacing w:before="44" w:after="0" w:line="240" w:lineRule="auto"/>
        <w:ind w:left="534" w:right="0" w:hanging="317"/>
        <w:jc w:val="left"/>
        <w:rPr>
          <w:rFonts w:hint="eastAsia" w:ascii="黑体" w:eastAsia="黑体"/>
          <w:b/>
          <w:sz w:val="21"/>
        </w:rPr>
      </w:pPr>
      <w:r>
        <w:rPr>
          <w:rFonts w:hint="eastAsia" w:ascii="黑体" w:eastAsia="黑体"/>
          <w:b/>
          <w:spacing w:val="-3"/>
          <w:sz w:val="21"/>
        </w:rPr>
        <w:t>被保险人续保时的年龄超过本合同规定的最高续保年龄；</w:t>
      </w:r>
    </w:p>
    <w:p>
      <w:pPr>
        <w:pStyle w:val="6"/>
        <w:numPr>
          <w:ilvl w:val="0"/>
          <w:numId w:val="8"/>
        </w:numPr>
        <w:tabs>
          <w:tab w:val="left" w:pos="535"/>
        </w:tabs>
        <w:spacing w:before="43" w:after="0" w:line="240" w:lineRule="auto"/>
        <w:ind w:left="534" w:right="0" w:hanging="317"/>
        <w:jc w:val="left"/>
        <w:rPr>
          <w:rFonts w:hint="eastAsia" w:ascii="黑体" w:eastAsia="黑体"/>
          <w:b/>
          <w:sz w:val="21"/>
        </w:rPr>
      </w:pPr>
      <w:r>
        <w:rPr>
          <w:rFonts w:hint="eastAsia" w:ascii="黑体" w:eastAsia="黑体"/>
          <w:b/>
          <w:spacing w:val="-6"/>
          <w:sz w:val="21"/>
        </w:rPr>
        <w:t>您于保险期间届满之前或在本合同约定的交费宽限期内，未按照续保当时被保险人的年</w:t>
      </w:r>
    </w:p>
    <w:p>
      <w:pPr>
        <w:spacing w:after="0" w:line="240" w:lineRule="auto"/>
        <w:jc w:val="left"/>
        <w:rPr>
          <w:rFonts w:hint="eastAsia" w:ascii="黑体" w:eastAsia="黑体"/>
          <w:sz w:val="21"/>
        </w:rPr>
        <w:sectPr>
          <w:pgSz w:w="11910" w:h="16840"/>
          <w:pgMar w:top="1400" w:right="1080" w:bottom="1320" w:left="1580" w:header="0" w:footer="1137" w:gutter="0"/>
          <w:cols w:space="720" w:num="1"/>
        </w:sectPr>
      </w:pPr>
    </w:p>
    <w:p>
      <w:pPr>
        <w:spacing w:before="44" w:line="278" w:lineRule="auto"/>
        <w:ind w:left="218" w:right="749" w:firstLine="0"/>
        <w:jc w:val="left"/>
        <w:rPr>
          <w:rFonts w:hint="eastAsia" w:ascii="黑体" w:eastAsia="黑体"/>
          <w:b/>
          <w:sz w:val="21"/>
        </w:rPr>
      </w:pPr>
      <w:r>
        <w:rPr>
          <w:rFonts w:hint="eastAsia" w:ascii="黑体" w:eastAsia="黑体"/>
          <w:b/>
          <w:spacing w:val="-2"/>
          <w:sz w:val="21"/>
        </w:rPr>
        <w:t>龄、有无基本医疗保险等所对应的保险费率和本合同约定的保险费交费方式交清相应的续期保险费；</w:t>
      </w:r>
    </w:p>
    <w:p>
      <w:pPr>
        <w:pStyle w:val="6"/>
        <w:numPr>
          <w:ilvl w:val="0"/>
          <w:numId w:val="8"/>
        </w:numPr>
        <w:tabs>
          <w:tab w:val="left" w:pos="535"/>
        </w:tabs>
        <w:spacing w:before="0" w:after="0" w:line="269" w:lineRule="exact"/>
        <w:ind w:left="534" w:right="0" w:hanging="317"/>
        <w:jc w:val="left"/>
        <w:rPr>
          <w:rFonts w:hint="eastAsia" w:ascii="黑体" w:eastAsia="黑体"/>
          <w:b/>
          <w:sz w:val="21"/>
        </w:rPr>
      </w:pPr>
      <w:r>
        <w:rPr>
          <w:rFonts w:hint="eastAsia" w:ascii="黑体" w:eastAsia="黑体"/>
          <w:b/>
          <w:spacing w:val="-3"/>
          <w:sz w:val="21"/>
        </w:rPr>
        <w:t>如您未履行如实告知义务，我们有权终止您的保证续保权。</w:t>
      </w:r>
    </w:p>
    <w:p>
      <w:pPr>
        <w:pStyle w:val="2"/>
        <w:spacing w:before="9"/>
        <w:rPr>
          <w:rFonts w:ascii="黑体"/>
          <w:b/>
          <w:sz w:val="27"/>
        </w:rPr>
      </w:pPr>
    </w:p>
    <w:p>
      <w:pPr>
        <w:pStyle w:val="2"/>
        <w:spacing w:before="1"/>
        <w:ind w:left="218"/>
        <w:jc w:val="both"/>
      </w:pPr>
      <w:r>
        <w:t>十条</w:t>
      </w:r>
      <w:r>
        <w:rPr>
          <w:spacing w:val="504"/>
        </w:rPr>
        <w:t xml:space="preserve"> </w:t>
      </w:r>
      <w:r>
        <w:rPr>
          <w:spacing w:val="-1"/>
        </w:rPr>
        <w:t>保证续保期间届满时的续保</w:t>
      </w:r>
    </w:p>
    <w:p>
      <w:pPr>
        <w:pStyle w:val="2"/>
        <w:spacing w:before="42" w:line="278" w:lineRule="auto"/>
        <w:ind w:left="218" w:right="752" w:firstLine="419"/>
        <w:jc w:val="both"/>
      </w:pPr>
      <w:r>
        <w:rPr>
          <w:spacing w:val="-2"/>
        </w:rPr>
        <w:t>每个保证续保期间届满时，如果您向我们提出续保申请，经我们审核同意，且您按续保当时被保险人的年龄所对应的保险费率和本合同约定的保险费交费方式交清相应的续期保险费后，我们将根据本合同的约定继续承担相应的保险责任。</w:t>
      </w:r>
    </w:p>
    <w:p>
      <w:pPr>
        <w:spacing w:before="0" w:line="278" w:lineRule="auto"/>
        <w:ind w:left="218" w:right="749" w:firstLine="422"/>
        <w:jc w:val="both"/>
        <w:rPr>
          <w:rFonts w:hint="eastAsia" w:ascii="黑体" w:eastAsia="黑体"/>
          <w:b/>
          <w:sz w:val="21"/>
        </w:rPr>
      </w:pPr>
      <w:r>
        <w:rPr>
          <w:rFonts w:hint="eastAsia" w:ascii="黑体" w:eastAsia="黑体"/>
          <w:b/>
          <w:spacing w:val="-2"/>
          <w:sz w:val="21"/>
        </w:rPr>
        <w:t>保证续保期间届满后，若本保险统一停售，我们将不再接受续保，但您可以重新投保我们指定的其他医疗保险产品，经我们审核同意，我们将接受您重新投保我们指定的其他医疗保险产品的申请，重新投保的合同无等待期。</w:t>
      </w:r>
    </w:p>
    <w:p>
      <w:pPr>
        <w:pStyle w:val="2"/>
        <w:spacing w:before="5"/>
        <w:rPr>
          <w:rFonts w:ascii="黑体"/>
          <w:b/>
          <w:sz w:val="24"/>
        </w:rPr>
      </w:pPr>
    </w:p>
    <w:p>
      <w:pPr>
        <w:pStyle w:val="2"/>
        <w:spacing w:line="278" w:lineRule="auto"/>
        <w:ind w:left="218" w:right="7132"/>
        <w:jc w:val="both"/>
      </w:pPr>
      <w:r>
        <w:rPr>
          <w:spacing w:val="39"/>
        </w:rPr>
        <w:t>十一条 宽限期</w:t>
      </w:r>
      <w:r>
        <w:t>一、 年交方式</w:t>
      </w:r>
    </w:p>
    <w:p>
      <w:pPr>
        <w:pStyle w:val="2"/>
        <w:spacing w:line="278" w:lineRule="auto"/>
        <w:ind w:left="218" w:right="752" w:firstLine="419"/>
        <w:jc w:val="both"/>
      </w:pPr>
      <w:r>
        <w:rPr>
          <w:spacing w:val="-2"/>
        </w:rPr>
        <w:t>您应按本合同约定的保险费的应付日或应付日前交付本合同的保险费。若您未按约定交付保险费，自上一保险期间届满日的次日零时起六十日为宽限期。宽限期内本合同继续有效，若被保险人发生保险事故，我们仍承担保险责任，但给付保险金时须扣除已到期而未交的保险费。</w:t>
      </w:r>
    </w:p>
    <w:p>
      <w:pPr>
        <w:spacing w:before="0" w:line="278" w:lineRule="auto"/>
        <w:ind w:left="218" w:right="648" w:firstLine="422"/>
        <w:jc w:val="both"/>
        <w:rPr>
          <w:rFonts w:hint="eastAsia" w:ascii="黑体" w:eastAsia="黑体"/>
          <w:b/>
          <w:sz w:val="21"/>
        </w:rPr>
      </w:pPr>
      <w:r>
        <w:rPr>
          <w:rFonts w:hint="eastAsia" w:ascii="黑体" w:eastAsia="黑体"/>
          <w:b/>
          <w:spacing w:val="-3"/>
          <w:sz w:val="21"/>
        </w:rPr>
        <w:t xml:space="preserve">如果您在宽限期届满时仍未交清保险费，则本合同自宽限期满日的 </w:t>
      </w:r>
      <w:r>
        <w:rPr>
          <w:rFonts w:hint="eastAsia" w:ascii="黑体" w:eastAsia="黑体"/>
          <w:b/>
          <w:spacing w:val="-2"/>
          <w:sz w:val="21"/>
        </w:rPr>
        <w:t>24 时起效力中止。本合同效力中止期间，我们对所发生的保险事故不承担给付保险金的责任。</w:t>
      </w:r>
    </w:p>
    <w:p>
      <w:pPr>
        <w:pStyle w:val="2"/>
        <w:spacing w:line="278" w:lineRule="auto"/>
        <w:ind w:left="218" w:right="754" w:firstLine="419"/>
      </w:pPr>
      <w:r>
        <w:rPr>
          <w:spacing w:val="-2"/>
        </w:rPr>
        <w:t>自本合同效力中止之日起至保险期间届满前，您可书面申请恢复本合同效力。您交清所欠交的保险费，经我们审核同意并于保险单上批注后的次日零时起，本合同效力恢复。</w:t>
      </w:r>
    </w:p>
    <w:p>
      <w:pPr>
        <w:spacing w:before="0"/>
        <w:ind w:left="640" w:right="0" w:firstLine="0"/>
        <w:jc w:val="left"/>
        <w:rPr>
          <w:rFonts w:hint="eastAsia" w:ascii="黑体" w:eastAsia="黑体"/>
          <w:b/>
          <w:sz w:val="21"/>
        </w:rPr>
      </w:pPr>
      <w:r>
        <w:rPr>
          <w:rFonts w:hint="eastAsia" w:ascii="黑体" w:eastAsia="黑体"/>
          <w:b/>
          <w:spacing w:val="-3"/>
          <w:sz w:val="21"/>
        </w:rPr>
        <w:t>自本合同效力中止之日起至保险期间届满日止仍未达成协议的，本合同效力终止。</w:t>
      </w:r>
    </w:p>
    <w:p>
      <w:pPr>
        <w:pStyle w:val="2"/>
        <w:spacing w:before="8"/>
        <w:rPr>
          <w:rFonts w:ascii="黑体"/>
          <w:b/>
          <w:sz w:val="27"/>
        </w:rPr>
      </w:pPr>
    </w:p>
    <w:p>
      <w:pPr>
        <w:pStyle w:val="2"/>
        <w:ind w:left="218"/>
        <w:jc w:val="both"/>
      </w:pPr>
      <w:r>
        <w:rPr>
          <w:spacing w:val="-4"/>
        </w:rPr>
        <w:t>二、 月交方式</w:t>
      </w:r>
    </w:p>
    <w:p>
      <w:pPr>
        <w:pStyle w:val="2"/>
        <w:spacing w:before="43" w:line="278" w:lineRule="auto"/>
        <w:ind w:left="218" w:right="752" w:firstLine="419"/>
        <w:jc w:val="both"/>
      </w:pPr>
      <w:r>
        <w:rPr>
          <w:spacing w:val="-2"/>
        </w:rPr>
        <w:t>在保险期间内，除本合同另有约定外，若您到期未支付保险费，自催告之日的次日零</w:t>
      </w:r>
      <w:r>
        <w:rPr>
          <w:spacing w:val="-4"/>
        </w:rPr>
        <w:t>时起 30 日为宽限期。宽限期内本合同继续有效，若被保险人发生保险事故，我们仍承担保</w:t>
      </w:r>
      <w:r>
        <w:rPr>
          <w:spacing w:val="-2"/>
        </w:rPr>
        <w:t>险责任，但给付保险金时须扣除已到期而未交的保险费。</w:t>
      </w:r>
    </w:p>
    <w:p>
      <w:pPr>
        <w:spacing w:before="0" w:line="278" w:lineRule="auto"/>
        <w:ind w:left="218" w:right="648" w:firstLine="422"/>
        <w:jc w:val="both"/>
        <w:rPr>
          <w:rFonts w:hint="eastAsia" w:ascii="黑体" w:eastAsia="黑体"/>
          <w:b/>
          <w:sz w:val="21"/>
        </w:rPr>
      </w:pPr>
      <w:r>
        <w:rPr>
          <w:rFonts w:hint="eastAsia" w:ascii="黑体" w:eastAsia="黑体"/>
          <w:b/>
          <w:spacing w:val="-3"/>
          <w:sz w:val="21"/>
        </w:rPr>
        <w:t xml:space="preserve">如果您在宽限期届满时仍未交清保险费，则本合同自宽限期满日的 </w:t>
      </w:r>
      <w:r>
        <w:rPr>
          <w:rFonts w:hint="eastAsia" w:ascii="黑体" w:eastAsia="黑体"/>
          <w:b/>
          <w:spacing w:val="-2"/>
          <w:sz w:val="21"/>
        </w:rPr>
        <w:t>24 时起效力中止。本合同效力中止期间，我们对所发生的保险事故不承担给付保险金的责任。</w:t>
      </w:r>
    </w:p>
    <w:p>
      <w:pPr>
        <w:pStyle w:val="2"/>
        <w:spacing w:line="278" w:lineRule="auto"/>
        <w:ind w:left="218" w:right="754" w:firstLine="419"/>
      </w:pPr>
      <w:r>
        <w:rPr>
          <w:spacing w:val="-2"/>
        </w:rPr>
        <w:t>自本合同效力中止之日起至保险期间届满前，您可书面申请恢复本合同效力。您交清所欠交的保险费，经我们审核同意并于保险单上批注后的次日零时起，本合同效力恢复。</w:t>
      </w:r>
    </w:p>
    <w:p>
      <w:pPr>
        <w:spacing w:before="0"/>
        <w:ind w:left="640" w:right="0" w:firstLine="0"/>
        <w:jc w:val="left"/>
        <w:rPr>
          <w:rFonts w:hint="eastAsia" w:ascii="黑体" w:eastAsia="黑体"/>
          <w:b/>
          <w:sz w:val="21"/>
        </w:rPr>
      </w:pPr>
      <w:r>
        <w:rPr>
          <w:rFonts w:hint="eastAsia" w:ascii="黑体" w:eastAsia="黑体"/>
          <w:b/>
          <w:spacing w:val="-3"/>
          <w:sz w:val="21"/>
        </w:rPr>
        <w:t>自本合同效力中止之日起至保险期间届满日止仍未达成协议的，本合同效力终止。</w:t>
      </w:r>
    </w:p>
    <w:p>
      <w:pPr>
        <w:pStyle w:val="2"/>
        <w:spacing w:before="9"/>
        <w:rPr>
          <w:rFonts w:ascii="黑体"/>
          <w:b/>
          <w:sz w:val="27"/>
        </w:rPr>
      </w:pPr>
    </w:p>
    <w:p>
      <w:pPr>
        <w:spacing w:before="0"/>
        <w:ind w:left="1989" w:right="0" w:firstLine="0"/>
        <w:jc w:val="left"/>
        <w:rPr>
          <w:b/>
          <w:sz w:val="21"/>
        </w:rPr>
      </w:pPr>
      <w:r>
        <w:rPr>
          <w:b/>
          <w:spacing w:val="-6"/>
          <w:sz w:val="21"/>
        </w:rPr>
        <w:t>四章 保险期间、保险合同成立与生效、合同解除</w:t>
      </w:r>
    </w:p>
    <w:p>
      <w:pPr>
        <w:pStyle w:val="2"/>
        <w:spacing w:before="9"/>
        <w:rPr>
          <w:b/>
          <w:sz w:val="27"/>
        </w:rPr>
      </w:pPr>
    </w:p>
    <w:p>
      <w:pPr>
        <w:pStyle w:val="2"/>
        <w:tabs>
          <w:tab w:val="left" w:pos="1477"/>
        </w:tabs>
        <w:ind w:left="218"/>
      </w:pPr>
      <w:r>
        <w:rPr>
          <w:spacing w:val="-2"/>
        </w:rPr>
        <w:t>十二</w:t>
      </w:r>
      <w:r>
        <w:rPr>
          <w:spacing w:val="-10"/>
        </w:rPr>
        <w:t>条</w:t>
      </w:r>
      <w:r>
        <w:tab/>
      </w:r>
      <w:r>
        <w:rPr>
          <w:spacing w:val="-2"/>
        </w:rPr>
        <w:t>保险期</w:t>
      </w:r>
      <w:r>
        <w:rPr>
          <w:spacing w:val="-10"/>
        </w:rPr>
        <w:t>间</w:t>
      </w:r>
    </w:p>
    <w:p>
      <w:pPr>
        <w:pStyle w:val="2"/>
        <w:spacing w:before="43"/>
        <w:ind w:left="638"/>
      </w:pPr>
      <w:r>
        <w:rPr>
          <w:spacing w:val="-3"/>
        </w:rPr>
        <w:t>本合同的保险期间为一年。</w:t>
      </w:r>
    </w:p>
    <w:p>
      <w:pPr>
        <w:pStyle w:val="2"/>
        <w:spacing w:before="9"/>
        <w:rPr>
          <w:sz w:val="27"/>
        </w:rPr>
      </w:pPr>
    </w:p>
    <w:p>
      <w:pPr>
        <w:pStyle w:val="2"/>
        <w:tabs>
          <w:tab w:val="left" w:pos="1477"/>
        </w:tabs>
        <w:ind w:left="218"/>
      </w:pPr>
      <w:r>
        <w:rPr>
          <w:spacing w:val="-2"/>
        </w:rPr>
        <w:t>十三</w:t>
      </w:r>
      <w:r>
        <w:rPr>
          <w:spacing w:val="-10"/>
        </w:rPr>
        <w:t>条</w:t>
      </w:r>
      <w:r>
        <w:tab/>
      </w:r>
      <w:r>
        <w:rPr>
          <w:spacing w:val="-2"/>
        </w:rPr>
        <w:t>保险合同成立与生</w:t>
      </w:r>
      <w:r>
        <w:rPr>
          <w:spacing w:val="-10"/>
        </w:rPr>
        <w:t>效</w:t>
      </w:r>
    </w:p>
    <w:p>
      <w:pPr>
        <w:pStyle w:val="2"/>
        <w:spacing w:before="43" w:line="278" w:lineRule="auto"/>
        <w:ind w:left="218" w:right="753" w:firstLine="419"/>
      </w:pPr>
      <w:r>
        <w:rPr>
          <w:spacing w:val="-2"/>
        </w:rPr>
        <w:t>您提出保险申请、我们同意承保，本合同成立，我们将签发保险单作为本合同成立的</w:t>
      </w:r>
      <w:r>
        <w:rPr>
          <w:spacing w:val="-4"/>
        </w:rPr>
        <w:t>标志。</w:t>
      </w:r>
    </w:p>
    <w:p>
      <w:pPr>
        <w:pStyle w:val="2"/>
        <w:spacing w:line="278" w:lineRule="auto"/>
        <w:ind w:left="638" w:right="646"/>
      </w:pPr>
      <w:r>
        <w:rPr>
          <w:spacing w:val="-2"/>
        </w:rPr>
        <w:t>除本合同另有约定外，本合同自我们收到保险费并签发保险单的次日零时起开始生效。本合同的生效日载明于保险单上。</w:t>
      </w:r>
    </w:p>
    <w:p>
      <w:pPr>
        <w:spacing w:after="0" w:line="278" w:lineRule="auto"/>
        <w:sectPr>
          <w:pgSz w:w="11910" w:h="16840"/>
          <w:pgMar w:top="1400" w:right="1080" w:bottom="1320" w:left="1580" w:header="0" w:footer="1137" w:gutter="0"/>
          <w:cols w:space="720" w:num="1"/>
        </w:sectPr>
      </w:pPr>
    </w:p>
    <w:p>
      <w:pPr>
        <w:pStyle w:val="2"/>
        <w:spacing w:before="44" w:line="278" w:lineRule="auto"/>
        <w:ind w:left="218" w:right="756" w:firstLine="419"/>
      </w:pPr>
      <w:r>
        <w:rPr>
          <w:spacing w:val="-2"/>
        </w:rPr>
        <w:t>保险单周年日、保险单年度、保险单月份、保险费应付日和保险合同满期日均以生效日为基准计算。</w:t>
      </w:r>
    </w:p>
    <w:p>
      <w:pPr>
        <w:pStyle w:val="2"/>
        <w:spacing w:line="269" w:lineRule="exact"/>
        <w:ind w:left="638"/>
      </w:pPr>
      <w:r>
        <w:rPr>
          <w:spacing w:val="-3"/>
        </w:rPr>
        <w:t>除本合同另有约定外，我们自生效日零时起开始承担保险责任。</w:t>
      </w:r>
    </w:p>
    <w:p>
      <w:pPr>
        <w:pStyle w:val="2"/>
        <w:spacing w:before="9"/>
        <w:rPr>
          <w:sz w:val="27"/>
        </w:rPr>
      </w:pPr>
    </w:p>
    <w:p>
      <w:pPr>
        <w:pStyle w:val="2"/>
        <w:tabs>
          <w:tab w:val="left" w:pos="1477"/>
        </w:tabs>
        <w:spacing w:before="1"/>
        <w:ind w:left="218"/>
      </w:pPr>
      <w:r>
        <w:rPr>
          <w:spacing w:val="-2"/>
        </w:rPr>
        <w:t>十四</w:t>
      </w:r>
      <w:r>
        <w:rPr>
          <w:spacing w:val="-10"/>
        </w:rPr>
        <w:t>条</w:t>
      </w:r>
      <w:r>
        <w:tab/>
      </w:r>
      <w:r>
        <w:rPr>
          <w:spacing w:val="-2"/>
        </w:rPr>
        <w:t>您解除合同的手续与风</w:t>
      </w:r>
      <w:r>
        <w:rPr>
          <w:spacing w:val="-10"/>
        </w:rPr>
        <w:t>险</w:t>
      </w:r>
    </w:p>
    <w:p>
      <w:pPr>
        <w:pStyle w:val="2"/>
        <w:spacing w:before="42" w:line="278" w:lineRule="auto"/>
        <w:ind w:left="218" w:right="1668" w:firstLine="419"/>
      </w:pPr>
      <w:r>
        <w:rPr>
          <w:spacing w:val="-2"/>
        </w:rPr>
        <w:t>在本合同有效期内，您在犹豫期后可以申请解除本合同，请出具下列文件：一、解除合同申请书；</w:t>
      </w:r>
    </w:p>
    <w:p>
      <w:pPr>
        <w:spacing w:before="0" w:line="269" w:lineRule="exact"/>
        <w:ind w:left="218" w:right="0" w:firstLine="0"/>
        <w:jc w:val="left"/>
        <w:rPr>
          <w:sz w:val="21"/>
        </w:rPr>
      </w:pPr>
      <w:r>
        <w:rPr>
          <w:spacing w:val="-2"/>
          <w:sz w:val="21"/>
        </w:rPr>
        <w:t>二、您的</w:t>
      </w:r>
      <w:r>
        <w:rPr>
          <w:b/>
          <w:spacing w:val="-2"/>
          <w:sz w:val="21"/>
        </w:rPr>
        <w:t>有效身份证件</w:t>
      </w:r>
      <w:r>
        <w:rPr>
          <w:spacing w:val="-2"/>
          <w:sz w:val="21"/>
        </w:rPr>
        <w:t>（见六十四条</w:t>
      </w:r>
      <w:r>
        <w:rPr>
          <w:spacing w:val="-108"/>
          <w:sz w:val="21"/>
        </w:rPr>
        <w:t>）</w:t>
      </w:r>
      <w:r>
        <w:rPr>
          <w:spacing w:val="-10"/>
          <w:sz w:val="21"/>
        </w:rPr>
        <w:t>。</w:t>
      </w:r>
    </w:p>
    <w:p>
      <w:pPr>
        <w:pStyle w:val="2"/>
        <w:spacing w:before="43" w:line="278" w:lineRule="auto"/>
        <w:ind w:left="218" w:right="754" w:firstLine="419"/>
      </w:pPr>
      <w:r>
        <w:rPr>
          <w:spacing w:val="-2"/>
        </w:rPr>
        <w:t>自我们收到解除合同申请书时，本合同终止。我们自收到解除合同通知书之日起三十日内，向您退还本合同的现金价值。</w:t>
      </w:r>
    </w:p>
    <w:p>
      <w:pPr>
        <w:spacing w:before="0" w:line="269" w:lineRule="exact"/>
        <w:ind w:left="640" w:right="0" w:firstLine="0"/>
        <w:jc w:val="left"/>
        <w:rPr>
          <w:rFonts w:hint="eastAsia" w:ascii="黑体" w:eastAsia="黑体"/>
          <w:b/>
          <w:sz w:val="21"/>
        </w:rPr>
      </w:pPr>
      <w:r>
        <w:rPr>
          <w:rFonts w:hint="eastAsia" w:ascii="黑体" w:eastAsia="黑体"/>
          <w:b/>
          <w:spacing w:val="-3"/>
          <w:sz w:val="21"/>
        </w:rPr>
        <w:t>您申请解除合同会遭受一定的损失。</w:t>
      </w:r>
    </w:p>
    <w:p>
      <w:pPr>
        <w:spacing w:before="44"/>
        <w:ind w:left="640" w:right="0" w:firstLine="0"/>
        <w:jc w:val="left"/>
        <w:rPr>
          <w:rFonts w:hint="eastAsia" w:ascii="黑体" w:eastAsia="黑体"/>
          <w:b/>
          <w:sz w:val="21"/>
        </w:rPr>
      </w:pPr>
      <w:r>
        <w:rPr>
          <w:rFonts w:hint="eastAsia" w:ascii="黑体" w:eastAsia="黑体"/>
          <w:b/>
          <w:spacing w:val="-3"/>
          <w:sz w:val="21"/>
        </w:rPr>
        <w:t>若您已领取过保险金，则不得申请解除本合同。</w:t>
      </w:r>
    </w:p>
    <w:p>
      <w:pPr>
        <w:pStyle w:val="2"/>
        <w:spacing w:before="9"/>
        <w:rPr>
          <w:rFonts w:ascii="黑体"/>
          <w:b/>
          <w:sz w:val="27"/>
        </w:rPr>
      </w:pPr>
    </w:p>
    <w:p>
      <w:pPr>
        <w:spacing w:before="0"/>
        <w:ind w:left="2263" w:right="2799" w:firstLine="0"/>
        <w:jc w:val="center"/>
        <w:rPr>
          <w:b/>
          <w:sz w:val="21"/>
        </w:rPr>
      </w:pPr>
      <w:r>
        <w:rPr>
          <w:b/>
          <w:spacing w:val="-6"/>
          <w:sz w:val="21"/>
        </w:rPr>
        <w:t>五章 保险金申请</w:t>
      </w:r>
    </w:p>
    <w:p>
      <w:pPr>
        <w:pStyle w:val="2"/>
        <w:spacing w:before="9"/>
        <w:rPr>
          <w:b/>
          <w:sz w:val="27"/>
        </w:rPr>
      </w:pPr>
    </w:p>
    <w:p>
      <w:pPr>
        <w:pStyle w:val="2"/>
        <w:tabs>
          <w:tab w:val="left" w:pos="1477"/>
        </w:tabs>
        <w:ind w:left="218"/>
      </w:pPr>
      <w:r>
        <w:rPr>
          <w:spacing w:val="-2"/>
        </w:rPr>
        <w:t>十五</w:t>
      </w:r>
      <w:r>
        <w:rPr>
          <w:spacing w:val="-10"/>
        </w:rPr>
        <w:t>条</w:t>
      </w:r>
      <w:r>
        <w:tab/>
      </w:r>
      <w:r>
        <w:rPr>
          <w:spacing w:val="-2"/>
        </w:rPr>
        <w:t>保险事故通</w:t>
      </w:r>
      <w:r>
        <w:rPr>
          <w:spacing w:val="-10"/>
        </w:rPr>
        <w:t>知</w:t>
      </w:r>
    </w:p>
    <w:p>
      <w:pPr>
        <w:pStyle w:val="2"/>
        <w:spacing w:before="43"/>
        <w:ind w:left="638"/>
      </w:pPr>
      <w:r>
        <w:rPr>
          <w:spacing w:val="-3"/>
        </w:rPr>
        <w:t>您、被保险人或受益人应于知道保险事故发生之日起十日内通知我们。</w:t>
      </w:r>
    </w:p>
    <w:p>
      <w:pPr>
        <w:spacing w:before="43" w:line="278" w:lineRule="auto"/>
        <w:ind w:left="218" w:right="754" w:firstLine="422"/>
        <w:jc w:val="both"/>
        <w:rPr>
          <w:sz w:val="21"/>
        </w:rPr>
      </w:pPr>
      <w:r>
        <w:rPr>
          <w:rFonts w:hint="eastAsia" w:ascii="黑体" w:eastAsia="黑体"/>
          <w:b/>
          <w:spacing w:val="-2"/>
          <w:sz w:val="21"/>
        </w:rPr>
        <w:t>如果您、被保险人或受益人故意或者因重大过失未及时通知，致使保险事故的性质、原因、损失程度等难以确定的，我们对无法确定的部分，不承担给付保险金的责任，</w:t>
      </w:r>
      <w:r>
        <w:rPr>
          <w:spacing w:val="-2"/>
          <w:sz w:val="21"/>
        </w:rPr>
        <w:t>但我们通过其他途径已经及时知道或者应当及时知道保险事故发生或者虽未及时通知但不影响我们确定保险事故的性质、原因、损失程度的除外。</w:t>
      </w:r>
    </w:p>
    <w:p>
      <w:pPr>
        <w:spacing w:before="0" w:line="278" w:lineRule="auto"/>
        <w:ind w:left="218" w:right="754" w:firstLine="422"/>
        <w:jc w:val="left"/>
        <w:rPr>
          <w:rFonts w:hint="eastAsia" w:ascii="黑体" w:eastAsia="黑体"/>
          <w:b/>
          <w:sz w:val="21"/>
        </w:rPr>
      </w:pPr>
      <w:r>
        <w:rPr>
          <w:rFonts w:hint="eastAsia" w:ascii="黑体" w:eastAsia="黑体"/>
          <w:b/>
          <w:spacing w:val="-2"/>
          <w:sz w:val="21"/>
        </w:rPr>
        <w:t>被保险人应在本合同中约定的医院就诊，若因急诊未在约定的医院就诊的，应在三日内通知我们，并在病情好转后及时转入约定的医院。</w:t>
      </w:r>
    </w:p>
    <w:p>
      <w:pPr>
        <w:pStyle w:val="2"/>
        <w:spacing w:before="4"/>
        <w:rPr>
          <w:rFonts w:ascii="黑体"/>
          <w:b/>
          <w:sz w:val="24"/>
        </w:rPr>
      </w:pPr>
    </w:p>
    <w:p>
      <w:pPr>
        <w:pStyle w:val="2"/>
        <w:tabs>
          <w:tab w:val="left" w:pos="1477"/>
        </w:tabs>
        <w:ind w:left="218"/>
      </w:pPr>
      <w:r>
        <w:rPr>
          <w:spacing w:val="-2"/>
        </w:rPr>
        <w:t>十六</w:t>
      </w:r>
      <w:r>
        <w:rPr>
          <w:spacing w:val="-10"/>
        </w:rPr>
        <w:t>条</w:t>
      </w:r>
      <w:r>
        <w:tab/>
      </w:r>
      <w:r>
        <w:rPr>
          <w:spacing w:val="-2"/>
        </w:rPr>
        <w:t>诉讼时</w:t>
      </w:r>
      <w:r>
        <w:rPr>
          <w:spacing w:val="-10"/>
        </w:rPr>
        <w:t>效</w:t>
      </w:r>
    </w:p>
    <w:p>
      <w:pPr>
        <w:pStyle w:val="2"/>
        <w:spacing w:before="43" w:line="278" w:lineRule="auto"/>
        <w:ind w:left="218" w:right="754" w:firstLine="419"/>
      </w:pPr>
      <w:r>
        <w:rPr>
          <w:spacing w:val="-2"/>
        </w:rPr>
        <w:t>被保险人或受益人向我们请求给付保险金的诉讼时效期间为二年，自其知道或者应当知道保险事故发生之日起计算。</w:t>
      </w:r>
    </w:p>
    <w:p>
      <w:pPr>
        <w:pStyle w:val="2"/>
        <w:spacing w:before="4"/>
        <w:rPr>
          <w:sz w:val="24"/>
        </w:rPr>
      </w:pPr>
    </w:p>
    <w:p>
      <w:pPr>
        <w:pStyle w:val="2"/>
        <w:tabs>
          <w:tab w:val="left" w:pos="1477"/>
        </w:tabs>
        <w:ind w:left="218"/>
      </w:pPr>
      <w:r>
        <w:rPr>
          <w:spacing w:val="-2"/>
        </w:rPr>
        <w:t>十七</w:t>
      </w:r>
      <w:r>
        <w:rPr>
          <w:spacing w:val="-10"/>
        </w:rPr>
        <w:t>条</w:t>
      </w:r>
      <w:r>
        <w:tab/>
      </w:r>
      <w:r>
        <w:rPr>
          <w:spacing w:val="-2"/>
        </w:rPr>
        <w:t>保险金申</w:t>
      </w:r>
      <w:r>
        <w:rPr>
          <w:spacing w:val="-10"/>
        </w:rPr>
        <w:t>请</w:t>
      </w:r>
    </w:p>
    <w:p>
      <w:pPr>
        <w:spacing w:before="43" w:line="278" w:lineRule="auto"/>
        <w:ind w:left="218" w:right="2065" w:firstLine="422"/>
        <w:jc w:val="left"/>
        <w:rPr>
          <w:rFonts w:hint="eastAsia" w:ascii="黑体" w:eastAsia="黑体"/>
          <w:b/>
          <w:sz w:val="21"/>
        </w:rPr>
      </w:pPr>
      <w:r>
        <w:rPr>
          <w:rFonts w:hint="eastAsia" w:ascii="黑体" w:eastAsia="黑体"/>
          <w:b/>
          <w:spacing w:val="-2"/>
          <w:sz w:val="21"/>
        </w:rPr>
        <w:t>由被保险人或受益人填写保险金给付申请书，并提供下列证明和资料：一、申请人和受益人的有效身份证件；</w:t>
      </w:r>
    </w:p>
    <w:p>
      <w:pPr>
        <w:spacing w:before="0" w:line="278" w:lineRule="auto"/>
        <w:ind w:left="218" w:right="752" w:firstLine="0"/>
        <w:jc w:val="left"/>
        <w:rPr>
          <w:rFonts w:hint="eastAsia" w:ascii="黑体" w:eastAsia="黑体"/>
          <w:b/>
          <w:sz w:val="21"/>
        </w:rPr>
      </w:pPr>
      <w:r>
        <w:rPr>
          <w:rFonts w:hint="eastAsia" w:ascii="黑体" w:eastAsia="黑体"/>
          <w:b/>
          <w:spacing w:val="-2"/>
          <w:sz w:val="21"/>
        </w:rPr>
        <w:t>二、被保险人完整的门急诊病历、医院出具的医疗费用原始凭证和医疗费用结算清单、出院小结、检查报告；</w:t>
      </w:r>
    </w:p>
    <w:p>
      <w:pPr>
        <w:spacing w:before="0" w:line="278" w:lineRule="auto"/>
        <w:ind w:left="218" w:right="752" w:firstLine="0"/>
        <w:jc w:val="both"/>
        <w:rPr>
          <w:rFonts w:hint="eastAsia" w:ascii="黑体" w:eastAsia="黑体"/>
          <w:b/>
          <w:sz w:val="21"/>
        </w:rPr>
      </w:pPr>
      <w:r>
        <w:rPr>
          <w:rFonts w:hint="eastAsia" w:ascii="黑体" w:eastAsia="黑体"/>
          <w:b/>
          <w:spacing w:val="-2"/>
          <w:sz w:val="21"/>
        </w:rPr>
        <w:t>三、在申请重大疾病医疗保险金、质子重离子医疗保险金、重大疾病住院津贴保险金或重大疾病豁免保险费时，需提供医院出具的附有病理显微镜检查、血液检验及其他科学方法检验报告的疾病诊断证明书；</w:t>
      </w:r>
    </w:p>
    <w:p>
      <w:pPr>
        <w:spacing w:before="0" w:line="269" w:lineRule="exact"/>
        <w:ind w:left="218" w:right="0" w:firstLine="0"/>
        <w:jc w:val="left"/>
        <w:rPr>
          <w:rFonts w:hint="eastAsia" w:ascii="黑体" w:eastAsia="黑体"/>
          <w:b/>
          <w:sz w:val="21"/>
        </w:rPr>
      </w:pPr>
      <w:r>
        <w:rPr>
          <w:rFonts w:hint="eastAsia" w:ascii="黑体" w:eastAsia="黑体"/>
          <w:b/>
          <w:spacing w:val="-3"/>
          <w:sz w:val="21"/>
        </w:rPr>
        <w:t>四、所能提供的与确认保险事故的性质、原因等有关的其他证明和资料。</w:t>
      </w:r>
    </w:p>
    <w:p>
      <w:pPr>
        <w:spacing w:before="43"/>
        <w:ind w:left="640" w:right="0" w:firstLine="0"/>
        <w:jc w:val="left"/>
        <w:rPr>
          <w:rFonts w:hint="eastAsia" w:ascii="黑体" w:eastAsia="黑体"/>
          <w:b/>
          <w:sz w:val="21"/>
        </w:rPr>
      </w:pPr>
      <w:r>
        <w:rPr>
          <w:rFonts w:hint="eastAsia" w:ascii="黑体" w:eastAsia="黑体"/>
          <w:b/>
          <w:spacing w:val="-3"/>
          <w:sz w:val="21"/>
        </w:rPr>
        <w:t>保险金作为被保险人遗产时，必须提供可证明合法继承权的相关权利文件。</w:t>
      </w:r>
    </w:p>
    <w:p>
      <w:pPr>
        <w:spacing w:before="43"/>
        <w:ind w:left="640" w:right="0" w:firstLine="0"/>
        <w:jc w:val="left"/>
        <w:rPr>
          <w:rFonts w:hint="eastAsia" w:ascii="黑体" w:eastAsia="黑体"/>
          <w:b/>
          <w:sz w:val="21"/>
        </w:rPr>
      </w:pPr>
      <w:r>
        <w:rPr>
          <w:rFonts w:hint="eastAsia" w:ascii="黑体" w:eastAsia="黑体"/>
          <w:b/>
          <w:spacing w:val="-3"/>
          <w:sz w:val="21"/>
        </w:rPr>
        <w:t>以上证明和资料不完整的，我们将及时一次性通知申请人补充提供有关证明或资料。</w:t>
      </w:r>
    </w:p>
    <w:p>
      <w:pPr>
        <w:pStyle w:val="2"/>
        <w:spacing w:before="9"/>
        <w:rPr>
          <w:rFonts w:ascii="黑体"/>
          <w:b/>
          <w:sz w:val="27"/>
        </w:rPr>
      </w:pPr>
    </w:p>
    <w:p>
      <w:pPr>
        <w:pStyle w:val="2"/>
        <w:ind w:left="218"/>
        <w:jc w:val="both"/>
      </w:pPr>
      <w:r>
        <w:rPr>
          <w:spacing w:val="30"/>
        </w:rPr>
        <w:t>十八条 保险金给付</w:t>
      </w:r>
    </w:p>
    <w:p>
      <w:pPr>
        <w:pStyle w:val="2"/>
        <w:spacing w:before="43" w:line="278" w:lineRule="auto"/>
        <w:ind w:left="218" w:right="749" w:firstLine="419"/>
        <w:jc w:val="both"/>
      </w:pPr>
      <w:r>
        <w:rPr>
          <w:spacing w:val="-2"/>
        </w:rPr>
        <w:t>我们在收到保险金给付申请书及合同约定的证明和资料后，将及时作出核定；情形复杂的，在三十日内作出核定。对属于保险责任的，我们在与受益人达成给付保险金的协议后十日内，履行给付保险金义务。</w:t>
      </w:r>
    </w:p>
    <w:p>
      <w:pPr>
        <w:spacing w:after="0" w:line="278" w:lineRule="auto"/>
        <w:jc w:val="both"/>
        <w:sectPr>
          <w:pgSz w:w="11910" w:h="16840"/>
          <w:pgMar w:top="1400" w:right="1080" w:bottom="1320" w:left="1580" w:header="0" w:footer="1137" w:gutter="0"/>
          <w:cols w:space="720" w:num="1"/>
        </w:sectPr>
      </w:pPr>
    </w:p>
    <w:p>
      <w:pPr>
        <w:pStyle w:val="2"/>
        <w:spacing w:before="44" w:line="278" w:lineRule="auto"/>
        <w:ind w:left="638" w:right="646"/>
      </w:pPr>
      <w:r>
        <w:rPr>
          <w:spacing w:val="-2"/>
        </w:rPr>
        <w:t>我们未及时履行前款规定义务的，除支付保险金外，应当赔偿受益人因此受到的损失。对不属于保险责任的，我们自作出核定之日起三日内向受益人发出拒绝给付保险金通</w:t>
      </w:r>
    </w:p>
    <w:p>
      <w:pPr>
        <w:pStyle w:val="2"/>
        <w:spacing w:line="269" w:lineRule="exact"/>
        <w:ind w:left="218"/>
      </w:pPr>
      <w:r>
        <w:rPr>
          <w:spacing w:val="-4"/>
        </w:rPr>
        <w:t>知书并说明理由。</w:t>
      </w:r>
    </w:p>
    <w:p>
      <w:pPr>
        <w:pStyle w:val="2"/>
        <w:spacing w:before="43" w:line="278" w:lineRule="auto"/>
        <w:ind w:left="218" w:right="754" w:firstLine="419"/>
        <w:jc w:val="both"/>
      </w:pPr>
      <w:r>
        <w:rPr>
          <w:spacing w:val="-2"/>
        </w:rPr>
        <w:t>我们在收到保险金给付申请书及有关证明和资料之日起六十日内，对给付保险金的数额不能确定的，根据已有证明和资料可以确定的数额先予支付；我们最终确定给付保险金的数额后，将支付相应的差额。</w:t>
      </w:r>
    </w:p>
    <w:p>
      <w:pPr>
        <w:pStyle w:val="2"/>
        <w:spacing w:before="4"/>
        <w:rPr>
          <w:sz w:val="24"/>
        </w:rPr>
      </w:pPr>
    </w:p>
    <w:p>
      <w:pPr>
        <w:spacing w:before="1"/>
        <w:ind w:left="2263" w:right="2799" w:firstLine="0"/>
        <w:jc w:val="center"/>
        <w:rPr>
          <w:b/>
          <w:sz w:val="21"/>
        </w:rPr>
      </w:pPr>
      <w:r>
        <w:rPr>
          <w:b/>
          <w:spacing w:val="-6"/>
          <w:sz w:val="21"/>
        </w:rPr>
        <w:t>六章 一般条款</w:t>
      </w:r>
    </w:p>
    <w:p>
      <w:pPr>
        <w:pStyle w:val="2"/>
        <w:spacing w:before="8"/>
        <w:rPr>
          <w:b/>
          <w:sz w:val="27"/>
        </w:rPr>
      </w:pPr>
    </w:p>
    <w:p>
      <w:pPr>
        <w:pStyle w:val="2"/>
        <w:tabs>
          <w:tab w:val="left" w:pos="1477"/>
        </w:tabs>
        <w:spacing w:before="1"/>
        <w:ind w:left="218"/>
      </w:pPr>
      <w:r>
        <w:rPr>
          <w:spacing w:val="-2"/>
        </w:rPr>
        <w:t>十九</w:t>
      </w:r>
      <w:r>
        <w:rPr>
          <w:spacing w:val="-10"/>
        </w:rPr>
        <w:t>条</w:t>
      </w:r>
      <w:r>
        <w:tab/>
      </w:r>
      <w:r>
        <w:rPr>
          <w:spacing w:val="-2"/>
        </w:rPr>
        <w:t>如实告</w:t>
      </w:r>
      <w:r>
        <w:rPr>
          <w:spacing w:val="-10"/>
        </w:rPr>
        <w:t>知</w:t>
      </w:r>
    </w:p>
    <w:p>
      <w:pPr>
        <w:pStyle w:val="2"/>
        <w:spacing w:before="43"/>
        <w:ind w:left="638"/>
      </w:pPr>
      <w:r>
        <w:rPr>
          <w:spacing w:val="-3"/>
        </w:rPr>
        <w:t>订立本合同时，我们应向您说明本合同的内容。</w:t>
      </w:r>
    </w:p>
    <w:p>
      <w:pPr>
        <w:pStyle w:val="2"/>
        <w:spacing w:before="43" w:line="278" w:lineRule="auto"/>
        <w:ind w:left="218" w:right="828" w:firstLine="419"/>
        <w:jc w:val="both"/>
      </w:pPr>
      <w:r>
        <w:rPr>
          <w:spacing w:val="-2"/>
        </w:rPr>
        <w:t>对保险条款中免除我们责任的条款，我们在订立合同时应当在投保单、保险单或者其他保险凭证上作出足以引起您注意的提示，并对该条款的内容以书面或者口头形式向您作出明确说明，未作提示或者明确说明的，该条款不产生效力。</w:t>
      </w:r>
    </w:p>
    <w:p>
      <w:pPr>
        <w:pStyle w:val="2"/>
        <w:spacing w:line="269" w:lineRule="exact"/>
        <w:ind w:left="638"/>
      </w:pPr>
      <w:r>
        <w:rPr>
          <w:spacing w:val="-3"/>
        </w:rPr>
        <w:t>我们就您和被保险人的有关情况提出询问，您应当如实告知。</w:t>
      </w:r>
    </w:p>
    <w:p>
      <w:pPr>
        <w:spacing w:before="43" w:line="278" w:lineRule="auto"/>
        <w:ind w:left="218" w:right="802" w:firstLine="422"/>
        <w:jc w:val="left"/>
        <w:rPr>
          <w:rFonts w:hint="eastAsia" w:ascii="黑体" w:eastAsia="黑体"/>
          <w:b/>
          <w:sz w:val="21"/>
        </w:rPr>
      </w:pPr>
      <w:r>
        <w:rPr>
          <w:rFonts w:hint="eastAsia" w:ascii="黑体" w:eastAsia="黑体"/>
          <w:b/>
          <w:spacing w:val="-2"/>
          <w:sz w:val="21"/>
        </w:rPr>
        <w:t>如果您故意或者因重大过失未履行前款规定的如实告知义务，足以影响我们决定是否同意承保或者提高保险费率的，我们有权解除本合同。</w:t>
      </w:r>
    </w:p>
    <w:p>
      <w:pPr>
        <w:spacing w:before="0" w:line="278" w:lineRule="auto"/>
        <w:ind w:left="218" w:right="803" w:firstLine="422"/>
        <w:jc w:val="left"/>
        <w:rPr>
          <w:rFonts w:hint="eastAsia" w:ascii="黑体" w:eastAsia="黑体"/>
          <w:b/>
          <w:sz w:val="21"/>
        </w:rPr>
      </w:pPr>
      <w:r>
        <w:rPr>
          <w:rFonts w:hint="eastAsia" w:ascii="黑体" w:eastAsia="黑体"/>
          <w:b/>
          <w:spacing w:val="-2"/>
          <w:sz w:val="21"/>
        </w:rPr>
        <w:t>如果您故意不履行如实告知义务，对于本合同解除前发生的保险事故，我们不承担给付保险金的责任，并不退还保险费。</w:t>
      </w:r>
    </w:p>
    <w:p>
      <w:pPr>
        <w:spacing w:before="0" w:line="278" w:lineRule="auto"/>
        <w:ind w:left="218" w:right="803" w:firstLine="422"/>
        <w:jc w:val="left"/>
        <w:rPr>
          <w:rFonts w:hint="eastAsia" w:ascii="黑体" w:eastAsia="黑体"/>
          <w:b/>
          <w:sz w:val="21"/>
        </w:rPr>
      </w:pPr>
      <w:r>
        <w:rPr>
          <w:rFonts w:hint="eastAsia" w:ascii="黑体" w:eastAsia="黑体"/>
          <w:b/>
          <w:spacing w:val="-2"/>
          <w:sz w:val="21"/>
        </w:rPr>
        <w:t>如果您因重大过失未履行如实告知义务，对保险事故的发生有严重影响的，对于本合同解除前发生的保险事故，我们不承担给付保险金的责任，但应当退还保险费。</w:t>
      </w:r>
    </w:p>
    <w:p>
      <w:pPr>
        <w:pStyle w:val="2"/>
        <w:spacing w:line="278" w:lineRule="auto"/>
        <w:ind w:left="218" w:right="828" w:firstLine="419"/>
      </w:pPr>
      <w:r>
        <w:rPr>
          <w:spacing w:val="-2"/>
        </w:rPr>
        <w:t>我们在合同订立时已经知道您未如实告知的情况的，我们不得解除合同；发生保险事故的，我们承担给付保险金的责任。</w:t>
      </w:r>
    </w:p>
    <w:p>
      <w:pPr>
        <w:pStyle w:val="2"/>
        <w:spacing w:line="278" w:lineRule="auto"/>
        <w:ind w:left="218" w:right="828" w:firstLine="419"/>
        <w:jc w:val="both"/>
      </w:pPr>
      <w:r>
        <w:rPr>
          <w:spacing w:val="-2"/>
        </w:rPr>
        <w:t>本条规定的合同解除权，自我们知道有解除事由之日起，超过三十日不行使而消灭。自本合同成立之日起超过二年的，我们不得解除合同；发生保险事故的，我们承担给付保险金的责任。</w:t>
      </w:r>
    </w:p>
    <w:p>
      <w:pPr>
        <w:pStyle w:val="2"/>
        <w:spacing w:before="3"/>
        <w:rPr>
          <w:sz w:val="24"/>
        </w:rPr>
      </w:pPr>
    </w:p>
    <w:p>
      <w:pPr>
        <w:pStyle w:val="2"/>
        <w:tabs>
          <w:tab w:val="left" w:pos="1477"/>
        </w:tabs>
        <w:spacing w:before="1"/>
        <w:ind w:left="218"/>
      </w:pPr>
      <w:r>
        <w:rPr>
          <w:spacing w:val="-2"/>
        </w:rPr>
        <w:t>二十</w:t>
      </w:r>
      <w:r>
        <w:rPr>
          <w:spacing w:val="-10"/>
        </w:rPr>
        <w:t>条</w:t>
      </w:r>
      <w:r>
        <w:tab/>
      </w:r>
      <w:r>
        <w:rPr>
          <w:spacing w:val="-2"/>
        </w:rPr>
        <w:t>年龄确定及错误处</w:t>
      </w:r>
      <w:r>
        <w:rPr>
          <w:spacing w:val="-10"/>
        </w:rPr>
        <w:t>理</w:t>
      </w:r>
    </w:p>
    <w:p>
      <w:pPr>
        <w:pStyle w:val="2"/>
        <w:spacing w:before="43" w:line="278" w:lineRule="auto"/>
        <w:ind w:left="218" w:right="646" w:firstLine="419"/>
      </w:pPr>
      <w:r>
        <w:rPr>
          <w:spacing w:val="-2"/>
        </w:rPr>
        <w:t>被保险人的投保年龄为以法定证件载明的出生日期计算的周岁年龄。您在申请投保时，应按被保险人的周岁年龄填写。若发生错误，我们依下列约定处理：</w:t>
      </w:r>
    </w:p>
    <w:p>
      <w:pPr>
        <w:spacing w:before="0" w:line="278" w:lineRule="auto"/>
        <w:ind w:left="638" w:right="756" w:hanging="420"/>
        <w:jc w:val="left"/>
        <w:rPr>
          <w:sz w:val="21"/>
        </w:rPr>
      </w:pPr>
      <w:r>
        <w:rPr>
          <w:spacing w:val="-2"/>
          <w:sz w:val="21"/>
        </w:rPr>
        <w:t>一、</w:t>
      </w:r>
      <w:r>
        <w:rPr>
          <w:rFonts w:hint="eastAsia" w:ascii="黑体" w:eastAsia="黑体"/>
          <w:b/>
          <w:spacing w:val="-2"/>
          <w:sz w:val="21"/>
        </w:rPr>
        <w:t>申报的被保险人年龄不真实，并且其真实年龄不符合本合同约定投保年龄限制的，在保险事故发生之前我们有权解除合同，</w:t>
      </w:r>
      <w:r>
        <w:rPr>
          <w:spacing w:val="-2"/>
          <w:sz w:val="21"/>
        </w:rPr>
        <w:t>并向您退还本合同的现金价值。</w:t>
      </w:r>
    </w:p>
    <w:p>
      <w:pPr>
        <w:pStyle w:val="2"/>
        <w:spacing w:line="278" w:lineRule="auto"/>
        <w:ind w:left="638" w:right="752"/>
        <w:jc w:val="both"/>
      </w:pPr>
      <w:r>
        <w:rPr>
          <w:spacing w:val="-2"/>
        </w:rPr>
        <w:t>本款规定的合同解除权，自我们知道有解除事由之日起，超过三十日不行使而消灭。自本合同成立之日起超过二年的，我们不得解除合同；发生保险事故的，我们承担给付保险金的责任。</w:t>
      </w:r>
    </w:p>
    <w:p>
      <w:pPr>
        <w:spacing w:before="0" w:line="278" w:lineRule="auto"/>
        <w:ind w:left="638" w:right="752" w:hanging="420"/>
        <w:jc w:val="both"/>
        <w:rPr>
          <w:rFonts w:hint="eastAsia" w:ascii="黑体" w:eastAsia="黑体"/>
          <w:b/>
          <w:sz w:val="21"/>
        </w:rPr>
      </w:pPr>
      <w:r>
        <w:rPr>
          <w:spacing w:val="-2"/>
          <w:sz w:val="21"/>
        </w:rPr>
        <w:t>二、申报的被保险人年龄不真实，致使您实付保险费少于应付保险费的，我们有权更正并要求您补交保险费。</w:t>
      </w:r>
      <w:r>
        <w:rPr>
          <w:rFonts w:hint="eastAsia" w:ascii="黑体" w:eastAsia="黑体"/>
          <w:b/>
          <w:spacing w:val="-2"/>
          <w:sz w:val="21"/>
        </w:rPr>
        <w:t>若已经发生保险事故，在给付保险金时按实付保险费和应付保险费的比例给付。</w:t>
      </w:r>
    </w:p>
    <w:p>
      <w:pPr>
        <w:pStyle w:val="2"/>
        <w:spacing w:line="278" w:lineRule="auto"/>
        <w:ind w:left="638" w:right="749" w:hanging="420"/>
      </w:pPr>
      <w:r>
        <w:rPr>
          <w:spacing w:val="-2"/>
        </w:rPr>
        <w:t>三、申报的被保险人年龄不真实，致使您实付保险费多于应付保险费的，我们会将多收的保险费无息退还给您。</w:t>
      </w:r>
    </w:p>
    <w:p>
      <w:pPr>
        <w:pStyle w:val="2"/>
        <w:spacing w:before="3"/>
        <w:rPr>
          <w:sz w:val="24"/>
        </w:rPr>
      </w:pPr>
    </w:p>
    <w:p>
      <w:pPr>
        <w:pStyle w:val="2"/>
        <w:ind w:left="218"/>
      </w:pPr>
      <w:r>
        <w:rPr>
          <w:spacing w:val="9"/>
        </w:rPr>
        <w:t>二十一条 犹豫期</w:t>
      </w:r>
    </w:p>
    <w:p>
      <w:pPr>
        <w:pStyle w:val="2"/>
        <w:spacing w:before="44" w:line="278" w:lineRule="auto"/>
        <w:ind w:left="218" w:right="749" w:firstLine="419"/>
      </w:pPr>
      <w:r>
        <w:rPr>
          <w:spacing w:val="-2"/>
        </w:rPr>
        <w:t>自您签收本合同的次日零时起十五日内为犹豫期，签收形式包括书面签收或电子邮件接收等法律认可的确认形式。</w:t>
      </w:r>
    </w:p>
    <w:p>
      <w:pPr>
        <w:spacing w:after="0" w:line="278" w:lineRule="auto"/>
        <w:sectPr>
          <w:pgSz w:w="11910" w:h="16840"/>
          <w:pgMar w:top="1400" w:right="1080" w:bottom="1320" w:left="1580" w:header="0" w:footer="1137" w:gutter="0"/>
          <w:cols w:space="720" w:num="1"/>
        </w:sectPr>
      </w:pPr>
    </w:p>
    <w:p>
      <w:pPr>
        <w:pStyle w:val="2"/>
        <w:spacing w:before="44" w:line="278" w:lineRule="auto"/>
        <w:ind w:left="218" w:right="752" w:firstLine="419"/>
      </w:pPr>
      <w:r>
        <w:rPr>
          <w:spacing w:val="-2"/>
        </w:rPr>
        <w:t>在犹豫期内，若未发生保险金给付，您可以书面申请解除本合同。自我们收到解除申请时起，</w:t>
      </w:r>
      <w:r>
        <w:rPr>
          <w:b/>
          <w:spacing w:val="-2"/>
        </w:rPr>
        <w:t>本合同自始无效。</w:t>
      </w:r>
      <w:r>
        <w:rPr>
          <w:spacing w:val="-2"/>
        </w:rPr>
        <w:t>您向我们退回保险合同，我们无息向您退还已收到的保险费。</w:t>
      </w:r>
    </w:p>
    <w:p>
      <w:pPr>
        <w:pStyle w:val="2"/>
        <w:spacing w:before="5"/>
        <w:rPr>
          <w:sz w:val="24"/>
        </w:rPr>
      </w:pPr>
    </w:p>
    <w:p>
      <w:pPr>
        <w:pStyle w:val="2"/>
        <w:ind w:left="218"/>
      </w:pPr>
      <w:r>
        <w:rPr>
          <w:spacing w:val="9"/>
        </w:rPr>
        <w:t>二十二条 受益人</w:t>
      </w:r>
    </w:p>
    <w:p>
      <w:pPr>
        <w:pStyle w:val="2"/>
        <w:spacing w:before="43"/>
        <w:ind w:left="638"/>
      </w:pPr>
      <w:r>
        <w:rPr>
          <w:spacing w:val="-3"/>
        </w:rPr>
        <w:t>除本合同另有约定外，本合同保险金的受益人为被保险人本人。</w:t>
      </w:r>
    </w:p>
    <w:p>
      <w:pPr>
        <w:pStyle w:val="2"/>
        <w:spacing w:before="9"/>
        <w:rPr>
          <w:sz w:val="27"/>
        </w:rPr>
      </w:pPr>
    </w:p>
    <w:p>
      <w:pPr>
        <w:pStyle w:val="2"/>
        <w:ind w:left="218"/>
      </w:pPr>
      <w:r>
        <w:rPr>
          <w:spacing w:val="5"/>
        </w:rPr>
        <w:t>二十三条 合同内容变更</w:t>
      </w:r>
    </w:p>
    <w:p>
      <w:pPr>
        <w:pStyle w:val="2"/>
        <w:spacing w:before="43" w:line="278" w:lineRule="auto"/>
        <w:ind w:left="218" w:right="752" w:firstLine="419"/>
      </w:pPr>
      <w:r>
        <w:rPr>
          <w:spacing w:val="-2"/>
        </w:rPr>
        <w:t>在本合同有效期内，经与我们协商一致，您可以变更本合同的有关内容，并经我们在保险单上批注。</w:t>
      </w:r>
    </w:p>
    <w:p>
      <w:pPr>
        <w:pStyle w:val="2"/>
        <w:spacing w:before="4"/>
        <w:rPr>
          <w:sz w:val="24"/>
        </w:rPr>
      </w:pPr>
    </w:p>
    <w:p>
      <w:pPr>
        <w:pStyle w:val="2"/>
        <w:ind w:left="218"/>
      </w:pPr>
      <w:r>
        <w:rPr>
          <w:spacing w:val="5"/>
        </w:rPr>
        <w:t>二十四条 联系方式变更</w:t>
      </w:r>
    </w:p>
    <w:p>
      <w:pPr>
        <w:spacing w:before="43" w:line="278" w:lineRule="auto"/>
        <w:ind w:left="218" w:right="646" w:firstLine="419"/>
        <w:jc w:val="left"/>
        <w:rPr>
          <w:rFonts w:hint="eastAsia" w:ascii="黑体" w:eastAsia="黑体"/>
          <w:b/>
          <w:sz w:val="21"/>
        </w:rPr>
      </w:pPr>
      <w:r>
        <w:rPr>
          <w:spacing w:val="-6"/>
          <w:w w:val="100"/>
          <w:sz w:val="21"/>
        </w:rPr>
        <w:t>为了保障您的合法权益，您的住所、通讯地址、电话或者电子邮件等联系方式变更时，</w:t>
      </w:r>
      <w:r>
        <w:rPr>
          <w:w w:val="100"/>
          <w:sz w:val="21"/>
        </w:rPr>
        <w:t>请及时以书面形式或者双方认可的其他形式通知我们。如果您未以书面形式或者双方认可</w:t>
      </w:r>
      <w:r>
        <w:rPr>
          <w:spacing w:val="-1"/>
          <w:w w:val="100"/>
          <w:sz w:val="21"/>
        </w:rPr>
        <w:t>的其他形式通知我们，</w:t>
      </w:r>
      <w:r>
        <w:rPr>
          <w:rFonts w:hint="eastAsia" w:ascii="黑体" w:eastAsia="黑体"/>
          <w:b/>
          <w:w w:val="100"/>
          <w:sz w:val="21"/>
        </w:rPr>
        <w:t>我们按本合同载明的最后住所、通讯地址、电话或者电子邮件发送</w:t>
      </w:r>
      <w:r>
        <w:rPr>
          <w:rFonts w:hint="eastAsia" w:ascii="黑体" w:eastAsia="黑体"/>
          <w:b/>
          <w:spacing w:val="-3"/>
          <w:w w:val="100"/>
          <w:sz w:val="21"/>
        </w:rPr>
        <w:t>的有关通知，均视为已送达给您。</w:t>
      </w:r>
    </w:p>
    <w:p>
      <w:pPr>
        <w:pStyle w:val="2"/>
        <w:spacing w:before="4"/>
        <w:rPr>
          <w:rFonts w:ascii="黑体"/>
          <w:b/>
          <w:sz w:val="24"/>
        </w:rPr>
      </w:pPr>
    </w:p>
    <w:p>
      <w:pPr>
        <w:pStyle w:val="2"/>
        <w:spacing w:before="1"/>
        <w:ind w:left="218"/>
      </w:pPr>
      <w:r>
        <w:rPr>
          <w:spacing w:val="7"/>
        </w:rPr>
        <w:t>二十五条 职业变更</w:t>
      </w:r>
    </w:p>
    <w:p>
      <w:pPr>
        <w:spacing w:before="42" w:line="278" w:lineRule="auto"/>
        <w:ind w:left="218" w:right="754" w:firstLine="424"/>
        <w:jc w:val="both"/>
        <w:rPr>
          <w:rFonts w:hint="eastAsia" w:ascii="黑体" w:eastAsia="黑体"/>
          <w:b/>
          <w:sz w:val="21"/>
        </w:rPr>
      </w:pPr>
      <w:r>
        <w:rPr>
          <w:spacing w:val="-2"/>
          <w:sz w:val="21"/>
        </w:rPr>
        <w:t>被保险人职业有变更时，您应在其变更职业之日起十日内，以书面形式将有关的变更通知我们。</w:t>
      </w:r>
      <w:r>
        <w:rPr>
          <w:rFonts w:hint="eastAsia" w:ascii="黑体" w:eastAsia="黑体"/>
          <w:b/>
          <w:spacing w:val="-2"/>
          <w:sz w:val="21"/>
        </w:rPr>
        <w:t>被保险人变更后的职业不属于我们承保范围的，自其职业变更之日零时起，我们对被保险人所负的保险责任终止，并向您退还现金价值。</w:t>
      </w:r>
    </w:p>
    <w:p>
      <w:pPr>
        <w:spacing w:before="0" w:line="278" w:lineRule="auto"/>
        <w:ind w:left="218" w:right="648" w:firstLine="427"/>
        <w:jc w:val="left"/>
        <w:rPr>
          <w:rFonts w:hint="eastAsia" w:ascii="黑体" w:eastAsia="黑体"/>
          <w:b/>
          <w:sz w:val="21"/>
        </w:rPr>
      </w:pPr>
      <w:r>
        <w:rPr>
          <w:rFonts w:hint="eastAsia" w:ascii="黑体" w:eastAsia="黑体"/>
          <w:b/>
          <w:spacing w:val="-1"/>
          <w:w w:val="100"/>
          <w:sz w:val="21"/>
        </w:rPr>
        <w:t>被保险人未履行本条约定的通知义务而发生保险事故的，且被保险人所变更的职业依</w:t>
      </w:r>
      <w:r>
        <w:rPr>
          <w:rFonts w:hint="eastAsia" w:ascii="黑体" w:eastAsia="黑体"/>
          <w:b/>
          <w:spacing w:val="-7"/>
          <w:w w:val="100"/>
          <w:sz w:val="21"/>
        </w:rPr>
        <w:t>照职业分类在拒保范围内的，我们不承担给付保险金的责任，并自其职业变更之日零时起，</w:t>
      </w:r>
      <w:r>
        <w:rPr>
          <w:rFonts w:hint="eastAsia" w:ascii="黑体" w:eastAsia="黑体"/>
          <w:b/>
          <w:spacing w:val="-3"/>
          <w:w w:val="100"/>
          <w:sz w:val="21"/>
        </w:rPr>
        <w:t>我们对被保险人所负的保险责任终止，并向您退还现金价值。</w:t>
      </w:r>
    </w:p>
    <w:p>
      <w:pPr>
        <w:pStyle w:val="2"/>
        <w:spacing w:before="4"/>
        <w:rPr>
          <w:rFonts w:ascii="黑体"/>
          <w:b/>
          <w:sz w:val="24"/>
        </w:rPr>
      </w:pPr>
    </w:p>
    <w:p>
      <w:pPr>
        <w:pStyle w:val="2"/>
        <w:spacing w:before="1"/>
        <w:ind w:left="218"/>
      </w:pPr>
      <w:r>
        <w:rPr>
          <w:spacing w:val="7"/>
        </w:rPr>
        <w:t>二十六条 司法鉴定</w:t>
      </w:r>
    </w:p>
    <w:p>
      <w:pPr>
        <w:pStyle w:val="2"/>
        <w:spacing w:before="43"/>
        <w:ind w:left="638"/>
      </w:pPr>
      <w:r>
        <w:rPr>
          <w:spacing w:val="-3"/>
        </w:rPr>
        <w:t>我们有权要求司法鉴定机构对保险事故进行鉴定。</w:t>
      </w:r>
    </w:p>
    <w:p>
      <w:pPr>
        <w:pStyle w:val="2"/>
        <w:spacing w:before="8"/>
        <w:rPr>
          <w:sz w:val="27"/>
        </w:rPr>
      </w:pPr>
    </w:p>
    <w:p>
      <w:pPr>
        <w:pStyle w:val="2"/>
        <w:spacing w:before="1"/>
        <w:ind w:left="218"/>
      </w:pPr>
      <w:r>
        <w:rPr>
          <w:spacing w:val="7"/>
        </w:rPr>
        <w:t>二十七条 争议处理</w:t>
      </w:r>
    </w:p>
    <w:p>
      <w:pPr>
        <w:pStyle w:val="2"/>
        <w:spacing w:before="43" w:line="278" w:lineRule="auto"/>
        <w:ind w:left="218" w:right="646" w:firstLine="424"/>
      </w:pPr>
      <w:r>
        <w:rPr>
          <w:spacing w:val="-2"/>
        </w:rPr>
        <w:t>本合同受中华人民共和国的法律管辖。因履行本合同发生的争议，由当事人协商解决，协商不成的，可以依法向人民法院起诉。</w:t>
      </w:r>
    </w:p>
    <w:p>
      <w:pPr>
        <w:pStyle w:val="2"/>
        <w:spacing w:before="4"/>
        <w:rPr>
          <w:sz w:val="24"/>
        </w:rPr>
      </w:pPr>
    </w:p>
    <w:p>
      <w:pPr>
        <w:spacing w:before="0"/>
        <w:ind w:left="2261" w:right="2802" w:firstLine="0"/>
        <w:jc w:val="center"/>
        <w:rPr>
          <w:b/>
          <w:sz w:val="21"/>
        </w:rPr>
      </w:pPr>
      <w:r>
        <w:rPr>
          <w:b/>
          <w:spacing w:val="-7"/>
          <w:sz w:val="21"/>
        </w:rPr>
        <w:t>七章 释义</w:t>
      </w:r>
    </w:p>
    <w:p>
      <w:pPr>
        <w:pStyle w:val="2"/>
        <w:spacing w:before="9"/>
        <w:rPr>
          <w:b/>
          <w:sz w:val="27"/>
        </w:rPr>
      </w:pPr>
    </w:p>
    <w:p>
      <w:pPr>
        <w:pStyle w:val="2"/>
        <w:ind w:left="218"/>
      </w:pPr>
      <w:r>
        <w:rPr>
          <w:spacing w:val="11"/>
        </w:rPr>
        <w:t>二十八条 周岁</w:t>
      </w:r>
    </w:p>
    <w:p>
      <w:pPr>
        <w:pStyle w:val="2"/>
        <w:spacing w:before="22" w:line="242" w:lineRule="auto"/>
        <w:ind w:left="218" w:right="826" w:firstLine="424"/>
      </w:pPr>
      <w:r>
        <w:rPr>
          <w:spacing w:val="-2"/>
        </w:rPr>
        <w:t>指按有效身份证件中记载的出生日期计算的年龄，自出生之日起为零周岁，每经过一年增加一岁，不足一年的不计。</w:t>
      </w:r>
    </w:p>
    <w:p>
      <w:pPr>
        <w:pStyle w:val="2"/>
        <w:spacing w:before="12"/>
        <w:rPr>
          <w:sz w:val="22"/>
        </w:rPr>
      </w:pPr>
    </w:p>
    <w:p>
      <w:pPr>
        <w:pStyle w:val="2"/>
        <w:ind w:left="218"/>
      </w:pPr>
      <w:r>
        <w:rPr>
          <w:spacing w:val="11"/>
        </w:rPr>
        <w:t>二十九条 续保</w:t>
      </w:r>
    </w:p>
    <w:p>
      <w:pPr>
        <w:pStyle w:val="2"/>
        <w:spacing w:before="21"/>
        <w:ind w:left="642"/>
      </w:pPr>
      <w:r>
        <w:rPr>
          <w:spacing w:val="-3"/>
        </w:rPr>
        <w:t>指您为被保险人继续投保同一险种，且继续投保的保单的生效日为原保单到期日的次</w:t>
      </w:r>
    </w:p>
    <w:p>
      <w:pPr>
        <w:pStyle w:val="2"/>
        <w:spacing w:before="5"/>
        <w:ind w:left="218"/>
      </w:pPr>
      <w:r>
        <w:rPr>
          <w:spacing w:val="-5"/>
        </w:rPr>
        <w:t>日。</w:t>
      </w:r>
    </w:p>
    <w:p>
      <w:pPr>
        <w:pStyle w:val="2"/>
        <w:spacing w:before="2"/>
        <w:rPr>
          <w:sz w:val="23"/>
        </w:rPr>
      </w:pPr>
    </w:p>
    <w:p>
      <w:pPr>
        <w:pStyle w:val="2"/>
        <w:tabs>
          <w:tab w:val="left" w:pos="1477"/>
        </w:tabs>
        <w:spacing w:before="1"/>
        <w:ind w:left="218"/>
      </w:pPr>
      <w:r>
        <w:rPr>
          <w:spacing w:val="-2"/>
        </w:rPr>
        <w:t>三十</w:t>
      </w:r>
      <w:r>
        <w:rPr>
          <w:spacing w:val="-10"/>
        </w:rPr>
        <w:t>条</w:t>
      </w:r>
      <w:r>
        <w:tab/>
      </w:r>
      <w:r>
        <w:rPr>
          <w:spacing w:val="-2"/>
        </w:rPr>
        <w:t>意外伤</w:t>
      </w:r>
      <w:r>
        <w:rPr>
          <w:spacing w:val="-10"/>
        </w:rPr>
        <w:t>害</w:t>
      </w:r>
    </w:p>
    <w:p>
      <w:pPr>
        <w:pStyle w:val="2"/>
        <w:spacing w:before="21"/>
        <w:ind w:left="642"/>
      </w:pPr>
      <w:r>
        <w:rPr>
          <w:spacing w:val="-3"/>
        </w:rPr>
        <w:t>指外来的、突然的、非本意的、非疾病的使身体受到伤害的客观事件。</w:t>
      </w:r>
    </w:p>
    <w:p>
      <w:pPr>
        <w:spacing w:after="0"/>
        <w:sectPr>
          <w:pgSz w:w="11910" w:h="16840"/>
          <w:pgMar w:top="1400" w:right="1080" w:bottom="1320" w:left="1580" w:header="0" w:footer="1137" w:gutter="0"/>
          <w:cols w:space="720" w:num="1"/>
        </w:sectPr>
      </w:pPr>
    </w:p>
    <w:p>
      <w:pPr>
        <w:pStyle w:val="2"/>
        <w:spacing w:before="44"/>
        <w:ind w:left="218"/>
      </w:pPr>
      <w:r>
        <w:rPr>
          <w:spacing w:val="7"/>
        </w:rPr>
        <w:t>三十一条 保险事故</w:t>
      </w:r>
    </w:p>
    <w:p>
      <w:pPr>
        <w:pStyle w:val="2"/>
        <w:spacing w:before="22"/>
        <w:ind w:left="642"/>
      </w:pPr>
      <w:r>
        <w:rPr>
          <w:spacing w:val="-3"/>
        </w:rPr>
        <w:t>指保险合同约定的保险责任范围内的事故。</w:t>
      </w:r>
    </w:p>
    <w:p>
      <w:pPr>
        <w:pStyle w:val="2"/>
        <w:spacing w:before="2"/>
        <w:rPr>
          <w:sz w:val="23"/>
        </w:rPr>
      </w:pPr>
    </w:p>
    <w:p>
      <w:pPr>
        <w:pStyle w:val="2"/>
        <w:ind w:left="218"/>
      </w:pPr>
      <w:r>
        <w:rPr>
          <w:spacing w:val="11"/>
        </w:rPr>
        <w:t>三十二条 医院</w:t>
      </w:r>
    </w:p>
    <w:p>
      <w:pPr>
        <w:pStyle w:val="2"/>
        <w:spacing w:before="22"/>
        <w:ind w:left="642"/>
      </w:pPr>
      <w:r>
        <w:rPr>
          <w:spacing w:val="-3"/>
        </w:rPr>
        <w:t>指符合下列所有条件之机构：</w:t>
      </w:r>
    </w:p>
    <w:p>
      <w:pPr>
        <w:pStyle w:val="6"/>
        <w:numPr>
          <w:ilvl w:val="0"/>
          <w:numId w:val="9"/>
        </w:numPr>
        <w:tabs>
          <w:tab w:val="left" w:pos="802"/>
        </w:tabs>
        <w:spacing w:before="2" w:after="0" w:line="240" w:lineRule="auto"/>
        <w:ind w:left="801" w:right="0" w:hanging="584"/>
        <w:jc w:val="left"/>
        <w:rPr>
          <w:sz w:val="21"/>
        </w:rPr>
      </w:pPr>
      <w:r>
        <w:rPr>
          <w:spacing w:val="-3"/>
          <w:sz w:val="21"/>
        </w:rPr>
        <w:t>设立的主要目的为向受伤者或患病者提供住院治疗；</w:t>
      </w:r>
    </w:p>
    <w:p>
      <w:pPr>
        <w:pStyle w:val="6"/>
        <w:numPr>
          <w:ilvl w:val="0"/>
          <w:numId w:val="9"/>
        </w:numPr>
        <w:tabs>
          <w:tab w:val="left" w:pos="802"/>
        </w:tabs>
        <w:spacing w:before="5" w:after="0" w:line="240" w:lineRule="auto"/>
        <w:ind w:left="801" w:right="0" w:hanging="584"/>
        <w:jc w:val="left"/>
        <w:rPr>
          <w:sz w:val="21"/>
        </w:rPr>
      </w:pPr>
      <w:r>
        <w:rPr>
          <w:spacing w:val="-3"/>
          <w:sz w:val="21"/>
        </w:rPr>
        <w:t>有合格的医生或护士提供全日二十四小时的医疗和护理服务；</w:t>
      </w:r>
    </w:p>
    <w:p>
      <w:pPr>
        <w:pStyle w:val="6"/>
        <w:numPr>
          <w:ilvl w:val="0"/>
          <w:numId w:val="9"/>
        </w:numPr>
        <w:tabs>
          <w:tab w:val="left" w:pos="802"/>
        </w:tabs>
        <w:spacing w:before="2" w:after="0" w:line="244" w:lineRule="auto"/>
        <w:ind w:left="218" w:right="752" w:firstLine="0"/>
        <w:jc w:val="left"/>
        <w:rPr>
          <w:rFonts w:hint="eastAsia" w:ascii="黑体" w:eastAsia="黑体"/>
          <w:b/>
          <w:sz w:val="21"/>
        </w:rPr>
      </w:pPr>
      <w:r>
        <w:rPr>
          <w:spacing w:val="-5"/>
          <w:sz w:val="21"/>
        </w:rPr>
        <w:t>经中华人民共和国卫生部评审认定的二级或二级以上基本医疗保险定点公立医院，</w:t>
      </w:r>
      <w:r>
        <w:rPr>
          <w:rFonts w:hint="eastAsia" w:ascii="黑体" w:eastAsia="黑体"/>
          <w:b/>
          <w:spacing w:val="-2"/>
          <w:sz w:val="21"/>
        </w:rPr>
        <w:t>但不包括观察室、联合病房、康复病房、外宾病房和特需病房；</w:t>
      </w:r>
    </w:p>
    <w:p>
      <w:pPr>
        <w:pStyle w:val="6"/>
        <w:numPr>
          <w:ilvl w:val="0"/>
          <w:numId w:val="9"/>
        </w:numPr>
        <w:tabs>
          <w:tab w:val="left" w:pos="802"/>
        </w:tabs>
        <w:spacing w:before="0" w:after="0" w:line="265" w:lineRule="exact"/>
        <w:ind w:left="801" w:right="0" w:hanging="584"/>
        <w:jc w:val="left"/>
        <w:rPr>
          <w:sz w:val="21"/>
        </w:rPr>
      </w:pPr>
      <w:r>
        <w:rPr>
          <w:spacing w:val="-3"/>
          <w:sz w:val="21"/>
        </w:rPr>
        <w:t>非主要作为康复、护理、疗养、戒酒、戒毒的医疗机构。</w:t>
      </w:r>
    </w:p>
    <w:p>
      <w:pPr>
        <w:pStyle w:val="2"/>
        <w:spacing w:before="2"/>
        <w:rPr>
          <w:sz w:val="23"/>
        </w:rPr>
      </w:pPr>
    </w:p>
    <w:p>
      <w:pPr>
        <w:pStyle w:val="2"/>
        <w:ind w:left="218"/>
        <w:jc w:val="both"/>
      </w:pPr>
      <w:r>
        <w:rPr>
          <w:spacing w:val="11"/>
        </w:rPr>
        <w:t>三十三条 住院</w:t>
      </w:r>
    </w:p>
    <w:p>
      <w:pPr>
        <w:spacing w:before="44" w:line="278" w:lineRule="auto"/>
        <w:ind w:left="218" w:right="752" w:firstLine="424"/>
        <w:jc w:val="both"/>
        <w:rPr>
          <w:sz w:val="21"/>
        </w:rPr>
      </w:pPr>
      <w:r>
        <w:rPr>
          <w:spacing w:val="-2"/>
          <w:sz w:val="21"/>
        </w:rPr>
        <w:t>住院是指符合当地卫生部门规定的入院指征而必须入住医院正式病房，并正式办理入</w:t>
      </w:r>
      <w:r>
        <w:rPr>
          <w:spacing w:val="-4"/>
          <w:sz w:val="21"/>
        </w:rPr>
        <w:t>出院手续，接受正规医生的诊疗，其住院诊治为合理且必要的。住院天数以连续住院 24 小</w:t>
      </w:r>
      <w:r>
        <w:rPr>
          <w:spacing w:val="-2"/>
          <w:sz w:val="21"/>
        </w:rPr>
        <w:t>时为一天，</w:t>
      </w:r>
      <w:r>
        <w:rPr>
          <w:rFonts w:hint="eastAsia" w:ascii="黑体" w:eastAsia="黑体"/>
          <w:b/>
          <w:spacing w:val="-2"/>
          <w:sz w:val="21"/>
        </w:rPr>
        <w:t>如无必须住院才能完成的治疗及检查、无故延长住院天数或住院期间离院或请假的住院天数，不计住院期间。入住门诊观察室、家庭病床、其他挂床住院及不合理的住</w:t>
      </w:r>
      <w:r>
        <w:rPr>
          <w:rFonts w:hint="eastAsia" w:ascii="黑体" w:eastAsia="黑体"/>
          <w:b/>
          <w:spacing w:val="-4"/>
          <w:sz w:val="21"/>
        </w:rPr>
        <w:t>院，不计入住院期间。</w:t>
      </w:r>
      <w:r>
        <w:rPr>
          <w:spacing w:val="-5"/>
          <w:sz w:val="21"/>
        </w:rPr>
        <w:t xml:space="preserve">挂床住院指办理正式住院手续的被保险人，在住院期间每日非 </w:t>
      </w:r>
      <w:r>
        <w:rPr>
          <w:spacing w:val="-4"/>
          <w:sz w:val="21"/>
        </w:rPr>
        <w:t>24</w:t>
      </w:r>
      <w:r>
        <w:rPr>
          <w:spacing w:val="-5"/>
          <w:sz w:val="21"/>
        </w:rPr>
        <w:t xml:space="preserve"> 小</w:t>
      </w:r>
      <w:r>
        <w:rPr>
          <w:spacing w:val="-2"/>
          <w:sz w:val="21"/>
        </w:rPr>
        <w:t>时在院。具体表现包括在住院期间连续若干日无任何治疗，只发生护理费、诊疗费、床位费等情况。不合理住院指被保险人未达到入院标准而办理入院手续或已达到出院标准而不办理出院手续的情形。入出院标准按当地卫生部门规定的《病种质量管理标准》执行。</w:t>
      </w:r>
    </w:p>
    <w:p>
      <w:pPr>
        <w:pStyle w:val="2"/>
        <w:spacing w:before="3"/>
        <w:rPr>
          <w:sz w:val="24"/>
        </w:rPr>
      </w:pPr>
    </w:p>
    <w:p>
      <w:pPr>
        <w:pStyle w:val="2"/>
        <w:ind w:left="218"/>
      </w:pPr>
      <w:r>
        <w:rPr>
          <w:spacing w:val="6"/>
        </w:rPr>
        <w:t>三十四条 合理且必要</w:t>
      </w:r>
    </w:p>
    <w:p>
      <w:pPr>
        <w:pStyle w:val="2"/>
        <w:spacing w:before="22" w:line="244" w:lineRule="auto"/>
        <w:ind w:left="218" w:right="821" w:firstLine="424"/>
      </w:pPr>
      <w:r>
        <w:rPr>
          <w:spacing w:val="-2"/>
        </w:rPr>
        <w:t>指合理的、符合通常惯例且</w:t>
      </w:r>
      <w:r>
        <w:rPr>
          <w:b/>
          <w:spacing w:val="-2"/>
        </w:rPr>
        <w:t>医学必需</w:t>
      </w:r>
      <w:r>
        <w:rPr>
          <w:spacing w:val="-2"/>
        </w:rPr>
        <w:t>的医疗费用。符合通常惯例指被保险人接受的医疗服务满足以下条件：</w:t>
      </w:r>
    </w:p>
    <w:p>
      <w:pPr>
        <w:pStyle w:val="6"/>
        <w:numPr>
          <w:ilvl w:val="0"/>
          <w:numId w:val="10"/>
        </w:numPr>
        <w:tabs>
          <w:tab w:val="left" w:pos="747"/>
        </w:tabs>
        <w:spacing w:before="0" w:after="0" w:line="265" w:lineRule="exact"/>
        <w:ind w:left="747" w:right="0" w:hanging="529"/>
        <w:jc w:val="left"/>
        <w:rPr>
          <w:sz w:val="21"/>
        </w:rPr>
      </w:pPr>
      <w:r>
        <w:rPr>
          <w:spacing w:val="-3"/>
          <w:sz w:val="21"/>
        </w:rPr>
        <w:t>该服务满足医疗需要而且根据治疗当地通行治疗规范、采用了通行治疗方法；</w:t>
      </w:r>
    </w:p>
    <w:p>
      <w:pPr>
        <w:pStyle w:val="6"/>
        <w:numPr>
          <w:ilvl w:val="0"/>
          <w:numId w:val="10"/>
        </w:numPr>
        <w:tabs>
          <w:tab w:val="left" w:pos="747"/>
        </w:tabs>
        <w:spacing w:before="4" w:after="0" w:line="242" w:lineRule="auto"/>
        <w:ind w:left="218" w:right="752" w:firstLine="0"/>
        <w:jc w:val="left"/>
        <w:rPr>
          <w:sz w:val="21"/>
        </w:rPr>
      </w:pPr>
      <w:r>
        <w:rPr>
          <w:spacing w:val="-2"/>
          <w:sz w:val="21"/>
        </w:rPr>
        <w:t>医疗费用没有超过当地对类似情形治疗的常规费用，类似情形是指在同一地区、对相同性别、近似年龄的人所患的同类疾病或身体伤害实施的类似治疗或服务。</w:t>
      </w:r>
    </w:p>
    <w:p>
      <w:pPr>
        <w:pStyle w:val="2"/>
        <w:spacing w:before="2"/>
        <w:ind w:left="640"/>
      </w:pPr>
      <w:r>
        <w:rPr>
          <w:b/>
          <w:spacing w:val="-2"/>
        </w:rPr>
        <w:t>医学必需</w:t>
      </w:r>
      <w:r>
        <w:rPr>
          <w:spacing w:val="-3"/>
        </w:rPr>
        <w:t>指被保险人接受、使用或服用的治疗、服务、器械或药品符合以下条件：</w:t>
      </w:r>
    </w:p>
    <w:p>
      <w:pPr>
        <w:pStyle w:val="6"/>
        <w:numPr>
          <w:ilvl w:val="0"/>
          <w:numId w:val="11"/>
        </w:numPr>
        <w:tabs>
          <w:tab w:val="left" w:pos="747"/>
        </w:tabs>
        <w:spacing w:before="2" w:after="0" w:line="240" w:lineRule="auto"/>
        <w:ind w:left="747" w:right="0" w:hanging="529"/>
        <w:jc w:val="left"/>
        <w:rPr>
          <w:sz w:val="21"/>
        </w:rPr>
      </w:pPr>
      <w:r>
        <w:rPr>
          <w:spacing w:val="-3"/>
          <w:sz w:val="21"/>
        </w:rPr>
        <w:t>医师处方要求且对治疗被保险人疾病或伤害合适且必需；</w:t>
      </w:r>
    </w:p>
    <w:p>
      <w:pPr>
        <w:pStyle w:val="6"/>
        <w:numPr>
          <w:ilvl w:val="0"/>
          <w:numId w:val="11"/>
        </w:numPr>
        <w:tabs>
          <w:tab w:val="left" w:pos="747"/>
        </w:tabs>
        <w:spacing w:before="4" w:after="0" w:line="240" w:lineRule="auto"/>
        <w:ind w:left="747" w:right="0" w:hanging="529"/>
        <w:jc w:val="left"/>
        <w:rPr>
          <w:sz w:val="21"/>
        </w:rPr>
      </w:pPr>
      <w:r>
        <w:rPr>
          <w:spacing w:val="-3"/>
          <w:sz w:val="21"/>
        </w:rPr>
        <w:t>与接受治疗当地普遍接受的医疗专业实践标准一致；</w:t>
      </w:r>
    </w:p>
    <w:p>
      <w:pPr>
        <w:pStyle w:val="6"/>
        <w:numPr>
          <w:ilvl w:val="0"/>
          <w:numId w:val="11"/>
        </w:numPr>
        <w:tabs>
          <w:tab w:val="left" w:pos="747"/>
        </w:tabs>
        <w:spacing w:before="2" w:after="0" w:line="240" w:lineRule="auto"/>
        <w:ind w:left="747" w:right="0" w:hanging="529"/>
        <w:jc w:val="left"/>
        <w:rPr>
          <w:sz w:val="21"/>
        </w:rPr>
      </w:pPr>
      <w:r>
        <w:rPr>
          <w:spacing w:val="-3"/>
          <w:sz w:val="21"/>
        </w:rPr>
        <w:t>并非为了个人舒适或为了被保险人父母、家庭、医师或其他医疗提供方便；</w:t>
      </w:r>
    </w:p>
    <w:p>
      <w:pPr>
        <w:pStyle w:val="6"/>
        <w:numPr>
          <w:ilvl w:val="0"/>
          <w:numId w:val="11"/>
        </w:numPr>
        <w:tabs>
          <w:tab w:val="left" w:pos="747"/>
        </w:tabs>
        <w:spacing w:before="5" w:after="0" w:line="242" w:lineRule="auto"/>
        <w:ind w:left="218" w:right="752" w:firstLine="0"/>
        <w:jc w:val="both"/>
        <w:rPr>
          <w:sz w:val="21"/>
        </w:rPr>
      </w:pPr>
      <w:r>
        <w:rPr>
          <w:spacing w:val="-2"/>
          <w:sz w:val="21"/>
        </w:rPr>
        <w:t>最恰当、合适水平；住院接受治疗时，无法以门诊的方式对相应疾病和症状提供安全的医疗，且当前病症处于急性或亚急性状态需要持续接受治疗、专业护理或康复治疗。主要出于接受慢性病治疗、长期看护、喘息照护、慢性病维持、协助日常生活活动的目的而住院的，不属医学必需；</w:t>
      </w:r>
    </w:p>
    <w:p>
      <w:pPr>
        <w:pStyle w:val="6"/>
        <w:numPr>
          <w:ilvl w:val="0"/>
          <w:numId w:val="11"/>
        </w:numPr>
        <w:tabs>
          <w:tab w:val="left" w:pos="747"/>
        </w:tabs>
        <w:spacing w:before="1" w:after="0" w:line="240" w:lineRule="auto"/>
        <w:ind w:left="747" w:right="0" w:hanging="529"/>
        <w:jc w:val="left"/>
        <w:rPr>
          <w:sz w:val="21"/>
        </w:rPr>
      </w:pPr>
      <w:r>
        <w:rPr>
          <w:spacing w:val="-3"/>
          <w:sz w:val="21"/>
        </w:rPr>
        <w:t>非病人学术教育或职业培训的一部分或与之相关；</w:t>
      </w:r>
    </w:p>
    <w:p>
      <w:pPr>
        <w:pStyle w:val="6"/>
        <w:numPr>
          <w:ilvl w:val="0"/>
          <w:numId w:val="11"/>
        </w:numPr>
        <w:tabs>
          <w:tab w:val="left" w:pos="747"/>
        </w:tabs>
        <w:spacing w:before="4" w:after="0" w:line="240" w:lineRule="auto"/>
        <w:ind w:left="747" w:right="0" w:hanging="529"/>
        <w:jc w:val="left"/>
        <w:rPr>
          <w:sz w:val="21"/>
        </w:rPr>
      </w:pPr>
      <w:r>
        <w:rPr>
          <w:spacing w:val="-4"/>
          <w:sz w:val="21"/>
        </w:rPr>
        <w:t>非实验性或研究</w:t>
      </w:r>
    </w:p>
    <w:p>
      <w:pPr>
        <w:pStyle w:val="2"/>
        <w:spacing w:before="3"/>
        <w:rPr>
          <w:sz w:val="23"/>
        </w:rPr>
      </w:pPr>
    </w:p>
    <w:p>
      <w:pPr>
        <w:pStyle w:val="2"/>
        <w:ind w:left="218"/>
      </w:pPr>
      <w:r>
        <w:rPr>
          <w:spacing w:val="5"/>
        </w:rPr>
        <w:t>三十五条 住院医疗费用</w:t>
      </w:r>
    </w:p>
    <w:p>
      <w:pPr>
        <w:pStyle w:val="2"/>
        <w:spacing w:before="43"/>
        <w:ind w:left="642"/>
      </w:pPr>
      <w:r>
        <w:rPr>
          <w:spacing w:val="-3"/>
        </w:rPr>
        <w:t>指被保险人住院期间发生的医疗费用，包括：</w:t>
      </w:r>
    </w:p>
    <w:p>
      <w:pPr>
        <w:pStyle w:val="6"/>
        <w:numPr>
          <w:ilvl w:val="0"/>
          <w:numId w:val="12"/>
        </w:numPr>
        <w:tabs>
          <w:tab w:val="left" w:pos="747"/>
        </w:tabs>
        <w:spacing w:before="43" w:after="0" w:line="278" w:lineRule="auto"/>
        <w:ind w:left="218" w:right="718" w:firstLine="0"/>
        <w:jc w:val="left"/>
        <w:rPr>
          <w:sz w:val="21"/>
        </w:rPr>
      </w:pPr>
      <w:r>
        <w:rPr>
          <w:spacing w:val="-2"/>
          <w:sz w:val="21"/>
        </w:rPr>
        <w:t>床位费：指住院期间实际发生的、不高于双人病房的住院床位费</w:t>
      </w:r>
      <w:r>
        <w:rPr>
          <w:b/>
          <w:spacing w:val="-2"/>
          <w:sz w:val="21"/>
        </w:rPr>
        <w:t>（不包括单人病房、套房、家庭病床</w:t>
      </w:r>
      <w:r>
        <w:rPr>
          <w:b/>
          <w:spacing w:val="-106"/>
          <w:sz w:val="21"/>
        </w:rPr>
        <w:t>）</w:t>
      </w:r>
      <w:r>
        <w:rPr>
          <w:spacing w:val="-2"/>
          <w:sz w:val="21"/>
        </w:rPr>
        <w:t>。</w:t>
      </w:r>
    </w:p>
    <w:p>
      <w:pPr>
        <w:pStyle w:val="6"/>
        <w:numPr>
          <w:ilvl w:val="0"/>
          <w:numId w:val="12"/>
        </w:numPr>
        <w:tabs>
          <w:tab w:val="left" w:pos="747"/>
        </w:tabs>
        <w:spacing w:before="0" w:after="0" w:line="278" w:lineRule="auto"/>
        <w:ind w:left="218" w:right="751" w:firstLine="0"/>
        <w:jc w:val="both"/>
        <w:rPr>
          <w:sz w:val="21"/>
        </w:rPr>
      </w:pPr>
      <w:r>
        <w:rPr>
          <w:spacing w:val="-4"/>
          <w:sz w:val="21"/>
        </w:rPr>
        <w:t xml:space="preserve">加床费：指未满 </w:t>
      </w:r>
      <w:r>
        <w:rPr>
          <w:sz w:val="21"/>
        </w:rPr>
        <w:t>18</w:t>
      </w:r>
      <w:r>
        <w:rPr>
          <w:spacing w:val="-5"/>
          <w:sz w:val="21"/>
        </w:rPr>
        <w:t xml:space="preserve"> 周岁的被保险人在住院治疗期间，我们根据合同约定给付其合法</w:t>
      </w:r>
      <w:r>
        <w:rPr>
          <w:spacing w:val="-2"/>
          <w:sz w:val="21"/>
        </w:rPr>
        <w:t>监护人（限一人）在医院留宿发生的加床费；或女性被保险人在住院治疗期间，我们根据合同约定给付其一周岁以下哺乳期婴儿在医院留宿发生的加床费。</w:t>
      </w:r>
    </w:p>
    <w:p>
      <w:pPr>
        <w:pStyle w:val="6"/>
        <w:numPr>
          <w:ilvl w:val="0"/>
          <w:numId w:val="12"/>
        </w:numPr>
        <w:tabs>
          <w:tab w:val="left" w:pos="747"/>
        </w:tabs>
        <w:spacing w:before="0" w:after="0" w:line="278" w:lineRule="auto"/>
        <w:ind w:left="218" w:right="752" w:firstLine="0"/>
        <w:jc w:val="left"/>
        <w:rPr>
          <w:sz w:val="21"/>
        </w:rPr>
      </w:pPr>
      <w:r>
        <w:rPr>
          <w:spacing w:val="-2"/>
          <w:sz w:val="21"/>
        </w:rPr>
        <w:t>重症监护室床位费：指住院期间被保险人需在重症监护室进行合理且必要的医疗而产生的床位费。重症监护室指配有中心监护台、心电监护仪及其他监护抢救设施，相对封闭</w:t>
      </w:r>
    </w:p>
    <w:p>
      <w:pPr>
        <w:spacing w:after="0" w:line="278" w:lineRule="auto"/>
        <w:jc w:val="left"/>
        <w:rPr>
          <w:sz w:val="21"/>
        </w:rPr>
        <w:sectPr>
          <w:pgSz w:w="11910" w:h="16840"/>
          <w:pgMar w:top="1400" w:right="1080" w:bottom="1320" w:left="1580" w:header="0" w:footer="1137" w:gutter="0"/>
          <w:cols w:space="720" w:num="1"/>
        </w:sectPr>
      </w:pPr>
    </w:p>
    <w:p>
      <w:pPr>
        <w:pStyle w:val="2"/>
        <w:spacing w:before="44"/>
        <w:ind w:left="218"/>
      </w:pPr>
      <w:r>
        <w:rPr>
          <w:spacing w:val="-8"/>
        </w:rPr>
        <w:t>管理，符合重症监护病房</w:t>
      </w:r>
      <w:r>
        <w:rPr>
          <w:spacing w:val="13"/>
        </w:rPr>
        <w:t>（ICU</w:t>
      </w:r>
      <w:r>
        <w:rPr>
          <w:spacing w:val="-95"/>
        </w:rPr>
        <w:t>）</w:t>
      </w:r>
      <w:r>
        <w:rPr>
          <w:spacing w:val="-8"/>
        </w:rPr>
        <w:t>、冠心病重症监护病房（CCU）</w:t>
      </w:r>
      <w:r>
        <w:rPr>
          <w:spacing w:val="-9"/>
        </w:rPr>
        <w:t>标准的单人或多人监护病房。</w:t>
      </w:r>
    </w:p>
    <w:p>
      <w:pPr>
        <w:pStyle w:val="6"/>
        <w:numPr>
          <w:ilvl w:val="0"/>
          <w:numId w:val="12"/>
        </w:numPr>
        <w:tabs>
          <w:tab w:val="left" w:pos="747"/>
        </w:tabs>
        <w:spacing w:before="43" w:after="0" w:line="240" w:lineRule="auto"/>
        <w:ind w:left="747" w:right="0" w:hanging="529"/>
        <w:jc w:val="left"/>
        <w:rPr>
          <w:sz w:val="21"/>
        </w:rPr>
      </w:pPr>
      <w:r>
        <w:rPr>
          <w:spacing w:val="-3"/>
          <w:sz w:val="21"/>
        </w:rPr>
        <w:t>护理费：指住院期间根据医嘱所示的护理等级确定的护理费用。</w:t>
      </w:r>
    </w:p>
    <w:p>
      <w:pPr>
        <w:pStyle w:val="6"/>
        <w:numPr>
          <w:ilvl w:val="0"/>
          <w:numId w:val="12"/>
        </w:numPr>
        <w:tabs>
          <w:tab w:val="left" w:pos="747"/>
        </w:tabs>
        <w:spacing w:before="43" w:after="0" w:line="278" w:lineRule="auto"/>
        <w:ind w:left="218" w:right="752" w:firstLine="0"/>
        <w:jc w:val="both"/>
        <w:rPr>
          <w:sz w:val="21"/>
        </w:rPr>
      </w:pPr>
      <w:r>
        <w:rPr>
          <w:spacing w:val="-2"/>
          <w:sz w:val="21"/>
        </w:rPr>
        <w:t>膳食费：指住院期间根据医生的医嘱，由作为医院内部专属部门的、为住院病人配餐的食堂配送的膳食费用。膳食费应包含在医疗账单内；根据各医疗机构的惯例，可以作为独立的款项、也可以合并在病房费等其他款项内。</w:t>
      </w:r>
    </w:p>
    <w:p>
      <w:pPr>
        <w:pStyle w:val="6"/>
        <w:numPr>
          <w:ilvl w:val="0"/>
          <w:numId w:val="12"/>
        </w:numPr>
        <w:tabs>
          <w:tab w:val="left" w:pos="747"/>
        </w:tabs>
        <w:spacing w:before="0" w:after="0" w:line="278" w:lineRule="auto"/>
        <w:ind w:left="218" w:right="752" w:firstLine="0"/>
        <w:jc w:val="both"/>
        <w:rPr>
          <w:sz w:val="21"/>
        </w:rPr>
      </w:pPr>
      <w:r>
        <w:rPr>
          <w:spacing w:val="-2"/>
          <w:sz w:val="21"/>
        </w:rPr>
        <w:t>检查检验费：指住院期间实际发生的，以诊断疾病为目的，采取必要的医学手段进行</w:t>
      </w:r>
      <w:r>
        <w:rPr>
          <w:w w:val="95"/>
          <w:sz w:val="21"/>
        </w:rPr>
        <w:t>检查及检验而发生的合理的医疗费用，包括 X 光费、心电图费、B 超费、脑电图费、内窥镜</w:t>
      </w:r>
      <w:r>
        <w:rPr>
          <w:spacing w:val="-2"/>
          <w:sz w:val="21"/>
        </w:rPr>
        <w:t>费、肺功能仪费、分子生化检验费和血、尿、便常规检验费等。</w:t>
      </w:r>
    </w:p>
    <w:p>
      <w:pPr>
        <w:pStyle w:val="6"/>
        <w:numPr>
          <w:ilvl w:val="0"/>
          <w:numId w:val="12"/>
        </w:numPr>
        <w:tabs>
          <w:tab w:val="left" w:pos="747"/>
        </w:tabs>
        <w:spacing w:before="0" w:after="0" w:line="278" w:lineRule="auto"/>
        <w:ind w:left="218" w:right="728" w:firstLine="0"/>
        <w:jc w:val="both"/>
        <w:rPr>
          <w:rFonts w:hint="eastAsia" w:ascii="黑体" w:eastAsia="黑体"/>
          <w:b/>
          <w:sz w:val="21"/>
        </w:rPr>
      </w:pPr>
      <w:r>
        <w:rPr>
          <w:spacing w:val="-2"/>
          <w:sz w:val="21"/>
        </w:rPr>
        <w:t>治疗费：指由医生或者护士对患者进行的除手术外的各种治疗项目而发生的治疗费，包括因清创、换药、拆线、脓肿切开引流、瘘管烧灼、血管穿刺、输血、输液、注射、肌肉封闭、吸氧、放疗、化疗、冷冻、激光、肾透析、急救治疗、心肺复苏等而发生的治疗费，具体以所就诊医院的费用项目划分为准。</w:t>
      </w:r>
      <w:r>
        <w:rPr>
          <w:rFonts w:hint="eastAsia" w:ascii="黑体" w:eastAsia="黑体"/>
          <w:b/>
          <w:spacing w:val="-2"/>
          <w:sz w:val="21"/>
        </w:rPr>
        <w:t>本项责任不包含如下治疗的费用：1)物理治疗：是指应用人工物理因子（如光、电、磁、声等）来治疗疾病，具体疗法包括电疗、光疗、磁疗、热疗等；2)中医理疗：是指以治疗疾病为目的，被保险人接受有具有相应资格的医生实施的针灸治疗、推拿治疗、拔罐治疗或刮痧治疗；3)其他特殊疗法：包括顺势治疗、职业疗法及语音治疗。</w:t>
      </w:r>
    </w:p>
    <w:p>
      <w:pPr>
        <w:pStyle w:val="6"/>
        <w:numPr>
          <w:ilvl w:val="0"/>
          <w:numId w:val="12"/>
        </w:numPr>
        <w:tabs>
          <w:tab w:val="left" w:pos="747"/>
        </w:tabs>
        <w:spacing w:before="0" w:after="0" w:line="278" w:lineRule="auto"/>
        <w:ind w:left="218" w:right="751" w:firstLine="0"/>
        <w:jc w:val="both"/>
        <w:rPr>
          <w:rFonts w:hint="eastAsia" w:ascii="黑体" w:eastAsia="黑体"/>
          <w:b/>
          <w:sz w:val="21"/>
        </w:rPr>
      </w:pPr>
      <w:r>
        <w:rPr>
          <w:spacing w:val="-2"/>
          <w:sz w:val="21"/>
        </w:rPr>
        <w:t>药品费：指在住院就医期间根据医生开具的处方在医院内发生的具有国家药品监督管理部门核发的药品批准文号或者进口药品注册证书、医药产品注册证书的国产或进口药品的费用。</w:t>
      </w:r>
      <w:r>
        <w:rPr>
          <w:rFonts w:hint="eastAsia" w:ascii="黑体" w:eastAsia="黑体"/>
          <w:b/>
          <w:spacing w:val="-2"/>
          <w:sz w:val="21"/>
        </w:rPr>
        <w:t>但不包括营养补充类药品，免疫功能调节类药品，美容及减肥类药品，预防类药品，以及下列中药类药品：1）主要起营养滋补作用的单方、复方中药或中成药品，如花旗参，冬虫草，白糖参，朝鲜红参，玳瑁，蛤蚧，珊瑚，狗宝，红参，琥珀，灵芝，羚羊角尖粉，马宝，玛瑙，牛黄，麝香，西红花，血竭，燕窝，野山参，移山参，珍珠（粉</w:t>
      </w:r>
      <w:r>
        <w:rPr>
          <w:rFonts w:hint="eastAsia" w:ascii="黑体" w:eastAsia="黑体"/>
          <w:b/>
          <w:spacing w:val="-106"/>
          <w:sz w:val="21"/>
        </w:rPr>
        <w:t>）</w:t>
      </w:r>
      <w:r>
        <w:rPr>
          <w:rFonts w:hint="eastAsia" w:ascii="黑体" w:eastAsia="黑体"/>
          <w:b/>
          <w:spacing w:val="-4"/>
          <w:sz w:val="21"/>
        </w:rPr>
        <w:t>，紫</w:t>
      </w:r>
      <w:r>
        <w:rPr>
          <w:rFonts w:hint="eastAsia" w:ascii="黑体" w:eastAsia="黑体"/>
          <w:b/>
          <w:sz w:val="21"/>
        </w:rPr>
        <w:t>河车，阿胶，阿胶珠，血宝胶囊，红桃 K 口服液，十全大补丸，十全大补膏等；2）部分</w:t>
      </w:r>
      <w:r>
        <w:rPr>
          <w:rFonts w:hint="eastAsia" w:ascii="黑体" w:eastAsia="黑体"/>
          <w:b/>
          <w:spacing w:val="-2"/>
          <w:sz w:val="21"/>
        </w:rPr>
        <w:t>可以入药的动物及动物脏器，如鹿茸，海马，胎盘，鞭，尾，筋，骨等；3）用中药材和中药饮片炮制的各类酒制剂等。</w:t>
      </w:r>
    </w:p>
    <w:p>
      <w:pPr>
        <w:pStyle w:val="6"/>
        <w:numPr>
          <w:ilvl w:val="0"/>
          <w:numId w:val="12"/>
        </w:numPr>
        <w:tabs>
          <w:tab w:val="left" w:pos="747"/>
        </w:tabs>
        <w:spacing w:before="0" w:after="0" w:line="268" w:lineRule="exact"/>
        <w:ind w:left="747" w:right="0" w:hanging="529"/>
        <w:jc w:val="left"/>
        <w:rPr>
          <w:sz w:val="21"/>
        </w:rPr>
      </w:pPr>
      <w:r>
        <w:rPr>
          <w:spacing w:val="-3"/>
          <w:sz w:val="21"/>
        </w:rPr>
        <w:t>医生费：指包括外科医生、麻醉师、内科医生、专科医生的费用。</w:t>
      </w:r>
    </w:p>
    <w:p>
      <w:pPr>
        <w:pStyle w:val="6"/>
        <w:numPr>
          <w:ilvl w:val="0"/>
          <w:numId w:val="12"/>
        </w:numPr>
        <w:tabs>
          <w:tab w:val="left" w:pos="855"/>
        </w:tabs>
        <w:spacing w:before="42" w:after="0" w:line="278" w:lineRule="auto"/>
        <w:ind w:left="218" w:right="754" w:firstLine="0"/>
        <w:jc w:val="both"/>
        <w:rPr>
          <w:rFonts w:hint="eastAsia" w:ascii="黑体" w:eastAsia="黑体"/>
          <w:b/>
          <w:sz w:val="21"/>
        </w:rPr>
      </w:pPr>
      <w:r>
        <w:rPr>
          <w:spacing w:val="-2"/>
          <w:sz w:val="21"/>
        </w:rPr>
        <w:t>手术费：指当地卫生行政部门规定的手术项目的费用。包括手术费、麻醉费、手术监测费、手术材料费、术中用药费、手术设备费；</w:t>
      </w:r>
      <w:r>
        <w:rPr>
          <w:rFonts w:hint="eastAsia" w:ascii="黑体" w:eastAsia="黑体"/>
          <w:b/>
          <w:spacing w:val="-2"/>
          <w:sz w:val="21"/>
        </w:rPr>
        <w:t>若因器官移植而发生的手术费用，不包括器官本身的费用和获取器官过程中的费用。</w:t>
      </w:r>
    </w:p>
    <w:p>
      <w:pPr>
        <w:pStyle w:val="6"/>
        <w:numPr>
          <w:ilvl w:val="0"/>
          <w:numId w:val="12"/>
        </w:numPr>
        <w:tabs>
          <w:tab w:val="left" w:pos="855"/>
        </w:tabs>
        <w:spacing w:before="0" w:after="0" w:line="278" w:lineRule="auto"/>
        <w:ind w:left="218" w:right="754" w:firstLine="0"/>
        <w:jc w:val="left"/>
        <w:rPr>
          <w:sz w:val="21"/>
        </w:rPr>
      </w:pPr>
      <w:r>
        <w:rPr>
          <w:spacing w:val="-2"/>
          <w:sz w:val="21"/>
        </w:rPr>
        <w:t>救护车使用费：指住院期间以抢救生命或治疗疾病为目的，根据医生建议，被保险人需医院转诊过程中的医院用车费用，且救护车的使用仅限于同一城市中的医疗运送。</w:t>
      </w:r>
    </w:p>
    <w:p>
      <w:pPr>
        <w:pStyle w:val="2"/>
        <w:spacing w:before="2"/>
      </w:pPr>
    </w:p>
    <w:p>
      <w:pPr>
        <w:pStyle w:val="2"/>
        <w:spacing w:before="1"/>
        <w:ind w:left="218"/>
        <w:jc w:val="both"/>
      </w:pPr>
      <w:r>
        <w:rPr>
          <w:spacing w:val="7"/>
        </w:rPr>
        <w:t>三十六条 化学疗法</w:t>
      </w:r>
    </w:p>
    <w:p>
      <w:pPr>
        <w:pStyle w:val="2"/>
        <w:spacing w:before="21" w:line="242" w:lineRule="auto"/>
        <w:ind w:left="218" w:right="824" w:firstLine="424"/>
        <w:jc w:val="both"/>
      </w:pPr>
      <w:r>
        <w:rPr>
          <w:spacing w:val="-2"/>
        </w:rPr>
        <w:t>指针对于恶性肿瘤的化学治疗。化疗是使用医学界公认的化疗药物以杀死癌细胞、抑制癌细胞生长繁殖为目的而进行的治疗。本合同所指的化疗为被保险人根据医嘱，在医院进行的静脉注射化疗。</w:t>
      </w:r>
    </w:p>
    <w:p>
      <w:pPr>
        <w:pStyle w:val="2"/>
        <w:spacing w:before="1"/>
        <w:rPr>
          <w:sz w:val="23"/>
        </w:rPr>
      </w:pPr>
    </w:p>
    <w:p>
      <w:pPr>
        <w:pStyle w:val="2"/>
        <w:ind w:left="218"/>
        <w:jc w:val="both"/>
      </w:pPr>
      <w:r>
        <w:rPr>
          <w:spacing w:val="7"/>
        </w:rPr>
        <w:t>三十七条 放射疗法</w:t>
      </w:r>
    </w:p>
    <w:p>
      <w:pPr>
        <w:pStyle w:val="2"/>
        <w:spacing w:before="21" w:line="242" w:lineRule="auto"/>
        <w:ind w:left="218" w:right="824" w:firstLine="424"/>
        <w:jc w:val="both"/>
      </w:pPr>
      <w:r>
        <w:rPr>
          <w:spacing w:val="-2"/>
        </w:rPr>
        <w:t>指针对恶性肿瘤的放射治疗。放疗是使用各种不同能量的射线照射肿瘤组织，以抑制和杀灭癌细胞为目的而进行的治疗。本合同所指的放疗为被保险人根据医嘱，在医院的专门科室进行的放疗。</w:t>
      </w:r>
    </w:p>
    <w:p>
      <w:pPr>
        <w:pStyle w:val="2"/>
        <w:spacing w:before="2"/>
        <w:rPr>
          <w:sz w:val="23"/>
        </w:rPr>
      </w:pPr>
    </w:p>
    <w:p>
      <w:pPr>
        <w:pStyle w:val="2"/>
        <w:ind w:left="218"/>
      </w:pPr>
      <w:r>
        <w:rPr>
          <w:spacing w:val="5"/>
        </w:rPr>
        <w:t>三十八条 肿瘤免疫疗法</w:t>
      </w:r>
    </w:p>
    <w:p>
      <w:pPr>
        <w:pStyle w:val="2"/>
        <w:spacing w:before="21" w:line="244" w:lineRule="auto"/>
        <w:ind w:left="218" w:right="751" w:firstLine="424"/>
        <w:jc w:val="both"/>
      </w:pPr>
      <w:r>
        <w:rPr>
          <w:spacing w:val="-2"/>
        </w:rPr>
        <w:t>指应用免疫学原理和方法，使用肿瘤免疫治疗药物提高肿瘤细胞的免疫原性和对效应</w:t>
      </w:r>
      <w:r>
        <w:rPr>
          <w:spacing w:val="-6"/>
        </w:rPr>
        <w:t>细 胞杀伤的敏感性，激发和增强机体抗肿瘤免疫应答。本合同所指的肿瘤免疫治疗药物需</w:t>
      </w:r>
    </w:p>
    <w:p>
      <w:pPr>
        <w:spacing w:after="0" w:line="244" w:lineRule="auto"/>
        <w:jc w:val="both"/>
        <w:sectPr>
          <w:pgSz w:w="11910" w:h="16840"/>
          <w:pgMar w:top="1400" w:right="1080" w:bottom="1320" w:left="1580" w:header="0" w:footer="1137" w:gutter="0"/>
          <w:cols w:space="720" w:num="1"/>
        </w:sectPr>
      </w:pPr>
    </w:p>
    <w:p>
      <w:pPr>
        <w:pStyle w:val="2"/>
        <w:spacing w:before="43"/>
        <w:ind w:left="218"/>
      </w:pPr>
      <w:r>
        <w:rPr>
          <w:spacing w:val="-3"/>
        </w:rPr>
        <w:t>符合法律、法规要求并经过国家食品药品监督管理总局批准用于临床治疗。</w:t>
      </w:r>
    </w:p>
    <w:p>
      <w:pPr>
        <w:pStyle w:val="2"/>
        <w:spacing w:before="2"/>
        <w:rPr>
          <w:sz w:val="23"/>
        </w:rPr>
      </w:pPr>
    </w:p>
    <w:p>
      <w:pPr>
        <w:pStyle w:val="2"/>
        <w:spacing w:before="1"/>
        <w:ind w:left="218"/>
        <w:jc w:val="both"/>
      </w:pPr>
      <w:r>
        <w:rPr>
          <w:spacing w:val="4"/>
        </w:rPr>
        <w:t>三十九条 肿瘤内分泌疗法</w:t>
      </w:r>
    </w:p>
    <w:p>
      <w:pPr>
        <w:pStyle w:val="2"/>
        <w:spacing w:before="21" w:line="242" w:lineRule="auto"/>
        <w:ind w:left="218" w:right="824" w:firstLine="424"/>
        <w:jc w:val="both"/>
      </w:pPr>
      <w:r>
        <w:rPr>
          <w:spacing w:val="-2"/>
        </w:rPr>
        <w:t>指针对于恶性肿瘤的内分泌疗法，用药物抑制激素生成和激素反应，杀死癌细胞或抑制癌细胞的生长。本合同所指的内分泌治疗药物需符合法律、法规要求并经过国家食品药品监督管理总局批准用于临床治疗。</w:t>
      </w:r>
    </w:p>
    <w:p>
      <w:pPr>
        <w:pStyle w:val="2"/>
        <w:spacing w:before="1"/>
        <w:rPr>
          <w:sz w:val="23"/>
        </w:rPr>
      </w:pPr>
    </w:p>
    <w:p>
      <w:pPr>
        <w:pStyle w:val="2"/>
        <w:ind w:left="218"/>
        <w:jc w:val="both"/>
      </w:pPr>
      <w:r>
        <w:rPr>
          <w:spacing w:val="27"/>
        </w:rPr>
        <w:t>四十条 肿瘤靶向疗法</w:t>
      </w:r>
    </w:p>
    <w:p>
      <w:pPr>
        <w:pStyle w:val="2"/>
        <w:spacing w:before="21" w:line="242" w:lineRule="auto"/>
        <w:ind w:left="218" w:right="823" w:firstLine="424"/>
        <w:jc w:val="both"/>
      </w:pPr>
      <w:r>
        <w:rPr>
          <w:spacing w:val="-2"/>
        </w:rPr>
        <w:t>指在细胞分子水平上，针对已经明确的致癌点来设计相应的靶向治疗药物，利用具有一定特异性的载体，将药物或其他杀伤肿瘤细胞的活性物质选择性地运送到肿瘤部位攻击癌细胞的疗法。本合同所指的靶向治疗的药物需具有国家药品监督管理部门核发的药品批准文号或者进口药品注册证书、医药产品注册证书。</w:t>
      </w:r>
    </w:p>
    <w:p>
      <w:pPr>
        <w:pStyle w:val="2"/>
        <w:spacing w:before="4"/>
        <w:rPr>
          <w:sz w:val="26"/>
        </w:rPr>
      </w:pPr>
    </w:p>
    <w:p>
      <w:pPr>
        <w:pStyle w:val="2"/>
        <w:ind w:left="218"/>
      </w:pPr>
      <w:r>
        <w:rPr>
          <w:spacing w:val="7"/>
        </w:rPr>
        <w:t>四十一条 初次确诊</w:t>
      </w:r>
    </w:p>
    <w:p>
      <w:pPr>
        <w:pStyle w:val="2"/>
        <w:spacing w:before="21" w:line="242" w:lineRule="auto"/>
        <w:ind w:left="218" w:right="824" w:firstLine="424"/>
      </w:pPr>
      <w:r>
        <w:rPr>
          <w:spacing w:val="-2"/>
        </w:rPr>
        <w:t>指自被保险人出生之日起一次经医院确诊患有某种疾病，而不是指自本合同生效、复效之后一次经医院确诊患有某种疾病。</w:t>
      </w:r>
    </w:p>
    <w:p>
      <w:pPr>
        <w:pStyle w:val="2"/>
        <w:spacing w:before="2"/>
        <w:rPr>
          <w:sz w:val="26"/>
        </w:rPr>
      </w:pPr>
    </w:p>
    <w:p>
      <w:pPr>
        <w:pStyle w:val="2"/>
        <w:ind w:left="218"/>
      </w:pPr>
      <w:r>
        <w:rPr>
          <w:spacing w:val="4"/>
        </w:rPr>
        <w:t>四十二条 指定的医疗机构</w:t>
      </w:r>
    </w:p>
    <w:p>
      <w:pPr>
        <w:pStyle w:val="2"/>
        <w:spacing w:before="22" w:line="242" w:lineRule="auto"/>
        <w:ind w:left="218" w:right="824" w:firstLine="424"/>
      </w:pPr>
      <w:r>
        <w:rPr>
          <w:spacing w:val="-2"/>
        </w:rPr>
        <w:t>指上海市质子重离子医院。以我们最新公布的信息为准。我们保留对上述指定医疗机构进行变更的权利，您可拨打我们服务热线进行查询。</w:t>
      </w:r>
    </w:p>
    <w:p>
      <w:pPr>
        <w:pStyle w:val="2"/>
        <w:spacing w:before="11"/>
        <w:rPr>
          <w:sz w:val="17"/>
        </w:rPr>
      </w:pPr>
    </w:p>
    <w:p>
      <w:pPr>
        <w:pStyle w:val="2"/>
        <w:ind w:left="218"/>
        <w:jc w:val="both"/>
      </w:pPr>
      <w:r>
        <w:rPr>
          <w:spacing w:val="3"/>
        </w:rPr>
        <w:t>四十三条 质子重离子放射治疗</w:t>
      </w:r>
    </w:p>
    <w:p>
      <w:pPr>
        <w:pStyle w:val="2"/>
        <w:spacing w:before="21" w:line="242" w:lineRule="auto"/>
        <w:ind w:left="218" w:right="824" w:firstLine="424"/>
        <w:jc w:val="both"/>
      </w:pPr>
      <w:r>
        <w:rPr>
          <w:spacing w:val="-2"/>
        </w:rPr>
        <w:t>指利用质子和重离子对肿瘤进行放射治疗的技术。本合同所指的质子、重离子放射治疗是指被保险人根据医嘱，在指定的医疗机构的专门治疗室内接受的质子和重离子放射治</w:t>
      </w:r>
      <w:r>
        <w:rPr>
          <w:spacing w:val="-6"/>
        </w:rPr>
        <w:t>疗。</w:t>
      </w:r>
    </w:p>
    <w:p>
      <w:pPr>
        <w:pStyle w:val="2"/>
        <w:spacing w:before="2"/>
        <w:rPr>
          <w:sz w:val="23"/>
        </w:rPr>
      </w:pPr>
    </w:p>
    <w:p>
      <w:pPr>
        <w:pStyle w:val="2"/>
        <w:ind w:left="218"/>
      </w:pPr>
      <w:r>
        <w:rPr>
          <w:spacing w:val="7"/>
        </w:rPr>
        <w:t>四十四条 每次住院</w:t>
      </w:r>
    </w:p>
    <w:p>
      <w:pPr>
        <w:pStyle w:val="2"/>
        <w:spacing w:before="21" w:line="242" w:lineRule="auto"/>
        <w:ind w:left="218" w:right="826" w:firstLine="424"/>
      </w:pPr>
      <w:r>
        <w:rPr>
          <w:spacing w:val="-2"/>
        </w:rPr>
        <w:t>指被保险人于本合同有效期间内，因同一原因，必须住院二次及以上时，如其每次出院日期与再入院日期间隔未超过十四日的，视为同一次住院办理。</w:t>
      </w:r>
    </w:p>
    <w:p>
      <w:pPr>
        <w:pStyle w:val="2"/>
        <w:spacing w:before="12"/>
        <w:rPr>
          <w:sz w:val="17"/>
        </w:rPr>
      </w:pPr>
    </w:p>
    <w:p>
      <w:pPr>
        <w:pStyle w:val="2"/>
        <w:ind w:left="218"/>
        <w:jc w:val="both"/>
      </w:pPr>
      <w:r>
        <w:rPr>
          <w:spacing w:val="9"/>
        </w:rPr>
        <w:t>四十五条 罕见病</w:t>
      </w:r>
    </w:p>
    <w:p>
      <w:pPr>
        <w:pStyle w:val="2"/>
        <w:spacing w:before="43" w:line="278" w:lineRule="auto"/>
        <w:ind w:left="218" w:right="752" w:firstLine="419"/>
        <w:jc w:val="both"/>
      </w:pPr>
      <w:r>
        <w:rPr>
          <w:spacing w:val="-4"/>
        </w:rPr>
        <w:t>指《关于公布一批罕见病目录的通知</w:t>
      </w:r>
      <w:r>
        <w:rPr>
          <w:spacing w:val="-123"/>
        </w:rPr>
        <w:t>》</w:t>
      </w:r>
      <w:r>
        <w:rPr>
          <w:spacing w:val="-4"/>
        </w:rPr>
        <w:t>（国卫医发〔2018〕10 号）中国家卫生健康委</w:t>
      </w:r>
      <w:r>
        <w:rPr>
          <w:spacing w:val="-7"/>
        </w:rPr>
        <w:t xml:space="preserve">员会等 </w:t>
      </w:r>
      <w:r>
        <w:t>5</w:t>
      </w:r>
      <w:r>
        <w:rPr>
          <w:spacing w:val="-5"/>
        </w:rPr>
        <w:t xml:space="preserve"> 部门联合制定的《</w:t>
      </w:r>
      <w:r>
        <w:t>一批罕见病目录》中所包含的罕见病。如有更新，则以相关</w:t>
      </w:r>
      <w:r>
        <w:rPr>
          <w:spacing w:val="-2"/>
        </w:rPr>
        <w:t>部门最新发布的罕见病目录为准。</w:t>
      </w:r>
    </w:p>
    <w:p>
      <w:pPr>
        <w:pStyle w:val="2"/>
        <w:spacing w:before="4"/>
        <w:rPr>
          <w:sz w:val="24"/>
        </w:rPr>
      </w:pPr>
    </w:p>
    <w:p>
      <w:pPr>
        <w:pStyle w:val="2"/>
        <w:spacing w:before="1"/>
        <w:ind w:left="218"/>
        <w:jc w:val="both"/>
      </w:pPr>
      <w:r>
        <w:rPr>
          <w:spacing w:val="9"/>
        </w:rPr>
        <w:t>四十六条 肺结节</w:t>
      </w:r>
    </w:p>
    <w:p>
      <w:pPr>
        <w:pStyle w:val="2"/>
        <w:spacing w:before="43" w:line="278" w:lineRule="auto"/>
        <w:ind w:left="218" w:right="752" w:firstLine="424"/>
      </w:pPr>
      <w:r>
        <w:t>影像学表现为直径≤3</w:t>
      </w:r>
      <w:r>
        <w:rPr>
          <w:spacing w:val="-26"/>
        </w:rPr>
        <w:t xml:space="preserve"> </w:t>
      </w:r>
      <w:r>
        <w:t>cm</w:t>
      </w:r>
      <w:r>
        <w:rPr>
          <w:spacing w:val="-6"/>
        </w:rPr>
        <w:t xml:space="preserve"> 的局灶性、类圆形、密度增高的实性或亚实性肺部阴影，可</w:t>
      </w:r>
      <w:r>
        <w:rPr>
          <w:spacing w:val="-2"/>
        </w:rPr>
        <w:t>为孤立性或多发性，不伴肺不张、肺门淋巴结肿大和胸腔积液。</w:t>
      </w:r>
    </w:p>
    <w:p>
      <w:pPr>
        <w:pStyle w:val="2"/>
        <w:spacing w:before="4"/>
        <w:rPr>
          <w:sz w:val="24"/>
        </w:rPr>
      </w:pPr>
    </w:p>
    <w:p>
      <w:pPr>
        <w:pStyle w:val="2"/>
        <w:ind w:left="218"/>
      </w:pPr>
      <w:r>
        <w:rPr>
          <w:spacing w:val="5"/>
        </w:rPr>
        <w:t>四十七条 基本医疗保险</w:t>
      </w:r>
    </w:p>
    <w:p>
      <w:pPr>
        <w:pStyle w:val="2"/>
        <w:spacing w:before="43" w:line="278" w:lineRule="auto"/>
        <w:ind w:left="218" w:right="752" w:firstLine="424"/>
      </w:pPr>
      <w:r>
        <w:rPr>
          <w:spacing w:val="-2"/>
        </w:rPr>
        <w:t>本合同所称的基本医疗保险包括城镇职工基本医疗保险、城镇居民基本医疗保险、新型农村合作医疗、医疗救助等政府举办的基本医疗保障项目。</w:t>
      </w:r>
    </w:p>
    <w:p>
      <w:pPr>
        <w:pStyle w:val="2"/>
        <w:spacing w:before="4"/>
        <w:rPr>
          <w:sz w:val="24"/>
        </w:rPr>
      </w:pPr>
    </w:p>
    <w:p>
      <w:pPr>
        <w:pStyle w:val="2"/>
        <w:ind w:left="218"/>
      </w:pPr>
      <w:r>
        <w:rPr>
          <w:spacing w:val="9"/>
        </w:rPr>
        <w:t>四十八条 既往症</w:t>
      </w:r>
    </w:p>
    <w:p>
      <w:pPr>
        <w:pStyle w:val="2"/>
        <w:spacing w:before="21"/>
        <w:ind w:left="642"/>
      </w:pPr>
      <w:r>
        <w:rPr>
          <w:spacing w:val="-3"/>
        </w:rPr>
        <w:t>指在本合同生效之前罹患的被保险人已知或应该知道的有关疾病。通常有以下情况：</w:t>
      </w:r>
    </w:p>
    <w:p>
      <w:pPr>
        <w:pStyle w:val="6"/>
        <w:numPr>
          <w:ilvl w:val="0"/>
          <w:numId w:val="13"/>
        </w:numPr>
        <w:tabs>
          <w:tab w:val="left" w:pos="747"/>
        </w:tabs>
        <w:spacing w:before="2" w:after="0" w:line="240" w:lineRule="auto"/>
        <w:ind w:left="747" w:right="0" w:hanging="529"/>
        <w:jc w:val="left"/>
        <w:rPr>
          <w:sz w:val="21"/>
        </w:rPr>
      </w:pPr>
      <w:r>
        <w:rPr>
          <w:spacing w:val="-3"/>
          <w:sz w:val="21"/>
        </w:rPr>
        <w:t>本合同生效前，医生已有明确诊断，长期治疗未间断；</w:t>
      </w:r>
    </w:p>
    <w:p>
      <w:pPr>
        <w:pStyle w:val="6"/>
        <w:numPr>
          <w:ilvl w:val="0"/>
          <w:numId w:val="13"/>
        </w:numPr>
        <w:tabs>
          <w:tab w:val="left" w:pos="747"/>
        </w:tabs>
        <w:spacing w:before="5" w:after="0" w:line="240" w:lineRule="auto"/>
        <w:ind w:left="747" w:right="0" w:hanging="529"/>
        <w:jc w:val="left"/>
        <w:rPr>
          <w:sz w:val="21"/>
        </w:rPr>
      </w:pPr>
      <w:r>
        <w:rPr>
          <w:spacing w:val="-3"/>
          <w:sz w:val="21"/>
        </w:rPr>
        <w:t>本合同生效前，医生已有明确诊断，治疗后症状未完全消失，有间断用药情况；</w:t>
      </w:r>
    </w:p>
    <w:p>
      <w:pPr>
        <w:pStyle w:val="6"/>
        <w:numPr>
          <w:ilvl w:val="0"/>
          <w:numId w:val="13"/>
        </w:numPr>
        <w:tabs>
          <w:tab w:val="left" w:pos="747"/>
        </w:tabs>
        <w:spacing w:before="3" w:after="0" w:line="240" w:lineRule="auto"/>
        <w:ind w:left="747" w:right="0" w:hanging="529"/>
        <w:jc w:val="left"/>
        <w:rPr>
          <w:sz w:val="21"/>
        </w:rPr>
      </w:pPr>
      <w:r>
        <w:rPr>
          <w:spacing w:val="-3"/>
          <w:sz w:val="21"/>
        </w:rPr>
        <w:t>本合同生效前发生，未经医生诊断和治疗，但症状明显且持续存在，以普通人医学常</w:t>
      </w:r>
    </w:p>
    <w:p>
      <w:pPr>
        <w:spacing w:after="0" w:line="240" w:lineRule="auto"/>
        <w:jc w:val="left"/>
        <w:rPr>
          <w:sz w:val="21"/>
        </w:rPr>
        <w:sectPr>
          <w:pgSz w:w="11910" w:h="16840"/>
          <w:pgMar w:top="1380" w:right="1080" w:bottom="1320" w:left="1580" w:header="0" w:footer="1137" w:gutter="0"/>
          <w:cols w:space="720" w:num="1"/>
        </w:sectPr>
      </w:pPr>
    </w:p>
    <w:p>
      <w:pPr>
        <w:pStyle w:val="2"/>
        <w:spacing w:before="43"/>
        <w:ind w:left="218"/>
      </w:pPr>
      <w:r>
        <w:rPr>
          <w:spacing w:val="-4"/>
        </w:rPr>
        <w:t>识应当知晓。</w:t>
      </w:r>
    </w:p>
    <w:p>
      <w:pPr>
        <w:pStyle w:val="2"/>
        <w:spacing w:before="2"/>
        <w:rPr>
          <w:sz w:val="23"/>
        </w:rPr>
      </w:pPr>
    </w:p>
    <w:p>
      <w:pPr>
        <w:pStyle w:val="2"/>
        <w:spacing w:before="1"/>
        <w:ind w:left="218"/>
      </w:pPr>
      <w:r>
        <w:rPr>
          <w:spacing w:val="6"/>
        </w:rPr>
        <w:t>四十九条 遗传性疾病</w:t>
      </w:r>
    </w:p>
    <w:p>
      <w:pPr>
        <w:pStyle w:val="2"/>
        <w:spacing w:before="21" w:line="242" w:lineRule="auto"/>
        <w:ind w:left="218" w:right="824" w:firstLine="424"/>
      </w:pPr>
      <w:r>
        <w:rPr>
          <w:spacing w:val="-2"/>
        </w:rPr>
        <w:t>指生殖细胞或受精卵的遗传物质（染色体和基因）发生突变或畸变所引起的疾病，通常具有由亲代传至后代的垂直传递的特征。</w:t>
      </w:r>
    </w:p>
    <w:p>
      <w:pPr>
        <w:pStyle w:val="2"/>
        <w:spacing w:before="12"/>
        <w:rPr>
          <w:sz w:val="22"/>
        </w:rPr>
      </w:pPr>
    </w:p>
    <w:p>
      <w:pPr>
        <w:pStyle w:val="2"/>
        <w:tabs>
          <w:tab w:val="left" w:pos="1477"/>
        </w:tabs>
        <w:ind w:left="218"/>
      </w:pPr>
      <w:r>
        <w:rPr>
          <w:spacing w:val="-2"/>
        </w:rPr>
        <w:t>五十</w:t>
      </w:r>
      <w:r>
        <w:rPr>
          <w:spacing w:val="-10"/>
        </w:rPr>
        <w:t>条</w:t>
      </w:r>
      <w:r>
        <w:tab/>
      </w:r>
      <w:r>
        <w:rPr>
          <w:spacing w:val="-2"/>
        </w:rPr>
        <w:t>先天性畸形、变形或染色体异</w:t>
      </w:r>
      <w:r>
        <w:rPr>
          <w:spacing w:val="-10"/>
        </w:rPr>
        <w:t>常</w:t>
      </w:r>
    </w:p>
    <w:p>
      <w:pPr>
        <w:pStyle w:val="2"/>
        <w:spacing w:before="21" w:line="244" w:lineRule="auto"/>
        <w:ind w:left="218" w:right="824" w:firstLine="424"/>
      </w:pPr>
      <w:r>
        <w:rPr>
          <w:spacing w:val="-2"/>
        </w:rPr>
        <w:t>被保险人出生时就具有的畸形、变形或染色体异常。先天性畸形、变形和染色体异常</w:t>
      </w:r>
      <w:r>
        <w:rPr>
          <w:spacing w:val="-6"/>
        </w:rPr>
        <w:t>依照世界卫生组织《疾病和有关健康问题的国际统计分类》</w:t>
      </w:r>
      <w:r>
        <w:rPr>
          <w:spacing w:val="-2"/>
        </w:rPr>
        <w:t>（ICD10）确定。</w:t>
      </w:r>
    </w:p>
    <w:p>
      <w:pPr>
        <w:pStyle w:val="2"/>
        <w:spacing w:before="9"/>
        <w:rPr>
          <w:sz w:val="22"/>
        </w:rPr>
      </w:pPr>
    </w:p>
    <w:p>
      <w:pPr>
        <w:pStyle w:val="2"/>
        <w:spacing w:before="1"/>
        <w:ind w:left="218"/>
        <w:jc w:val="both"/>
      </w:pPr>
      <w:r>
        <w:t>五十一条 感染艾滋病病毒或患艾滋病</w:t>
      </w:r>
    </w:p>
    <w:p>
      <w:pPr>
        <w:pStyle w:val="2"/>
        <w:spacing w:before="43" w:line="278" w:lineRule="auto"/>
        <w:ind w:left="218" w:right="752" w:firstLine="424"/>
        <w:jc w:val="both"/>
      </w:pPr>
      <w:r>
        <w:t>艾滋病病毒指人类免疫缺陷病毒，英文缩写为 HIV。艾滋病指人类免疫缺陷病毒引起</w:t>
      </w:r>
      <w:r>
        <w:rPr>
          <w:spacing w:val="-2"/>
        </w:rPr>
        <w:t xml:space="preserve">的获得性免疫缺陷综合征，英文缩写为 </w:t>
      </w:r>
      <w:r>
        <w:t>AIDS。在人体血液或其它样本中检测到艾滋病病毒</w:t>
      </w:r>
      <w:r>
        <w:rPr>
          <w:spacing w:val="-2"/>
        </w:rPr>
        <w:t>或其抗体呈阳性，没有出现临床症状或体征的，为感染艾滋病病毒；如果同时出现了明显临床症状或体征的，为患艾滋病。</w:t>
      </w:r>
    </w:p>
    <w:p>
      <w:pPr>
        <w:pStyle w:val="2"/>
        <w:spacing w:before="4"/>
        <w:rPr>
          <w:sz w:val="24"/>
        </w:rPr>
      </w:pPr>
    </w:p>
    <w:p>
      <w:pPr>
        <w:pStyle w:val="2"/>
        <w:ind w:left="218"/>
        <w:jc w:val="both"/>
      </w:pPr>
      <w:r>
        <w:rPr>
          <w:spacing w:val="9"/>
        </w:rPr>
        <w:t>五十二条 职业病</w:t>
      </w:r>
    </w:p>
    <w:p>
      <w:pPr>
        <w:pStyle w:val="2"/>
        <w:spacing w:before="22" w:line="242" w:lineRule="auto"/>
        <w:ind w:left="218" w:right="824" w:firstLine="424"/>
        <w:jc w:val="both"/>
      </w:pPr>
      <w:r>
        <w:rPr>
          <w:spacing w:val="-2"/>
        </w:rPr>
        <w:t>指企业、事业单位和个体经济组织的劳动者在职业活动中，因接触粉尘、放射性物质和其他有毒、有害物质等因素而引起的疾病。职业病的认定需遵循《中华人民共和国职业病防治法》中的相关规定及鉴定程序。</w:t>
      </w:r>
    </w:p>
    <w:p>
      <w:pPr>
        <w:pStyle w:val="2"/>
        <w:spacing w:before="1"/>
        <w:rPr>
          <w:sz w:val="23"/>
        </w:rPr>
      </w:pPr>
    </w:p>
    <w:p>
      <w:pPr>
        <w:pStyle w:val="2"/>
        <w:ind w:left="218"/>
      </w:pPr>
      <w:r>
        <w:rPr>
          <w:spacing w:val="7"/>
        </w:rPr>
        <w:t>五十三条 医疗事故</w:t>
      </w:r>
    </w:p>
    <w:p>
      <w:pPr>
        <w:pStyle w:val="2"/>
        <w:spacing w:before="21" w:line="242" w:lineRule="auto"/>
        <w:ind w:left="218" w:right="824" w:firstLine="424"/>
      </w:pPr>
      <w:r>
        <w:rPr>
          <w:spacing w:val="-2"/>
        </w:rPr>
        <w:t>指医疗机构及其医务人员在医疗活动中，违反医疗卫生管理法律、行政法规、部门规章和诊疗护理规范及常规，过失造成患者人身损害的事故。</w:t>
      </w:r>
    </w:p>
    <w:p>
      <w:pPr>
        <w:pStyle w:val="2"/>
        <w:rPr>
          <w:sz w:val="23"/>
        </w:rPr>
      </w:pPr>
    </w:p>
    <w:p>
      <w:pPr>
        <w:pStyle w:val="2"/>
        <w:ind w:left="218"/>
        <w:jc w:val="both"/>
      </w:pPr>
      <w:r>
        <w:rPr>
          <w:spacing w:val="11"/>
        </w:rPr>
        <w:t>五十四条 醉酒</w:t>
      </w:r>
    </w:p>
    <w:p>
      <w:pPr>
        <w:pStyle w:val="2"/>
        <w:spacing w:before="21"/>
        <w:ind w:left="642"/>
      </w:pPr>
      <w:r>
        <w:rPr>
          <w:spacing w:val="-5"/>
        </w:rPr>
        <w:t xml:space="preserve">指每百毫升血液的酒精含量大于或等于 </w:t>
      </w:r>
      <w:r>
        <w:rPr>
          <w:spacing w:val="-2"/>
        </w:rPr>
        <w:t>100</w:t>
      </w:r>
      <w:r>
        <w:rPr>
          <w:spacing w:val="-15"/>
        </w:rPr>
        <w:t xml:space="preserve"> 毫克。</w:t>
      </w:r>
    </w:p>
    <w:p>
      <w:pPr>
        <w:pStyle w:val="2"/>
        <w:spacing w:before="3"/>
        <w:rPr>
          <w:sz w:val="23"/>
        </w:rPr>
      </w:pPr>
    </w:p>
    <w:p>
      <w:pPr>
        <w:pStyle w:val="2"/>
        <w:ind w:left="218"/>
      </w:pPr>
      <w:r>
        <w:rPr>
          <w:spacing w:val="11"/>
        </w:rPr>
        <w:t>五十五条 毒品</w:t>
      </w:r>
    </w:p>
    <w:p>
      <w:pPr>
        <w:spacing w:before="21" w:line="242" w:lineRule="auto"/>
        <w:ind w:left="218" w:right="752" w:firstLine="424"/>
        <w:jc w:val="left"/>
        <w:rPr>
          <w:rFonts w:hint="eastAsia" w:ascii="黑体" w:eastAsia="黑体"/>
          <w:b/>
          <w:sz w:val="21"/>
        </w:rPr>
      </w:pPr>
      <w:r>
        <w:rPr>
          <w:spacing w:val="-2"/>
          <w:sz w:val="21"/>
        </w:rPr>
        <w:t>指中华人民共和国刑法规定的鸦片、海洛因、甲基苯丙胺（冰毒</w:t>
      </w:r>
      <w:r>
        <w:rPr>
          <w:spacing w:val="-108"/>
          <w:sz w:val="21"/>
        </w:rPr>
        <w:t>）</w:t>
      </w:r>
      <w:r>
        <w:rPr>
          <w:spacing w:val="-2"/>
          <w:sz w:val="21"/>
        </w:rPr>
        <w:t>、吗啡、大麻、可卡因以及国家规定管制的其他能够使人形成瘾癖的麻醉药品和精神药品，</w:t>
      </w:r>
      <w:r>
        <w:rPr>
          <w:rFonts w:hint="eastAsia" w:ascii="黑体" w:eastAsia="黑体"/>
          <w:b/>
          <w:spacing w:val="-2"/>
          <w:sz w:val="21"/>
        </w:rPr>
        <w:t>但不包括由医生开具并遵医嘱使用的用于治疗疾病但含有毒品成分的处方药品。</w:t>
      </w:r>
    </w:p>
    <w:p>
      <w:pPr>
        <w:pStyle w:val="2"/>
        <w:spacing w:before="1"/>
        <w:rPr>
          <w:rFonts w:ascii="黑体"/>
          <w:b/>
          <w:sz w:val="23"/>
        </w:rPr>
      </w:pPr>
    </w:p>
    <w:p>
      <w:pPr>
        <w:pStyle w:val="2"/>
        <w:spacing w:before="1"/>
        <w:ind w:left="218"/>
      </w:pPr>
      <w:r>
        <w:rPr>
          <w:spacing w:val="11"/>
        </w:rPr>
        <w:t>五十六条 潜水</w:t>
      </w:r>
    </w:p>
    <w:p>
      <w:pPr>
        <w:pStyle w:val="2"/>
        <w:spacing w:before="21"/>
        <w:ind w:left="642"/>
      </w:pPr>
      <w:r>
        <w:rPr>
          <w:spacing w:val="-3"/>
        </w:rPr>
        <w:t>指使用辅助呼吸器材在江、河、湖、海、水库、运河等水域进行的水下运动。</w:t>
      </w:r>
    </w:p>
    <w:p>
      <w:pPr>
        <w:pStyle w:val="2"/>
        <w:spacing w:before="3"/>
        <w:rPr>
          <w:sz w:val="23"/>
        </w:rPr>
      </w:pPr>
    </w:p>
    <w:p>
      <w:pPr>
        <w:pStyle w:val="2"/>
        <w:ind w:left="218"/>
      </w:pPr>
      <w:r>
        <w:rPr>
          <w:spacing w:val="7"/>
        </w:rPr>
        <w:t>五十七条 攀岩运动</w:t>
      </w:r>
    </w:p>
    <w:p>
      <w:pPr>
        <w:pStyle w:val="2"/>
        <w:spacing w:before="22"/>
        <w:ind w:left="642"/>
      </w:pPr>
      <w:r>
        <w:rPr>
          <w:spacing w:val="-3"/>
        </w:rPr>
        <w:t>指攀登悬崖、楼宇外墙、人造悬崖、冰崖、冰山等运动。</w:t>
      </w:r>
    </w:p>
    <w:p>
      <w:pPr>
        <w:pStyle w:val="2"/>
        <w:spacing w:before="2"/>
        <w:rPr>
          <w:sz w:val="23"/>
        </w:rPr>
      </w:pPr>
    </w:p>
    <w:p>
      <w:pPr>
        <w:pStyle w:val="2"/>
        <w:ind w:left="218"/>
      </w:pPr>
      <w:r>
        <w:rPr>
          <w:spacing w:val="7"/>
        </w:rPr>
        <w:t>五十八条 探险活动</w:t>
      </w:r>
    </w:p>
    <w:p>
      <w:pPr>
        <w:pStyle w:val="2"/>
        <w:spacing w:before="21" w:line="242" w:lineRule="auto"/>
        <w:ind w:left="218" w:right="824" w:firstLine="424"/>
      </w:pPr>
      <w:r>
        <w:rPr>
          <w:spacing w:val="-2"/>
        </w:rPr>
        <w:t>指明知在某种特定的自然条件下有失去生命或使身体受到伤害的危险，而故意使自己置身其中的行为。如江河漂流、登山、徒步穿越沙漠或人迹罕至的原始森林等活动。</w:t>
      </w:r>
    </w:p>
    <w:p>
      <w:pPr>
        <w:pStyle w:val="2"/>
        <w:rPr>
          <w:sz w:val="23"/>
        </w:rPr>
      </w:pPr>
    </w:p>
    <w:p>
      <w:pPr>
        <w:pStyle w:val="2"/>
        <w:ind w:left="218"/>
        <w:jc w:val="both"/>
      </w:pPr>
      <w:r>
        <w:rPr>
          <w:spacing w:val="7"/>
        </w:rPr>
        <w:t>五十九条 酒后驾驶</w:t>
      </w:r>
    </w:p>
    <w:p>
      <w:pPr>
        <w:pStyle w:val="2"/>
        <w:spacing w:before="21" w:line="242" w:lineRule="auto"/>
        <w:ind w:left="218" w:right="823" w:firstLine="424"/>
        <w:jc w:val="both"/>
      </w:pPr>
      <w:r>
        <w:rPr>
          <w:spacing w:val="-2"/>
        </w:rPr>
        <w:t>指经检测或鉴定，发生事故时车辆驾驶人员每百毫升血液中的酒精含量达到或超过一定的标准，公安机关交通管理部门依据《道路交通安全法》的规定认定为饮酒后驾驶或醉酒后驾驶。</w:t>
      </w:r>
    </w:p>
    <w:p>
      <w:pPr>
        <w:spacing w:after="0" w:line="242" w:lineRule="auto"/>
        <w:jc w:val="both"/>
        <w:sectPr>
          <w:pgSz w:w="11910" w:h="16840"/>
          <w:pgMar w:top="1380" w:right="1080" w:bottom="1320" w:left="1580" w:header="0" w:footer="1137" w:gutter="0"/>
          <w:cols w:space="720" w:num="1"/>
        </w:sectPr>
      </w:pPr>
    </w:p>
    <w:p>
      <w:pPr>
        <w:pStyle w:val="2"/>
        <w:tabs>
          <w:tab w:val="left" w:pos="1477"/>
        </w:tabs>
        <w:spacing w:before="44" w:line="259" w:lineRule="auto"/>
        <w:ind w:left="642" w:right="5663" w:hanging="425"/>
      </w:pPr>
      <w:r>
        <w:rPr>
          <w:spacing w:val="-4"/>
        </w:rPr>
        <w:t>六十条</w:t>
      </w:r>
      <w:r>
        <w:tab/>
      </w:r>
      <w:r>
        <w:rPr>
          <w:spacing w:val="-2"/>
        </w:rPr>
        <w:t>无合法有效驾驶证驾驶指下列情形之一：</w:t>
      </w:r>
    </w:p>
    <w:p>
      <w:pPr>
        <w:pStyle w:val="6"/>
        <w:numPr>
          <w:ilvl w:val="0"/>
          <w:numId w:val="14"/>
        </w:numPr>
        <w:tabs>
          <w:tab w:val="left" w:pos="747"/>
        </w:tabs>
        <w:spacing w:before="0" w:after="0" w:line="249" w:lineRule="exact"/>
        <w:ind w:left="747" w:right="0" w:hanging="529"/>
        <w:jc w:val="left"/>
        <w:rPr>
          <w:sz w:val="21"/>
        </w:rPr>
      </w:pPr>
      <w:r>
        <w:rPr>
          <w:spacing w:val="-3"/>
          <w:sz w:val="21"/>
        </w:rPr>
        <w:t>没有取得驾驶资格；</w:t>
      </w:r>
    </w:p>
    <w:p>
      <w:pPr>
        <w:pStyle w:val="6"/>
        <w:numPr>
          <w:ilvl w:val="0"/>
          <w:numId w:val="14"/>
        </w:numPr>
        <w:tabs>
          <w:tab w:val="left" w:pos="747"/>
        </w:tabs>
        <w:spacing w:before="5" w:after="0" w:line="240" w:lineRule="auto"/>
        <w:ind w:left="747" w:right="0" w:hanging="529"/>
        <w:jc w:val="left"/>
        <w:rPr>
          <w:sz w:val="21"/>
        </w:rPr>
      </w:pPr>
      <w:r>
        <w:rPr>
          <w:spacing w:val="-3"/>
          <w:sz w:val="21"/>
        </w:rPr>
        <w:t>驾驶与驾驶证准驾车型不相符合的车辆；</w:t>
      </w:r>
    </w:p>
    <w:p>
      <w:pPr>
        <w:pStyle w:val="6"/>
        <w:numPr>
          <w:ilvl w:val="0"/>
          <w:numId w:val="14"/>
        </w:numPr>
        <w:tabs>
          <w:tab w:val="left" w:pos="747"/>
        </w:tabs>
        <w:spacing w:before="2" w:after="0" w:line="240" w:lineRule="auto"/>
        <w:ind w:left="747" w:right="0" w:hanging="529"/>
        <w:jc w:val="left"/>
        <w:rPr>
          <w:sz w:val="21"/>
        </w:rPr>
      </w:pPr>
      <w:r>
        <w:rPr>
          <w:spacing w:val="-3"/>
          <w:sz w:val="21"/>
        </w:rPr>
        <w:t>持审验不合格的驾驶证驾驶；</w:t>
      </w:r>
    </w:p>
    <w:p>
      <w:pPr>
        <w:pStyle w:val="6"/>
        <w:numPr>
          <w:ilvl w:val="0"/>
          <w:numId w:val="14"/>
        </w:numPr>
        <w:tabs>
          <w:tab w:val="left" w:pos="747"/>
        </w:tabs>
        <w:spacing w:before="5" w:after="0" w:line="240" w:lineRule="auto"/>
        <w:ind w:left="747" w:right="0" w:hanging="529"/>
        <w:jc w:val="left"/>
        <w:rPr>
          <w:sz w:val="21"/>
        </w:rPr>
      </w:pPr>
      <w:r>
        <w:rPr>
          <w:spacing w:val="-3"/>
          <w:sz w:val="21"/>
        </w:rPr>
        <w:t>持学习驾驶证学习驾车时，无教练员随车指导，或不按指定时间、路线学习驾车。</w:t>
      </w:r>
    </w:p>
    <w:p>
      <w:pPr>
        <w:pStyle w:val="2"/>
        <w:spacing w:before="2"/>
        <w:rPr>
          <w:sz w:val="23"/>
        </w:rPr>
      </w:pPr>
    </w:p>
    <w:p>
      <w:pPr>
        <w:pStyle w:val="2"/>
        <w:spacing w:line="259" w:lineRule="auto"/>
        <w:ind w:left="642" w:right="6505" w:hanging="425"/>
      </w:pPr>
      <w:r>
        <w:rPr>
          <w:spacing w:val="4"/>
        </w:rPr>
        <w:t>六十一条 无有效行驶证</w:t>
      </w:r>
      <w:r>
        <w:rPr>
          <w:spacing w:val="-2"/>
        </w:rPr>
        <w:t>指下列情形之一：</w:t>
      </w:r>
    </w:p>
    <w:p>
      <w:pPr>
        <w:pStyle w:val="6"/>
        <w:numPr>
          <w:ilvl w:val="0"/>
          <w:numId w:val="15"/>
        </w:numPr>
        <w:tabs>
          <w:tab w:val="left" w:pos="747"/>
        </w:tabs>
        <w:spacing w:before="0" w:after="0" w:line="249" w:lineRule="exact"/>
        <w:ind w:left="747" w:right="0" w:hanging="529"/>
        <w:jc w:val="left"/>
        <w:rPr>
          <w:sz w:val="21"/>
        </w:rPr>
      </w:pPr>
      <w:r>
        <w:rPr>
          <w:spacing w:val="-3"/>
          <w:sz w:val="21"/>
        </w:rPr>
        <w:t>机动车被依法注销登记的；</w:t>
      </w:r>
    </w:p>
    <w:p>
      <w:pPr>
        <w:pStyle w:val="6"/>
        <w:numPr>
          <w:ilvl w:val="0"/>
          <w:numId w:val="15"/>
        </w:numPr>
        <w:tabs>
          <w:tab w:val="left" w:pos="747"/>
        </w:tabs>
        <w:spacing w:before="26" w:after="0" w:line="240" w:lineRule="auto"/>
        <w:ind w:left="747" w:right="0" w:hanging="529"/>
        <w:jc w:val="left"/>
        <w:rPr>
          <w:sz w:val="21"/>
        </w:rPr>
      </w:pPr>
      <w:r>
        <w:rPr>
          <w:spacing w:val="-3"/>
          <w:sz w:val="21"/>
        </w:rPr>
        <w:t>未依法按时进行或通过机动车安全技术检验。</w:t>
      </w:r>
    </w:p>
    <w:p>
      <w:pPr>
        <w:pStyle w:val="2"/>
        <w:spacing w:before="8"/>
        <w:rPr>
          <w:sz w:val="24"/>
        </w:rPr>
      </w:pPr>
    </w:p>
    <w:p>
      <w:pPr>
        <w:pStyle w:val="2"/>
        <w:ind w:left="218"/>
      </w:pPr>
      <w:r>
        <w:rPr>
          <w:spacing w:val="9"/>
        </w:rPr>
        <w:t>六十二条 机动车</w:t>
      </w:r>
    </w:p>
    <w:p>
      <w:pPr>
        <w:pStyle w:val="2"/>
        <w:spacing w:before="21" w:line="244" w:lineRule="auto"/>
        <w:ind w:left="218" w:right="824" w:firstLine="424"/>
      </w:pPr>
      <w:r>
        <w:rPr>
          <w:spacing w:val="-2"/>
        </w:rPr>
        <w:t>指以动力装置驱动或者牵引，上道路行驶的供人员乘用或者用于运送物品以及进行工程专项作业的轮式车辆。</w:t>
      </w:r>
    </w:p>
    <w:p>
      <w:pPr>
        <w:pStyle w:val="2"/>
        <w:spacing w:before="9"/>
        <w:rPr>
          <w:sz w:val="22"/>
        </w:rPr>
      </w:pPr>
    </w:p>
    <w:p>
      <w:pPr>
        <w:pStyle w:val="2"/>
        <w:ind w:left="218"/>
      </w:pPr>
      <w:r>
        <w:rPr>
          <w:spacing w:val="7"/>
        </w:rPr>
        <w:t>六十三条 现金价值</w:t>
      </w:r>
    </w:p>
    <w:p>
      <w:pPr>
        <w:spacing w:before="43" w:line="278" w:lineRule="auto"/>
        <w:ind w:left="218" w:right="752" w:firstLine="427"/>
        <w:jc w:val="both"/>
        <w:rPr>
          <w:rFonts w:hint="eastAsia" w:ascii="黑体" w:hAnsi="黑体" w:eastAsia="黑体"/>
          <w:b/>
          <w:sz w:val="21"/>
        </w:rPr>
      </w:pPr>
      <w:r>
        <w:rPr>
          <w:rFonts w:hint="eastAsia" w:ascii="黑体" w:hAnsi="黑体" w:eastAsia="黑体"/>
          <w:b/>
          <w:spacing w:val="-102"/>
          <w:sz w:val="21"/>
        </w:rPr>
        <w:t>指“</w:t>
      </w:r>
      <w:r>
        <w:rPr>
          <w:rFonts w:hint="eastAsia" w:ascii="黑体" w:hAnsi="黑体" w:eastAsia="黑体"/>
          <w:b/>
          <w:sz w:val="21"/>
        </w:rPr>
        <w:t>（</w:t>
      </w:r>
      <w:r>
        <w:rPr>
          <w:rFonts w:hint="eastAsia" w:ascii="黑体" w:hAnsi="黑体" w:eastAsia="黑体"/>
          <w:b/>
          <w:spacing w:val="-2"/>
          <w:sz w:val="21"/>
        </w:rPr>
        <w:t>保险费-手续费</w:t>
      </w:r>
      <w:r>
        <w:rPr>
          <w:rFonts w:hint="eastAsia" w:ascii="黑体" w:hAnsi="黑体" w:eastAsia="黑体"/>
          <w:b/>
          <w:spacing w:val="-59"/>
          <w:sz w:val="21"/>
        </w:rPr>
        <w:t>）*（1-</w:t>
      </w:r>
      <w:r>
        <w:rPr>
          <w:rFonts w:hint="eastAsia" w:ascii="黑体" w:hAnsi="黑体" w:eastAsia="黑体"/>
          <w:b/>
          <w:spacing w:val="-2"/>
          <w:sz w:val="21"/>
        </w:rPr>
        <w:t>（保单当期已经过天数/当期已交保险费对应的保险期间</w:t>
      </w:r>
      <w:r>
        <w:rPr>
          <w:rFonts w:hint="eastAsia" w:ascii="黑体" w:hAnsi="黑体" w:eastAsia="黑体"/>
          <w:b/>
          <w:spacing w:val="-106"/>
          <w:sz w:val="21"/>
        </w:rPr>
        <w:t>））”。</w:t>
      </w:r>
      <w:r>
        <w:rPr>
          <w:rFonts w:hint="eastAsia" w:ascii="黑体" w:hAnsi="黑体" w:eastAsia="黑体"/>
          <w:b/>
          <w:spacing w:val="-2"/>
          <w:sz w:val="21"/>
        </w:rPr>
        <w:t>经过天数不足一天的按一天计算。手续费指我们对本合同平均承担的营业费用及佣金的总</w:t>
      </w:r>
      <w:r>
        <w:rPr>
          <w:rFonts w:hint="eastAsia" w:ascii="黑体" w:hAnsi="黑体" w:eastAsia="黑体"/>
          <w:b/>
          <w:spacing w:val="-5"/>
          <w:sz w:val="21"/>
        </w:rPr>
        <w:t xml:space="preserve">和，等于保险费的 </w:t>
      </w:r>
      <w:r>
        <w:rPr>
          <w:rFonts w:hint="eastAsia" w:ascii="黑体" w:hAnsi="黑体" w:eastAsia="黑体"/>
          <w:b/>
          <w:sz w:val="21"/>
        </w:rPr>
        <w:t>35%。</w:t>
      </w:r>
    </w:p>
    <w:p>
      <w:pPr>
        <w:pStyle w:val="2"/>
        <w:spacing w:before="4"/>
        <w:rPr>
          <w:rFonts w:ascii="黑体"/>
          <w:b/>
          <w:sz w:val="24"/>
        </w:rPr>
      </w:pPr>
    </w:p>
    <w:p>
      <w:pPr>
        <w:pStyle w:val="2"/>
        <w:tabs>
          <w:tab w:val="left" w:pos="1583"/>
        </w:tabs>
        <w:ind w:left="218"/>
      </w:pPr>
      <w:r>
        <w:rPr>
          <w:spacing w:val="-2"/>
        </w:rPr>
        <w:t>六十四</w:t>
      </w:r>
      <w:r>
        <w:rPr>
          <w:spacing w:val="-10"/>
        </w:rPr>
        <w:t>条</w:t>
      </w:r>
      <w:r>
        <w:tab/>
      </w:r>
      <w:r>
        <w:rPr>
          <w:spacing w:val="-2"/>
        </w:rPr>
        <w:t>有效身份证</w:t>
      </w:r>
      <w:r>
        <w:rPr>
          <w:spacing w:val="-10"/>
        </w:rPr>
        <w:t>件</w:t>
      </w:r>
    </w:p>
    <w:p>
      <w:pPr>
        <w:pStyle w:val="2"/>
        <w:spacing w:before="43" w:line="278" w:lineRule="auto"/>
        <w:ind w:left="218" w:right="753" w:firstLine="419"/>
      </w:pPr>
      <w:r>
        <w:rPr>
          <w:spacing w:val="-2"/>
        </w:rPr>
        <w:t>指由政府主管部门规定的证明其身份的证件，如：居民身份证、按规定可使用的有效护照等证件。</w:t>
      </w:r>
    </w:p>
    <w:p>
      <w:pPr>
        <w:pStyle w:val="2"/>
        <w:spacing w:before="5"/>
        <w:rPr>
          <w:sz w:val="24"/>
        </w:rPr>
      </w:pPr>
    </w:p>
    <w:p>
      <w:pPr>
        <w:pStyle w:val="2"/>
        <w:ind w:left="218"/>
        <w:jc w:val="both"/>
      </w:pPr>
      <w:r>
        <w:rPr>
          <w:spacing w:val="9"/>
        </w:rPr>
        <w:t>六十五条 原位癌</w:t>
      </w:r>
    </w:p>
    <w:p>
      <w:pPr>
        <w:pStyle w:val="2"/>
        <w:spacing w:before="21" w:line="242" w:lineRule="auto"/>
        <w:ind w:left="218" w:right="754" w:firstLine="419"/>
        <w:jc w:val="both"/>
        <w:rPr>
          <w:rFonts w:hint="eastAsia" w:ascii="黑体" w:eastAsia="黑体"/>
          <w:b/>
        </w:rPr>
      </w:pPr>
      <w:r>
        <w:rPr>
          <w:spacing w:val="-2"/>
        </w:rPr>
        <w:t>指恶性细胞局限于上皮内尚未穿破基底膜浸润周围正常组织的癌细胞新生物。原位癌必须经对固定活组织的组织病理学检查明确诊断。被保险人必须已经接受了针对原位癌病灶的积极治疗，所谓的积极治疗包含手术、化疗或放疗等治疗方式。</w:t>
      </w:r>
      <w:r>
        <w:rPr>
          <w:rFonts w:hint="eastAsia" w:ascii="黑体" w:eastAsia="黑体"/>
          <w:b/>
          <w:spacing w:val="-2"/>
        </w:rPr>
        <w:t>癌前病变不在本保障</w:t>
      </w:r>
      <w:r>
        <w:rPr>
          <w:rFonts w:hint="eastAsia" w:ascii="黑体" w:eastAsia="黑体"/>
          <w:b/>
          <w:spacing w:val="-4"/>
        </w:rPr>
        <w:t>范围内。</w:t>
      </w:r>
    </w:p>
    <w:p>
      <w:pPr>
        <w:pStyle w:val="2"/>
        <w:spacing w:before="3"/>
        <w:rPr>
          <w:rFonts w:ascii="黑体"/>
          <w:b/>
          <w:sz w:val="26"/>
        </w:rPr>
      </w:pPr>
    </w:p>
    <w:p>
      <w:pPr>
        <w:pStyle w:val="2"/>
        <w:spacing w:line="278" w:lineRule="auto"/>
        <w:ind w:left="642" w:right="5663" w:hanging="425"/>
      </w:pPr>
      <w:r>
        <w:t>六十六条 六项基本日常生活活动</w:t>
      </w:r>
      <w:r>
        <w:rPr>
          <w:spacing w:val="-2"/>
        </w:rPr>
        <w:t>六项基本日常生活活动指：</w:t>
      </w:r>
    </w:p>
    <w:p>
      <w:pPr>
        <w:pStyle w:val="6"/>
        <w:numPr>
          <w:ilvl w:val="0"/>
          <w:numId w:val="16"/>
        </w:numPr>
        <w:tabs>
          <w:tab w:val="left" w:pos="747"/>
        </w:tabs>
        <w:spacing w:before="0" w:after="0" w:line="269" w:lineRule="exact"/>
        <w:ind w:left="747" w:right="0" w:hanging="529"/>
        <w:jc w:val="left"/>
        <w:rPr>
          <w:sz w:val="21"/>
        </w:rPr>
      </w:pPr>
      <w:r>
        <w:rPr>
          <w:spacing w:val="-3"/>
          <w:sz w:val="21"/>
        </w:rPr>
        <w:t>穿衣：自己能够穿衣及脱衣；</w:t>
      </w:r>
    </w:p>
    <w:p>
      <w:pPr>
        <w:pStyle w:val="6"/>
        <w:numPr>
          <w:ilvl w:val="0"/>
          <w:numId w:val="16"/>
        </w:numPr>
        <w:tabs>
          <w:tab w:val="left" w:pos="747"/>
        </w:tabs>
        <w:spacing w:before="44" w:after="0" w:line="240" w:lineRule="auto"/>
        <w:ind w:left="747" w:right="0" w:hanging="529"/>
        <w:jc w:val="left"/>
        <w:rPr>
          <w:sz w:val="21"/>
        </w:rPr>
      </w:pPr>
      <w:r>
        <w:rPr>
          <w:spacing w:val="-3"/>
          <w:sz w:val="21"/>
        </w:rPr>
        <w:t>移动：自己从一个房间到另一个房间；</w:t>
      </w:r>
    </w:p>
    <w:p>
      <w:pPr>
        <w:pStyle w:val="6"/>
        <w:numPr>
          <w:ilvl w:val="0"/>
          <w:numId w:val="16"/>
        </w:numPr>
        <w:tabs>
          <w:tab w:val="left" w:pos="747"/>
        </w:tabs>
        <w:spacing w:before="43" w:after="0" w:line="240" w:lineRule="auto"/>
        <w:ind w:left="747" w:right="0" w:hanging="529"/>
        <w:jc w:val="left"/>
        <w:rPr>
          <w:sz w:val="21"/>
        </w:rPr>
      </w:pPr>
      <w:r>
        <w:rPr>
          <w:spacing w:val="-3"/>
          <w:sz w:val="21"/>
        </w:rPr>
        <w:t>行动：自己上下床或上下轮椅；</w:t>
      </w:r>
    </w:p>
    <w:p>
      <w:pPr>
        <w:pStyle w:val="6"/>
        <w:numPr>
          <w:ilvl w:val="0"/>
          <w:numId w:val="16"/>
        </w:numPr>
        <w:tabs>
          <w:tab w:val="left" w:pos="747"/>
        </w:tabs>
        <w:spacing w:before="43" w:after="0" w:line="240" w:lineRule="auto"/>
        <w:ind w:left="747" w:right="0" w:hanging="529"/>
        <w:jc w:val="left"/>
        <w:rPr>
          <w:sz w:val="21"/>
        </w:rPr>
      </w:pPr>
      <w:r>
        <w:rPr>
          <w:spacing w:val="-3"/>
          <w:sz w:val="21"/>
        </w:rPr>
        <w:t>如厕：自己控制进行大小便；</w:t>
      </w:r>
    </w:p>
    <w:p>
      <w:pPr>
        <w:pStyle w:val="6"/>
        <w:numPr>
          <w:ilvl w:val="0"/>
          <w:numId w:val="16"/>
        </w:numPr>
        <w:tabs>
          <w:tab w:val="left" w:pos="747"/>
        </w:tabs>
        <w:spacing w:before="43" w:after="0" w:line="240" w:lineRule="auto"/>
        <w:ind w:left="747" w:right="0" w:hanging="529"/>
        <w:jc w:val="left"/>
        <w:rPr>
          <w:sz w:val="21"/>
        </w:rPr>
      </w:pPr>
      <w:r>
        <w:rPr>
          <w:spacing w:val="-3"/>
          <w:sz w:val="21"/>
        </w:rPr>
        <w:t>进食：自己从已准备好的碗或碟中取食物放入口中；</w:t>
      </w:r>
    </w:p>
    <w:p>
      <w:pPr>
        <w:pStyle w:val="6"/>
        <w:numPr>
          <w:ilvl w:val="0"/>
          <w:numId w:val="16"/>
        </w:numPr>
        <w:tabs>
          <w:tab w:val="left" w:pos="747"/>
        </w:tabs>
        <w:spacing w:before="43" w:after="0" w:line="240" w:lineRule="auto"/>
        <w:ind w:left="747" w:right="0" w:hanging="529"/>
        <w:jc w:val="left"/>
        <w:rPr>
          <w:sz w:val="21"/>
        </w:rPr>
      </w:pPr>
      <w:r>
        <w:rPr>
          <w:spacing w:val="-3"/>
          <w:sz w:val="21"/>
        </w:rPr>
        <w:t>洗澡：自己进行淋浴或盆浴。</w:t>
      </w:r>
    </w:p>
    <w:p>
      <w:pPr>
        <w:pStyle w:val="2"/>
        <w:spacing w:before="9"/>
        <w:rPr>
          <w:sz w:val="27"/>
        </w:rPr>
      </w:pPr>
    </w:p>
    <w:p>
      <w:pPr>
        <w:pStyle w:val="2"/>
        <w:spacing w:line="278" w:lineRule="auto"/>
        <w:ind w:left="638" w:right="4821" w:hanging="420"/>
      </w:pPr>
      <w:r>
        <w:t>六十七条 美国纽约心脏病学会心功能分级</w:t>
      </w:r>
      <w:r>
        <w:rPr>
          <w:spacing w:val="-3"/>
        </w:rPr>
        <w:t>美国纽约心脏病学会心功能分级标准指：</w:t>
      </w:r>
    </w:p>
    <w:p>
      <w:pPr>
        <w:pStyle w:val="6"/>
        <w:numPr>
          <w:ilvl w:val="0"/>
          <w:numId w:val="17"/>
        </w:numPr>
        <w:tabs>
          <w:tab w:val="left" w:pos="747"/>
        </w:tabs>
        <w:spacing w:before="0" w:after="0" w:line="278" w:lineRule="auto"/>
        <w:ind w:left="218" w:right="752" w:firstLine="0"/>
        <w:jc w:val="left"/>
        <w:rPr>
          <w:sz w:val="21"/>
        </w:rPr>
      </w:pPr>
      <w:r>
        <w:rPr>
          <w:spacing w:val="-2"/>
          <w:sz w:val="21"/>
        </w:rPr>
        <w:t>Ⅰ级：患者患有心脏病，但活动量不受限制，平时一般活动不引起疲乏、心悸、呼吸困难或心绞痛；</w:t>
      </w:r>
    </w:p>
    <w:p>
      <w:pPr>
        <w:pStyle w:val="6"/>
        <w:numPr>
          <w:ilvl w:val="0"/>
          <w:numId w:val="17"/>
        </w:numPr>
        <w:tabs>
          <w:tab w:val="left" w:pos="747"/>
        </w:tabs>
        <w:spacing w:before="0" w:after="0" w:line="278" w:lineRule="auto"/>
        <w:ind w:left="218" w:right="752" w:firstLine="0"/>
        <w:jc w:val="left"/>
        <w:rPr>
          <w:sz w:val="21"/>
        </w:rPr>
      </w:pPr>
      <w:r>
        <w:rPr>
          <w:spacing w:val="-2"/>
          <w:sz w:val="21"/>
        </w:rPr>
        <w:t>Ⅱ级：心脏病患者的体力活动受到轻度的限制，休息时无自觉症状，但一般体力活动下可出现疲乏、心悸、呼吸困难或心绞痛；</w:t>
      </w:r>
    </w:p>
    <w:p>
      <w:pPr>
        <w:spacing w:after="0" w:line="278" w:lineRule="auto"/>
        <w:jc w:val="left"/>
        <w:rPr>
          <w:sz w:val="21"/>
        </w:rPr>
        <w:sectPr>
          <w:pgSz w:w="11910" w:h="16840"/>
          <w:pgMar w:top="1400" w:right="1080" w:bottom="1320" w:left="1580" w:header="0" w:footer="1137" w:gutter="0"/>
          <w:cols w:space="720" w:num="1"/>
        </w:sectPr>
      </w:pPr>
    </w:p>
    <w:p>
      <w:pPr>
        <w:pStyle w:val="6"/>
        <w:numPr>
          <w:ilvl w:val="0"/>
          <w:numId w:val="17"/>
        </w:numPr>
        <w:tabs>
          <w:tab w:val="left" w:pos="747"/>
        </w:tabs>
        <w:spacing w:before="44" w:after="0" w:line="240" w:lineRule="auto"/>
        <w:ind w:left="747" w:right="0" w:hanging="529"/>
        <w:jc w:val="left"/>
        <w:rPr>
          <w:sz w:val="21"/>
        </w:rPr>
      </w:pPr>
      <w:r>
        <w:rPr>
          <w:spacing w:val="-3"/>
          <w:sz w:val="21"/>
        </w:rPr>
        <w:t>Ⅲ级：心脏病患者体力活动明显受限，小于平时一般活动即引起上述的症状；</w:t>
      </w:r>
    </w:p>
    <w:p>
      <w:pPr>
        <w:pStyle w:val="6"/>
        <w:numPr>
          <w:ilvl w:val="0"/>
          <w:numId w:val="17"/>
        </w:numPr>
        <w:tabs>
          <w:tab w:val="left" w:pos="747"/>
        </w:tabs>
        <w:spacing w:before="43" w:after="0" w:line="278" w:lineRule="auto"/>
        <w:ind w:left="218" w:right="754" w:firstLine="0"/>
        <w:jc w:val="left"/>
        <w:rPr>
          <w:sz w:val="21"/>
        </w:rPr>
      </w:pPr>
      <w:r>
        <w:rPr>
          <w:spacing w:val="-2"/>
          <w:sz w:val="21"/>
        </w:rPr>
        <w:t>Ⅳ级：心脏病患者不能从事任何体力活动，休息状态下出现心衰的症状，体力活动后</w:t>
      </w:r>
      <w:r>
        <w:rPr>
          <w:spacing w:val="-4"/>
          <w:sz w:val="21"/>
        </w:rPr>
        <w:t>加重。</w:t>
      </w:r>
    </w:p>
    <w:p>
      <w:pPr>
        <w:spacing w:after="0" w:line="278" w:lineRule="auto"/>
        <w:jc w:val="left"/>
        <w:rPr>
          <w:sz w:val="21"/>
        </w:rPr>
        <w:sectPr>
          <w:pgSz w:w="11910" w:h="16840"/>
          <w:pgMar w:top="1400" w:right="1080" w:bottom="1320" w:left="1580" w:header="0" w:footer="1137" w:gutter="0"/>
          <w:cols w:space="720" w:num="1"/>
        </w:sectPr>
      </w:pPr>
    </w:p>
    <w:p>
      <w:pPr>
        <w:spacing w:before="44"/>
        <w:ind w:left="2261" w:right="2802" w:firstLine="0"/>
        <w:jc w:val="center"/>
        <w:rPr>
          <w:b/>
          <w:sz w:val="21"/>
        </w:rPr>
      </w:pPr>
      <w:r>
        <w:rPr>
          <w:b/>
          <w:spacing w:val="-7"/>
          <w:sz w:val="21"/>
        </w:rPr>
        <w:t>八章 附件</w:t>
      </w:r>
    </w:p>
    <w:p>
      <w:pPr>
        <w:pStyle w:val="2"/>
        <w:spacing w:before="9"/>
        <w:rPr>
          <w:b/>
          <w:sz w:val="27"/>
        </w:rPr>
      </w:pPr>
    </w:p>
    <w:p>
      <w:pPr>
        <w:pStyle w:val="2"/>
        <w:spacing w:before="1"/>
        <w:ind w:left="218"/>
      </w:pPr>
      <w:r>
        <w:rPr>
          <w:spacing w:val="5"/>
        </w:rPr>
        <w:t>六十八条 重大疾病定义</w:t>
      </w:r>
    </w:p>
    <w:p>
      <w:pPr>
        <w:pStyle w:val="6"/>
        <w:numPr>
          <w:ilvl w:val="0"/>
          <w:numId w:val="18"/>
        </w:numPr>
        <w:tabs>
          <w:tab w:val="left" w:pos="760"/>
          <w:tab w:val="left" w:pos="761"/>
          <w:tab w:val="left" w:pos="2229"/>
        </w:tabs>
        <w:spacing w:before="42" w:after="0" w:line="278" w:lineRule="auto"/>
        <w:ind w:left="2229" w:right="730" w:hanging="2036"/>
        <w:jc w:val="left"/>
        <w:rPr>
          <w:sz w:val="21"/>
        </w:rPr>
      </w:pPr>
      <w:r>
        <w:rPr>
          <w:b/>
          <w:w w:val="100"/>
          <w:sz w:val="21"/>
        </w:rPr>
        <w:t>恶性肿瘤</w:t>
      </w:r>
      <w:r>
        <w:rPr>
          <w:b/>
          <w:sz w:val="21"/>
        </w:rPr>
        <w:tab/>
      </w:r>
      <w:r>
        <w:rPr>
          <w:w w:val="100"/>
          <w:sz w:val="21"/>
        </w:rPr>
        <w:t>指恶</w:t>
      </w:r>
      <w:r>
        <w:rPr>
          <w:spacing w:val="-3"/>
          <w:w w:val="100"/>
          <w:sz w:val="21"/>
        </w:rPr>
        <w:t>性</w:t>
      </w:r>
      <w:r>
        <w:rPr>
          <w:w w:val="100"/>
          <w:sz w:val="21"/>
        </w:rPr>
        <w:t>细</w:t>
      </w:r>
      <w:r>
        <w:rPr>
          <w:spacing w:val="-3"/>
          <w:w w:val="100"/>
          <w:sz w:val="21"/>
        </w:rPr>
        <w:t>胞</w:t>
      </w:r>
      <w:r>
        <w:rPr>
          <w:w w:val="100"/>
          <w:sz w:val="21"/>
        </w:rPr>
        <w:t>不</w:t>
      </w:r>
      <w:r>
        <w:rPr>
          <w:spacing w:val="-3"/>
          <w:w w:val="100"/>
          <w:sz w:val="21"/>
        </w:rPr>
        <w:t>受</w:t>
      </w:r>
      <w:r>
        <w:rPr>
          <w:w w:val="100"/>
          <w:sz w:val="21"/>
        </w:rPr>
        <w:t>控</w:t>
      </w:r>
      <w:r>
        <w:rPr>
          <w:spacing w:val="-3"/>
          <w:w w:val="100"/>
          <w:sz w:val="21"/>
        </w:rPr>
        <w:t>制</w:t>
      </w:r>
      <w:r>
        <w:rPr>
          <w:w w:val="100"/>
          <w:sz w:val="21"/>
        </w:rPr>
        <w:t>的</w:t>
      </w:r>
      <w:r>
        <w:rPr>
          <w:spacing w:val="-3"/>
          <w:w w:val="100"/>
          <w:sz w:val="21"/>
        </w:rPr>
        <w:t>进</w:t>
      </w:r>
      <w:r>
        <w:rPr>
          <w:w w:val="100"/>
          <w:sz w:val="21"/>
        </w:rPr>
        <w:t>行性</w:t>
      </w:r>
      <w:r>
        <w:rPr>
          <w:spacing w:val="-3"/>
          <w:w w:val="100"/>
          <w:sz w:val="21"/>
        </w:rPr>
        <w:t>增</w:t>
      </w:r>
      <w:r>
        <w:rPr>
          <w:spacing w:val="-1"/>
          <w:w w:val="100"/>
          <w:sz w:val="21"/>
        </w:rPr>
        <w:t>长</w:t>
      </w:r>
      <w:r>
        <w:rPr>
          <w:spacing w:val="-3"/>
          <w:w w:val="100"/>
          <w:sz w:val="21"/>
        </w:rPr>
        <w:t>和</w:t>
      </w:r>
      <w:r>
        <w:rPr>
          <w:w w:val="100"/>
          <w:sz w:val="21"/>
        </w:rPr>
        <w:t>扩</w:t>
      </w:r>
      <w:r>
        <w:rPr>
          <w:spacing w:val="-3"/>
          <w:w w:val="100"/>
          <w:sz w:val="21"/>
        </w:rPr>
        <w:t>散</w:t>
      </w:r>
      <w:r>
        <w:rPr>
          <w:w w:val="100"/>
          <w:sz w:val="21"/>
        </w:rPr>
        <w:t>，</w:t>
      </w:r>
      <w:r>
        <w:rPr>
          <w:spacing w:val="-3"/>
          <w:w w:val="100"/>
          <w:sz w:val="21"/>
        </w:rPr>
        <w:t>浸</w:t>
      </w:r>
      <w:r>
        <w:rPr>
          <w:w w:val="100"/>
          <w:sz w:val="21"/>
        </w:rPr>
        <w:t>润</w:t>
      </w:r>
      <w:r>
        <w:rPr>
          <w:spacing w:val="-3"/>
          <w:w w:val="100"/>
          <w:sz w:val="21"/>
        </w:rPr>
        <w:t>和</w:t>
      </w:r>
      <w:r>
        <w:rPr>
          <w:w w:val="100"/>
          <w:sz w:val="21"/>
        </w:rPr>
        <w:t>破坏</w:t>
      </w:r>
      <w:r>
        <w:rPr>
          <w:spacing w:val="-3"/>
          <w:w w:val="100"/>
          <w:sz w:val="21"/>
        </w:rPr>
        <w:t>周</w:t>
      </w:r>
      <w:r>
        <w:rPr>
          <w:w w:val="100"/>
          <w:sz w:val="21"/>
        </w:rPr>
        <w:t>围</w:t>
      </w:r>
      <w:r>
        <w:rPr>
          <w:spacing w:val="-3"/>
          <w:w w:val="100"/>
          <w:sz w:val="21"/>
        </w:rPr>
        <w:t>正</w:t>
      </w:r>
      <w:r>
        <w:rPr>
          <w:w w:val="100"/>
          <w:sz w:val="21"/>
        </w:rPr>
        <w:t>常组织</w:t>
      </w:r>
      <w:r>
        <w:rPr>
          <w:spacing w:val="-8"/>
          <w:w w:val="100"/>
          <w:sz w:val="21"/>
        </w:rPr>
        <w:t>，</w:t>
      </w:r>
      <w:r>
        <w:rPr>
          <w:spacing w:val="-3"/>
          <w:w w:val="100"/>
          <w:sz w:val="21"/>
        </w:rPr>
        <w:t>可</w:t>
      </w:r>
      <w:r>
        <w:rPr>
          <w:w w:val="100"/>
          <w:sz w:val="21"/>
        </w:rPr>
        <w:t>以</w:t>
      </w:r>
      <w:r>
        <w:rPr>
          <w:spacing w:val="-3"/>
          <w:w w:val="100"/>
          <w:sz w:val="21"/>
        </w:rPr>
        <w:t>经</w:t>
      </w:r>
      <w:r>
        <w:rPr>
          <w:w w:val="100"/>
          <w:sz w:val="21"/>
        </w:rPr>
        <w:t>血</w:t>
      </w:r>
      <w:r>
        <w:rPr>
          <w:spacing w:val="-3"/>
          <w:w w:val="100"/>
          <w:sz w:val="21"/>
        </w:rPr>
        <w:t>管</w:t>
      </w:r>
      <w:r>
        <w:rPr>
          <w:spacing w:val="-8"/>
          <w:w w:val="100"/>
          <w:sz w:val="21"/>
        </w:rPr>
        <w:t>、</w:t>
      </w:r>
      <w:r>
        <w:rPr>
          <w:w w:val="100"/>
          <w:sz w:val="21"/>
        </w:rPr>
        <w:t>淋</w:t>
      </w:r>
      <w:r>
        <w:rPr>
          <w:spacing w:val="-3"/>
          <w:w w:val="100"/>
          <w:sz w:val="21"/>
        </w:rPr>
        <w:t>巴管</w:t>
      </w:r>
      <w:r>
        <w:rPr>
          <w:w w:val="100"/>
          <w:sz w:val="21"/>
        </w:rPr>
        <w:t>和体</w:t>
      </w:r>
      <w:r>
        <w:rPr>
          <w:spacing w:val="-3"/>
          <w:w w:val="100"/>
          <w:sz w:val="21"/>
        </w:rPr>
        <w:t>腔</w:t>
      </w:r>
      <w:r>
        <w:rPr>
          <w:spacing w:val="-1"/>
          <w:w w:val="100"/>
          <w:sz w:val="21"/>
        </w:rPr>
        <w:t>扩</w:t>
      </w:r>
      <w:r>
        <w:rPr>
          <w:spacing w:val="-3"/>
          <w:w w:val="100"/>
          <w:sz w:val="21"/>
        </w:rPr>
        <w:t>散</w:t>
      </w:r>
      <w:r>
        <w:rPr>
          <w:w w:val="100"/>
          <w:sz w:val="21"/>
        </w:rPr>
        <w:t>转</w:t>
      </w:r>
      <w:r>
        <w:rPr>
          <w:spacing w:val="-3"/>
          <w:w w:val="100"/>
          <w:sz w:val="21"/>
        </w:rPr>
        <w:t>移</w:t>
      </w:r>
      <w:r>
        <w:rPr>
          <w:w w:val="100"/>
          <w:sz w:val="21"/>
        </w:rPr>
        <w:t>到</w:t>
      </w:r>
      <w:r>
        <w:rPr>
          <w:spacing w:val="-3"/>
          <w:w w:val="100"/>
          <w:sz w:val="21"/>
        </w:rPr>
        <w:t>身</w:t>
      </w:r>
      <w:r>
        <w:rPr>
          <w:w w:val="100"/>
          <w:sz w:val="21"/>
        </w:rPr>
        <w:t>体</w:t>
      </w:r>
      <w:r>
        <w:rPr>
          <w:spacing w:val="-3"/>
          <w:w w:val="100"/>
          <w:sz w:val="21"/>
        </w:rPr>
        <w:t>其</w:t>
      </w:r>
      <w:r>
        <w:rPr>
          <w:w w:val="100"/>
          <w:sz w:val="21"/>
        </w:rPr>
        <w:t>他部</w:t>
      </w:r>
      <w:r>
        <w:rPr>
          <w:spacing w:val="-3"/>
          <w:w w:val="100"/>
          <w:sz w:val="21"/>
        </w:rPr>
        <w:t>位</w:t>
      </w:r>
      <w:r>
        <w:rPr>
          <w:w w:val="100"/>
          <w:sz w:val="21"/>
        </w:rPr>
        <w:t>的</w:t>
      </w:r>
      <w:r>
        <w:rPr>
          <w:spacing w:val="-3"/>
          <w:w w:val="100"/>
          <w:sz w:val="21"/>
        </w:rPr>
        <w:t>疾</w:t>
      </w:r>
      <w:r>
        <w:rPr>
          <w:w w:val="100"/>
          <w:sz w:val="21"/>
        </w:rPr>
        <w:t>病</w:t>
      </w:r>
      <w:r>
        <w:rPr>
          <w:spacing w:val="-10"/>
          <w:w w:val="100"/>
          <w:sz w:val="21"/>
        </w:rPr>
        <w:t>。经</w:t>
      </w:r>
      <w:r>
        <w:rPr>
          <w:w w:val="100"/>
          <w:sz w:val="21"/>
        </w:rPr>
        <w:t>病理</w:t>
      </w:r>
      <w:r>
        <w:rPr>
          <w:spacing w:val="-3"/>
          <w:w w:val="100"/>
          <w:sz w:val="21"/>
        </w:rPr>
        <w:t>学</w:t>
      </w:r>
      <w:r>
        <w:rPr>
          <w:w w:val="100"/>
          <w:sz w:val="21"/>
        </w:rPr>
        <w:t>检</w:t>
      </w:r>
      <w:r>
        <w:rPr>
          <w:spacing w:val="-3"/>
          <w:w w:val="100"/>
          <w:sz w:val="21"/>
        </w:rPr>
        <w:t>查</w:t>
      </w:r>
      <w:r>
        <w:rPr>
          <w:w w:val="100"/>
          <w:sz w:val="21"/>
        </w:rPr>
        <w:t>结</w:t>
      </w:r>
      <w:r>
        <w:rPr>
          <w:spacing w:val="-3"/>
          <w:w w:val="100"/>
          <w:sz w:val="21"/>
        </w:rPr>
        <w:t>果</w:t>
      </w:r>
      <w:r>
        <w:rPr>
          <w:w w:val="100"/>
          <w:sz w:val="21"/>
        </w:rPr>
        <w:t>明</w:t>
      </w:r>
      <w:r>
        <w:rPr>
          <w:spacing w:val="-3"/>
          <w:w w:val="100"/>
          <w:sz w:val="21"/>
        </w:rPr>
        <w:t>确</w:t>
      </w:r>
      <w:r>
        <w:rPr>
          <w:spacing w:val="-1"/>
          <w:w w:val="100"/>
          <w:sz w:val="21"/>
        </w:rPr>
        <w:t>诊</w:t>
      </w:r>
      <w:r>
        <w:rPr>
          <w:spacing w:val="-3"/>
          <w:w w:val="100"/>
          <w:sz w:val="21"/>
        </w:rPr>
        <w:t>断</w:t>
      </w:r>
      <w:r>
        <w:rPr>
          <w:spacing w:val="-10"/>
          <w:w w:val="100"/>
          <w:sz w:val="21"/>
        </w:rPr>
        <w:t>，</w:t>
      </w:r>
      <w:r>
        <w:rPr>
          <w:spacing w:val="-2"/>
          <w:w w:val="100"/>
          <w:sz w:val="21"/>
        </w:rPr>
        <w:t>临</w:t>
      </w:r>
      <w:r>
        <w:rPr>
          <w:w w:val="100"/>
          <w:sz w:val="21"/>
        </w:rPr>
        <w:t>床</w:t>
      </w:r>
      <w:r>
        <w:rPr>
          <w:spacing w:val="-3"/>
          <w:w w:val="100"/>
          <w:sz w:val="21"/>
        </w:rPr>
        <w:t>诊</w:t>
      </w:r>
      <w:r>
        <w:rPr>
          <w:w w:val="100"/>
          <w:sz w:val="21"/>
        </w:rPr>
        <w:t>断</w:t>
      </w:r>
      <w:r>
        <w:rPr>
          <w:spacing w:val="-3"/>
          <w:w w:val="100"/>
          <w:sz w:val="21"/>
        </w:rPr>
        <w:t>属</w:t>
      </w:r>
      <w:r>
        <w:rPr>
          <w:w w:val="100"/>
          <w:sz w:val="21"/>
        </w:rPr>
        <w:t>于</w:t>
      </w:r>
      <w:r>
        <w:rPr>
          <w:spacing w:val="-3"/>
          <w:w w:val="100"/>
          <w:sz w:val="21"/>
        </w:rPr>
        <w:t>世</w:t>
      </w:r>
      <w:r>
        <w:rPr>
          <w:w w:val="100"/>
          <w:sz w:val="21"/>
        </w:rPr>
        <w:t>界</w:t>
      </w:r>
      <w:r>
        <w:rPr>
          <w:spacing w:val="-3"/>
          <w:w w:val="100"/>
          <w:sz w:val="21"/>
        </w:rPr>
        <w:t>卫生</w:t>
      </w:r>
      <w:r>
        <w:rPr>
          <w:w w:val="100"/>
          <w:sz w:val="21"/>
        </w:rPr>
        <w:t>组</w:t>
      </w:r>
      <w:r>
        <w:rPr>
          <w:spacing w:val="-13"/>
          <w:w w:val="100"/>
          <w:sz w:val="21"/>
        </w:rPr>
        <w:t>织</w:t>
      </w:r>
      <w:r>
        <w:rPr>
          <w:w w:val="100"/>
          <w:sz w:val="21"/>
        </w:rPr>
        <w:t>《</w:t>
      </w:r>
      <w:r>
        <w:rPr>
          <w:spacing w:val="-3"/>
          <w:w w:val="100"/>
          <w:sz w:val="21"/>
        </w:rPr>
        <w:t>疾</w:t>
      </w:r>
      <w:r>
        <w:rPr>
          <w:w w:val="100"/>
          <w:sz w:val="21"/>
        </w:rPr>
        <w:t>病</w:t>
      </w:r>
      <w:r>
        <w:rPr>
          <w:spacing w:val="-3"/>
          <w:w w:val="100"/>
          <w:sz w:val="21"/>
        </w:rPr>
        <w:t>和</w:t>
      </w:r>
      <w:r>
        <w:rPr>
          <w:w w:val="100"/>
          <w:sz w:val="21"/>
        </w:rPr>
        <w:t>有关健康</w:t>
      </w:r>
      <w:r>
        <w:rPr>
          <w:spacing w:val="-3"/>
          <w:w w:val="100"/>
          <w:sz w:val="21"/>
        </w:rPr>
        <w:t>问</w:t>
      </w:r>
      <w:r>
        <w:rPr>
          <w:w w:val="100"/>
          <w:sz w:val="21"/>
        </w:rPr>
        <w:t>题</w:t>
      </w:r>
      <w:r>
        <w:rPr>
          <w:spacing w:val="-3"/>
          <w:w w:val="100"/>
          <w:sz w:val="21"/>
        </w:rPr>
        <w:t>的</w:t>
      </w:r>
      <w:r>
        <w:rPr>
          <w:w w:val="100"/>
          <w:sz w:val="21"/>
        </w:rPr>
        <w:t>国</w:t>
      </w:r>
      <w:r>
        <w:rPr>
          <w:spacing w:val="-3"/>
          <w:w w:val="100"/>
          <w:sz w:val="21"/>
        </w:rPr>
        <w:t>际</w:t>
      </w:r>
      <w:r>
        <w:rPr>
          <w:w w:val="100"/>
          <w:sz w:val="21"/>
        </w:rPr>
        <w:t>统</w:t>
      </w:r>
      <w:r>
        <w:rPr>
          <w:spacing w:val="-3"/>
          <w:w w:val="100"/>
          <w:sz w:val="21"/>
        </w:rPr>
        <w:t>计</w:t>
      </w:r>
      <w:r>
        <w:rPr>
          <w:w w:val="100"/>
          <w:sz w:val="21"/>
        </w:rPr>
        <w:t>分</w:t>
      </w:r>
      <w:r>
        <w:rPr>
          <w:spacing w:val="-3"/>
          <w:w w:val="100"/>
          <w:sz w:val="21"/>
        </w:rPr>
        <w:t>类</w:t>
      </w:r>
      <w:r>
        <w:rPr>
          <w:spacing w:val="-108"/>
          <w:w w:val="100"/>
          <w:sz w:val="21"/>
        </w:rPr>
        <w:t>》</w:t>
      </w:r>
      <w:r>
        <w:rPr>
          <w:spacing w:val="-1"/>
          <w:w w:val="100"/>
          <w:sz w:val="21"/>
        </w:rPr>
        <w:t>（</w:t>
      </w:r>
      <w:r>
        <w:rPr>
          <w:w w:val="100"/>
          <w:sz w:val="21"/>
        </w:rPr>
        <w:t>ICD</w:t>
      </w:r>
      <w:r>
        <w:rPr>
          <w:spacing w:val="-3"/>
          <w:w w:val="100"/>
          <w:sz w:val="21"/>
        </w:rPr>
        <w:t>-</w:t>
      </w:r>
      <w:r>
        <w:rPr>
          <w:w w:val="100"/>
          <w:sz w:val="21"/>
        </w:rPr>
        <w:t>10</w:t>
      </w:r>
      <w:r>
        <w:rPr>
          <w:spacing w:val="-3"/>
          <w:w w:val="100"/>
          <w:sz w:val="21"/>
        </w:rPr>
        <w:t>）</w:t>
      </w:r>
      <w:r>
        <w:rPr>
          <w:w w:val="100"/>
          <w:sz w:val="21"/>
        </w:rPr>
        <w:t>的</w:t>
      </w:r>
      <w:r>
        <w:rPr>
          <w:spacing w:val="-3"/>
          <w:w w:val="100"/>
          <w:sz w:val="21"/>
        </w:rPr>
        <w:t>恶</w:t>
      </w:r>
      <w:r>
        <w:rPr>
          <w:w w:val="100"/>
          <w:sz w:val="21"/>
        </w:rPr>
        <w:t>性</w:t>
      </w:r>
      <w:r>
        <w:rPr>
          <w:spacing w:val="-3"/>
          <w:w w:val="100"/>
          <w:sz w:val="21"/>
        </w:rPr>
        <w:t>肿</w:t>
      </w:r>
      <w:r>
        <w:rPr>
          <w:w w:val="100"/>
          <w:sz w:val="21"/>
        </w:rPr>
        <w:t>瘤</w:t>
      </w:r>
      <w:r>
        <w:rPr>
          <w:spacing w:val="-3"/>
          <w:w w:val="100"/>
          <w:sz w:val="21"/>
        </w:rPr>
        <w:t>范</w:t>
      </w:r>
      <w:r>
        <w:rPr>
          <w:w w:val="100"/>
          <w:sz w:val="21"/>
        </w:rPr>
        <w:t>畴。</w:t>
      </w:r>
    </w:p>
    <w:p>
      <w:pPr>
        <w:spacing w:before="0" w:line="269" w:lineRule="exact"/>
        <w:ind w:left="2229" w:right="0" w:firstLine="0"/>
        <w:jc w:val="left"/>
        <w:rPr>
          <w:rFonts w:hint="eastAsia" w:ascii="黑体" w:eastAsia="黑体"/>
          <w:b/>
          <w:sz w:val="21"/>
        </w:rPr>
      </w:pPr>
      <w:r>
        <w:rPr>
          <w:rFonts w:hint="eastAsia" w:ascii="黑体" w:eastAsia="黑体"/>
          <w:b/>
          <w:spacing w:val="-3"/>
          <w:sz w:val="21"/>
        </w:rPr>
        <w:t>下列疾病不在保障范围内：</w:t>
      </w:r>
    </w:p>
    <w:p>
      <w:pPr>
        <w:pStyle w:val="6"/>
        <w:numPr>
          <w:ilvl w:val="1"/>
          <w:numId w:val="18"/>
        </w:numPr>
        <w:tabs>
          <w:tab w:val="left" w:pos="2813"/>
        </w:tabs>
        <w:spacing w:before="43" w:after="0" w:line="240" w:lineRule="auto"/>
        <w:ind w:left="2813" w:right="0" w:hanging="584"/>
        <w:jc w:val="left"/>
        <w:rPr>
          <w:rFonts w:ascii="黑体" w:eastAsia="黑体"/>
          <w:sz w:val="21"/>
        </w:rPr>
      </w:pPr>
      <w:r>
        <w:rPr>
          <w:rFonts w:hint="eastAsia" w:ascii="黑体" w:eastAsia="黑体"/>
          <w:b/>
          <w:sz w:val="21"/>
        </w:rPr>
        <w:t>原位癌（见六十五条</w:t>
      </w:r>
      <w:r>
        <w:rPr>
          <w:rFonts w:hint="eastAsia" w:ascii="黑体" w:eastAsia="黑体"/>
          <w:b/>
          <w:spacing w:val="-113"/>
          <w:sz w:val="21"/>
        </w:rPr>
        <w:t>）</w:t>
      </w:r>
      <w:r>
        <w:rPr>
          <w:rFonts w:hint="eastAsia" w:ascii="黑体" w:eastAsia="黑体"/>
          <w:b/>
          <w:spacing w:val="-5"/>
          <w:sz w:val="21"/>
        </w:rPr>
        <w:t>；</w:t>
      </w:r>
    </w:p>
    <w:p>
      <w:pPr>
        <w:pStyle w:val="6"/>
        <w:numPr>
          <w:ilvl w:val="1"/>
          <w:numId w:val="18"/>
        </w:numPr>
        <w:tabs>
          <w:tab w:val="left" w:pos="2813"/>
        </w:tabs>
        <w:spacing w:before="43" w:after="0" w:line="240" w:lineRule="auto"/>
        <w:ind w:left="2813" w:right="0" w:hanging="584"/>
        <w:jc w:val="left"/>
        <w:rPr>
          <w:rFonts w:ascii="黑体" w:eastAsia="黑体"/>
          <w:sz w:val="21"/>
        </w:rPr>
      </w:pPr>
      <w:r>
        <w:rPr>
          <w:rFonts w:hint="eastAsia" w:ascii="黑体" w:eastAsia="黑体"/>
          <w:b/>
          <w:w w:val="95"/>
          <w:sz w:val="21"/>
        </w:rPr>
        <w:t>相当于</w:t>
      </w:r>
      <w:r>
        <w:rPr>
          <w:rFonts w:hint="eastAsia" w:ascii="黑体" w:eastAsia="黑体"/>
          <w:b/>
          <w:spacing w:val="3"/>
          <w:sz w:val="21"/>
        </w:rPr>
        <w:t xml:space="preserve"> </w:t>
      </w:r>
      <w:r>
        <w:rPr>
          <w:rFonts w:hint="eastAsia" w:ascii="黑体" w:eastAsia="黑体"/>
          <w:b/>
          <w:w w:val="95"/>
          <w:sz w:val="21"/>
        </w:rPr>
        <w:t>Binet</w:t>
      </w:r>
      <w:r>
        <w:rPr>
          <w:rFonts w:hint="eastAsia" w:ascii="黑体" w:eastAsia="黑体"/>
          <w:b/>
          <w:spacing w:val="4"/>
          <w:sz w:val="21"/>
        </w:rPr>
        <w:t xml:space="preserve"> </w:t>
      </w:r>
      <w:r>
        <w:rPr>
          <w:rFonts w:hint="eastAsia" w:ascii="黑体" w:eastAsia="黑体"/>
          <w:b/>
          <w:w w:val="95"/>
          <w:sz w:val="21"/>
        </w:rPr>
        <w:t>分期方案</w:t>
      </w:r>
      <w:r>
        <w:rPr>
          <w:rFonts w:hint="eastAsia" w:ascii="黑体" w:eastAsia="黑体"/>
          <w:b/>
          <w:spacing w:val="6"/>
          <w:sz w:val="21"/>
        </w:rPr>
        <w:t xml:space="preserve"> </w:t>
      </w:r>
      <w:r>
        <w:rPr>
          <w:rFonts w:hint="eastAsia" w:ascii="黑体" w:eastAsia="黑体"/>
          <w:b/>
          <w:w w:val="95"/>
          <w:sz w:val="21"/>
        </w:rPr>
        <w:t>A</w:t>
      </w:r>
      <w:r>
        <w:rPr>
          <w:rFonts w:hint="eastAsia" w:ascii="黑体" w:eastAsia="黑体"/>
          <w:b/>
          <w:sz w:val="21"/>
        </w:rPr>
        <w:t xml:space="preserve"> </w:t>
      </w:r>
      <w:r>
        <w:rPr>
          <w:rFonts w:hint="eastAsia" w:ascii="黑体" w:eastAsia="黑体"/>
          <w:b/>
          <w:w w:val="95"/>
          <w:sz w:val="21"/>
        </w:rPr>
        <w:t>期程度的慢性淋巴细胞白血病</w:t>
      </w:r>
      <w:r>
        <w:rPr>
          <w:rFonts w:hint="eastAsia" w:ascii="黑体" w:eastAsia="黑体"/>
          <w:b/>
          <w:spacing w:val="-10"/>
          <w:w w:val="95"/>
          <w:sz w:val="21"/>
        </w:rPr>
        <w:t>；</w:t>
      </w:r>
    </w:p>
    <w:p>
      <w:pPr>
        <w:pStyle w:val="6"/>
        <w:numPr>
          <w:ilvl w:val="1"/>
          <w:numId w:val="18"/>
        </w:numPr>
        <w:tabs>
          <w:tab w:val="left" w:pos="2813"/>
        </w:tabs>
        <w:spacing w:before="43" w:after="0" w:line="240" w:lineRule="auto"/>
        <w:ind w:left="2813" w:right="0" w:hanging="584"/>
        <w:jc w:val="left"/>
        <w:rPr>
          <w:rFonts w:ascii="黑体" w:eastAsia="黑体"/>
          <w:sz w:val="21"/>
        </w:rPr>
      </w:pPr>
      <w:r>
        <w:rPr>
          <w:rFonts w:hint="eastAsia" w:ascii="黑体" w:eastAsia="黑体"/>
          <w:b/>
          <w:spacing w:val="-14"/>
          <w:sz w:val="21"/>
        </w:rPr>
        <w:t xml:space="preserve">相当于 </w:t>
      </w:r>
      <w:r>
        <w:rPr>
          <w:rFonts w:hint="eastAsia" w:ascii="黑体" w:eastAsia="黑体"/>
          <w:b/>
          <w:sz w:val="21"/>
        </w:rPr>
        <w:t>Ann</w:t>
      </w:r>
      <w:r>
        <w:rPr>
          <w:rFonts w:hint="eastAsia" w:ascii="黑体" w:eastAsia="黑体"/>
          <w:b/>
          <w:spacing w:val="-13"/>
          <w:sz w:val="21"/>
        </w:rPr>
        <w:t xml:space="preserve"> </w:t>
      </w:r>
      <w:r>
        <w:rPr>
          <w:rFonts w:hint="eastAsia" w:ascii="黑体" w:eastAsia="黑体"/>
          <w:b/>
          <w:sz w:val="21"/>
        </w:rPr>
        <w:t>Arbor</w:t>
      </w:r>
      <w:r>
        <w:rPr>
          <w:rFonts w:hint="eastAsia" w:ascii="黑体" w:eastAsia="黑体"/>
          <w:b/>
          <w:spacing w:val="-19"/>
          <w:sz w:val="21"/>
        </w:rPr>
        <w:t xml:space="preserve"> 分期方案 </w:t>
      </w:r>
      <w:r>
        <w:rPr>
          <w:rFonts w:hint="eastAsia" w:ascii="黑体" w:eastAsia="黑体"/>
          <w:b/>
          <w:sz w:val="21"/>
        </w:rPr>
        <w:t>I</w:t>
      </w:r>
      <w:r>
        <w:rPr>
          <w:rFonts w:hint="eastAsia" w:ascii="黑体" w:eastAsia="黑体"/>
          <w:b/>
          <w:spacing w:val="-9"/>
          <w:sz w:val="21"/>
        </w:rPr>
        <w:t xml:space="preserve"> 期程度的何杰金氏病；</w:t>
      </w:r>
    </w:p>
    <w:p>
      <w:pPr>
        <w:pStyle w:val="6"/>
        <w:numPr>
          <w:ilvl w:val="1"/>
          <w:numId w:val="18"/>
        </w:numPr>
        <w:tabs>
          <w:tab w:val="left" w:pos="2813"/>
        </w:tabs>
        <w:spacing w:before="44" w:after="0" w:line="240" w:lineRule="auto"/>
        <w:ind w:left="2813" w:right="0" w:hanging="584"/>
        <w:jc w:val="left"/>
        <w:rPr>
          <w:rFonts w:ascii="黑体" w:eastAsia="黑体"/>
          <w:sz w:val="21"/>
        </w:rPr>
      </w:pPr>
      <w:r>
        <w:rPr>
          <w:rFonts w:hint="eastAsia" w:ascii="黑体" w:eastAsia="黑体"/>
          <w:b/>
          <w:spacing w:val="-2"/>
          <w:sz w:val="21"/>
        </w:rPr>
        <w:t>皮肤癌（不包括恶性黑色素瘤及已发生转移的皮肤癌</w:t>
      </w:r>
      <w:r>
        <w:rPr>
          <w:rFonts w:hint="eastAsia" w:ascii="黑体" w:eastAsia="黑体"/>
          <w:b/>
          <w:spacing w:val="-111"/>
          <w:sz w:val="21"/>
        </w:rPr>
        <w:t>）</w:t>
      </w:r>
      <w:r>
        <w:rPr>
          <w:rFonts w:hint="eastAsia" w:ascii="黑体" w:eastAsia="黑体"/>
          <w:b/>
          <w:spacing w:val="-5"/>
          <w:sz w:val="21"/>
        </w:rPr>
        <w:t>；</w:t>
      </w:r>
    </w:p>
    <w:p>
      <w:pPr>
        <w:pStyle w:val="6"/>
        <w:numPr>
          <w:ilvl w:val="1"/>
          <w:numId w:val="18"/>
        </w:numPr>
        <w:tabs>
          <w:tab w:val="left" w:pos="2813"/>
        </w:tabs>
        <w:spacing w:before="42" w:after="0" w:line="240" w:lineRule="auto"/>
        <w:ind w:left="2813" w:right="0" w:hanging="584"/>
        <w:jc w:val="left"/>
        <w:rPr>
          <w:rFonts w:ascii="黑体" w:eastAsia="黑体"/>
          <w:sz w:val="21"/>
        </w:rPr>
      </w:pPr>
      <w:r>
        <w:rPr>
          <w:rFonts w:hint="eastAsia" w:ascii="黑体" w:eastAsia="黑体"/>
          <w:b/>
          <w:w w:val="95"/>
          <w:position w:val="1"/>
          <w:sz w:val="21"/>
        </w:rPr>
        <w:t>TNM</w:t>
      </w:r>
      <w:r>
        <w:rPr>
          <w:rFonts w:hint="eastAsia" w:ascii="黑体" w:eastAsia="黑体"/>
          <w:b/>
          <w:spacing w:val="15"/>
          <w:position w:val="1"/>
          <w:sz w:val="21"/>
        </w:rPr>
        <w:t xml:space="preserve"> </w:t>
      </w:r>
      <w:r>
        <w:rPr>
          <w:rFonts w:hint="eastAsia" w:ascii="黑体" w:eastAsia="黑体"/>
          <w:b/>
          <w:w w:val="95"/>
          <w:position w:val="1"/>
          <w:sz w:val="21"/>
        </w:rPr>
        <w:t>分期为</w:t>
      </w:r>
      <w:r>
        <w:rPr>
          <w:rFonts w:hint="eastAsia" w:ascii="黑体" w:eastAsia="黑体"/>
          <w:b/>
          <w:spacing w:val="16"/>
          <w:position w:val="1"/>
          <w:sz w:val="21"/>
        </w:rPr>
        <w:t xml:space="preserve"> </w:t>
      </w:r>
      <w:r>
        <w:rPr>
          <w:rFonts w:hint="eastAsia" w:ascii="黑体" w:eastAsia="黑体"/>
          <w:b/>
          <w:w w:val="95"/>
          <w:position w:val="1"/>
          <w:sz w:val="21"/>
        </w:rPr>
        <w:t>T</w:t>
      </w:r>
      <w:r>
        <w:rPr>
          <w:rFonts w:hint="eastAsia" w:ascii="黑体" w:eastAsia="黑体"/>
          <w:b/>
          <w:w w:val="95"/>
          <w:sz w:val="11"/>
        </w:rPr>
        <w:t>1</w:t>
      </w:r>
      <w:r>
        <w:rPr>
          <w:rFonts w:hint="eastAsia" w:ascii="黑体" w:eastAsia="黑体"/>
          <w:b/>
          <w:w w:val="95"/>
          <w:position w:val="1"/>
          <w:sz w:val="21"/>
        </w:rPr>
        <w:t>N</w:t>
      </w:r>
      <w:r>
        <w:rPr>
          <w:rFonts w:hint="eastAsia" w:ascii="黑体" w:eastAsia="黑体"/>
          <w:b/>
          <w:w w:val="95"/>
          <w:sz w:val="11"/>
        </w:rPr>
        <w:t>0</w:t>
      </w:r>
      <w:r>
        <w:rPr>
          <w:rFonts w:hint="eastAsia" w:ascii="黑体" w:eastAsia="黑体"/>
          <w:b/>
          <w:w w:val="95"/>
          <w:position w:val="1"/>
          <w:sz w:val="21"/>
        </w:rPr>
        <w:t>M</w:t>
      </w:r>
      <w:r>
        <w:rPr>
          <w:rFonts w:hint="eastAsia" w:ascii="黑体" w:eastAsia="黑体"/>
          <w:b/>
          <w:w w:val="95"/>
          <w:sz w:val="11"/>
        </w:rPr>
        <w:t>0</w:t>
      </w:r>
      <w:r>
        <w:rPr>
          <w:rFonts w:hint="eastAsia" w:ascii="黑体" w:eastAsia="黑体"/>
          <w:b/>
          <w:spacing w:val="11"/>
          <w:sz w:val="11"/>
        </w:rPr>
        <w:t xml:space="preserve"> </w:t>
      </w:r>
      <w:r>
        <w:rPr>
          <w:rFonts w:hint="eastAsia" w:ascii="黑体" w:eastAsia="黑体"/>
          <w:b/>
          <w:w w:val="95"/>
          <w:position w:val="1"/>
          <w:sz w:val="21"/>
        </w:rPr>
        <w:t>期或更轻分期的前列腺癌</w:t>
      </w:r>
      <w:r>
        <w:rPr>
          <w:rFonts w:hint="eastAsia" w:ascii="黑体" w:eastAsia="黑体"/>
          <w:b/>
          <w:spacing w:val="-10"/>
          <w:w w:val="95"/>
          <w:position w:val="1"/>
          <w:sz w:val="21"/>
        </w:rPr>
        <w:t>；</w:t>
      </w:r>
    </w:p>
    <w:p>
      <w:pPr>
        <w:pStyle w:val="6"/>
        <w:numPr>
          <w:ilvl w:val="1"/>
          <w:numId w:val="18"/>
        </w:numPr>
        <w:tabs>
          <w:tab w:val="left" w:pos="2813"/>
        </w:tabs>
        <w:spacing w:before="44" w:after="0" w:line="240" w:lineRule="auto"/>
        <w:ind w:left="2813" w:right="0" w:hanging="584"/>
        <w:jc w:val="left"/>
        <w:rPr>
          <w:rFonts w:ascii="黑体" w:eastAsia="黑体"/>
          <w:sz w:val="21"/>
        </w:rPr>
      </w:pPr>
      <w:r>
        <w:rPr>
          <w:rFonts w:hint="eastAsia" w:ascii="黑体" w:eastAsia="黑体"/>
          <w:b/>
          <w:spacing w:val="-3"/>
          <w:sz w:val="21"/>
        </w:rPr>
        <w:t>感染艾滋病病毒或患艾滋病期间所患恶性肿瘤。</w:t>
      </w:r>
    </w:p>
    <w:p>
      <w:pPr>
        <w:pStyle w:val="2"/>
        <w:spacing w:before="9"/>
        <w:rPr>
          <w:rFonts w:ascii="黑体"/>
          <w:b/>
          <w:sz w:val="22"/>
        </w:rPr>
      </w:pPr>
    </w:p>
    <w:p>
      <w:pPr>
        <w:spacing w:after="0"/>
        <w:rPr>
          <w:rFonts w:ascii="黑体"/>
          <w:sz w:val="22"/>
        </w:rPr>
        <w:sectPr>
          <w:pgSz w:w="11910" w:h="16840"/>
          <w:pgMar w:top="1400" w:right="1080" w:bottom="1320" w:left="1580" w:header="0" w:footer="1137" w:gutter="0"/>
          <w:cols w:space="720" w:num="1"/>
        </w:sectPr>
      </w:pPr>
    </w:p>
    <w:p>
      <w:pPr>
        <w:pStyle w:val="6"/>
        <w:numPr>
          <w:ilvl w:val="0"/>
          <w:numId w:val="18"/>
        </w:numPr>
        <w:tabs>
          <w:tab w:val="left" w:pos="760"/>
          <w:tab w:val="left" w:pos="761"/>
        </w:tabs>
        <w:spacing w:before="64" w:after="0" w:line="278" w:lineRule="auto"/>
        <w:ind w:left="760" w:right="38" w:hanging="567"/>
        <w:jc w:val="left"/>
        <w:rPr>
          <w:b/>
          <w:sz w:val="21"/>
        </w:rPr>
      </w:pPr>
      <w:r>
        <w:rPr>
          <w:b/>
          <w:spacing w:val="-2"/>
          <w:sz w:val="21"/>
        </w:rPr>
        <w:t>急性心肌梗</w:t>
      </w:r>
      <w:r>
        <w:rPr>
          <w:b/>
          <w:spacing w:val="-10"/>
          <w:sz w:val="21"/>
        </w:rPr>
        <w:t>塞</w:t>
      </w:r>
    </w:p>
    <w:p>
      <w:pPr>
        <w:pStyle w:val="2"/>
        <w:spacing w:before="64" w:line="278" w:lineRule="auto"/>
        <w:ind w:left="194" w:right="728"/>
      </w:pPr>
      <w:r>
        <w:br w:type="column"/>
      </w:r>
      <w:r>
        <w:rPr>
          <w:spacing w:val="-2"/>
        </w:rPr>
        <w:t>指因冠状动脉阻塞导致的相应区域供血不足造成部分心肌坏死。须满足下列至少三项条件：</w:t>
      </w:r>
    </w:p>
    <w:p>
      <w:pPr>
        <w:pStyle w:val="6"/>
        <w:numPr>
          <w:ilvl w:val="0"/>
          <w:numId w:val="19"/>
        </w:numPr>
        <w:tabs>
          <w:tab w:val="left" w:pos="778"/>
        </w:tabs>
        <w:spacing w:before="0" w:after="0" w:line="269" w:lineRule="exact"/>
        <w:ind w:left="777" w:right="0" w:hanging="584"/>
        <w:jc w:val="left"/>
        <w:rPr>
          <w:sz w:val="21"/>
        </w:rPr>
      </w:pPr>
      <w:r>
        <w:rPr>
          <w:spacing w:val="-3"/>
          <w:sz w:val="21"/>
        </w:rPr>
        <w:t>典型临床表现，例如急性胸痛等；</w:t>
      </w:r>
    </w:p>
    <w:p>
      <w:pPr>
        <w:pStyle w:val="6"/>
        <w:numPr>
          <w:ilvl w:val="0"/>
          <w:numId w:val="19"/>
        </w:numPr>
        <w:tabs>
          <w:tab w:val="left" w:pos="778"/>
        </w:tabs>
        <w:spacing w:before="43" w:after="0" w:line="240" w:lineRule="auto"/>
        <w:ind w:left="777" w:right="0" w:hanging="584"/>
        <w:jc w:val="left"/>
        <w:rPr>
          <w:sz w:val="21"/>
        </w:rPr>
      </w:pPr>
      <w:r>
        <w:rPr>
          <w:spacing w:val="-3"/>
          <w:sz w:val="21"/>
        </w:rPr>
        <w:t>新近的心电图改变提示急性心肌梗塞；</w:t>
      </w:r>
    </w:p>
    <w:p>
      <w:pPr>
        <w:pStyle w:val="6"/>
        <w:numPr>
          <w:ilvl w:val="0"/>
          <w:numId w:val="19"/>
        </w:numPr>
        <w:tabs>
          <w:tab w:val="left" w:pos="778"/>
        </w:tabs>
        <w:spacing w:before="43" w:after="0" w:line="278" w:lineRule="auto"/>
        <w:ind w:left="760" w:right="754" w:hanging="567"/>
        <w:jc w:val="left"/>
        <w:rPr>
          <w:sz w:val="21"/>
        </w:rPr>
      </w:pPr>
      <w:r>
        <w:rPr>
          <w:spacing w:val="-2"/>
          <w:sz w:val="21"/>
        </w:rPr>
        <w:t>心肌酶或肌钙蛋白有诊断意义的升高，或呈符合急性心肌梗塞的动态性变化；</w:t>
      </w:r>
    </w:p>
    <w:p>
      <w:pPr>
        <w:pStyle w:val="6"/>
        <w:numPr>
          <w:ilvl w:val="0"/>
          <w:numId w:val="19"/>
        </w:numPr>
        <w:tabs>
          <w:tab w:val="left" w:pos="778"/>
        </w:tabs>
        <w:spacing w:before="0" w:after="0" w:line="278" w:lineRule="auto"/>
        <w:ind w:left="760" w:right="730" w:hanging="567"/>
        <w:jc w:val="left"/>
        <w:rPr>
          <w:sz w:val="21"/>
        </w:rPr>
      </w:pPr>
      <w:r>
        <w:rPr>
          <w:spacing w:val="-17"/>
          <w:sz w:val="21"/>
        </w:rPr>
        <w:t xml:space="preserve">发病 </w:t>
      </w:r>
      <w:r>
        <w:rPr>
          <w:spacing w:val="-4"/>
          <w:sz w:val="21"/>
        </w:rPr>
        <w:t>90</w:t>
      </w:r>
      <w:r>
        <w:rPr>
          <w:spacing w:val="-11"/>
          <w:sz w:val="21"/>
        </w:rPr>
        <w:t xml:space="preserve"> 天后，经检查证实左心室功能降低，如左心室射血分数</w:t>
      </w:r>
      <w:r>
        <w:rPr>
          <w:spacing w:val="-15"/>
          <w:sz w:val="21"/>
        </w:rPr>
        <w:t xml:space="preserve">低于 </w:t>
      </w:r>
      <w:r>
        <w:rPr>
          <w:sz w:val="21"/>
        </w:rPr>
        <w:t>50%。</w:t>
      </w:r>
    </w:p>
    <w:p>
      <w:pPr>
        <w:spacing w:after="0" w:line="278" w:lineRule="auto"/>
        <w:jc w:val="left"/>
        <w:rPr>
          <w:sz w:val="21"/>
        </w:rPr>
        <w:sectPr>
          <w:type w:val="continuous"/>
          <w:pgSz w:w="11910" w:h="16840"/>
          <w:pgMar w:top="260" w:right="1080" w:bottom="1320" w:left="1580" w:header="0" w:footer="1137" w:gutter="0"/>
          <w:cols w:equalWidth="0" w:num="2">
            <w:col w:w="1857" w:space="179"/>
            <w:col w:w="7214"/>
          </w:cols>
        </w:sectPr>
      </w:pPr>
    </w:p>
    <w:p>
      <w:pPr>
        <w:pStyle w:val="2"/>
        <w:spacing w:before="5"/>
        <w:rPr>
          <w:sz w:val="19"/>
        </w:rPr>
      </w:pPr>
    </w:p>
    <w:p>
      <w:pPr>
        <w:spacing w:after="0"/>
        <w:rPr>
          <w:sz w:val="19"/>
        </w:rPr>
        <w:sectPr>
          <w:type w:val="continuous"/>
          <w:pgSz w:w="11910" w:h="16840"/>
          <w:pgMar w:top="260" w:right="1080" w:bottom="1320" w:left="1580" w:header="0" w:footer="1137" w:gutter="0"/>
          <w:cols w:space="720" w:num="1"/>
        </w:sectPr>
      </w:pPr>
    </w:p>
    <w:p>
      <w:pPr>
        <w:pStyle w:val="6"/>
        <w:numPr>
          <w:ilvl w:val="0"/>
          <w:numId w:val="18"/>
        </w:numPr>
        <w:tabs>
          <w:tab w:val="left" w:pos="760"/>
          <w:tab w:val="left" w:pos="761"/>
        </w:tabs>
        <w:spacing w:before="63" w:after="0" w:line="278" w:lineRule="auto"/>
        <w:ind w:left="760" w:right="38" w:hanging="567"/>
        <w:jc w:val="left"/>
        <w:rPr>
          <w:b/>
          <w:sz w:val="21"/>
        </w:rPr>
      </w:pPr>
      <w:r>
        <w:rPr>
          <w:b/>
          <w:spacing w:val="-2"/>
          <w:sz w:val="21"/>
        </w:rPr>
        <w:t>脑中风后遗</w:t>
      </w:r>
      <w:r>
        <w:rPr>
          <w:b/>
          <w:spacing w:val="-10"/>
          <w:sz w:val="21"/>
        </w:rPr>
        <w:t>症</w:t>
      </w:r>
    </w:p>
    <w:p>
      <w:pPr>
        <w:pStyle w:val="2"/>
        <w:spacing w:before="63" w:line="278" w:lineRule="auto"/>
        <w:ind w:left="194" w:right="730"/>
      </w:pPr>
      <w:r>
        <w:br w:type="column"/>
      </w:r>
      <w:r>
        <w:rPr>
          <w:spacing w:val="-2"/>
        </w:rPr>
        <w:t>指因脑血管的突发病变引起脑血管出血、栓塞或梗塞，并导致神经系统永久性的功能障碍。</w:t>
      </w:r>
    </w:p>
    <w:p>
      <w:pPr>
        <w:pStyle w:val="2"/>
        <w:spacing w:line="278" w:lineRule="auto"/>
        <w:ind w:left="194" w:right="730"/>
      </w:pPr>
      <w:r>
        <w:rPr>
          <w:spacing w:val="-5"/>
        </w:rPr>
        <w:t xml:space="preserve">神经系统永久性的功能障碍，指疾病确诊 </w:t>
      </w:r>
      <w:r>
        <w:rPr>
          <w:spacing w:val="-2"/>
        </w:rPr>
        <w:t>180</w:t>
      </w:r>
      <w:r>
        <w:rPr>
          <w:spacing w:val="-9"/>
        </w:rPr>
        <w:t xml:space="preserve"> 天后，仍遗留下列一种</w:t>
      </w:r>
      <w:r>
        <w:rPr>
          <w:spacing w:val="-2"/>
        </w:rPr>
        <w:t>或一种以上障碍：</w:t>
      </w:r>
    </w:p>
    <w:p>
      <w:pPr>
        <w:pStyle w:val="6"/>
        <w:numPr>
          <w:ilvl w:val="0"/>
          <w:numId w:val="20"/>
        </w:numPr>
        <w:tabs>
          <w:tab w:val="left" w:pos="778"/>
        </w:tabs>
        <w:spacing w:before="0" w:after="0" w:line="269" w:lineRule="exact"/>
        <w:ind w:left="777" w:right="0" w:hanging="584"/>
        <w:jc w:val="left"/>
        <w:rPr>
          <w:sz w:val="21"/>
        </w:rPr>
      </w:pPr>
      <w:r>
        <w:rPr>
          <w:spacing w:val="-3"/>
          <w:sz w:val="21"/>
        </w:rPr>
        <w:t>一肢或一肢以上肢体机能完全丧失；</w:t>
      </w:r>
    </w:p>
    <w:p>
      <w:pPr>
        <w:pStyle w:val="6"/>
        <w:numPr>
          <w:ilvl w:val="0"/>
          <w:numId w:val="20"/>
        </w:numPr>
        <w:tabs>
          <w:tab w:val="left" w:pos="778"/>
        </w:tabs>
        <w:spacing w:before="43" w:after="0" w:line="240" w:lineRule="auto"/>
        <w:ind w:left="777" w:right="0" w:hanging="584"/>
        <w:jc w:val="left"/>
        <w:rPr>
          <w:sz w:val="21"/>
        </w:rPr>
      </w:pPr>
      <w:r>
        <w:rPr>
          <w:spacing w:val="-3"/>
          <w:sz w:val="21"/>
        </w:rPr>
        <w:t>语言能力或咀嚼吞咽能力完全丧失；</w:t>
      </w:r>
    </w:p>
    <w:p>
      <w:pPr>
        <w:pStyle w:val="6"/>
        <w:numPr>
          <w:ilvl w:val="0"/>
          <w:numId w:val="20"/>
        </w:numPr>
        <w:tabs>
          <w:tab w:val="left" w:pos="778"/>
        </w:tabs>
        <w:spacing w:before="43" w:after="0" w:line="240" w:lineRule="auto"/>
        <w:ind w:left="777" w:right="0" w:hanging="584"/>
        <w:jc w:val="left"/>
        <w:rPr>
          <w:b/>
          <w:sz w:val="21"/>
        </w:rPr>
      </w:pPr>
      <w:r>
        <w:rPr>
          <w:spacing w:val="-2"/>
          <w:sz w:val="21"/>
        </w:rPr>
        <w:t>自主生活能力完全丧失，无法独立完成</w:t>
      </w:r>
      <w:r>
        <w:rPr>
          <w:b/>
          <w:spacing w:val="-3"/>
          <w:sz w:val="21"/>
        </w:rPr>
        <w:t>六项基本日常生活活动</w:t>
      </w:r>
    </w:p>
    <w:p>
      <w:pPr>
        <w:pStyle w:val="2"/>
        <w:spacing w:before="43"/>
        <w:ind w:left="760"/>
      </w:pPr>
      <w:r>
        <w:rPr>
          <w:spacing w:val="-2"/>
        </w:rPr>
        <w:t>（见六十六条）</w:t>
      </w:r>
      <w:r>
        <w:rPr>
          <w:spacing w:val="-3"/>
        </w:rPr>
        <w:t>中的三项或三项以上。</w:t>
      </w:r>
    </w:p>
    <w:p>
      <w:pPr>
        <w:spacing w:before="43" w:line="278" w:lineRule="auto"/>
        <w:ind w:left="194" w:right="735" w:firstLine="0"/>
        <w:jc w:val="left"/>
        <w:rPr>
          <w:rFonts w:hint="eastAsia" w:ascii="黑体" w:eastAsia="黑体"/>
          <w:b/>
          <w:sz w:val="21"/>
        </w:rPr>
      </w:pPr>
      <w:r>
        <w:rPr>
          <w:rFonts w:hint="eastAsia" w:ascii="黑体" w:eastAsia="黑体"/>
          <w:b/>
          <w:spacing w:val="-6"/>
          <w:w w:val="100"/>
          <w:sz w:val="21"/>
        </w:rPr>
        <w:t>肢体机能完全丧失：指肢体的三大关节中的两大关节僵硬，或不能随</w:t>
      </w:r>
      <w:r>
        <w:rPr>
          <w:rFonts w:hint="eastAsia" w:ascii="黑体" w:eastAsia="黑体"/>
          <w:b/>
          <w:spacing w:val="-3"/>
          <w:w w:val="100"/>
          <w:sz w:val="21"/>
        </w:rPr>
        <w:t>意识活动。肢体是指包括肩关节的整个上肢或包括髋关节的整个下肢。</w:t>
      </w:r>
    </w:p>
    <w:p>
      <w:pPr>
        <w:spacing w:before="0" w:line="278" w:lineRule="auto"/>
        <w:ind w:left="194" w:right="687" w:firstLine="0"/>
        <w:jc w:val="both"/>
        <w:rPr>
          <w:rFonts w:hint="eastAsia" w:ascii="黑体" w:eastAsia="黑体"/>
          <w:b/>
          <w:sz w:val="21"/>
        </w:rPr>
      </w:pPr>
      <w:r>
        <w:rPr>
          <w:rFonts w:hint="eastAsia" w:ascii="黑体" w:eastAsia="黑体"/>
          <w:b/>
          <w:spacing w:val="-2"/>
          <w:sz w:val="21"/>
        </w:rPr>
        <w:t>语言能力或咀嚼吞咽能力完全丧失：语言能力完全丧失，指无法发出四种语音（包括口唇音、齿舌音、口盖音和喉头音）中的任何三种、或声带全部切除，或因大脑语言中枢受伤害而患失语症；</w:t>
      </w:r>
    </w:p>
    <w:p>
      <w:pPr>
        <w:spacing w:before="0" w:line="278" w:lineRule="auto"/>
        <w:ind w:left="194" w:right="624" w:firstLine="0"/>
        <w:jc w:val="left"/>
        <w:rPr>
          <w:rFonts w:hint="eastAsia" w:ascii="黑体" w:eastAsia="黑体"/>
          <w:b/>
          <w:sz w:val="21"/>
        </w:rPr>
      </w:pPr>
      <w:r>
        <w:rPr>
          <w:rFonts w:hint="eastAsia" w:ascii="黑体" w:eastAsia="黑体"/>
          <w:b/>
          <w:spacing w:val="-2"/>
          <w:sz w:val="21"/>
        </w:rPr>
        <w:t>咀嚼吞咽能力完全丧失，指因牙齿以外的原因导致器质障碍或机能障</w:t>
      </w:r>
      <w:r>
        <w:rPr>
          <w:rFonts w:hint="eastAsia" w:ascii="黑体" w:eastAsia="黑体"/>
          <w:b/>
          <w:spacing w:val="-16"/>
          <w:sz w:val="21"/>
        </w:rPr>
        <w:t>碍，以致不能作咀嚼吞咽运动，除流质食物外不能摄取或吞咽的状态。</w:t>
      </w:r>
    </w:p>
    <w:p>
      <w:pPr>
        <w:spacing w:after="0" w:line="278" w:lineRule="auto"/>
        <w:jc w:val="left"/>
        <w:rPr>
          <w:rFonts w:hint="eastAsia" w:ascii="黑体" w:eastAsia="黑体"/>
          <w:sz w:val="21"/>
        </w:rPr>
        <w:sectPr>
          <w:type w:val="continuous"/>
          <w:pgSz w:w="11910" w:h="16840"/>
          <w:pgMar w:top="260" w:right="1080" w:bottom="1320" w:left="1580" w:header="0" w:footer="1137" w:gutter="0"/>
          <w:cols w:equalWidth="0" w:num="2">
            <w:col w:w="1857" w:space="179"/>
            <w:col w:w="7214"/>
          </w:cols>
        </w:sectPr>
      </w:pPr>
    </w:p>
    <w:p>
      <w:pPr>
        <w:pStyle w:val="2"/>
        <w:spacing w:before="4"/>
        <w:rPr>
          <w:rFonts w:ascii="黑体"/>
          <w:b/>
          <w:sz w:val="19"/>
        </w:rPr>
      </w:pPr>
    </w:p>
    <w:p>
      <w:pPr>
        <w:spacing w:after="0"/>
        <w:rPr>
          <w:rFonts w:ascii="黑体"/>
          <w:sz w:val="19"/>
        </w:rPr>
        <w:sectPr>
          <w:type w:val="continuous"/>
          <w:pgSz w:w="11910" w:h="16840"/>
          <w:pgMar w:top="260" w:right="1080" w:bottom="1320" w:left="1580" w:header="0" w:footer="1137" w:gutter="0"/>
          <w:cols w:space="720" w:num="1"/>
        </w:sectPr>
      </w:pPr>
    </w:p>
    <w:p>
      <w:pPr>
        <w:pStyle w:val="6"/>
        <w:numPr>
          <w:ilvl w:val="0"/>
          <w:numId w:val="18"/>
        </w:numPr>
        <w:tabs>
          <w:tab w:val="left" w:pos="761"/>
        </w:tabs>
        <w:spacing w:before="64" w:after="0" w:line="278" w:lineRule="auto"/>
        <w:ind w:left="760" w:right="38" w:hanging="567"/>
        <w:jc w:val="both"/>
        <w:rPr>
          <w:b/>
          <w:sz w:val="21"/>
        </w:rPr>
      </w:pPr>
      <w:r>
        <w:rPr>
          <w:b/>
          <w:spacing w:val="-2"/>
          <w:sz w:val="21"/>
        </w:rPr>
        <w:t>重大器官移植术或造血干细胞移植</w:t>
      </w:r>
    </w:p>
    <w:p>
      <w:pPr>
        <w:pStyle w:val="2"/>
        <w:spacing w:before="64" w:line="278" w:lineRule="auto"/>
        <w:ind w:left="194" w:right="709"/>
      </w:pPr>
      <w:r>
        <w:br w:type="column"/>
      </w:r>
      <w:r>
        <w:rPr>
          <w:spacing w:val="-2"/>
        </w:rPr>
        <w:t>重大器官移植术，指因相应器官功能衰竭，已经实施了肾脏、肝脏、心脏或肺脏的异体移植手术。</w:t>
      </w:r>
    </w:p>
    <w:p>
      <w:pPr>
        <w:pStyle w:val="2"/>
        <w:ind w:left="194"/>
      </w:pPr>
      <w:r>
        <w:rPr>
          <w:spacing w:val="-5"/>
        </w:rPr>
        <w:t>造血干细胞移植术，指因造血功能损害或造血系统恶性肿瘤，已经实</w:t>
      </w:r>
    </w:p>
    <w:p>
      <w:pPr>
        <w:spacing w:after="0"/>
        <w:sectPr>
          <w:type w:val="continuous"/>
          <w:pgSz w:w="11910" w:h="16840"/>
          <w:pgMar w:top="260" w:right="1080" w:bottom="1320" w:left="1580" w:header="0" w:footer="1137" w:gutter="0"/>
          <w:cols w:equalWidth="0" w:num="2">
            <w:col w:w="1857" w:space="179"/>
            <w:col w:w="7214"/>
          </w:cols>
        </w:sectPr>
      </w:pPr>
    </w:p>
    <w:p>
      <w:pPr>
        <w:pStyle w:val="2"/>
        <w:tabs>
          <w:tab w:val="left" w:pos="2229"/>
        </w:tabs>
        <w:spacing w:before="44" w:line="278" w:lineRule="auto"/>
        <w:ind w:left="2229" w:right="735" w:hanging="1470"/>
      </w:pPr>
      <w:r>
        <w:rPr>
          <w:b/>
          <w:spacing w:val="-10"/>
        </w:rPr>
        <w:t>术</w:t>
      </w:r>
      <w:r>
        <w:rPr>
          <w:b/>
        </w:rPr>
        <w:tab/>
      </w:r>
      <w:r>
        <w:rPr>
          <w:spacing w:val="-2"/>
        </w:rPr>
        <w:t>施了造血干细胞（包括骨髓造血干细胞、外周血造血干细胞和脐血造血干细胞）的异体移植手术。</w:t>
      </w:r>
    </w:p>
    <w:p>
      <w:pPr>
        <w:pStyle w:val="2"/>
        <w:spacing w:before="5"/>
        <w:rPr>
          <w:sz w:val="19"/>
        </w:rPr>
      </w:pPr>
    </w:p>
    <w:p>
      <w:pPr>
        <w:spacing w:after="0"/>
        <w:rPr>
          <w:sz w:val="19"/>
        </w:rPr>
        <w:sectPr>
          <w:pgSz w:w="11910" w:h="16840"/>
          <w:pgMar w:top="1400" w:right="1080" w:bottom="1320" w:left="1580" w:header="0" w:footer="1137" w:gutter="0"/>
          <w:cols w:space="720" w:num="1"/>
        </w:sectPr>
      </w:pPr>
    </w:p>
    <w:p>
      <w:pPr>
        <w:pStyle w:val="6"/>
        <w:numPr>
          <w:ilvl w:val="0"/>
          <w:numId w:val="18"/>
        </w:numPr>
        <w:tabs>
          <w:tab w:val="left" w:pos="760"/>
          <w:tab w:val="left" w:pos="761"/>
        </w:tabs>
        <w:spacing w:before="64" w:after="0" w:line="278" w:lineRule="auto"/>
        <w:ind w:left="760" w:right="0" w:hanging="567"/>
        <w:jc w:val="left"/>
        <w:rPr>
          <w:b/>
          <w:sz w:val="21"/>
        </w:rPr>
      </w:pPr>
      <w:r>
        <w:rPr>
          <w:b/>
          <w:w w:val="100"/>
          <w:sz w:val="21"/>
        </w:rPr>
        <w:t>冠状动脉搭</w:t>
      </w:r>
      <w:r>
        <w:rPr>
          <w:b/>
          <w:spacing w:val="-6"/>
          <w:w w:val="100"/>
          <w:sz w:val="21"/>
        </w:rPr>
        <w:t>桥术</w:t>
      </w:r>
      <w:r>
        <w:rPr>
          <w:b/>
          <w:w w:val="100"/>
          <w:sz w:val="21"/>
        </w:rPr>
        <w:t>（</w:t>
      </w:r>
      <w:r>
        <w:rPr>
          <w:b/>
          <w:spacing w:val="-7"/>
          <w:w w:val="100"/>
          <w:sz w:val="21"/>
        </w:rPr>
        <w:t>或称冠</w:t>
      </w:r>
      <w:r>
        <w:rPr>
          <w:b/>
          <w:w w:val="100"/>
          <w:sz w:val="21"/>
        </w:rPr>
        <w:t>状动脉旁路移植术）</w:t>
      </w:r>
    </w:p>
    <w:p>
      <w:pPr>
        <w:pStyle w:val="2"/>
        <w:spacing w:before="64" w:line="278" w:lineRule="auto"/>
        <w:ind w:left="174" w:right="730"/>
      </w:pPr>
      <w:r>
        <w:br w:type="column"/>
      </w:r>
      <w:r>
        <w:rPr>
          <w:spacing w:val="-2"/>
        </w:rPr>
        <w:t>指为治疗严重的冠心病，实际实施了开胸进行的冠状动脉血管旁路移植的手术。</w:t>
      </w:r>
    </w:p>
    <w:p>
      <w:pPr>
        <w:spacing w:before="0" w:line="278" w:lineRule="auto"/>
        <w:ind w:left="174" w:right="730" w:firstLine="0"/>
        <w:jc w:val="left"/>
        <w:rPr>
          <w:rFonts w:hint="eastAsia" w:ascii="黑体" w:eastAsia="黑体"/>
          <w:b/>
          <w:sz w:val="21"/>
        </w:rPr>
      </w:pPr>
      <w:r>
        <w:rPr>
          <w:rFonts w:hint="eastAsia" w:ascii="黑体" w:eastAsia="黑体"/>
          <w:b/>
          <w:spacing w:val="-2"/>
          <w:sz w:val="21"/>
        </w:rPr>
        <w:t>冠状动脉支架植入术、心导管球囊扩张术、激光射频技术及其他非开胸的介入手术、腔镜手术不在本保障范围内。</w:t>
      </w:r>
    </w:p>
    <w:p>
      <w:pPr>
        <w:spacing w:after="0" w:line="278" w:lineRule="auto"/>
        <w:jc w:val="left"/>
        <w:rPr>
          <w:rFonts w:hint="eastAsia" w:ascii="黑体" w:eastAsia="黑体"/>
          <w:sz w:val="21"/>
        </w:rPr>
        <w:sectPr>
          <w:type w:val="continuous"/>
          <w:pgSz w:w="11910" w:h="16840"/>
          <w:pgMar w:top="260" w:right="1080" w:bottom="1320" w:left="1580" w:header="0" w:footer="1137" w:gutter="0"/>
          <w:cols w:equalWidth="0" w:num="2">
            <w:col w:w="2016" w:space="40"/>
            <w:col w:w="7194"/>
          </w:cols>
        </w:sectPr>
      </w:pPr>
    </w:p>
    <w:p>
      <w:pPr>
        <w:pStyle w:val="2"/>
        <w:spacing w:before="5"/>
        <w:rPr>
          <w:rFonts w:ascii="黑体"/>
          <w:b/>
          <w:sz w:val="19"/>
        </w:rPr>
      </w:pPr>
    </w:p>
    <w:p>
      <w:pPr>
        <w:spacing w:after="0"/>
        <w:rPr>
          <w:rFonts w:ascii="黑体"/>
          <w:sz w:val="19"/>
        </w:rPr>
        <w:sectPr>
          <w:type w:val="continuous"/>
          <w:pgSz w:w="11910" w:h="16840"/>
          <w:pgMar w:top="260" w:right="1080" w:bottom="1320" w:left="1580" w:header="0" w:footer="1137" w:gutter="0"/>
          <w:cols w:space="720" w:num="1"/>
        </w:sectPr>
      </w:pPr>
    </w:p>
    <w:p>
      <w:pPr>
        <w:pStyle w:val="6"/>
        <w:numPr>
          <w:ilvl w:val="0"/>
          <w:numId w:val="18"/>
        </w:numPr>
        <w:tabs>
          <w:tab w:val="left" w:pos="761"/>
        </w:tabs>
        <w:spacing w:before="63" w:after="0" w:line="240" w:lineRule="auto"/>
        <w:ind w:left="760" w:right="0" w:hanging="567"/>
        <w:jc w:val="both"/>
        <w:rPr>
          <w:b/>
          <w:sz w:val="21"/>
        </w:rPr>
      </w:pPr>
      <w:r>
        <w:rPr>
          <w:b/>
          <w:spacing w:val="-2"/>
          <w:sz w:val="21"/>
        </w:rPr>
        <w:t>终末期肾病</w:t>
      </w:r>
    </w:p>
    <w:p>
      <w:pPr>
        <w:spacing w:before="43" w:line="278" w:lineRule="auto"/>
        <w:ind w:left="760" w:right="38" w:firstLine="0"/>
        <w:jc w:val="both"/>
        <w:rPr>
          <w:b/>
          <w:sz w:val="21"/>
        </w:rPr>
      </w:pPr>
      <w:r>
        <w:rPr>
          <w:b/>
          <w:spacing w:val="-2"/>
          <w:sz w:val="21"/>
        </w:rPr>
        <w:t>（或称慢性肾功能衰竭</w:t>
      </w:r>
      <w:r>
        <w:rPr>
          <w:b/>
          <w:sz w:val="21"/>
        </w:rPr>
        <w:t>尿毒症期</w:t>
      </w:r>
      <w:r>
        <w:rPr>
          <w:b/>
          <w:spacing w:val="-10"/>
          <w:sz w:val="21"/>
        </w:rPr>
        <w:t>）</w:t>
      </w:r>
    </w:p>
    <w:p>
      <w:pPr>
        <w:pStyle w:val="2"/>
        <w:spacing w:before="63" w:line="278" w:lineRule="auto"/>
        <w:ind w:left="194" w:right="730"/>
      </w:pPr>
      <w:r>
        <w:br w:type="column"/>
      </w:r>
      <w:r>
        <w:rPr>
          <w:spacing w:val="-2"/>
        </w:rPr>
        <w:t>指双肾功能慢性不可逆性衰竭，达到尿毒症期，经诊断后已经进行了</w:t>
      </w:r>
      <w:r>
        <w:rPr>
          <w:spacing w:val="-8"/>
        </w:rPr>
        <w:t xml:space="preserve">至少 </w:t>
      </w:r>
      <w:r>
        <w:t>90</w:t>
      </w:r>
      <w:r>
        <w:rPr>
          <w:spacing w:val="-5"/>
        </w:rPr>
        <w:t xml:space="preserve"> 天的规律性透析治疗或实施了肾脏移植手术。</w:t>
      </w:r>
    </w:p>
    <w:p>
      <w:pPr>
        <w:spacing w:after="0" w:line="278" w:lineRule="auto"/>
        <w:sectPr>
          <w:type w:val="continuous"/>
          <w:pgSz w:w="11910" w:h="16840"/>
          <w:pgMar w:top="260" w:right="1080" w:bottom="1320" w:left="1580" w:header="0" w:footer="1137" w:gutter="0"/>
          <w:cols w:equalWidth="0" w:num="2">
            <w:col w:w="1857" w:space="179"/>
            <w:col w:w="7214"/>
          </w:cols>
        </w:sectPr>
      </w:pPr>
    </w:p>
    <w:p>
      <w:pPr>
        <w:pStyle w:val="2"/>
        <w:spacing w:before="5"/>
        <w:rPr>
          <w:sz w:val="19"/>
        </w:rPr>
      </w:pPr>
    </w:p>
    <w:p>
      <w:pPr>
        <w:spacing w:after="0"/>
        <w:rPr>
          <w:sz w:val="19"/>
        </w:rPr>
        <w:sectPr>
          <w:type w:val="continuous"/>
          <w:pgSz w:w="11910" w:h="16840"/>
          <w:pgMar w:top="260" w:right="1080" w:bottom="1320" w:left="1580" w:header="0" w:footer="1137" w:gutter="0"/>
          <w:cols w:space="720" w:num="1"/>
        </w:sectPr>
      </w:pPr>
    </w:p>
    <w:p>
      <w:pPr>
        <w:pStyle w:val="6"/>
        <w:numPr>
          <w:ilvl w:val="0"/>
          <w:numId w:val="18"/>
        </w:numPr>
        <w:tabs>
          <w:tab w:val="left" w:pos="760"/>
          <w:tab w:val="left" w:pos="761"/>
        </w:tabs>
        <w:spacing w:before="64" w:after="0" w:line="278" w:lineRule="auto"/>
        <w:ind w:left="760" w:right="38" w:hanging="567"/>
        <w:jc w:val="left"/>
        <w:rPr>
          <w:b/>
          <w:sz w:val="21"/>
        </w:rPr>
      </w:pPr>
      <w:r>
        <w:rPr>
          <w:b/>
          <w:spacing w:val="-2"/>
          <w:sz w:val="21"/>
        </w:rPr>
        <w:t>多个肢体缺</w:t>
      </w:r>
      <w:r>
        <w:rPr>
          <w:b/>
          <w:spacing w:val="-10"/>
          <w:sz w:val="21"/>
        </w:rPr>
        <w:t>失</w:t>
      </w:r>
    </w:p>
    <w:p>
      <w:pPr>
        <w:pStyle w:val="2"/>
        <w:spacing w:before="64" w:line="278" w:lineRule="auto"/>
        <w:ind w:left="194" w:right="917"/>
      </w:pPr>
      <w:r>
        <w:br w:type="column"/>
      </w:r>
      <w:r>
        <w:rPr>
          <w:spacing w:val="-2"/>
        </w:rPr>
        <w:t>指因疾病或意外伤害导致两个或两个以上肢体自腕关节或踝关节近端（靠近躯干端）以上完全性断离。</w:t>
      </w:r>
    </w:p>
    <w:p>
      <w:pPr>
        <w:spacing w:after="0" w:line="278" w:lineRule="auto"/>
        <w:sectPr>
          <w:type w:val="continuous"/>
          <w:pgSz w:w="11910" w:h="16840"/>
          <w:pgMar w:top="260" w:right="1080" w:bottom="1320" w:left="1580" w:header="0" w:footer="1137" w:gutter="0"/>
          <w:cols w:equalWidth="0" w:num="2">
            <w:col w:w="1857" w:space="179"/>
            <w:col w:w="7214"/>
          </w:cols>
        </w:sectPr>
      </w:pPr>
    </w:p>
    <w:p>
      <w:pPr>
        <w:pStyle w:val="2"/>
        <w:spacing w:before="5"/>
        <w:rPr>
          <w:sz w:val="19"/>
        </w:rPr>
      </w:pPr>
    </w:p>
    <w:p>
      <w:pPr>
        <w:spacing w:after="0"/>
        <w:rPr>
          <w:sz w:val="19"/>
        </w:rPr>
        <w:sectPr>
          <w:type w:val="continuous"/>
          <w:pgSz w:w="11910" w:h="16840"/>
          <w:pgMar w:top="260" w:right="1080" w:bottom="1320" w:left="1580" w:header="0" w:footer="1137" w:gutter="0"/>
          <w:cols w:space="720" w:num="1"/>
        </w:sectPr>
      </w:pPr>
    </w:p>
    <w:p>
      <w:pPr>
        <w:pStyle w:val="6"/>
        <w:numPr>
          <w:ilvl w:val="0"/>
          <w:numId w:val="18"/>
        </w:numPr>
        <w:tabs>
          <w:tab w:val="left" w:pos="760"/>
          <w:tab w:val="left" w:pos="761"/>
        </w:tabs>
        <w:spacing w:before="63" w:after="0" w:line="278" w:lineRule="auto"/>
        <w:ind w:left="760" w:right="38" w:hanging="567"/>
        <w:jc w:val="left"/>
        <w:rPr>
          <w:b/>
          <w:sz w:val="21"/>
        </w:rPr>
      </w:pPr>
      <w:r>
        <w:rPr>
          <w:b/>
          <w:spacing w:val="-2"/>
          <w:sz w:val="21"/>
        </w:rPr>
        <w:t>急性或亚急性重症肝炎</w:t>
      </w:r>
    </w:p>
    <w:p>
      <w:pPr>
        <w:pStyle w:val="2"/>
        <w:spacing w:before="63" w:line="278" w:lineRule="auto"/>
        <w:ind w:left="194" w:right="711"/>
      </w:pPr>
      <w:r>
        <w:br w:type="column"/>
      </w:r>
      <w:r>
        <w:rPr>
          <w:spacing w:val="-2"/>
        </w:rPr>
        <w:t>指因肝炎病毒感染引起肝脏组织弥漫性坏死，导致急性肝功能衰竭，且经血清学或病毒学检查证实，并须满足下列全部条件：</w:t>
      </w:r>
    </w:p>
    <w:p>
      <w:pPr>
        <w:pStyle w:val="6"/>
        <w:numPr>
          <w:ilvl w:val="0"/>
          <w:numId w:val="21"/>
        </w:numPr>
        <w:tabs>
          <w:tab w:val="left" w:pos="778"/>
        </w:tabs>
        <w:spacing w:before="0" w:after="0" w:line="269" w:lineRule="exact"/>
        <w:ind w:left="777" w:right="0" w:hanging="584"/>
        <w:jc w:val="left"/>
        <w:rPr>
          <w:sz w:val="21"/>
        </w:rPr>
      </w:pPr>
      <w:r>
        <w:rPr>
          <w:spacing w:val="-3"/>
          <w:sz w:val="21"/>
        </w:rPr>
        <w:t>重度黄疸或黄疸迅速加重；</w:t>
      </w:r>
    </w:p>
    <w:p>
      <w:pPr>
        <w:pStyle w:val="6"/>
        <w:numPr>
          <w:ilvl w:val="0"/>
          <w:numId w:val="21"/>
        </w:numPr>
        <w:tabs>
          <w:tab w:val="left" w:pos="778"/>
        </w:tabs>
        <w:spacing w:before="43" w:after="0" w:line="240" w:lineRule="auto"/>
        <w:ind w:left="777" w:right="0" w:hanging="584"/>
        <w:jc w:val="left"/>
        <w:rPr>
          <w:sz w:val="21"/>
        </w:rPr>
      </w:pPr>
      <w:r>
        <w:rPr>
          <w:spacing w:val="-4"/>
          <w:sz w:val="21"/>
        </w:rPr>
        <w:t>肝性脑病；</w:t>
      </w:r>
    </w:p>
    <w:p>
      <w:pPr>
        <w:pStyle w:val="6"/>
        <w:numPr>
          <w:ilvl w:val="0"/>
          <w:numId w:val="21"/>
        </w:numPr>
        <w:tabs>
          <w:tab w:val="left" w:pos="778"/>
        </w:tabs>
        <w:spacing w:before="43" w:after="0" w:line="240" w:lineRule="auto"/>
        <w:ind w:left="777" w:right="0" w:hanging="584"/>
        <w:jc w:val="left"/>
        <w:rPr>
          <w:sz w:val="21"/>
        </w:rPr>
      </w:pPr>
      <w:r>
        <w:rPr>
          <w:spacing w:val="-2"/>
          <w:sz w:val="21"/>
        </w:rPr>
        <w:t>B</w:t>
      </w:r>
      <w:r>
        <w:rPr>
          <w:spacing w:val="-10"/>
          <w:sz w:val="21"/>
        </w:rPr>
        <w:t xml:space="preserve"> 超或其他影像学检查显示肝脏体积急速萎缩；</w:t>
      </w:r>
    </w:p>
    <w:p>
      <w:pPr>
        <w:pStyle w:val="6"/>
        <w:numPr>
          <w:ilvl w:val="0"/>
          <w:numId w:val="21"/>
        </w:numPr>
        <w:tabs>
          <w:tab w:val="left" w:pos="778"/>
        </w:tabs>
        <w:spacing w:before="43" w:after="0" w:line="240" w:lineRule="auto"/>
        <w:ind w:left="777" w:right="0" w:hanging="584"/>
        <w:jc w:val="left"/>
        <w:rPr>
          <w:sz w:val="21"/>
        </w:rPr>
      </w:pPr>
      <w:r>
        <w:rPr>
          <w:spacing w:val="-3"/>
          <w:sz w:val="21"/>
        </w:rPr>
        <w:t>肝功能指标进行性恶化。</w:t>
      </w:r>
    </w:p>
    <w:p>
      <w:pPr>
        <w:spacing w:after="0" w:line="240" w:lineRule="auto"/>
        <w:jc w:val="left"/>
        <w:rPr>
          <w:sz w:val="21"/>
        </w:rPr>
        <w:sectPr>
          <w:type w:val="continuous"/>
          <w:pgSz w:w="11910" w:h="16840"/>
          <w:pgMar w:top="260" w:right="1080" w:bottom="1320" w:left="1580" w:header="0" w:footer="1137" w:gutter="0"/>
          <w:cols w:equalWidth="0" w:num="2">
            <w:col w:w="1857" w:space="179"/>
            <w:col w:w="7214"/>
          </w:cols>
        </w:sectPr>
      </w:pPr>
    </w:p>
    <w:p>
      <w:pPr>
        <w:pStyle w:val="2"/>
        <w:spacing w:before="10"/>
        <w:rPr>
          <w:sz w:val="22"/>
        </w:rPr>
      </w:pPr>
    </w:p>
    <w:p>
      <w:pPr>
        <w:pStyle w:val="6"/>
        <w:numPr>
          <w:ilvl w:val="0"/>
          <w:numId w:val="18"/>
        </w:numPr>
        <w:tabs>
          <w:tab w:val="left" w:pos="760"/>
          <w:tab w:val="left" w:pos="761"/>
          <w:tab w:val="left" w:pos="2229"/>
        </w:tabs>
        <w:spacing w:before="63" w:after="0" w:line="278" w:lineRule="auto"/>
        <w:ind w:left="2229" w:right="622" w:hanging="2036"/>
        <w:jc w:val="left"/>
        <w:rPr>
          <w:sz w:val="21"/>
        </w:rPr>
      </w:pPr>
      <w:r>
        <w:rPr>
          <w:b/>
          <w:spacing w:val="-2"/>
          <w:sz w:val="21"/>
        </w:rPr>
        <w:t>良性脑肿瘤</w:t>
      </w:r>
      <w:r>
        <w:rPr>
          <w:b/>
          <w:sz w:val="21"/>
        </w:rPr>
        <w:tab/>
      </w:r>
      <w:r>
        <w:rPr>
          <w:spacing w:val="-2"/>
          <w:sz w:val="21"/>
        </w:rPr>
        <w:t>指脑的良性肿瘤</w:t>
      </w:r>
      <w:r>
        <w:rPr>
          <w:spacing w:val="-63"/>
          <w:sz w:val="21"/>
        </w:rPr>
        <w:t>，</w:t>
      </w:r>
      <w:r>
        <w:rPr>
          <w:spacing w:val="-2"/>
          <w:sz w:val="21"/>
        </w:rPr>
        <w:t>已经引起颅内压增高</w:t>
      </w:r>
      <w:r>
        <w:rPr>
          <w:spacing w:val="-65"/>
          <w:sz w:val="21"/>
        </w:rPr>
        <w:t>，</w:t>
      </w:r>
      <w:r>
        <w:rPr>
          <w:spacing w:val="-2"/>
          <w:sz w:val="21"/>
        </w:rPr>
        <w:t>临床表现为视神经乳头水肿、精神症状、癫痫及运动感觉障碍等，并危及生命。须由头颅断层扫描</w:t>
      </w:r>
    </w:p>
    <w:p>
      <w:pPr>
        <w:pStyle w:val="2"/>
        <w:spacing w:line="278" w:lineRule="auto"/>
        <w:ind w:left="2229" w:right="816"/>
      </w:pPr>
      <w:r>
        <w:rPr>
          <w:spacing w:val="23"/>
        </w:rPr>
        <w:t>（CT</w:t>
      </w:r>
      <w:r>
        <w:rPr>
          <w:spacing w:val="-85"/>
        </w:rPr>
        <w:t>）</w:t>
      </w:r>
      <w:r>
        <w:rPr>
          <w:spacing w:val="-4"/>
        </w:rPr>
        <w:t>、核磁共振检查（MRI）或正电子发射断层扫描（PET）等影像</w:t>
      </w:r>
      <w:r>
        <w:rPr>
          <w:spacing w:val="-2"/>
        </w:rPr>
        <w:t>学检查证实，并须满足下列至少一项条件：</w:t>
      </w:r>
    </w:p>
    <w:p>
      <w:pPr>
        <w:pStyle w:val="6"/>
        <w:numPr>
          <w:ilvl w:val="0"/>
          <w:numId w:val="22"/>
        </w:numPr>
        <w:tabs>
          <w:tab w:val="left" w:pos="2813"/>
        </w:tabs>
        <w:spacing w:before="0" w:after="0" w:line="269" w:lineRule="exact"/>
        <w:ind w:left="2813" w:right="0" w:hanging="584"/>
        <w:jc w:val="left"/>
        <w:rPr>
          <w:sz w:val="21"/>
        </w:rPr>
      </w:pPr>
      <w:r>
        <w:rPr>
          <w:spacing w:val="-3"/>
          <w:sz w:val="21"/>
        </w:rPr>
        <w:t>实际实施了开颅进行的脑肿瘤完全切除或部分切除的手术；</w:t>
      </w:r>
    </w:p>
    <w:p>
      <w:pPr>
        <w:pStyle w:val="6"/>
        <w:numPr>
          <w:ilvl w:val="0"/>
          <w:numId w:val="22"/>
        </w:numPr>
        <w:tabs>
          <w:tab w:val="left" w:pos="2813"/>
        </w:tabs>
        <w:spacing w:before="43" w:after="0" w:line="240" w:lineRule="auto"/>
        <w:ind w:left="2813" w:right="0" w:hanging="584"/>
        <w:jc w:val="left"/>
        <w:rPr>
          <w:sz w:val="21"/>
        </w:rPr>
      </w:pPr>
      <w:r>
        <w:rPr>
          <w:spacing w:val="-3"/>
          <w:sz w:val="21"/>
        </w:rPr>
        <w:t>实际实施了对脑肿瘤进行的放射治疗。</w:t>
      </w:r>
    </w:p>
    <w:p>
      <w:pPr>
        <w:spacing w:before="43"/>
        <w:ind w:left="2229" w:right="0" w:firstLine="0"/>
        <w:jc w:val="left"/>
        <w:rPr>
          <w:rFonts w:hint="eastAsia" w:ascii="黑体" w:eastAsia="黑体"/>
          <w:b/>
          <w:sz w:val="21"/>
        </w:rPr>
      </w:pPr>
      <w:r>
        <w:rPr>
          <w:rFonts w:hint="eastAsia" w:ascii="黑体" w:eastAsia="黑体"/>
          <w:b/>
          <w:spacing w:val="-3"/>
          <w:sz w:val="21"/>
        </w:rPr>
        <w:t>脑垂体瘤、脑囊肿、脑血管性疾病不在本保障范围内。</w:t>
      </w:r>
    </w:p>
    <w:p>
      <w:pPr>
        <w:pStyle w:val="2"/>
        <w:spacing w:before="10"/>
        <w:rPr>
          <w:rFonts w:ascii="黑体"/>
          <w:b/>
          <w:sz w:val="22"/>
        </w:rPr>
      </w:pPr>
    </w:p>
    <w:p>
      <w:pPr>
        <w:spacing w:after="0"/>
        <w:rPr>
          <w:rFonts w:ascii="黑体"/>
          <w:sz w:val="22"/>
        </w:rPr>
        <w:sectPr>
          <w:type w:val="continuous"/>
          <w:pgSz w:w="11910" w:h="16840"/>
          <w:pgMar w:top="260" w:right="1080" w:bottom="1320" w:left="1580" w:header="0" w:footer="1137" w:gutter="0"/>
          <w:cols w:space="720" w:num="1"/>
        </w:sectPr>
      </w:pPr>
    </w:p>
    <w:p>
      <w:pPr>
        <w:pStyle w:val="6"/>
        <w:numPr>
          <w:ilvl w:val="0"/>
          <w:numId w:val="18"/>
        </w:numPr>
        <w:tabs>
          <w:tab w:val="left" w:pos="761"/>
        </w:tabs>
        <w:spacing w:before="63" w:after="0" w:line="240" w:lineRule="auto"/>
        <w:ind w:left="760" w:right="0" w:hanging="567"/>
        <w:jc w:val="left"/>
        <w:rPr>
          <w:b/>
          <w:sz w:val="21"/>
        </w:rPr>
      </w:pPr>
      <w:r>
        <w:rPr>
          <w:b/>
          <w:spacing w:val="-2"/>
          <w:sz w:val="21"/>
        </w:rPr>
        <w:t>慢性肝功能</w:t>
      </w:r>
    </w:p>
    <w:p>
      <w:pPr>
        <w:spacing w:before="44" w:line="278" w:lineRule="auto"/>
        <w:ind w:left="760" w:right="38" w:firstLine="0"/>
        <w:jc w:val="left"/>
        <w:rPr>
          <w:b/>
          <w:sz w:val="21"/>
        </w:rPr>
      </w:pPr>
      <w:r>
        <w:rPr>
          <w:b/>
          <w:spacing w:val="-2"/>
          <w:sz w:val="21"/>
        </w:rPr>
        <w:t>衰竭失代偿</w:t>
      </w:r>
      <w:r>
        <w:rPr>
          <w:b/>
          <w:spacing w:val="-10"/>
          <w:sz w:val="21"/>
        </w:rPr>
        <w:t>期</w:t>
      </w:r>
    </w:p>
    <w:p>
      <w:pPr>
        <w:pStyle w:val="2"/>
        <w:spacing w:before="63"/>
        <w:ind w:left="194"/>
      </w:pPr>
      <w:r>
        <w:br w:type="column"/>
      </w:r>
      <w:r>
        <w:rPr>
          <w:spacing w:val="-3"/>
        </w:rPr>
        <w:t>指因慢性肝脏疾病导致肝功能衰竭。须满足下列全部条件：</w:t>
      </w:r>
    </w:p>
    <w:p>
      <w:pPr>
        <w:pStyle w:val="6"/>
        <w:numPr>
          <w:ilvl w:val="0"/>
          <w:numId w:val="23"/>
        </w:numPr>
        <w:tabs>
          <w:tab w:val="left" w:pos="778"/>
        </w:tabs>
        <w:spacing w:before="44" w:after="0" w:line="240" w:lineRule="auto"/>
        <w:ind w:left="777" w:right="0" w:hanging="584"/>
        <w:jc w:val="left"/>
        <w:rPr>
          <w:sz w:val="21"/>
        </w:rPr>
      </w:pPr>
      <w:r>
        <w:rPr>
          <w:spacing w:val="-4"/>
          <w:sz w:val="21"/>
        </w:rPr>
        <w:t>持续性黄疸；</w:t>
      </w:r>
    </w:p>
    <w:p>
      <w:pPr>
        <w:pStyle w:val="6"/>
        <w:numPr>
          <w:ilvl w:val="0"/>
          <w:numId w:val="23"/>
        </w:numPr>
        <w:tabs>
          <w:tab w:val="left" w:pos="778"/>
        </w:tabs>
        <w:spacing w:before="43" w:after="0" w:line="240" w:lineRule="auto"/>
        <w:ind w:left="777" w:right="0" w:hanging="584"/>
        <w:jc w:val="left"/>
        <w:rPr>
          <w:sz w:val="21"/>
        </w:rPr>
      </w:pPr>
      <w:r>
        <w:rPr>
          <w:spacing w:val="-4"/>
          <w:sz w:val="21"/>
        </w:rPr>
        <w:t>腹水；</w:t>
      </w:r>
    </w:p>
    <w:p>
      <w:pPr>
        <w:pStyle w:val="6"/>
        <w:numPr>
          <w:ilvl w:val="0"/>
          <w:numId w:val="23"/>
        </w:numPr>
        <w:tabs>
          <w:tab w:val="left" w:pos="778"/>
        </w:tabs>
        <w:spacing w:before="42" w:after="0" w:line="240" w:lineRule="auto"/>
        <w:ind w:left="777" w:right="0" w:hanging="584"/>
        <w:jc w:val="left"/>
        <w:rPr>
          <w:sz w:val="21"/>
        </w:rPr>
      </w:pPr>
      <w:r>
        <w:rPr>
          <w:spacing w:val="-4"/>
          <w:sz w:val="21"/>
        </w:rPr>
        <w:t>肝性脑病；</w:t>
      </w:r>
    </w:p>
    <w:p>
      <w:pPr>
        <w:pStyle w:val="6"/>
        <w:numPr>
          <w:ilvl w:val="0"/>
          <w:numId w:val="23"/>
        </w:numPr>
        <w:tabs>
          <w:tab w:val="left" w:pos="778"/>
        </w:tabs>
        <w:spacing w:before="43" w:after="0" w:line="240" w:lineRule="auto"/>
        <w:ind w:left="777" w:right="0" w:hanging="584"/>
        <w:jc w:val="left"/>
        <w:rPr>
          <w:sz w:val="21"/>
        </w:rPr>
      </w:pPr>
      <w:r>
        <w:rPr>
          <w:spacing w:val="-3"/>
          <w:sz w:val="21"/>
        </w:rPr>
        <w:t>充血性脾肿大伴脾功能亢进或食管胃底静脉曲张。</w:t>
      </w:r>
    </w:p>
    <w:p>
      <w:pPr>
        <w:spacing w:before="43"/>
        <w:ind w:left="194" w:right="0" w:firstLine="0"/>
        <w:jc w:val="left"/>
        <w:rPr>
          <w:rFonts w:hint="eastAsia" w:ascii="黑体" w:eastAsia="黑体"/>
          <w:b/>
          <w:sz w:val="21"/>
        </w:rPr>
      </w:pPr>
      <w:r>
        <w:rPr>
          <w:rFonts w:hint="eastAsia" w:ascii="黑体" w:eastAsia="黑体"/>
          <w:b/>
          <w:spacing w:val="-3"/>
          <w:sz w:val="21"/>
        </w:rPr>
        <w:t>因酗酒或药物滥用导致的肝功能衰竭不在保障范围内。</w:t>
      </w:r>
    </w:p>
    <w:p>
      <w:pPr>
        <w:spacing w:after="0"/>
        <w:jc w:val="left"/>
        <w:rPr>
          <w:rFonts w:hint="eastAsia" w:ascii="黑体" w:eastAsia="黑体"/>
          <w:sz w:val="21"/>
        </w:rPr>
        <w:sectPr>
          <w:type w:val="continuous"/>
          <w:pgSz w:w="11910" w:h="16840"/>
          <w:pgMar w:top="260" w:right="1080" w:bottom="1320" w:left="1580" w:header="0" w:footer="1137" w:gutter="0"/>
          <w:cols w:equalWidth="0" w:num="2">
            <w:col w:w="1857" w:space="179"/>
            <w:col w:w="7214"/>
          </w:cols>
        </w:sectPr>
      </w:pPr>
    </w:p>
    <w:p>
      <w:pPr>
        <w:pStyle w:val="2"/>
        <w:spacing w:before="10"/>
        <w:rPr>
          <w:rFonts w:ascii="黑体"/>
          <w:b/>
          <w:sz w:val="22"/>
        </w:rPr>
      </w:pPr>
    </w:p>
    <w:p>
      <w:pPr>
        <w:spacing w:after="0"/>
        <w:rPr>
          <w:rFonts w:ascii="黑体"/>
          <w:sz w:val="22"/>
        </w:rPr>
        <w:sectPr>
          <w:type w:val="continuous"/>
          <w:pgSz w:w="11910" w:h="16840"/>
          <w:pgMar w:top="260" w:right="1080" w:bottom="1320" w:left="1580" w:header="0" w:footer="1137" w:gutter="0"/>
          <w:cols w:space="720" w:num="1"/>
        </w:sectPr>
      </w:pPr>
    </w:p>
    <w:p>
      <w:pPr>
        <w:pStyle w:val="6"/>
        <w:numPr>
          <w:ilvl w:val="0"/>
          <w:numId w:val="18"/>
        </w:numPr>
        <w:tabs>
          <w:tab w:val="left" w:pos="761"/>
        </w:tabs>
        <w:spacing w:before="63" w:after="0" w:line="240" w:lineRule="auto"/>
        <w:ind w:left="760" w:right="0" w:hanging="567"/>
        <w:jc w:val="left"/>
        <w:rPr>
          <w:b/>
          <w:sz w:val="21"/>
        </w:rPr>
      </w:pPr>
      <w:r>
        <w:rPr>
          <w:b/>
          <w:spacing w:val="-2"/>
          <w:sz w:val="21"/>
        </w:rPr>
        <w:t>脑炎后遗症</w:t>
      </w:r>
    </w:p>
    <w:p>
      <w:pPr>
        <w:spacing w:before="43" w:line="278" w:lineRule="auto"/>
        <w:ind w:left="760" w:right="38" w:firstLine="0"/>
        <w:jc w:val="left"/>
        <w:rPr>
          <w:b/>
          <w:sz w:val="21"/>
        </w:rPr>
      </w:pPr>
      <w:r>
        <w:rPr>
          <w:b/>
          <w:spacing w:val="-2"/>
          <w:sz w:val="21"/>
        </w:rPr>
        <w:t>或脑膜炎后</w:t>
      </w:r>
      <w:r>
        <w:rPr>
          <w:b/>
          <w:spacing w:val="-6"/>
          <w:sz w:val="21"/>
        </w:rPr>
        <w:t>遗症</w:t>
      </w:r>
    </w:p>
    <w:p>
      <w:pPr>
        <w:pStyle w:val="2"/>
        <w:spacing w:before="63" w:line="278" w:lineRule="auto"/>
        <w:ind w:left="194" w:right="727"/>
        <w:jc w:val="both"/>
      </w:pPr>
      <w:r>
        <w:br w:type="column"/>
      </w:r>
      <w:r>
        <w:rPr>
          <w:spacing w:val="-2"/>
        </w:rPr>
        <w:t>指因患脑炎或脑膜炎导致的神经系统永久性的功能障碍。神经系统永</w:t>
      </w:r>
      <w:r>
        <w:rPr>
          <w:spacing w:val="-5"/>
        </w:rPr>
        <w:t xml:space="preserve">久性的功能障碍，指疾病确诊 </w:t>
      </w:r>
      <w:r>
        <w:rPr>
          <w:spacing w:val="-4"/>
        </w:rPr>
        <w:t>180</w:t>
      </w:r>
      <w:r>
        <w:rPr>
          <w:spacing w:val="-7"/>
        </w:rPr>
        <w:t xml:space="preserve"> 天后，仍遗留下列一种或一种以上</w:t>
      </w:r>
      <w:r>
        <w:rPr>
          <w:spacing w:val="-4"/>
        </w:rPr>
        <w:t>障碍：</w:t>
      </w:r>
    </w:p>
    <w:p>
      <w:pPr>
        <w:pStyle w:val="6"/>
        <w:numPr>
          <w:ilvl w:val="0"/>
          <w:numId w:val="24"/>
        </w:numPr>
        <w:tabs>
          <w:tab w:val="left" w:pos="778"/>
        </w:tabs>
        <w:spacing w:before="0" w:after="0" w:line="269" w:lineRule="exact"/>
        <w:ind w:left="777" w:right="0" w:hanging="584"/>
        <w:jc w:val="both"/>
        <w:rPr>
          <w:sz w:val="21"/>
        </w:rPr>
      </w:pPr>
      <w:r>
        <w:rPr>
          <w:spacing w:val="-3"/>
          <w:sz w:val="21"/>
        </w:rPr>
        <w:t>一肢或一肢以上肢体机能完全丧失；</w:t>
      </w:r>
    </w:p>
    <w:p>
      <w:pPr>
        <w:pStyle w:val="6"/>
        <w:numPr>
          <w:ilvl w:val="0"/>
          <w:numId w:val="24"/>
        </w:numPr>
        <w:tabs>
          <w:tab w:val="left" w:pos="778"/>
        </w:tabs>
        <w:spacing w:before="44" w:after="0" w:line="240" w:lineRule="auto"/>
        <w:ind w:left="777" w:right="0" w:hanging="584"/>
        <w:jc w:val="both"/>
        <w:rPr>
          <w:sz w:val="21"/>
        </w:rPr>
      </w:pPr>
      <w:r>
        <w:rPr>
          <w:spacing w:val="-3"/>
          <w:sz w:val="21"/>
        </w:rPr>
        <w:t>语言能力或咀嚼吞咽能力完全丧失；</w:t>
      </w:r>
    </w:p>
    <w:p>
      <w:pPr>
        <w:pStyle w:val="6"/>
        <w:numPr>
          <w:ilvl w:val="0"/>
          <w:numId w:val="24"/>
        </w:numPr>
        <w:tabs>
          <w:tab w:val="left" w:pos="778"/>
        </w:tabs>
        <w:spacing w:before="43" w:after="0" w:line="240" w:lineRule="auto"/>
        <w:ind w:left="777" w:right="0" w:hanging="584"/>
        <w:jc w:val="both"/>
        <w:rPr>
          <w:sz w:val="21"/>
        </w:rPr>
      </w:pPr>
      <w:r>
        <w:rPr>
          <w:spacing w:val="-3"/>
          <w:sz w:val="21"/>
        </w:rPr>
        <w:t>自主生活能力完全丧失，无法独立完成六项基本日常生活活动</w:t>
      </w:r>
    </w:p>
    <w:p>
      <w:pPr>
        <w:spacing w:after="0" w:line="240" w:lineRule="auto"/>
        <w:jc w:val="both"/>
        <w:rPr>
          <w:sz w:val="21"/>
        </w:rPr>
        <w:sectPr>
          <w:type w:val="continuous"/>
          <w:pgSz w:w="11910" w:h="16840"/>
          <w:pgMar w:top="260" w:right="1080" w:bottom="1320" w:left="1580" w:header="0" w:footer="1137" w:gutter="0"/>
          <w:cols w:equalWidth="0" w:num="2">
            <w:col w:w="1857" w:space="179"/>
            <w:col w:w="7214"/>
          </w:cols>
        </w:sectPr>
      </w:pPr>
    </w:p>
    <w:p>
      <w:pPr>
        <w:pStyle w:val="2"/>
        <w:spacing w:before="44"/>
        <w:ind w:left="2796"/>
      </w:pPr>
      <w:r>
        <w:rPr>
          <w:spacing w:val="-3"/>
        </w:rPr>
        <w:t>中的三项或三项以上。</w:t>
      </w:r>
    </w:p>
    <w:p>
      <w:pPr>
        <w:pStyle w:val="2"/>
        <w:spacing w:before="9"/>
        <w:rPr>
          <w:sz w:val="27"/>
        </w:rPr>
      </w:pPr>
    </w:p>
    <w:p>
      <w:pPr>
        <w:pStyle w:val="6"/>
        <w:numPr>
          <w:ilvl w:val="0"/>
          <w:numId w:val="18"/>
        </w:numPr>
        <w:tabs>
          <w:tab w:val="left" w:pos="761"/>
          <w:tab w:val="left" w:pos="2229"/>
        </w:tabs>
        <w:spacing w:before="1" w:after="0" w:line="278" w:lineRule="auto"/>
        <w:ind w:left="2229" w:right="814" w:hanging="2036"/>
        <w:jc w:val="left"/>
        <w:rPr>
          <w:sz w:val="21"/>
        </w:rPr>
      </w:pPr>
      <w:r>
        <w:rPr>
          <w:b/>
          <w:spacing w:val="-4"/>
          <w:sz w:val="21"/>
        </w:rPr>
        <w:t>深度昏迷</w:t>
      </w:r>
      <w:r>
        <w:rPr>
          <w:b/>
          <w:sz w:val="21"/>
        </w:rPr>
        <w:tab/>
      </w:r>
      <w:r>
        <w:rPr>
          <w:spacing w:val="-2"/>
          <w:sz w:val="21"/>
        </w:rPr>
        <w:t>指因疾病或意外伤害导致意识丧失,对外界刺激和体内需求均无反</w:t>
      </w:r>
      <w:r>
        <w:rPr>
          <w:spacing w:val="40"/>
          <w:sz w:val="21"/>
        </w:rPr>
        <w:t xml:space="preserve"> </w:t>
      </w:r>
      <w:r>
        <w:rPr>
          <w:sz w:val="21"/>
        </w:rPr>
        <w:t>应,昏迷程度按照格拉斯哥昏迷分级（Glasgow</w:t>
      </w:r>
      <w:r>
        <w:rPr>
          <w:spacing w:val="40"/>
          <w:sz w:val="21"/>
        </w:rPr>
        <w:t xml:space="preserve"> </w:t>
      </w:r>
      <w:r>
        <w:rPr>
          <w:sz w:val="21"/>
        </w:rPr>
        <w:t>coma</w:t>
      </w:r>
      <w:r>
        <w:rPr>
          <w:spacing w:val="40"/>
          <w:sz w:val="21"/>
        </w:rPr>
        <w:t xml:space="preserve"> </w:t>
      </w:r>
      <w:r>
        <w:rPr>
          <w:sz w:val="21"/>
        </w:rPr>
        <w:t>scale）结果为</w:t>
      </w:r>
      <w:r>
        <w:rPr>
          <w:spacing w:val="-53"/>
          <w:sz w:val="21"/>
        </w:rPr>
        <w:t xml:space="preserve"> </w:t>
      </w:r>
      <w:r>
        <w:rPr>
          <w:sz w:val="21"/>
        </w:rPr>
        <w:t>5</w:t>
      </w:r>
      <w:r>
        <w:rPr>
          <w:spacing w:val="-53"/>
          <w:sz w:val="21"/>
        </w:rPr>
        <w:t xml:space="preserve"> </w:t>
      </w:r>
      <w:r>
        <w:rPr>
          <w:sz w:val="21"/>
        </w:rPr>
        <w:t>分或</w:t>
      </w:r>
      <w:r>
        <w:rPr>
          <w:spacing w:val="-53"/>
          <w:sz w:val="21"/>
        </w:rPr>
        <w:t xml:space="preserve"> </w:t>
      </w:r>
      <w:r>
        <w:rPr>
          <w:sz w:val="21"/>
        </w:rPr>
        <w:t>5</w:t>
      </w:r>
      <w:r>
        <w:rPr>
          <w:spacing w:val="-55"/>
          <w:sz w:val="21"/>
        </w:rPr>
        <w:t xml:space="preserve"> </w:t>
      </w:r>
      <w:r>
        <w:rPr>
          <w:sz w:val="21"/>
        </w:rPr>
        <w:t>分以下，且已经持续使用呼吸机及其他生命维持系统</w:t>
      </w:r>
      <w:r>
        <w:rPr>
          <w:spacing w:val="-25"/>
          <w:sz w:val="21"/>
        </w:rPr>
        <w:t xml:space="preserve"> </w:t>
      </w:r>
      <w:r>
        <w:rPr>
          <w:sz w:val="21"/>
        </w:rPr>
        <w:t>96</w:t>
      </w:r>
      <w:r>
        <w:rPr>
          <w:spacing w:val="-4"/>
          <w:sz w:val="21"/>
        </w:rPr>
        <w:t>小时以上。</w:t>
      </w:r>
    </w:p>
    <w:p>
      <w:pPr>
        <w:spacing w:before="0" w:line="269" w:lineRule="exact"/>
        <w:ind w:left="2229" w:right="0" w:firstLine="0"/>
        <w:jc w:val="left"/>
        <w:rPr>
          <w:rFonts w:hint="eastAsia" w:ascii="黑体" w:eastAsia="黑体"/>
          <w:b/>
          <w:sz w:val="21"/>
        </w:rPr>
      </w:pPr>
      <w:r>
        <w:rPr>
          <w:rFonts w:hint="eastAsia" w:ascii="黑体" w:eastAsia="黑体"/>
          <w:b/>
          <w:spacing w:val="-3"/>
          <w:sz w:val="21"/>
        </w:rPr>
        <w:t>因酗酒或药物滥用导致的深度昏迷不在保障范围内。</w:t>
      </w:r>
    </w:p>
    <w:p>
      <w:pPr>
        <w:pStyle w:val="2"/>
        <w:spacing w:before="8"/>
        <w:rPr>
          <w:rFonts w:ascii="黑体"/>
          <w:b/>
          <w:sz w:val="27"/>
        </w:rPr>
      </w:pPr>
    </w:p>
    <w:p>
      <w:pPr>
        <w:pStyle w:val="6"/>
        <w:numPr>
          <w:ilvl w:val="0"/>
          <w:numId w:val="18"/>
        </w:numPr>
        <w:tabs>
          <w:tab w:val="left" w:pos="761"/>
        </w:tabs>
        <w:spacing w:before="0" w:after="0" w:line="278" w:lineRule="auto"/>
        <w:ind w:left="2229" w:right="708" w:hanging="2036"/>
        <w:jc w:val="both"/>
        <w:rPr>
          <w:sz w:val="21"/>
        </w:rPr>
      </w:pPr>
      <w:r>
        <w:rPr>
          <w:b/>
          <w:spacing w:val="87"/>
          <w:sz w:val="21"/>
        </w:rPr>
        <w:t xml:space="preserve">双耳失聪 </w:t>
      </w:r>
      <w:r>
        <w:rPr>
          <w:spacing w:val="-2"/>
          <w:sz w:val="21"/>
        </w:rPr>
        <w:t xml:space="preserve">指因疾病或意外伤害导致双耳听力永久不可逆性丧失，在 </w:t>
      </w:r>
      <w:r>
        <w:rPr>
          <w:sz w:val="21"/>
        </w:rPr>
        <w:t>500</w:t>
      </w:r>
      <w:r>
        <w:rPr>
          <w:spacing w:val="-7"/>
          <w:sz w:val="21"/>
        </w:rPr>
        <w:t xml:space="preserve"> 赫兹、</w:t>
      </w:r>
      <w:r>
        <w:rPr>
          <w:sz w:val="21"/>
        </w:rPr>
        <w:t xml:space="preserve"> </w:t>
      </w:r>
      <w:r>
        <w:rPr>
          <w:w w:val="95"/>
          <w:sz w:val="21"/>
        </w:rPr>
        <w:t>1000</w:t>
      </w:r>
      <w:r>
        <w:rPr>
          <w:spacing w:val="-2"/>
          <w:w w:val="95"/>
          <w:sz w:val="21"/>
        </w:rPr>
        <w:t xml:space="preserve"> 赫兹和 </w:t>
      </w:r>
      <w:r>
        <w:rPr>
          <w:w w:val="95"/>
          <w:sz w:val="21"/>
        </w:rPr>
        <w:t>2000</w:t>
      </w:r>
      <w:r>
        <w:rPr>
          <w:spacing w:val="-1"/>
          <w:w w:val="95"/>
          <w:sz w:val="21"/>
        </w:rPr>
        <w:t xml:space="preserve"> 赫兹语</w:t>
      </w:r>
      <w:r>
        <w:rPr>
          <w:w w:val="95"/>
          <w:sz w:val="21"/>
        </w:rPr>
        <w:t>音频</w:t>
      </w:r>
      <w:r>
        <w:rPr>
          <w:spacing w:val="-1"/>
          <w:w w:val="95"/>
          <w:sz w:val="21"/>
        </w:rPr>
        <w:t xml:space="preserve">率下，平均听阈大于 </w:t>
      </w:r>
      <w:r>
        <w:rPr>
          <w:w w:val="95"/>
          <w:sz w:val="21"/>
        </w:rPr>
        <w:t>90</w:t>
      </w:r>
      <w:r>
        <w:rPr>
          <w:spacing w:val="-1"/>
          <w:w w:val="95"/>
          <w:sz w:val="21"/>
        </w:rPr>
        <w:t xml:space="preserve"> 分贝，且经纯音</w:t>
      </w:r>
      <w:r>
        <w:rPr>
          <w:spacing w:val="-2"/>
          <w:sz w:val="21"/>
        </w:rPr>
        <w:t>听力测试、声导抗检测或听觉诱发电位检测等证实。</w:t>
      </w:r>
    </w:p>
    <w:p>
      <w:pPr>
        <w:spacing w:before="1" w:line="278" w:lineRule="auto"/>
        <w:ind w:left="2229" w:right="624" w:firstLine="0"/>
        <w:jc w:val="left"/>
        <w:rPr>
          <w:sz w:val="21"/>
        </w:rPr>
      </w:pPr>
      <w:r>
        <w:rPr>
          <w:rFonts w:hint="eastAsia" w:ascii="黑体" w:eastAsia="黑体"/>
          <w:b/>
          <w:spacing w:val="-33"/>
          <w:sz w:val="21"/>
        </w:rPr>
        <w:t xml:space="preserve">在 </w:t>
      </w:r>
      <w:r>
        <w:rPr>
          <w:rFonts w:hint="eastAsia" w:ascii="黑体" w:eastAsia="黑体"/>
          <w:b/>
          <w:sz w:val="21"/>
        </w:rPr>
        <w:t>0</w:t>
      </w:r>
      <w:r>
        <w:rPr>
          <w:rFonts w:hint="eastAsia" w:ascii="黑体" w:eastAsia="黑体"/>
          <w:b/>
          <w:spacing w:val="-27"/>
          <w:sz w:val="21"/>
        </w:rPr>
        <w:t xml:space="preserve"> 周岁至 </w:t>
      </w:r>
      <w:r>
        <w:rPr>
          <w:rFonts w:hint="eastAsia" w:ascii="黑体" w:eastAsia="黑体"/>
          <w:b/>
          <w:sz w:val="21"/>
        </w:rPr>
        <w:t>3</w:t>
      </w:r>
      <w:r>
        <w:rPr>
          <w:rFonts w:hint="eastAsia" w:ascii="黑体" w:eastAsia="黑体"/>
          <w:b/>
          <w:spacing w:val="-15"/>
          <w:sz w:val="21"/>
        </w:rPr>
        <w:t xml:space="preserve"> 周岁的保险单周年日期间，被保险人初患双耳失聪除外。</w:t>
      </w:r>
      <w:r>
        <w:rPr>
          <w:spacing w:val="-2"/>
          <w:sz w:val="21"/>
        </w:rPr>
        <w:t xml:space="preserve">永久不可逆，指自疾病确诊或意外伤害发生之日起，经过积极治疗 </w:t>
      </w:r>
      <w:r>
        <w:rPr>
          <w:sz w:val="21"/>
        </w:rPr>
        <w:t>180</w:t>
      </w:r>
      <w:r>
        <w:rPr>
          <w:spacing w:val="-7"/>
          <w:sz w:val="21"/>
        </w:rPr>
        <w:t xml:space="preserve"> 天后，仍无法通过现有医疗手段恢复。</w:t>
      </w:r>
    </w:p>
    <w:p>
      <w:pPr>
        <w:pStyle w:val="2"/>
        <w:spacing w:before="4"/>
        <w:rPr>
          <w:sz w:val="24"/>
        </w:rPr>
      </w:pPr>
    </w:p>
    <w:p>
      <w:pPr>
        <w:pStyle w:val="6"/>
        <w:numPr>
          <w:ilvl w:val="0"/>
          <w:numId w:val="18"/>
        </w:numPr>
        <w:tabs>
          <w:tab w:val="left" w:pos="761"/>
          <w:tab w:val="left" w:pos="2229"/>
        </w:tabs>
        <w:spacing w:before="0" w:after="0" w:line="278" w:lineRule="auto"/>
        <w:ind w:left="2229" w:right="728" w:hanging="2036"/>
        <w:jc w:val="left"/>
        <w:rPr>
          <w:sz w:val="21"/>
        </w:rPr>
      </w:pPr>
      <w:r>
        <w:rPr>
          <w:b/>
          <w:spacing w:val="-4"/>
          <w:sz w:val="21"/>
        </w:rPr>
        <w:t>双目失明</w:t>
      </w:r>
      <w:r>
        <w:rPr>
          <w:b/>
          <w:sz w:val="21"/>
        </w:rPr>
        <w:tab/>
      </w:r>
      <w:r>
        <w:rPr>
          <w:spacing w:val="-2"/>
          <w:sz w:val="21"/>
        </w:rPr>
        <w:t>指因疾病或意外伤害导致双眼视力永久不可逆性丧失，双眼中较好眼须满足下列至少一项条件：</w:t>
      </w:r>
    </w:p>
    <w:p>
      <w:pPr>
        <w:pStyle w:val="2"/>
        <w:spacing w:line="269" w:lineRule="exact"/>
        <w:ind w:left="2229"/>
      </w:pPr>
      <w:r>
        <w:rPr>
          <w:spacing w:val="-4"/>
        </w:rPr>
        <w:t>眼球缺失或摘除；</w:t>
      </w:r>
    </w:p>
    <w:p>
      <w:pPr>
        <w:pStyle w:val="6"/>
        <w:numPr>
          <w:ilvl w:val="0"/>
          <w:numId w:val="25"/>
        </w:numPr>
        <w:tabs>
          <w:tab w:val="left" w:pos="2813"/>
        </w:tabs>
        <w:spacing w:before="43" w:after="0" w:line="278" w:lineRule="auto"/>
        <w:ind w:left="2796" w:right="730" w:hanging="567"/>
        <w:jc w:val="left"/>
        <w:rPr>
          <w:sz w:val="21"/>
        </w:rPr>
      </w:pPr>
      <w:r>
        <w:rPr>
          <w:spacing w:val="-6"/>
          <w:sz w:val="21"/>
        </w:rPr>
        <w:t xml:space="preserve">矫正视力低于 </w:t>
      </w:r>
      <w:r>
        <w:rPr>
          <w:spacing w:val="-2"/>
          <w:sz w:val="21"/>
        </w:rPr>
        <w:t>0.02（采用国际标准视力表，如使用其他视力表应进行换算</w:t>
      </w:r>
      <w:r>
        <w:rPr>
          <w:spacing w:val="-106"/>
          <w:sz w:val="21"/>
        </w:rPr>
        <w:t>）</w:t>
      </w:r>
      <w:r>
        <w:rPr>
          <w:sz w:val="21"/>
        </w:rPr>
        <w:t>；</w:t>
      </w:r>
    </w:p>
    <w:p>
      <w:pPr>
        <w:pStyle w:val="6"/>
        <w:numPr>
          <w:ilvl w:val="0"/>
          <w:numId w:val="25"/>
        </w:numPr>
        <w:tabs>
          <w:tab w:val="left" w:pos="2813"/>
        </w:tabs>
        <w:spacing w:before="0" w:after="0" w:line="269" w:lineRule="exact"/>
        <w:ind w:left="2813" w:right="0" w:hanging="584"/>
        <w:jc w:val="left"/>
        <w:rPr>
          <w:sz w:val="21"/>
        </w:rPr>
      </w:pPr>
      <w:r>
        <w:rPr>
          <w:spacing w:val="-9"/>
          <w:sz w:val="21"/>
        </w:rPr>
        <w:t xml:space="preserve">视野半径小于 </w:t>
      </w:r>
      <w:r>
        <w:rPr>
          <w:spacing w:val="-2"/>
          <w:sz w:val="21"/>
        </w:rPr>
        <w:t>5</w:t>
      </w:r>
      <w:r>
        <w:rPr>
          <w:spacing w:val="-21"/>
          <w:sz w:val="21"/>
        </w:rPr>
        <w:t xml:space="preserve"> 度。</w:t>
      </w:r>
    </w:p>
    <w:p>
      <w:pPr>
        <w:pStyle w:val="6"/>
        <w:numPr>
          <w:ilvl w:val="0"/>
          <w:numId w:val="18"/>
        </w:numPr>
        <w:tabs>
          <w:tab w:val="left" w:pos="761"/>
          <w:tab w:val="left" w:pos="2229"/>
        </w:tabs>
        <w:spacing w:before="43" w:after="0" w:line="278" w:lineRule="auto"/>
        <w:ind w:left="2229" w:right="709" w:hanging="2036"/>
        <w:jc w:val="left"/>
        <w:rPr>
          <w:sz w:val="21"/>
        </w:rPr>
      </w:pPr>
      <w:r>
        <w:rPr>
          <w:b/>
          <w:spacing w:val="-6"/>
          <w:sz w:val="21"/>
        </w:rPr>
        <w:t>瘫痪</w:t>
      </w:r>
      <w:r>
        <w:rPr>
          <w:b/>
          <w:sz w:val="21"/>
        </w:rPr>
        <w:tab/>
      </w:r>
      <w:r>
        <w:rPr>
          <w:spacing w:val="-2"/>
          <w:sz w:val="21"/>
        </w:rPr>
        <w:t>指因疾病或意外伤害导致两肢或两肢以上肢体机能永久完全丧失。</w:t>
      </w:r>
      <w:r>
        <w:rPr>
          <w:spacing w:val="40"/>
          <w:sz w:val="21"/>
        </w:rPr>
        <w:t xml:space="preserve"> </w:t>
      </w:r>
      <w:r>
        <w:rPr>
          <w:sz w:val="21"/>
        </w:rPr>
        <w:t>肢体机能永久完全丧失，指疾病确诊</w:t>
      </w:r>
      <w:r>
        <w:rPr>
          <w:spacing w:val="-52"/>
          <w:sz w:val="21"/>
        </w:rPr>
        <w:t xml:space="preserve"> </w:t>
      </w:r>
      <w:r>
        <w:rPr>
          <w:sz w:val="21"/>
        </w:rPr>
        <w:t>180</w:t>
      </w:r>
      <w:r>
        <w:rPr>
          <w:spacing w:val="-55"/>
          <w:sz w:val="21"/>
        </w:rPr>
        <w:t xml:space="preserve"> </w:t>
      </w:r>
      <w:r>
        <w:rPr>
          <w:sz w:val="21"/>
        </w:rPr>
        <w:t>天后或意外伤害发生</w:t>
      </w:r>
      <w:r>
        <w:rPr>
          <w:spacing w:val="-53"/>
          <w:sz w:val="21"/>
        </w:rPr>
        <w:t xml:space="preserve"> </w:t>
      </w:r>
      <w:r>
        <w:rPr>
          <w:sz w:val="21"/>
        </w:rPr>
        <w:t>180</w:t>
      </w:r>
      <w:r>
        <w:rPr>
          <w:spacing w:val="-55"/>
          <w:sz w:val="21"/>
        </w:rPr>
        <w:t xml:space="preserve"> </w:t>
      </w:r>
      <w:r>
        <w:rPr>
          <w:sz w:val="21"/>
        </w:rPr>
        <w:t>天</w:t>
      </w:r>
      <w:r>
        <w:rPr>
          <w:spacing w:val="-2"/>
          <w:sz w:val="21"/>
        </w:rPr>
        <w:t>后，每肢三大关节中的两大关节仍然完全僵硬，或不能随意识活动。</w:t>
      </w:r>
    </w:p>
    <w:p>
      <w:pPr>
        <w:pStyle w:val="2"/>
        <w:spacing w:before="5"/>
        <w:rPr>
          <w:sz w:val="19"/>
        </w:rPr>
      </w:pPr>
    </w:p>
    <w:p>
      <w:pPr>
        <w:spacing w:after="0"/>
        <w:rPr>
          <w:sz w:val="19"/>
        </w:rPr>
        <w:sectPr>
          <w:pgSz w:w="11910" w:h="16840"/>
          <w:pgMar w:top="1400" w:right="1080" w:bottom="1320" w:left="1580" w:header="0" w:footer="1137" w:gutter="0"/>
          <w:cols w:space="720" w:num="1"/>
        </w:sectPr>
      </w:pPr>
    </w:p>
    <w:p>
      <w:pPr>
        <w:pStyle w:val="6"/>
        <w:numPr>
          <w:ilvl w:val="0"/>
          <w:numId w:val="18"/>
        </w:numPr>
        <w:tabs>
          <w:tab w:val="left" w:pos="761"/>
        </w:tabs>
        <w:spacing w:before="63" w:after="0" w:line="240" w:lineRule="auto"/>
        <w:ind w:left="760" w:right="0" w:hanging="567"/>
        <w:jc w:val="left"/>
        <w:rPr>
          <w:b/>
          <w:sz w:val="21"/>
        </w:rPr>
      </w:pPr>
      <w:r>
        <w:rPr>
          <w:b/>
          <w:spacing w:val="-2"/>
          <w:sz w:val="21"/>
        </w:rPr>
        <w:t>心脏瓣膜手</w:t>
      </w:r>
    </w:p>
    <w:p>
      <w:pPr>
        <w:spacing w:before="43"/>
        <w:ind w:left="760" w:right="0" w:firstLine="0"/>
        <w:jc w:val="left"/>
        <w:rPr>
          <w:b/>
          <w:sz w:val="21"/>
        </w:rPr>
      </w:pPr>
      <w:r>
        <w:rPr>
          <w:b/>
          <w:w w:val="100"/>
          <w:sz w:val="21"/>
        </w:rPr>
        <w:t>术</w:t>
      </w:r>
    </w:p>
    <w:p>
      <w:pPr>
        <w:pStyle w:val="2"/>
        <w:spacing w:before="63" w:line="278" w:lineRule="auto"/>
        <w:ind w:left="194" w:right="730"/>
      </w:pPr>
      <w:r>
        <w:br w:type="column"/>
      </w:r>
      <w:r>
        <w:rPr>
          <w:spacing w:val="-2"/>
        </w:rPr>
        <w:t>指为治疗心脏瓣膜疾病，实际实施了开胸进行的心脏瓣膜置换或修复</w:t>
      </w:r>
      <w:r>
        <w:rPr>
          <w:spacing w:val="-4"/>
        </w:rPr>
        <w:t>的手术。</w:t>
      </w:r>
    </w:p>
    <w:p>
      <w:pPr>
        <w:spacing w:after="0" w:line="278" w:lineRule="auto"/>
        <w:sectPr>
          <w:type w:val="continuous"/>
          <w:pgSz w:w="11910" w:h="16840"/>
          <w:pgMar w:top="260" w:right="1080" w:bottom="1320" w:left="1580" w:header="0" w:footer="1137" w:gutter="0"/>
          <w:cols w:equalWidth="0" w:num="2">
            <w:col w:w="1857" w:space="179"/>
            <w:col w:w="7214"/>
          </w:cols>
        </w:sectPr>
      </w:pPr>
    </w:p>
    <w:p>
      <w:pPr>
        <w:pStyle w:val="2"/>
        <w:spacing w:before="5"/>
        <w:rPr>
          <w:sz w:val="19"/>
        </w:rPr>
      </w:pPr>
    </w:p>
    <w:p>
      <w:pPr>
        <w:spacing w:after="0"/>
        <w:rPr>
          <w:sz w:val="19"/>
        </w:rPr>
        <w:sectPr>
          <w:type w:val="continuous"/>
          <w:pgSz w:w="11910" w:h="16840"/>
          <w:pgMar w:top="260" w:right="1080" w:bottom="1320" w:left="1580" w:header="0" w:footer="1137" w:gutter="0"/>
          <w:cols w:space="720" w:num="1"/>
        </w:sectPr>
      </w:pPr>
    </w:p>
    <w:p>
      <w:pPr>
        <w:pStyle w:val="6"/>
        <w:numPr>
          <w:ilvl w:val="0"/>
          <w:numId w:val="18"/>
        </w:numPr>
        <w:tabs>
          <w:tab w:val="left" w:pos="761"/>
        </w:tabs>
        <w:spacing w:before="64" w:after="0" w:line="278" w:lineRule="auto"/>
        <w:ind w:left="760" w:right="38" w:hanging="567"/>
        <w:jc w:val="left"/>
        <w:rPr>
          <w:b/>
          <w:sz w:val="21"/>
        </w:rPr>
      </w:pPr>
      <w:r>
        <w:rPr>
          <w:b/>
          <w:spacing w:val="-2"/>
          <w:sz w:val="21"/>
        </w:rPr>
        <w:t>严重阿尔茨</w:t>
      </w:r>
      <w:r>
        <w:rPr>
          <w:b/>
          <w:spacing w:val="-4"/>
          <w:sz w:val="21"/>
        </w:rPr>
        <w:t>海默病</w:t>
      </w:r>
    </w:p>
    <w:p>
      <w:pPr>
        <w:pStyle w:val="2"/>
        <w:spacing w:before="64" w:line="278" w:lineRule="auto"/>
        <w:ind w:left="194" w:right="711"/>
      </w:pPr>
      <w:r>
        <w:br w:type="column"/>
      </w:r>
      <w:r>
        <w:rPr>
          <w:spacing w:val="-2"/>
        </w:rPr>
        <w:t>指因大脑进行性、不可逆性改变导致智能严重衰退或丧失，临床表现为明显的认知能力障碍、行为异常和社交能力减退，其日常生活必须</w:t>
      </w:r>
      <w:r>
        <w:rPr>
          <w:spacing w:val="-4"/>
        </w:rPr>
        <w:t>持续受到他人监护。须由头颅断层扫描</w:t>
      </w:r>
      <w:r>
        <w:rPr>
          <w:spacing w:val="20"/>
        </w:rPr>
        <w:t>（</w:t>
      </w:r>
      <w:r>
        <w:rPr>
          <w:spacing w:val="23"/>
        </w:rPr>
        <w:t>CT</w:t>
      </w:r>
      <w:r>
        <w:rPr>
          <w:spacing w:val="-85"/>
        </w:rPr>
        <w:t>）</w:t>
      </w:r>
      <w:r>
        <w:rPr>
          <w:spacing w:val="-4"/>
        </w:rPr>
        <w:t>、核磁共振检查（MRI）</w:t>
      </w:r>
      <w:r>
        <w:rPr>
          <w:spacing w:val="-2"/>
        </w:rPr>
        <w:t>或正电子发射断层扫描（PET）等影像学检查证实，且自主生活能力完全丧失，无法独立完成六项基本日常生活活动中的三项或三项以</w:t>
      </w:r>
      <w:r>
        <w:rPr>
          <w:spacing w:val="40"/>
        </w:rPr>
        <w:t xml:space="preserve"> </w:t>
      </w:r>
      <w:r>
        <w:rPr>
          <w:spacing w:val="-6"/>
        </w:rPr>
        <w:t>上。</w:t>
      </w:r>
    </w:p>
    <w:p>
      <w:pPr>
        <w:spacing w:before="0"/>
        <w:ind w:left="194" w:right="0" w:firstLine="0"/>
        <w:jc w:val="left"/>
        <w:rPr>
          <w:rFonts w:hint="eastAsia" w:ascii="黑体" w:eastAsia="黑体"/>
          <w:b/>
          <w:sz w:val="21"/>
        </w:rPr>
      </w:pPr>
      <w:r>
        <w:rPr>
          <w:rFonts w:hint="eastAsia" w:ascii="黑体" w:eastAsia="黑体"/>
          <w:b/>
          <w:spacing w:val="-3"/>
          <w:sz w:val="21"/>
        </w:rPr>
        <w:t>神经官能症和精神疾病不在保障范围内。</w:t>
      </w:r>
    </w:p>
    <w:p>
      <w:pPr>
        <w:spacing w:after="0"/>
        <w:jc w:val="left"/>
        <w:rPr>
          <w:rFonts w:hint="eastAsia" w:ascii="黑体" w:eastAsia="黑体"/>
          <w:sz w:val="21"/>
        </w:rPr>
        <w:sectPr>
          <w:type w:val="continuous"/>
          <w:pgSz w:w="11910" w:h="16840"/>
          <w:pgMar w:top="260" w:right="1080" w:bottom="1320" w:left="1580" w:header="0" w:footer="1137" w:gutter="0"/>
          <w:cols w:equalWidth="0" w:num="2">
            <w:col w:w="1857" w:space="179"/>
            <w:col w:w="7214"/>
          </w:cols>
        </w:sectPr>
      </w:pPr>
    </w:p>
    <w:p>
      <w:pPr>
        <w:pStyle w:val="2"/>
        <w:spacing w:before="9"/>
        <w:rPr>
          <w:rFonts w:ascii="黑体"/>
          <w:b/>
          <w:sz w:val="22"/>
        </w:rPr>
      </w:pPr>
    </w:p>
    <w:p>
      <w:pPr>
        <w:pStyle w:val="6"/>
        <w:numPr>
          <w:ilvl w:val="0"/>
          <w:numId w:val="18"/>
        </w:numPr>
        <w:tabs>
          <w:tab w:val="left" w:pos="761"/>
          <w:tab w:val="left" w:pos="2229"/>
        </w:tabs>
        <w:spacing w:before="64" w:after="0" w:line="278" w:lineRule="auto"/>
        <w:ind w:left="2229" w:right="730" w:hanging="2036"/>
        <w:jc w:val="left"/>
        <w:rPr>
          <w:sz w:val="21"/>
        </w:rPr>
      </w:pPr>
      <w:r>
        <w:rPr>
          <w:b/>
          <w:spacing w:val="-2"/>
          <w:sz w:val="21"/>
        </w:rPr>
        <w:t>严重脑损伤</w:t>
      </w:r>
      <w:r>
        <w:rPr>
          <w:b/>
          <w:sz w:val="21"/>
        </w:rPr>
        <w:tab/>
      </w:r>
      <w:r>
        <w:rPr>
          <w:spacing w:val="-2"/>
          <w:sz w:val="21"/>
        </w:rPr>
        <w:t>指因头部遭受机械性外力，引起脑重要部位损伤，导致神经系统永久</w:t>
      </w:r>
      <w:r>
        <w:rPr>
          <w:spacing w:val="-4"/>
          <w:sz w:val="21"/>
        </w:rPr>
        <w:t>性的功能障碍。须由头颅断层扫描</w:t>
      </w:r>
      <w:r>
        <w:rPr>
          <w:spacing w:val="23"/>
          <w:sz w:val="21"/>
        </w:rPr>
        <w:t>（</w:t>
      </w:r>
      <w:r>
        <w:rPr>
          <w:spacing w:val="20"/>
          <w:sz w:val="21"/>
        </w:rPr>
        <w:t>C</w:t>
      </w:r>
      <w:r>
        <w:rPr>
          <w:spacing w:val="23"/>
          <w:sz w:val="21"/>
        </w:rPr>
        <w:t>T</w:t>
      </w:r>
      <w:r>
        <w:rPr>
          <w:spacing w:val="-83"/>
          <w:sz w:val="21"/>
        </w:rPr>
        <w:t>）</w:t>
      </w:r>
      <w:r>
        <w:rPr>
          <w:spacing w:val="-4"/>
          <w:sz w:val="21"/>
        </w:rPr>
        <w:t>、核磁共振检查（MRI）或正</w:t>
      </w:r>
      <w:r>
        <w:rPr>
          <w:spacing w:val="-2"/>
          <w:sz w:val="21"/>
        </w:rPr>
        <w:t>电子发射断层扫描（PET）等影像学检查证实。神经系统永久性的功</w:t>
      </w:r>
      <w:r>
        <w:rPr>
          <w:sz w:val="21"/>
        </w:rPr>
        <w:t>能障碍，指脑损伤</w:t>
      </w:r>
      <w:r>
        <w:rPr>
          <w:spacing w:val="-22"/>
          <w:sz w:val="21"/>
        </w:rPr>
        <w:t xml:space="preserve"> </w:t>
      </w:r>
      <w:r>
        <w:rPr>
          <w:sz w:val="21"/>
        </w:rPr>
        <w:t>180</w:t>
      </w:r>
      <w:r>
        <w:rPr>
          <w:spacing w:val="-22"/>
          <w:sz w:val="21"/>
        </w:rPr>
        <w:t xml:space="preserve"> </w:t>
      </w:r>
      <w:r>
        <w:rPr>
          <w:sz w:val="21"/>
        </w:rPr>
        <w:t>天后，仍遗留下列一种或一种以上障碍：</w:t>
      </w:r>
    </w:p>
    <w:p>
      <w:pPr>
        <w:pStyle w:val="6"/>
        <w:numPr>
          <w:ilvl w:val="0"/>
          <w:numId w:val="26"/>
        </w:numPr>
        <w:tabs>
          <w:tab w:val="left" w:pos="2813"/>
        </w:tabs>
        <w:spacing w:before="0" w:after="0" w:line="269" w:lineRule="exact"/>
        <w:ind w:left="2813" w:right="0" w:hanging="584"/>
        <w:jc w:val="left"/>
        <w:rPr>
          <w:sz w:val="21"/>
        </w:rPr>
      </w:pPr>
      <w:r>
        <w:rPr>
          <w:spacing w:val="-3"/>
          <w:sz w:val="21"/>
        </w:rPr>
        <w:t>一肢或一肢以上肢体机能完全丧失；</w:t>
      </w:r>
    </w:p>
    <w:p>
      <w:pPr>
        <w:pStyle w:val="6"/>
        <w:numPr>
          <w:ilvl w:val="0"/>
          <w:numId w:val="26"/>
        </w:numPr>
        <w:tabs>
          <w:tab w:val="left" w:pos="2813"/>
        </w:tabs>
        <w:spacing w:before="43" w:after="0" w:line="240" w:lineRule="auto"/>
        <w:ind w:left="2813" w:right="0" w:hanging="584"/>
        <w:jc w:val="left"/>
        <w:rPr>
          <w:sz w:val="21"/>
        </w:rPr>
      </w:pPr>
      <w:r>
        <w:rPr>
          <w:spacing w:val="-3"/>
          <w:sz w:val="21"/>
        </w:rPr>
        <w:t>语言能力或咀嚼吞咽能力完全丧失；</w:t>
      </w:r>
    </w:p>
    <w:p>
      <w:pPr>
        <w:pStyle w:val="6"/>
        <w:numPr>
          <w:ilvl w:val="0"/>
          <w:numId w:val="26"/>
        </w:numPr>
        <w:tabs>
          <w:tab w:val="left" w:pos="2813"/>
        </w:tabs>
        <w:spacing w:before="43" w:after="0" w:line="278" w:lineRule="auto"/>
        <w:ind w:left="2796" w:right="754" w:hanging="567"/>
        <w:jc w:val="left"/>
        <w:rPr>
          <w:sz w:val="21"/>
        </w:rPr>
      </w:pPr>
      <w:r>
        <w:rPr>
          <w:spacing w:val="-2"/>
          <w:sz w:val="21"/>
        </w:rPr>
        <w:t>自主生活能力完全丧失，无法独立完成六项基本日常生活活动中的三项或三项以上。</w:t>
      </w:r>
    </w:p>
    <w:p>
      <w:pPr>
        <w:spacing w:after="0" w:line="278" w:lineRule="auto"/>
        <w:jc w:val="left"/>
        <w:rPr>
          <w:sz w:val="21"/>
        </w:rPr>
        <w:sectPr>
          <w:type w:val="continuous"/>
          <w:pgSz w:w="11910" w:h="16840"/>
          <w:pgMar w:top="260" w:right="1080" w:bottom="1320" w:left="1580" w:header="0" w:footer="1137" w:gutter="0"/>
          <w:cols w:space="720" w:num="1"/>
        </w:sectPr>
      </w:pPr>
    </w:p>
    <w:p>
      <w:pPr>
        <w:pStyle w:val="6"/>
        <w:numPr>
          <w:ilvl w:val="0"/>
          <w:numId w:val="18"/>
        </w:numPr>
        <w:tabs>
          <w:tab w:val="left" w:pos="761"/>
        </w:tabs>
        <w:spacing w:before="44" w:after="0" w:line="240" w:lineRule="auto"/>
        <w:ind w:left="760" w:right="0" w:hanging="567"/>
        <w:jc w:val="left"/>
        <w:rPr>
          <w:b/>
          <w:sz w:val="21"/>
        </w:rPr>
      </w:pPr>
      <w:r>
        <w:rPr>
          <w:b/>
          <w:spacing w:val="-2"/>
          <w:sz w:val="21"/>
        </w:rPr>
        <w:t>严重帕金森</w:t>
      </w:r>
    </w:p>
    <w:p>
      <w:pPr>
        <w:spacing w:before="43"/>
        <w:ind w:left="760" w:right="0" w:firstLine="0"/>
        <w:jc w:val="left"/>
        <w:rPr>
          <w:b/>
          <w:sz w:val="21"/>
        </w:rPr>
      </w:pPr>
      <w:r>
        <w:rPr>
          <w:b/>
          <w:w w:val="100"/>
          <w:sz w:val="21"/>
        </w:rPr>
        <w:t>病</w:t>
      </w:r>
    </w:p>
    <w:p>
      <w:pPr>
        <w:pStyle w:val="2"/>
        <w:spacing w:before="44" w:line="278" w:lineRule="auto"/>
        <w:ind w:left="194" w:right="730"/>
      </w:pPr>
      <w:r>
        <w:br w:type="column"/>
      </w:r>
      <w:r>
        <w:rPr>
          <w:spacing w:val="-2"/>
        </w:rPr>
        <w:t>是一种中枢神经系统的退行性疾病，临床表现为震颤麻痹、共济失调等。须满足下列全部条件：</w:t>
      </w:r>
    </w:p>
    <w:p>
      <w:pPr>
        <w:pStyle w:val="6"/>
        <w:numPr>
          <w:ilvl w:val="0"/>
          <w:numId w:val="27"/>
        </w:numPr>
        <w:tabs>
          <w:tab w:val="left" w:pos="778"/>
        </w:tabs>
        <w:spacing w:before="0" w:after="0" w:line="269" w:lineRule="exact"/>
        <w:ind w:left="777" w:right="0" w:hanging="584"/>
        <w:jc w:val="left"/>
        <w:rPr>
          <w:sz w:val="21"/>
        </w:rPr>
      </w:pPr>
      <w:r>
        <w:rPr>
          <w:spacing w:val="-3"/>
          <w:sz w:val="21"/>
        </w:rPr>
        <w:t>药物治疗无法控制病情；</w:t>
      </w:r>
    </w:p>
    <w:p>
      <w:pPr>
        <w:pStyle w:val="6"/>
        <w:numPr>
          <w:ilvl w:val="0"/>
          <w:numId w:val="27"/>
        </w:numPr>
        <w:tabs>
          <w:tab w:val="left" w:pos="778"/>
        </w:tabs>
        <w:spacing w:before="43" w:after="0" w:line="278" w:lineRule="auto"/>
        <w:ind w:left="760" w:right="754" w:hanging="567"/>
        <w:jc w:val="left"/>
        <w:rPr>
          <w:sz w:val="21"/>
        </w:rPr>
      </w:pPr>
      <w:r>
        <w:rPr>
          <w:spacing w:val="-2"/>
          <w:sz w:val="21"/>
        </w:rPr>
        <w:t>自主生活能力完全丧失，无法独立完成六项基本日常生活活动中的三项或三项以上。</w:t>
      </w:r>
    </w:p>
    <w:p>
      <w:pPr>
        <w:spacing w:before="0" w:line="269" w:lineRule="exact"/>
        <w:ind w:left="194" w:right="0" w:firstLine="0"/>
        <w:jc w:val="left"/>
        <w:rPr>
          <w:rFonts w:hint="eastAsia" w:ascii="黑体" w:eastAsia="黑体"/>
          <w:b/>
          <w:sz w:val="21"/>
        </w:rPr>
      </w:pPr>
      <w:r>
        <w:rPr>
          <w:rFonts w:hint="eastAsia" w:ascii="黑体" w:eastAsia="黑体"/>
          <w:b/>
          <w:spacing w:val="-3"/>
          <w:sz w:val="21"/>
        </w:rPr>
        <w:t>继发性帕金森综合征不在保障范围内。</w:t>
      </w:r>
    </w:p>
    <w:p>
      <w:pPr>
        <w:spacing w:after="0" w:line="269" w:lineRule="exact"/>
        <w:jc w:val="left"/>
        <w:rPr>
          <w:rFonts w:hint="eastAsia" w:ascii="黑体" w:eastAsia="黑体"/>
          <w:sz w:val="21"/>
        </w:rPr>
        <w:sectPr>
          <w:pgSz w:w="11910" w:h="16840"/>
          <w:pgMar w:top="1400" w:right="1080" w:bottom="1320" w:left="1580" w:header="0" w:footer="1137" w:gutter="0"/>
          <w:cols w:equalWidth="0" w:num="2">
            <w:col w:w="1857" w:space="179"/>
            <w:col w:w="7214"/>
          </w:cols>
        </w:sectPr>
      </w:pPr>
    </w:p>
    <w:p>
      <w:pPr>
        <w:pStyle w:val="2"/>
        <w:spacing w:before="10"/>
        <w:rPr>
          <w:rFonts w:ascii="黑体"/>
          <w:b/>
          <w:sz w:val="22"/>
        </w:rPr>
      </w:pPr>
    </w:p>
    <w:p>
      <w:pPr>
        <w:spacing w:after="0"/>
        <w:rPr>
          <w:rFonts w:ascii="黑体"/>
          <w:sz w:val="22"/>
        </w:rPr>
        <w:sectPr>
          <w:type w:val="continuous"/>
          <w:pgSz w:w="11910" w:h="16840"/>
          <w:pgMar w:top="260" w:right="1080" w:bottom="1320" w:left="1580" w:header="0" w:footer="1137" w:gutter="0"/>
          <w:cols w:space="720" w:num="1"/>
        </w:sectPr>
      </w:pPr>
    </w:p>
    <w:p>
      <w:pPr>
        <w:pStyle w:val="6"/>
        <w:numPr>
          <w:ilvl w:val="0"/>
          <w:numId w:val="18"/>
        </w:numPr>
        <w:tabs>
          <w:tab w:val="left" w:pos="761"/>
        </w:tabs>
        <w:spacing w:before="63" w:after="0" w:line="240" w:lineRule="auto"/>
        <w:ind w:left="760" w:right="0" w:hanging="567"/>
        <w:jc w:val="left"/>
        <w:rPr>
          <w:b/>
          <w:sz w:val="21"/>
        </w:rPr>
      </w:pPr>
      <w:r>
        <w:rPr>
          <w:b/>
          <w:spacing w:val="-2"/>
          <w:sz w:val="21"/>
        </w:rPr>
        <w:t>严重Ⅲ度烧</w:t>
      </w:r>
    </w:p>
    <w:p>
      <w:pPr>
        <w:spacing w:before="43"/>
        <w:ind w:left="760" w:right="0" w:firstLine="0"/>
        <w:jc w:val="left"/>
        <w:rPr>
          <w:b/>
          <w:sz w:val="21"/>
        </w:rPr>
      </w:pPr>
      <w:r>
        <w:rPr>
          <w:b/>
          <w:w w:val="100"/>
          <w:sz w:val="21"/>
        </w:rPr>
        <w:t>伤</w:t>
      </w:r>
    </w:p>
    <w:p>
      <w:pPr>
        <w:pStyle w:val="2"/>
        <w:spacing w:before="63"/>
        <w:ind w:left="194"/>
      </w:pPr>
      <w:r>
        <w:br w:type="column"/>
      </w:r>
      <w:r>
        <w:rPr>
          <w:spacing w:val="-14"/>
        </w:rPr>
        <w:t xml:space="preserve">指烧伤程度为Ⅲ度，且Ⅲ度烧伤的面积达到全身体表面积的 </w:t>
      </w:r>
      <w:r>
        <w:rPr>
          <w:spacing w:val="-2"/>
        </w:rPr>
        <w:t>20</w:t>
      </w:r>
      <w:r>
        <w:rPr>
          <w:spacing w:val="-20"/>
        </w:rPr>
        <w:t xml:space="preserve">%或 </w:t>
      </w:r>
      <w:r>
        <w:rPr>
          <w:spacing w:val="-5"/>
        </w:rPr>
        <w:t>20%</w:t>
      </w:r>
    </w:p>
    <w:p>
      <w:pPr>
        <w:pStyle w:val="2"/>
        <w:spacing w:before="43"/>
        <w:ind w:left="194"/>
      </w:pPr>
      <w:r>
        <w:rPr>
          <w:spacing w:val="-3"/>
        </w:rPr>
        <w:t>以上。体表面积根据《中国新九分法》计算。</w:t>
      </w:r>
    </w:p>
    <w:p>
      <w:pPr>
        <w:spacing w:after="0"/>
        <w:sectPr>
          <w:type w:val="continuous"/>
          <w:pgSz w:w="11910" w:h="16840"/>
          <w:pgMar w:top="260" w:right="1080" w:bottom="1320" w:left="1580" w:header="0" w:footer="1137" w:gutter="0"/>
          <w:cols w:equalWidth="0" w:num="2">
            <w:col w:w="1857" w:space="179"/>
            <w:col w:w="7214"/>
          </w:cols>
        </w:sectPr>
      </w:pPr>
    </w:p>
    <w:p>
      <w:pPr>
        <w:pStyle w:val="2"/>
        <w:spacing w:before="10"/>
        <w:rPr>
          <w:sz w:val="22"/>
        </w:rPr>
      </w:pPr>
    </w:p>
    <w:p>
      <w:pPr>
        <w:spacing w:after="0"/>
        <w:rPr>
          <w:sz w:val="22"/>
        </w:rPr>
        <w:sectPr>
          <w:type w:val="continuous"/>
          <w:pgSz w:w="11910" w:h="16840"/>
          <w:pgMar w:top="260" w:right="1080" w:bottom="1320" w:left="1580" w:header="0" w:footer="1137" w:gutter="0"/>
          <w:cols w:space="720" w:num="1"/>
        </w:sectPr>
      </w:pPr>
    </w:p>
    <w:p>
      <w:pPr>
        <w:pStyle w:val="6"/>
        <w:numPr>
          <w:ilvl w:val="0"/>
          <w:numId w:val="18"/>
        </w:numPr>
        <w:tabs>
          <w:tab w:val="left" w:pos="761"/>
        </w:tabs>
        <w:spacing w:before="63" w:after="0" w:line="240" w:lineRule="auto"/>
        <w:ind w:left="760" w:right="38" w:hanging="761"/>
        <w:jc w:val="right"/>
        <w:rPr>
          <w:b/>
          <w:sz w:val="21"/>
        </w:rPr>
      </w:pPr>
      <w:r>
        <w:rPr>
          <w:b/>
          <w:spacing w:val="-2"/>
          <w:sz w:val="21"/>
        </w:rPr>
        <w:t>严重原发性</w:t>
      </w:r>
    </w:p>
    <w:p>
      <w:pPr>
        <w:spacing w:before="44"/>
        <w:ind w:left="0" w:right="38" w:firstLine="0"/>
        <w:jc w:val="right"/>
        <w:rPr>
          <w:b/>
          <w:sz w:val="21"/>
        </w:rPr>
      </w:pPr>
      <w:r>
        <w:rPr>
          <w:b/>
          <w:spacing w:val="-2"/>
          <w:sz w:val="21"/>
        </w:rPr>
        <w:t>肺动脉高压</w:t>
      </w:r>
    </w:p>
    <w:p>
      <w:pPr>
        <w:pStyle w:val="2"/>
        <w:spacing w:before="63" w:line="278" w:lineRule="auto"/>
        <w:ind w:left="194" w:right="730"/>
      </w:pPr>
      <w:r>
        <w:br w:type="column"/>
      </w:r>
      <w:r>
        <w:rPr>
          <w:spacing w:val="-3"/>
          <w:w w:val="100"/>
        </w:rPr>
        <w:t>指不明原因的肺动脉压力持续性增高，进行性发展而导致的慢性疾</w:t>
      </w:r>
      <w:r>
        <w:rPr>
          <w:spacing w:val="-6"/>
          <w:w w:val="100"/>
        </w:rPr>
        <w:t>病，已经造成永久不可逆性的体力活动能力受限，达到</w:t>
      </w:r>
      <w:r>
        <w:rPr>
          <w:b/>
          <w:w w:val="100"/>
        </w:rPr>
        <w:t>美国纽约心脏</w:t>
      </w:r>
      <w:r>
        <w:rPr>
          <w:b/>
          <w:spacing w:val="-2"/>
          <w:w w:val="100"/>
        </w:rPr>
        <w:t>病学会心功能状态分级</w:t>
      </w:r>
      <w:r>
        <w:rPr>
          <w:spacing w:val="-3"/>
          <w:w w:val="100"/>
        </w:rPr>
        <w:t>（</w:t>
      </w:r>
      <w:r>
        <w:rPr>
          <w:spacing w:val="-2"/>
          <w:w w:val="100"/>
        </w:rPr>
        <w:t>见六十七条</w:t>
      </w:r>
      <w:r>
        <w:rPr>
          <w:spacing w:val="-10"/>
          <w:w w:val="100"/>
        </w:rPr>
        <w:t>）</w:t>
      </w:r>
      <w:r>
        <w:rPr>
          <w:spacing w:val="-6"/>
          <w:w w:val="100"/>
        </w:rPr>
        <w:t>Ⅳ级，且静息状态下肺动脉平</w:t>
      </w:r>
      <w:r>
        <w:rPr>
          <w:spacing w:val="-1"/>
          <w:w w:val="100"/>
        </w:rPr>
        <w:t>均压超过</w:t>
      </w:r>
      <w:r>
        <w:rPr>
          <w:spacing w:val="-53"/>
        </w:rPr>
        <w:t xml:space="preserve"> </w:t>
      </w:r>
      <w:r>
        <w:rPr>
          <w:spacing w:val="-3"/>
          <w:w w:val="100"/>
        </w:rPr>
        <w:t>3</w:t>
      </w:r>
      <w:r>
        <w:rPr>
          <w:w w:val="100"/>
        </w:rPr>
        <w:t>0mm</w:t>
      </w:r>
      <w:r>
        <w:rPr>
          <w:spacing w:val="-3"/>
          <w:w w:val="100"/>
        </w:rPr>
        <w:t>H</w:t>
      </w:r>
      <w:r>
        <w:rPr>
          <w:w w:val="100"/>
        </w:rPr>
        <w:t>g。</w:t>
      </w:r>
    </w:p>
    <w:p>
      <w:pPr>
        <w:spacing w:after="0" w:line="278" w:lineRule="auto"/>
        <w:sectPr>
          <w:type w:val="continuous"/>
          <w:pgSz w:w="11910" w:h="16840"/>
          <w:pgMar w:top="260" w:right="1080" w:bottom="1320" w:left="1580" w:header="0" w:footer="1137" w:gutter="0"/>
          <w:cols w:equalWidth="0" w:num="2">
            <w:col w:w="1857" w:space="179"/>
            <w:col w:w="7214"/>
          </w:cols>
        </w:sectPr>
      </w:pPr>
    </w:p>
    <w:p>
      <w:pPr>
        <w:pStyle w:val="2"/>
        <w:spacing w:before="6"/>
        <w:rPr>
          <w:sz w:val="19"/>
        </w:rPr>
      </w:pPr>
    </w:p>
    <w:p>
      <w:pPr>
        <w:spacing w:after="0"/>
        <w:rPr>
          <w:sz w:val="19"/>
        </w:rPr>
        <w:sectPr>
          <w:type w:val="continuous"/>
          <w:pgSz w:w="11910" w:h="16840"/>
          <w:pgMar w:top="260" w:right="1080" w:bottom="1320" w:left="1580" w:header="0" w:footer="1137" w:gutter="0"/>
          <w:cols w:space="720" w:num="1"/>
        </w:sectPr>
      </w:pPr>
    </w:p>
    <w:p>
      <w:pPr>
        <w:pStyle w:val="6"/>
        <w:numPr>
          <w:ilvl w:val="0"/>
          <w:numId w:val="18"/>
        </w:numPr>
        <w:tabs>
          <w:tab w:val="left" w:pos="761"/>
        </w:tabs>
        <w:spacing w:before="63" w:after="0" w:line="278" w:lineRule="auto"/>
        <w:ind w:left="760" w:right="38" w:hanging="567"/>
        <w:jc w:val="left"/>
        <w:rPr>
          <w:b/>
          <w:sz w:val="21"/>
        </w:rPr>
      </w:pPr>
      <w:r>
        <w:rPr>
          <w:b/>
          <w:spacing w:val="-2"/>
          <w:sz w:val="21"/>
        </w:rPr>
        <w:t>严重运动神</w:t>
      </w:r>
      <w:r>
        <w:rPr>
          <w:b/>
          <w:spacing w:val="-4"/>
          <w:sz w:val="21"/>
        </w:rPr>
        <w:t>经元病</w:t>
      </w:r>
    </w:p>
    <w:p>
      <w:pPr>
        <w:pStyle w:val="2"/>
        <w:spacing w:before="63" w:line="278" w:lineRule="auto"/>
        <w:ind w:left="194" w:right="728"/>
        <w:jc w:val="both"/>
      </w:pPr>
      <w:r>
        <w:br w:type="column"/>
      </w:r>
      <w:r>
        <w:rPr>
          <w:spacing w:val="-2"/>
        </w:rPr>
        <w:t>是一组中枢神经系统运动神经元的进行性变性疾病，包括进行性脊肌萎缩症、进行性延髓麻痹症、原发性侧索硬化症、肌萎缩性侧索硬化症。须满足自主生活能力完全丧失，无法独立完成六项基本日常生活活动中的三项或三项以上的条件。</w:t>
      </w:r>
    </w:p>
    <w:p>
      <w:pPr>
        <w:spacing w:after="0" w:line="278" w:lineRule="auto"/>
        <w:jc w:val="both"/>
        <w:sectPr>
          <w:type w:val="continuous"/>
          <w:pgSz w:w="11910" w:h="16840"/>
          <w:pgMar w:top="260" w:right="1080" w:bottom="1320" w:left="1580" w:header="0" w:footer="1137" w:gutter="0"/>
          <w:cols w:equalWidth="0" w:num="2">
            <w:col w:w="1857" w:space="179"/>
            <w:col w:w="7214"/>
          </w:cols>
        </w:sectPr>
      </w:pPr>
    </w:p>
    <w:p>
      <w:pPr>
        <w:pStyle w:val="2"/>
        <w:spacing w:before="5"/>
        <w:rPr>
          <w:sz w:val="19"/>
        </w:rPr>
      </w:pPr>
    </w:p>
    <w:p>
      <w:pPr>
        <w:spacing w:after="0"/>
        <w:rPr>
          <w:sz w:val="19"/>
        </w:rPr>
        <w:sectPr>
          <w:type w:val="continuous"/>
          <w:pgSz w:w="11910" w:h="16840"/>
          <w:pgMar w:top="260" w:right="1080" w:bottom="1320" w:left="1580" w:header="0" w:footer="1137" w:gutter="0"/>
          <w:cols w:space="720" w:num="1"/>
        </w:sectPr>
      </w:pPr>
    </w:p>
    <w:p>
      <w:pPr>
        <w:pStyle w:val="6"/>
        <w:numPr>
          <w:ilvl w:val="0"/>
          <w:numId w:val="18"/>
        </w:numPr>
        <w:tabs>
          <w:tab w:val="left" w:pos="761"/>
        </w:tabs>
        <w:spacing w:before="63" w:after="0" w:line="240" w:lineRule="auto"/>
        <w:ind w:left="760" w:right="0" w:hanging="567"/>
        <w:jc w:val="left"/>
        <w:rPr>
          <w:b/>
          <w:sz w:val="21"/>
        </w:rPr>
      </w:pPr>
      <w:r>
        <w:rPr>
          <w:b/>
          <w:spacing w:val="-2"/>
          <w:sz w:val="21"/>
        </w:rPr>
        <w:t>语言能力丧</w:t>
      </w:r>
    </w:p>
    <w:p>
      <w:pPr>
        <w:spacing w:before="44"/>
        <w:ind w:left="760" w:right="0" w:firstLine="0"/>
        <w:jc w:val="left"/>
        <w:rPr>
          <w:b/>
          <w:sz w:val="21"/>
        </w:rPr>
      </w:pPr>
      <w:r>
        <w:rPr>
          <w:b/>
          <w:w w:val="100"/>
          <w:sz w:val="21"/>
        </w:rPr>
        <w:t>失</w:t>
      </w:r>
    </w:p>
    <w:p>
      <w:pPr>
        <w:pStyle w:val="2"/>
        <w:spacing w:before="63" w:line="278" w:lineRule="auto"/>
        <w:ind w:left="194" w:right="814"/>
        <w:jc w:val="both"/>
      </w:pPr>
      <w:r>
        <w:br w:type="column"/>
      </w:r>
      <w:r>
        <w:rPr>
          <w:spacing w:val="-1"/>
        </w:rPr>
        <w:t xml:space="preserve">指因疾病或意外伤害导致完全丧失语言能力，经过积极治疗至少 </w:t>
      </w:r>
      <w:r>
        <w:t>12</w:t>
      </w:r>
      <w:r>
        <w:rPr>
          <w:spacing w:val="-2"/>
        </w:rPr>
        <w:t>个月（声带完全切除不受此时间限制</w:t>
      </w:r>
      <w:r>
        <w:rPr>
          <w:spacing w:val="-106"/>
        </w:rPr>
        <w:t>）</w:t>
      </w:r>
      <w:r>
        <w:rPr>
          <w:spacing w:val="-3"/>
        </w:rPr>
        <w:t>，仍无法通过现有医疗手段恢</w:t>
      </w:r>
      <w:r>
        <w:rPr>
          <w:spacing w:val="-6"/>
        </w:rPr>
        <w:t>复。</w:t>
      </w:r>
    </w:p>
    <w:p>
      <w:pPr>
        <w:spacing w:before="0"/>
        <w:ind w:left="194" w:right="0" w:firstLine="0"/>
        <w:jc w:val="left"/>
        <w:rPr>
          <w:rFonts w:hint="eastAsia" w:ascii="黑体" w:eastAsia="黑体"/>
          <w:b/>
          <w:sz w:val="21"/>
        </w:rPr>
      </w:pPr>
      <w:r>
        <w:rPr>
          <w:rFonts w:hint="eastAsia" w:ascii="黑体" w:eastAsia="黑体"/>
          <w:b/>
          <w:spacing w:val="-3"/>
          <w:sz w:val="21"/>
        </w:rPr>
        <w:t>精神心理因素所致的语言能力丧失不在保障范围内。</w:t>
      </w:r>
    </w:p>
    <w:p>
      <w:pPr>
        <w:spacing w:before="43" w:line="278" w:lineRule="auto"/>
        <w:ind w:left="194" w:right="730" w:firstLine="0"/>
        <w:jc w:val="left"/>
        <w:rPr>
          <w:rFonts w:hint="eastAsia" w:ascii="黑体" w:eastAsia="黑体"/>
          <w:b/>
          <w:sz w:val="21"/>
        </w:rPr>
      </w:pPr>
      <w:r>
        <w:rPr>
          <w:rFonts w:hint="eastAsia" w:ascii="黑体" w:eastAsia="黑体"/>
          <w:b/>
          <w:spacing w:val="-29"/>
          <w:sz w:val="21"/>
        </w:rPr>
        <w:t xml:space="preserve">在 </w:t>
      </w:r>
      <w:r>
        <w:rPr>
          <w:rFonts w:hint="eastAsia" w:ascii="黑体" w:eastAsia="黑体"/>
          <w:b/>
          <w:spacing w:val="-2"/>
          <w:sz w:val="21"/>
        </w:rPr>
        <w:t>0</w:t>
      </w:r>
      <w:r>
        <w:rPr>
          <w:rFonts w:hint="eastAsia" w:ascii="黑体" w:eastAsia="黑体"/>
          <w:b/>
          <w:spacing w:val="-24"/>
          <w:sz w:val="21"/>
        </w:rPr>
        <w:t xml:space="preserve"> 周岁至 </w:t>
      </w:r>
      <w:r>
        <w:rPr>
          <w:rFonts w:hint="eastAsia" w:ascii="黑体" w:eastAsia="黑体"/>
          <w:b/>
          <w:spacing w:val="-2"/>
          <w:sz w:val="21"/>
        </w:rPr>
        <w:t>3</w:t>
      </w:r>
      <w:r>
        <w:rPr>
          <w:rFonts w:hint="eastAsia" w:ascii="黑体" w:eastAsia="黑体"/>
          <w:b/>
          <w:spacing w:val="-10"/>
          <w:sz w:val="21"/>
        </w:rPr>
        <w:t xml:space="preserve"> 周岁的保险单周年日期间，被保险人初患语言能力丧失</w:t>
      </w:r>
      <w:r>
        <w:rPr>
          <w:rFonts w:hint="eastAsia" w:ascii="黑体" w:eastAsia="黑体"/>
          <w:b/>
          <w:spacing w:val="-4"/>
          <w:sz w:val="21"/>
        </w:rPr>
        <w:t>除外。</w:t>
      </w:r>
    </w:p>
    <w:p>
      <w:pPr>
        <w:spacing w:after="0" w:line="278" w:lineRule="auto"/>
        <w:jc w:val="left"/>
        <w:rPr>
          <w:rFonts w:hint="eastAsia" w:ascii="黑体" w:eastAsia="黑体"/>
          <w:sz w:val="21"/>
        </w:rPr>
        <w:sectPr>
          <w:type w:val="continuous"/>
          <w:pgSz w:w="11910" w:h="16840"/>
          <w:pgMar w:top="260" w:right="1080" w:bottom="1320" w:left="1580" w:header="0" w:footer="1137" w:gutter="0"/>
          <w:cols w:equalWidth="0" w:num="2">
            <w:col w:w="1857" w:space="179"/>
            <w:col w:w="7214"/>
          </w:cols>
        </w:sectPr>
      </w:pPr>
    </w:p>
    <w:p>
      <w:pPr>
        <w:pStyle w:val="2"/>
        <w:spacing w:before="5"/>
        <w:rPr>
          <w:rFonts w:ascii="黑体"/>
          <w:b/>
          <w:sz w:val="19"/>
        </w:rPr>
      </w:pPr>
    </w:p>
    <w:p>
      <w:pPr>
        <w:spacing w:after="0"/>
        <w:rPr>
          <w:rFonts w:ascii="黑体"/>
          <w:sz w:val="19"/>
        </w:rPr>
        <w:sectPr>
          <w:type w:val="continuous"/>
          <w:pgSz w:w="11910" w:h="16840"/>
          <w:pgMar w:top="260" w:right="1080" w:bottom="1320" w:left="1580" w:header="0" w:footer="1137" w:gutter="0"/>
          <w:cols w:space="720" w:num="1"/>
        </w:sectPr>
      </w:pPr>
    </w:p>
    <w:p>
      <w:pPr>
        <w:pStyle w:val="6"/>
        <w:numPr>
          <w:ilvl w:val="0"/>
          <w:numId w:val="18"/>
        </w:numPr>
        <w:tabs>
          <w:tab w:val="left" w:pos="761"/>
        </w:tabs>
        <w:spacing w:before="64" w:after="0" w:line="240" w:lineRule="auto"/>
        <w:ind w:left="760" w:right="0" w:hanging="567"/>
        <w:jc w:val="left"/>
        <w:rPr>
          <w:b/>
          <w:sz w:val="21"/>
        </w:rPr>
      </w:pPr>
      <w:r>
        <w:rPr>
          <w:b/>
          <w:spacing w:val="-2"/>
          <w:sz w:val="21"/>
        </w:rPr>
        <w:t>重型再生障</w:t>
      </w:r>
    </w:p>
    <w:p>
      <w:pPr>
        <w:spacing w:before="43"/>
        <w:ind w:left="760" w:right="0" w:firstLine="0"/>
        <w:jc w:val="left"/>
        <w:rPr>
          <w:b/>
          <w:sz w:val="21"/>
        </w:rPr>
      </w:pPr>
      <w:r>
        <w:rPr>
          <w:b/>
          <w:spacing w:val="-3"/>
          <w:sz w:val="21"/>
        </w:rPr>
        <w:t>碍性贫血</w:t>
      </w:r>
    </w:p>
    <w:p>
      <w:pPr>
        <w:pStyle w:val="2"/>
        <w:spacing w:before="64" w:line="278" w:lineRule="auto"/>
        <w:ind w:left="194" w:right="730"/>
      </w:pPr>
      <w:r>
        <w:br w:type="column"/>
      </w:r>
      <w:r>
        <w:rPr>
          <w:spacing w:val="-2"/>
        </w:rPr>
        <w:t>指因骨髓造血功能慢性持续性衰竭导致的贫血、中性粒细胞减少及血小板减少。须满足下列全部条件：</w:t>
      </w:r>
    </w:p>
    <w:p>
      <w:pPr>
        <w:pStyle w:val="6"/>
        <w:numPr>
          <w:ilvl w:val="0"/>
          <w:numId w:val="28"/>
        </w:numPr>
        <w:tabs>
          <w:tab w:val="left" w:pos="778"/>
        </w:tabs>
        <w:spacing w:before="0" w:after="0" w:line="269" w:lineRule="exact"/>
        <w:ind w:left="777" w:right="0" w:hanging="584"/>
        <w:jc w:val="left"/>
        <w:rPr>
          <w:sz w:val="21"/>
        </w:rPr>
      </w:pPr>
      <w:r>
        <w:rPr>
          <w:spacing w:val="-3"/>
          <w:sz w:val="21"/>
        </w:rPr>
        <w:t>骨髓穿刺检查或骨髓活检结果支持诊断；</w:t>
      </w:r>
    </w:p>
    <w:p>
      <w:pPr>
        <w:pStyle w:val="6"/>
        <w:numPr>
          <w:ilvl w:val="0"/>
          <w:numId w:val="28"/>
        </w:numPr>
        <w:tabs>
          <w:tab w:val="left" w:pos="778"/>
        </w:tabs>
        <w:spacing w:before="43" w:after="0" w:line="240" w:lineRule="auto"/>
        <w:ind w:left="777" w:right="0" w:hanging="584"/>
        <w:jc w:val="left"/>
        <w:rPr>
          <w:sz w:val="21"/>
        </w:rPr>
      </w:pPr>
      <w:r>
        <w:rPr>
          <w:spacing w:val="-3"/>
          <w:sz w:val="21"/>
        </w:rPr>
        <w:t>外周血象须具备以下三项条件：</w:t>
      </w:r>
    </w:p>
    <w:p>
      <w:pPr>
        <w:pStyle w:val="2"/>
        <w:tabs>
          <w:tab w:val="left" w:pos="1033"/>
        </w:tabs>
        <w:spacing w:before="33"/>
        <w:ind w:left="621"/>
      </w:pPr>
      <w:r>
        <w:rPr>
          <w:rFonts w:ascii="MS PGothic" w:hAnsi="MS PGothic" w:eastAsia="MS PGothic"/>
          <w:spacing w:val="-10"/>
        </w:rPr>
        <w:t>①</w:t>
      </w:r>
      <w:r>
        <w:rPr>
          <w:rFonts w:ascii="MS PGothic" w:hAnsi="MS PGothic" w:eastAsia="MS PGothic"/>
        </w:rPr>
        <w:tab/>
      </w:r>
      <w:r>
        <w:rPr>
          <w:spacing w:val="-2"/>
        </w:rPr>
        <w:t>中性粒细胞绝对值≤0.5×10</w:t>
      </w:r>
      <w:r>
        <w:rPr>
          <w:spacing w:val="-2"/>
          <w:position w:val="11"/>
          <w:sz w:val="11"/>
        </w:rPr>
        <w:t>9</w:t>
      </w:r>
      <w:r>
        <w:rPr>
          <w:spacing w:val="-2"/>
        </w:rPr>
        <w:t>/L；</w:t>
      </w:r>
    </w:p>
    <w:p>
      <w:pPr>
        <w:pStyle w:val="2"/>
        <w:tabs>
          <w:tab w:val="left" w:pos="1033"/>
        </w:tabs>
        <w:spacing w:before="43"/>
        <w:ind w:left="621"/>
      </w:pPr>
      <w:r>
        <w:rPr>
          <w:rFonts w:ascii="MS PGothic" w:hAnsi="MS PGothic" w:eastAsia="MS PGothic"/>
          <w:spacing w:val="-10"/>
        </w:rPr>
        <w:t>②</w:t>
      </w:r>
      <w:r>
        <w:rPr>
          <w:rFonts w:ascii="MS PGothic" w:hAnsi="MS PGothic" w:eastAsia="MS PGothic"/>
        </w:rPr>
        <w:tab/>
      </w:r>
      <w:r>
        <w:rPr>
          <w:spacing w:val="-3"/>
        </w:rPr>
        <w:t>网织红细胞＜</w:t>
      </w:r>
      <w:r>
        <w:rPr>
          <w:spacing w:val="-4"/>
        </w:rPr>
        <w:t>1%；</w:t>
      </w:r>
    </w:p>
    <w:p>
      <w:pPr>
        <w:pStyle w:val="2"/>
        <w:tabs>
          <w:tab w:val="left" w:pos="1033"/>
        </w:tabs>
        <w:spacing w:before="33"/>
        <w:ind w:left="621"/>
      </w:pPr>
      <w:r>
        <w:rPr>
          <w:rFonts w:ascii="MS PGothic" w:hAnsi="MS PGothic" w:eastAsia="MS PGothic"/>
          <w:spacing w:val="-10"/>
        </w:rPr>
        <w:t>③</w:t>
      </w:r>
      <w:r>
        <w:rPr>
          <w:rFonts w:ascii="MS PGothic" w:hAnsi="MS PGothic" w:eastAsia="MS PGothic"/>
        </w:rPr>
        <w:tab/>
      </w:r>
      <w:r>
        <w:rPr>
          <w:spacing w:val="-2"/>
        </w:rPr>
        <w:t>血小板绝对值≤20×10</w:t>
      </w:r>
      <w:r>
        <w:rPr>
          <w:spacing w:val="-2"/>
          <w:position w:val="11"/>
          <w:sz w:val="11"/>
        </w:rPr>
        <w:t>9</w:t>
      </w:r>
      <w:r>
        <w:rPr>
          <w:spacing w:val="-2"/>
        </w:rPr>
        <w:t>/L</w:t>
      </w:r>
      <w:r>
        <w:rPr>
          <w:spacing w:val="-10"/>
        </w:rPr>
        <w:t>。</w:t>
      </w:r>
    </w:p>
    <w:p>
      <w:pPr>
        <w:spacing w:after="0"/>
        <w:sectPr>
          <w:type w:val="continuous"/>
          <w:pgSz w:w="11910" w:h="16840"/>
          <w:pgMar w:top="260" w:right="1080" w:bottom="1320" w:left="1580" w:header="0" w:footer="1137" w:gutter="0"/>
          <w:cols w:equalWidth="0" w:num="2">
            <w:col w:w="1857" w:space="179"/>
            <w:col w:w="7214"/>
          </w:cols>
        </w:sectPr>
      </w:pPr>
    </w:p>
    <w:p>
      <w:pPr>
        <w:pStyle w:val="2"/>
        <w:spacing w:before="10"/>
        <w:rPr>
          <w:sz w:val="22"/>
        </w:rPr>
      </w:pPr>
    </w:p>
    <w:p>
      <w:pPr>
        <w:pStyle w:val="6"/>
        <w:numPr>
          <w:ilvl w:val="0"/>
          <w:numId w:val="18"/>
        </w:numPr>
        <w:tabs>
          <w:tab w:val="left" w:pos="761"/>
        </w:tabs>
        <w:spacing w:before="63" w:after="0" w:line="278" w:lineRule="auto"/>
        <w:ind w:left="2229" w:right="728" w:hanging="2036"/>
        <w:jc w:val="both"/>
        <w:rPr>
          <w:sz w:val="21"/>
        </w:rPr>
      </w:pPr>
      <w:r>
        <w:rPr>
          <w:b/>
          <w:spacing w:val="43"/>
          <w:sz w:val="21"/>
        </w:rPr>
        <w:t xml:space="preserve">主动脉手术 </w:t>
      </w:r>
      <w:r>
        <w:rPr>
          <w:sz w:val="21"/>
        </w:rPr>
        <w:t>指为治疗主动脉疾病，实际实施了开胸或开腹进行的切除、置换、修</w:t>
      </w:r>
      <w:r>
        <w:rPr>
          <w:spacing w:val="-2"/>
          <w:sz w:val="21"/>
        </w:rPr>
        <w:t>补病损主动脉血管的手术。主动脉指胸主动脉和腹主动脉，不包括胸主动脉和腹主动脉的分支血管。</w:t>
      </w:r>
    </w:p>
    <w:p>
      <w:pPr>
        <w:spacing w:before="0" w:line="269" w:lineRule="exact"/>
        <w:ind w:left="2229" w:right="0" w:firstLine="0"/>
        <w:jc w:val="left"/>
        <w:rPr>
          <w:rFonts w:hint="eastAsia" w:ascii="黑体" w:eastAsia="黑体"/>
          <w:b/>
          <w:sz w:val="21"/>
        </w:rPr>
      </w:pPr>
      <w:r>
        <w:rPr>
          <w:rFonts w:hint="eastAsia" w:ascii="黑体" w:eastAsia="黑体"/>
          <w:b/>
          <w:spacing w:val="-3"/>
          <w:sz w:val="21"/>
        </w:rPr>
        <w:t>动脉内血管成形术不在保障范围内。</w:t>
      </w:r>
    </w:p>
    <w:p>
      <w:pPr>
        <w:pStyle w:val="2"/>
        <w:spacing w:before="9"/>
        <w:rPr>
          <w:rFonts w:ascii="黑体"/>
          <w:b/>
          <w:sz w:val="27"/>
        </w:rPr>
      </w:pPr>
    </w:p>
    <w:p>
      <w:pPr>
        <w:pStyle w:val="6"/>
        <w:numPr>
          <w:ilvl w:val="0"/>
          <w:numId w:val="18"/>
        </w:numPr>
        <w:tabs>
          <w:tab w:val="left" w:pos="761"/>
        </w:tabs>
        <w:spacing w:before="0" w:after="0" w:line="278" w:lineRule="auto"/>
        <w:ind w:left="2229" w:right="730" w:hanging="2036"/>
        <w:jc w:val="both"/>
        <w:rPr>
          <w:sz w:val="21"/>
        </w:rPr>
      </w:pPr>
      <w:r>
        <w:rPr>
          <w:b/>
          <w:spacing w:val="93"/>
          <w:sz w:val="21"/>
        </w:rPr>
        <w:t xml:space="preserve">胰腺移植 </w:t>
      </w:r>
      <w:r>
        <w:rPr>
          <w:sz w:val="21"/>
        </w:rPr>
        <w:t>指胰腺功能衰竭，已经实施了在全身麻醉下进行的胰腺的异体器官移</w:t>
      </w:r>
      <w:r>
        <w:rPr>
          <w:spacing w:val="-4"/>
          <w:sz w:val="21"/>
        </w:rPr>
        <w:t>植手术。</w:t>
      </w:r>
    </w:p>
    <w:p>
      <w:pPr>
        <w:spacing w:before="0"/>
        <w:ind w:left="2229" w:right="0" w:firstLine="0"/>
        <w:jc w:val="left"/>
        <w:rPr>
          <w:rFonts w:hint="eastAsia" w:ascii="黑体" w:eastAsia="黑体"/>
          <w:b/>
          <w:sz w:val="21"/>
        </w:rPr>
      </w:pPr>
      <w:r>
        <w:rPr>
          <w:rFonts w:hint="eastAsia" w:ascii="黑体" w:eastAsia="黑体"/>
          <w:b/>
          <w:spacing w:val="-3"/>
          <w:sz w:val="21"/>
        </w:rPr>
        <w:t>单纯胰岛移植、部分胰腺组织或细胞的移植不在本保障范围内。</w:t>
      </w:r>
    </w:p>
    <w:p>
      <w:pPr>
        <w:spacing w:after="0"/>
        <w:jc w:val="left"/>
        <w:rPr>
          <w:rFonts w:hint="eastAsia" w:ascii="黑体" w:eastAsia="黑体"/>
          <w:sz w:val="21"/>
        </w:rPr>
        <w:sectPr>
          <w:type w:val="continuous"/>
          <w:pgSz w:w="11910" w:h="16840"/>
          <w:pgMar w:top="260" w:right="1080" w:bottom="1320" w:left="1580" w:header="0" w:footer="1137" w:gutter="0"/>
          <w:cols w:space="720" w:num="1"/>
        </w:sectPr>
      </w:pPr>
    </w:p>
    <w:tbl>
      <w:tblPr>
        <w:tblStyle w:val="3"/>
        <w:tblW w:w="0" w:type="auto"/>
        <w:tblInd w:w="1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92"/>
        <w:gridCol w:w="1388"/>
        <w:gridCol w:w="65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41" w:hRule="atLeast"/>
        </w:trPr>
        <w:tc>
          <w:tcPr>
            <w:tcW w:w="492" w:type="dxa"/>
          </w:tcPr>
          <w:p>
            <w:pPr>
              <w:pStyle w:val="7"/>
              <w:spacing w:line="232" w:lineRule="exact"/>
              <w:ind w:left="50"/>
              <w:rPr>
                <w:sz w:val="21"/>
              </w:rPr>
            </w:pPr>
            <w:r>
              <w:rPr>
                <w:spacing w:val="-5"/>
                <w:sz w:val="21"/>
              </w:rPr>
              <w:t>27.</w:t>
            </w:r>
          </w:p>
        </w:tc>
        <w:tc>
          <w:tcPr>
            <w:tcW w:w="1388" w:type="dxa"/>
          </w:tcPr>
          <w:p>
            <w:pPr>
              <w:pStyle w:val="7"/>
              <w:spacing w:line="232" w:lineRule="exact"/>
              <w:ind w:left="124"/>
              <w:rPr>
                <w:b/>
                <w:sz w:val="21"/>
              </w:rPr>
            </w:pPr>
            <w:r>
              <w:rPr>
                <w:b/>
                <w:spacing w:val="-2"/>
                <w:sz w:val="21"/>
              </w:rPr>
              <w:t>埃博拉病毒</w:t>
            </w:r>
          </w:p>
          <w:p>
            <w:pPr>
              <w:pStyle w:val="7"/>
              <w:spacing w:before="43"/>
              <w:ind w:left="124"/>
              <w:rPr>
                <w:b/>
                <w:sz w:val="21"/>
              </w:rPr>
            </w:pPr>
            <w:r>
              <w:rPr>
                <w:b/>
                <w:spacing w:val="-5"/>
                <w:sz w:val="21"/>
              </w:rPr>
              <w:t>感染</w:t>
            </w:r>
          </w:p>
        </w:tc>
        <w:tc>
          <w:tcPr>
            <w:tcW w:w="6585" w:type="dxa"/>
          </w:tcPr>
          <w:p>
            <w:pPr>
              <w:pStyle w:val="7"/>
              <w:spacing w:line="232" w:lineRule="exact"/>
              <w:ind w:left="205"/>
              <w:rPr>
                <w:sz w:val="21"/>
              </w:rPr>
            </w:pPr>
            <w:r>
              <w:rPr>
                <w:spacing w:val="-3"/>
                <w:sz w:val="21"/>
              </w:rPr>
              <w:t>指埃博拉病毒感染导致的烈性传染病，并须满足下列全部条件：</w:t>
            </w:r>
          </w:p>
          <w:p>
            <w:pPr>
              <w:pStyle w:val="7"/>
              <w:numPr>
                <w:ilvl w:val="0"/>
                <w:numId w:val="29"/>
              </w:numPr>
              <w:tabs>
                <w:tab w:val="left" w:pos="789"/>
              </w:tabs>
              <w:spacing w:before="43" w:after="0" w:line="240" w:lineRule="auto"/>
              <w:ind w:left="788" w:right="0" w:hanging="584"/>
              <w:jc w:val="left"/>
              <w:rPr>
                <w:sz w:val="21"/>
              </w:rPr>
            </w:pPr>
            <w:r>
              <w:rPr>
                <w:spacing w:val="-3"/>
                <w:sz w:val="21"/>
              </w:rPr>
              <w:t>实验室检查证实埃博拉病毒的存在；</w:t>
            </w:r>
          </w:p>
          <w:p>
            <w:pPr>
              <w:pStyle w:val="7"/>
              <w:numPr>
                <w:ilvl w:val="0"/>
                <w:numId w:val="29"/>
              </w:numPr>
              <w:tabs>
                <w:tab w:val="left" w:pos="789"/>
              </w:tabs>
              <w:spacing w:before="43" w:after="0" w:line="240" w:lineRule="auto"/>
              <w:ind w:left="788" w:right="0" w:hanging="584"/>
              <w:jc w:val="left"/>
              <w:rPr>
                <w:sz w:val="21"/>
              </w:rPr>
            </w:pPr>
            <w:r>
              <w:rPr>
                <w:spacing w:val="-8"/>
                <w:sz w:val="21"/>
              </w:rPr>
              <w:t xml:space="preserve">从发病开始有超过 </w:t>
            </w:r>
            <w:r>
              <w:rPr>
                <w:spacing w:val="-2"/>
                <w:sz w:val="21"/>
              </w:rPr>
              <w:t>30</w:t>
            </w:r>
            <w:r>
              <w:rPr>
                <w:spacing w:val="-10"/>
                <w:sz w:val="21"/>
              </w:rPr>
              <w:t xml:space="preserve"> 天的进行性感染症状。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492" w:type="dxa"/>
          </w:tcPr>
          <w:p>
            <w:pPr>
              <w:pStyle w:val="7"/>
              <w:spacing w:before="169"/>
              <w:ind w:left="50"/>
              <w:rPr>
                <w:sz w:val="21"/>
              </w:rPr>
            </w:pPr>
            <w:r>
              <w:rPr>
                <w:spacing w:val="-5"/>
                <w:sz w:val="21"/>
              </w:rPr>
              <w:t>28.</w:t>
            </w:r>
          </w:p>
        </w:tc>
        <w:tc>
          <w:tcPr>
            <w:tcW w:w="1388" w:type="dxa"/>
          </w:tcPr>
          <w:p>
            <w:pPr>
              <w:pStyle w:val="7"/>
              <w:spacing w:before="169"/>
              <w:ind w:left="124"/>
              <w:rPr>
                <w:b/>
                <w:sz w:val="21"/>
              </w:rPr>
            </w:pPr>
            <w:r>
              <w:rPr>
                <w:b/>
                <w:spacing w:val="-2"/>
                <w:sz w:val="21"/>
              </w:rPr>
              <w:t>丝虫病所致</w:t>
            </w:r>
          </w:p>
        </w:tc>
        <w:tc>
          <w:tcPr>
            <w:tcW w:w="6585" w:type="dxa"/>
          </w:tcPr>
          <w:p>
            <w:pPr>
              <w:pStyle w:val="7"/>
              <w:spacing w:before="169"/>
              <w:ind w:left="205"/>
              <w:rPr>
                <w:sz w:val="21"/>
              </w:rPr>
            </w:pPr>
            <w:r>
              <w:rPr>
                <w:spacing w:val="-5"/>
                <w:sz w:val="21"/>
              </w:rPr>
              <w:t>指末期丝虫病，按国际淋巴学会分级为三度淋巴液肿，其临床表现为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spacing w:before="13"/>
              <w:ind w:left="124"/>
              <w:rPr>
                <w:b/>
                <w:sz w:val="21"/>
              </w:rPr>
            </w:pPr>
            <w:r>
              <w:rPr>
                <w:b/>
                <w:spacing w:val="-4"/>
                <w:sz w:val="21"/>
              </w:rPr>
              <w:t>象皮肿</w:t>
            </w:r>
          </w:p>
        </w:tc>
        <w:tc>
          <w:tcPr>
            <w:tcW w:w="6585" w:type="dxa"/>
          </w:tcPr>
          <w:p>
            <w:pPr>
              <w:pStyle w:val="7"/>
              <w:spacing w:before="13"/>
              <w:ind w:left="205"/>
              <w:rPr>
                <w:sz w:val="21"/>
              </w:rPr>
            </w:pPr>
            <w:r>
              <w:rPr>
                <w:spacing w:val="-5"/>
                <w:sz w:val="21"/>
              </w:rPr>
              <w:t>肢体非凹陷性水肿伴畸形增大、硬皮症和疣状增生。此病症须经我们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585" w:type="dxa"/>
          </w:tcPr>
          <w:p>
            <w:pPr>
              <w:pStyle w:val="7"/>
              <w:spacing w:before="13"/>
              <w:ind w:left="205"/>
              <w:rPr>
                <w:sz w:val="21"/>
              </w:rPr>
            </w:pPr>
            <w:r>
              <w:rPr>
                <w:spacing w:val="-3"/>
                <w:sz w:val="21"/>
              </w:rPr>
              <w:t>认可的专科医生根据临床表现和微丝蚴的化验结果确诊。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492" w:type="dxa"/>
          </w:tcPr>
          <w:p>
            <w:pPr>
              <w:pStyle w:val="7"/>
              <w:spacing w:before="169"/>
              <w:ind w:left="50"/>
              <w:rPr>
                <w:sz w:val="21"/>
              </w:rPr>
            </w:pPr>
            <w:r>
              <w:rPr>
                <w:spacing w:val="-5"/>
                <w:sz w:val="21"/>
              </w:rPr>
              <w:t>29.</w:t>
            </w:r>
          </w:p>
        </w:tc>
        <w:tc>
          <w:tcPr>
            <w:tcW w:w="1388" w:type="dxa"/>
          </w:tcPr>
          <w:p>
            <w:pPr>
              <w:pStyle w:val="7"/>
              <w:spacing w:before="169"/>
              <w:ind w:left="124"/>
              <w:rPr>
                <w:b/>
                <w:sz w:val="21"/>
              </w:rPr>
            </w:pPr>
            <w:r>
              <w:rPr>
                <w:b/>
                <w:spacing w:val="-2"/>
                <w:sz w:val="21"/>
              </w:rPr>
              <w:t>主动脉夹层</w:t>
            </w:r>
          </w:p>
        </w:tc>
        <w:tc>
          <w:tcPr>
            <w:tcW w:w="6585" w:type="dxa"/>
          </w:tcPr>
          <w:p>
            <w:pPr>
              <w:pStyle w:val="7"/>
              <w:spacing w:before="169"/>
              <w:ind w:left="205"/>
              <w:rPr>
                <w:sz w:val="21"/>
              </w:rPr>
            </w:pPr>
            <w:r>
              <w:rPr>
                <w:spacing w:val="-5"/>
                <w:sz w:val="21"/>
              </w:rPr>
              <w:t>是指主动脉壁在受到某些病理因素的破坏后，高速、高压的主动脉血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spacing w:before="13"/>
              <w:ind w:left="124"/>
              <w:rPr>
                <w:b/>
                <w:sz w:val="21"/>
              </w:rPr>
            </w:pPr>
            <w:r>
              <w:rPr>
                <w:b/>
                <w:spacing w:val="-5"/>
                <w:sz w:val="21"/>
              </w:rPr>
              <w:t>血肿</w:t>
            </w:r>
          </w:p>
        </w:tc>
        <w:tc>
          <w:tcPr>
            <w:tcW w:w="6585" w:type="dxa"/>
          </w:tcPr>
          <w:p>
            <w:pPr>
              <w:pStyle w:val="7"/>
              <w:spacing w:before="13"/>
              <w:ind w:left="205"/>
              <w:rPr>
                <w:sz w:val="21"/>
              </w:rPr>
            </w:pPr>
            <w:r>
              <w:rPr>
                <w:spacing w:val="-5"/>
                <w:sz w:val="21"/>
              </w:rPr>
              <w:t>流将其内膜撕裂，以致主动脉腔内的血流通过主动脉内膜的破裂口进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585" w:type="dxa"/>
          </w:tcPr>
          <w:p>
            <w:pPr>
              <w:pStyle w:val="7"/>
              <w:spacing w:before="13"/>
              <w:ind w:left="205"/>
              <w:rPr>
                <w:sz w:val="21"/>
              </w:rPr>
            </w:pPr>
            <w:r>
              <w:rPr>
                <w:spacing w:val="-8"/>
                <w:sz w:val="21"/>
              </w:rPr>
              <w:t xml:space="preserve">入主动脉内壁而形成血肿。被保险人需通过 </w:t>
            </w:r>
            <w:r>
              <w:rPr>
                <w:spacing w:val="-6"/>
                <w:sz w:val="21"/>
              </w:rPr>
              <w:t>X</w:t>
            </w:r>
            <w:r>
              <w:rPr>
                <w:spacing w:val="-12"/>
                <w:sz w:val="21"/>
              </w:rPr>
              <w:t xml:space="preserve"> 线断层扫描</w:t>
            </w:r>
            <w:r>
              <w:rPr>
                <w:spacing w:val="21"/>
                <w:sz w:val="21"/>
              </w:rPr>
              <w:t>（C</w:t>
            </w:r>
            <w:r>
              <w:rPr>
                <w:spacing w:val="18"/>
                <w:sz w:val="21"/>
              </w:rPr>
              <w:t>T</w:t>
            </w:r>
            <w:r>
              <w:rPr>
                <w:spacing w:val="-85"/>
                <w:sz w:val="21"/>
              </w:rPr>
              <w:t>）</w:t>
            </w:r>
            <w:r>
              <w:rPr>
                <w:spacing w:val="-8"/>
                <w:sz w:val="21"/>
              </w:rPr>
              <w:t>、磁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585" w:type="dxa"/>
          </w:tcPr>
          <w:p>
            <w:pPr>
              <w:pStyle w:val="7"/>
              <w:spacing w:before="14"/>
              <w:ind w:left="205"/>
              <w:rPr>
                <w:sz w:val="21"/>
              </w:rPr>
            </w:pPr>
            <w:r>
              <w:rPr>
                <w:spacing w:val="-6"/>
                <w:sz w:val="21"/>
              </w:rPr>
              <w:t>共振扫描</w:t>
            </w:r>
            <w:r>
              <w:rPr>
                <w:spacing w:val="13"/>
                <w:sz w:val="21"/>
              </w:rPr>
              <w:t>（</w:t>
            </w:r>
            <w:r>
              <w:rPr>
                <w:spacing w:val="16"/>
                <w:sz w:val="21"/>
              </w:rPr>
              <w:t>MRI</w:t>
            </w:r>
            <w:r>
              <w:rPr>
                <w:spacing w:val="-92"/>
                <w:sz w:val="21"/>
              </w:rPr>
              <w:t>）</w:t>
            </w:r>
            <w:r>
              <w:rPr>
                <w:spacing w:val="-6"/>
                <w:sz w:val="21"/>
              </w:rPr>
              <w:t>、磁共振血管检验法（MRA）</w:t>
            </w:r>
            <w:r>
              <w:rPr>
                <w:spacing w:val="-7"/>
                <w:sz w:val="21"/>
              </w:rPr>
              <w:t>或血管扫描等检查，并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585" w:type="dxa"/>
          </w:tcPr>
          <w:p>
            <w:pPr>
              <w:pStyle w:val="7"/>
              <w:spacing w:before="13"/>
              <w:ind w:left="205"/>
              <w:rPr>
                <w:sz w:val="21"/>
              </w:rPr>
            </w:pPr>
            <w:r>
              <w:rPr>
                <w:spacing w:val="-3"/>
                <w:sz w:val="21"/>
              </w:rPr>
              <w:t>且实施了胸腹切开的直视主动脉手术。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492" w:type="dxa"/>
          </w:tcPr>
          <w:p>
            <w:pPr>
              <w:pStyle w:val="7"/>
              <w:spacing w:before="169"/>
              <w:ind w:left="50"/>
              <w:rPr>
                <w:sz w:val="21"/>
              </w:rPr>
            </w:pPr>
            <w:r>
              <w:rPr>
                <w:spacing w:val="-5"/>
                <w:sz w:val="21"/>
              </w:rPr>
              <w:t>30.</w:t>
            </w:r>
          </w:p>
        </w:tc>
        <w:tc>
          <w:tcPr>
            <w:tcW w:w="1388" w:type="dxa"/>
          </w:tcPr>
          <w:p>
            <w:pPr>
              <w:pStyle w:val="7"/>
              <w:spacing w:before="169"/>
              <w:ind w:left="124"/>
              <w:rPr>
                <w:b/>
                <w:sz w:val="21"/>
              </w:rPr>
            </w:pPr>
            <w:r>
              <w:rPr>
                <w:b/>
                <w:spacing w:val="-4"/>
                <w:sz w:val="21"/>
              </w:rPr>
              <w:t>疯牛病</w:t>
            </w:r>
          </w:p>
        </w:tc>
        <w:tc>
          <w:tcPr>
            <w:tcW w:w="6585" w:type="dxa"/>
          </w:tcPr>
          <w:p>
            <w:pPr>
              <w:pStyle w:val="7"/>
              <w:spacing w:before="169"/>
              <w:ind w:left="205"/>
              <w:rPr>
                <w:sz w:val="21"/>
              </w:rPr>
            </w:pPr>
            <w:r>
              <w:rPr>
                <w:spacing w:val="-3"/>
                <w:sz w:val="21"/>
              </w:rPr>
              <w:t>神经系统疾病及致命的成胶质状脑病，并有以下症状：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585" w:type="dxa"/>
          </w:tcPr>
          <w:p>
            <w:pPr>
              <w:pStyle w:val="7"/>
              <w:spacing w:before="13"/>
              <w:ind w:left="205"/>
              <w:rPr>
                <w:sz w:val="21"/>
              </w:rPr>
            </w:pPr>
            <w:r>
              <w:rPr>
                <w:spacing w:val="-2"/>
                <w:sz w:val="21"/>
              </w:rPr>
              <w:t>（1）</w:t>
            </w:r>
            <w:r>
              <w:rPr>
                <w:spacing w:val="-9"/>
                <w:sz w:val="21"/>
              </w:rPr>
              <w:t xml:space="preserve"> 不能控制的肌肉痉挛及震颤；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585" w:type="dxa"/>
          </w:tcPr>
          <w:p>
            <w:pPr>
              <w:pStyle w:val="7"/>
              <w:spacing w:before="13"/>
              <w:ind w:left="205"/>
              <w:rPr>
                <w:sz w:val="21"/>
              </w:rPr>
            </w:pPr>
            <w:r>
              <w:rPr>
                <w:spacing w:val="-2"/>
                <w:sz w:val="21"/>
              </w:rPr>
              <w:t>（2）</w:t>
            </w:r>
            <w:r>
              <w:rPr>
                <w:spacing w:val="-11"/>
                <w:sz w:val="21"/>
              </w:rPr>
              <w:t xml:space="preserve"> 逐渐痴呆；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585" w:type="dxa"/>
          </w:tcPr>
          <w:p>
            <w:pPr>
              <w:pStyle w:val="7"/>
              <w:spacing w:before="13"/>
              <w:ind w:left="205"/>
              <w:rPr>
                <w:sz w:val="21"/>
              </w:rPr>
            </w:pPr>
            <w:r>
              <w:rPr>
                <w:spacing w:val="-2"/>
                <w:sz w:val="21"/>
              </w:rPr>
              <w:t>（3）</w:t>
            </w:r>
            <w:r>
              <w:rPr>
                <w:spacing w:val="-9"/>
                <w:sz w:val="21"/>
              </w:rPr>
              <w:t xml:space="preserve"> 小脑功能不良，共济失调；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585" w:type="dxa"/>
          </w:tcPr>
          <w:p>
            <w:pPr>
              <w:pStyle w:val="7"/>
              <w:spacing w:before="13"/>
              <w:ind w:left="205"/>
              <w:rPr>
                <w:sz w:val="21"/>
              </w:rPr>
            </w:pPr>
            <w:r>
              <w:rPr>
                <w:spacing w:val="-2"/>
                <w:sz w:val="21"/>
              </w:rPr>
              <w:t>（4）</w:t>
            </w:r>
            <w:r>
              <w:rPr>
                <w:spacing w:val="-10"/>
                <w:sz w:val="21"/>
              </w:rPr>
              <w:t xml:space="preserve"> 手足徐动症；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585" w:type="dxa"/>
          </w:tcPr>
          <w:p>
            <w:pPr>
              <w:pStyle w:val="7"/>
              <w:spacing w:before="13"/>
              <w:ind w:left="205"/>
              <w:rPr>
                <w:sz w:val="21"/>
              </w:rPr>
            </w:pPr>
            <w:r>
              <w:rPr>
                <w:spacing w:val="-5"/>
                <w:sz w:val="21"/>
              </w:rPr>
              <w:t>诊断必须由神经科专科医生基于以下检查报告作出：脑电图、脑脊液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585" w:type="dxa"/>
          </w:tcPr>
          <w:p>
            <w:pPr>
              <w:pStyle w:val="7"/>
              <w:spacing w:before="13"/>
              <w:ind w:left="205"/>
              <w:rPr>
                <w:sz w:val="21"/>
              </w:rPr>
            </w:pPr>
            <w:r>
              <w:rPr>
                <w:spacing w:val="-2"/>
                <w:sz w:val="21"/>
              </w:rPr>
              <w:t>报告、电脑断层扫描(CT)及核磁共振(MRI</w:t>
            </w:r>
            <w:r>
              <w:rPr>
                <w:spacing w:val="-6"/>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492" w:type="dxa"/>
          </w:tcPr>
          <w:p>
            <w:pPr>
              <w:pStyle w:val="7"/>
              <w:spacing w:before="170"/>
              <w:ind w:left="50"/>
              <w:rPr>
                <w:sz w:val="21"/>
              </w:rPr>
            </w:pPr>
            <w:r>
              <w:rPr>
                <w:spacing w:val="-5"/>
                <w:sz w:val="21"/>
              </w:rPr>
              <w:t>31.</w:t>
            </w:r>
          </w:p>
        </w:tc>
        <w:tc>
          <w:tcPr>
            <w:tcW w:w="1388" w:type="dxa"/>
          </w:tcPr>
          <w:p>
            <w:pPr>
              <w:pStyle w:val="7"/>
              <w:spacing w:before="170"/>
              <w:ind w:left="124"/>
              <w:rPr>
                <w:b/>
                <w:sz w:val="21"/>
              </w:rPr>
            </w:pPr>
            <w:r>
              <w:rPr>
                <w:b/>
                <w:spacing w:val="-2"/>
                <w:sz w:val="21"/>
              </w:rPr>
              <w:t>破裂脑动脉</w:t>
            </w:r>
          </w:p>
        </w:tc>
        <w:tc>
          <w:tcPr>
            <w:tcW w:w="6585" w:type="dxa"/>
          </w:tcPr>
          <w:p>
            <w:pPr>
              <w:pStyle w:val="7"/>
              <w:spacing w:before="170"/>
              <w:ind w:left="205"/>
              <w:rPr>
                <w:sz w:val="21"/>
              </w:rPr>
            </w:pPr>
            <w:r>
              <w:rPr>
                <w:spacing w:val="-5"/>
                <w:sz w:val="21"/>
              </w:rPr>
              <w:t>指因脑动脉瘤破裂造成蛛网膜下腔出血，被保险人实际接受了在全麻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5" w:hRule="atLeast"/>
        </w:trPr>
        <w:tc>
          <w:tcPr>
            <w:tcW w:w="492" w:type="dxa"/>
          </w:tcPr>
          <w:p>
            <w:pPr>
              <w:pStyle w:val="7"/>
              <w:rPr>
                <w:rFonts w:ascii="Times New Roman"/>
                <w:sz w:val="20"/>
              </w:rPr>
            </w:pPr>
          </w:p>
        </w:tc>
        <w:tc>
          <w:tcPr>
            <w:tcW w:w="1388" w:type="dxa"/>
          </w:tcPr>
          <w:p>
            <w:pPr>
              <w:pStyle w:val="7"/>
              <w:spacing w:before="13"/>
              <w:ind w:left="124"/>
              <w:rPr>
                <w:b/>
                <w:sz w:val="21"/>
              </w:rPr>
            </w:pPr>
            <w:r>
              <w:rPr>
                <w:b/>
                <w:spacing w:val="-2"/>
                <w:sz w:val="21"/>
              </w:rPr>
              <w:t>瘤夹闭手术</w:t>
            </w:r>
          </w:p>
        </w:tc>
        <w:tc>
          <w:tcPr>
            <w:tcW w:w="6585" w:type="dxa"/>
          </w:tcPr>
          <w:p>
            <w:pPr>
              <w:pStyle w:val="7"/>
              <w:spacing w:before="13"/>
              <w:ind w:left="205"/>
              <w:rPr>
                <w:sz w:val="21"/>
              </w:rPr>
            </w:pPr>
            <w:r>
              <w:rPr>
                <w:spacing w:val="-3"/>
                <w:sz w:val="21"/>
              </w:rPr>
              <w:t>下进行的开颅动脉夹闭手术。</w:t>
            </w:r>
          </w:p>
          <w:p>
            <w:pPr>
              <w:pStyle w:val="7"/>
              <w:spacing w:before="43"/>
              <w:ind w:left="205"/>
              <w:rPr>
                <w:rFonts w:hint="eastAsia" w:ascii="黑体" w:eastAsia="黑体"/>
                <w:b/>
                <w:sz w:val="21"/>
              </w:rPr>
            </w:pPr>
            <w:r>
              <w:rPr>
                <w:rFonts w:hint="eastAsia" w:ascii="黑体" w:eastAsia="黑体"/>
                <w:b/>
                <w:spacing w:val="-2"/>
                <w:sz w:val="21"/>
              </w:rPr>
              <w:t>脑动脉瘤（未破裂）</w:t>
            </w:r>
            <w:r>
              <w:rPr>
                <w:rFonts w:hint="eastAsia" w:ascii="黑体" w:eastAsia="黑体"/>
                <w:b/>
                <w:spacing w:val="-3"/>
                <w:sz w:val="21"/>
              </w:rPr>
              <w:t>预防性手术、颅骨打孔手术、动脉瘤栓塞手术、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2"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585" w:type="dxa"/>
          </w:tcPr>
          <w:p>
            <w:pPr>
              <w:pStyle w:val="7"/>
              <w:spacing w:before="22"/>
              <w:ind w:left="205"/>
              <w:rPr>
                <w:rFonts w:hint="eastAsia" w:ascii="黑体" w:eastAsia="黑体"/>
                <w:b/>
                <w:sz w:val="21"/>
              </w:rPr>
            </w:pPr>
            <w:r>
              <w:rPr>
                <w:rFonts w:hint="eastAsia" w:ascii="黑体" w:eastAsia="黑体"/>
                <w:b/>
                <w:spacing w:val="-3"/>
                <w:sz w:val="21"/>
              </w:rPr>
              <w:t>血管内手术及其他颅脑手术不在保障范围内。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2" w:hRule="atLeast"/>
        </w:trPr>
        <w:tc>
          <w:tcPr>
            <w:tcW w:w="492" w:type="dxa"/>
          </w:tcPr>
          <w:p>
            <w:pPr>
              <w:pStyle w:val="7"/>
              <w:spacing w:before="173"/>
              <w:ind w:left="50"/>
              <w:rPr>
                <w:sz w:val="21"/>
              </w:rPr>
            </w:pPr>
            <w:r>
              <w:rPr>
                <w:spacing w:val="-5"/>
                <w:sz w:val="21"/>
              </w:rPr>
              <w:t>32.</w:t>
            </w:r>
          </w:p>
        </w:tc>
        <w:tc>
          <w:tcPr>
            <w:tcW w:w="1388" w:type="dxa"/>
          </w:tcPr>
          <w:p>
            <w:pPr>
              <w:pStyle w:val="7"/>
              <w:spacing w:before="173"/>
              <w:ind w:left="124"/>
              <w:rPr>
                <w:b/>
                <w:sz w:val="21"/>
              </w:rPr>
            </w:pPr>
            <w:r>
              <w:rPr>
                <w:b/>
                <w:spacing w:val="-2"/>
                <w:sz w:val="21"/>
              </w:rPr>
              <w:t>经输血导致</w:t>
            </w:r>
          </w:p>
        </w:tc>
        <w:tc>
          <w:tcPr>
            <w:tcW w:w="6585" w:type="dxa"/>
          </w:tcPr>
          <w:p>
            <w:pPr>
              <w:pStyle w:val="7"/>
              <w:spacing w:before="173"/>
              <w:ind w:left="205"/>
              <w:rPr>
                <w:sz w:val="21"/>
              </w:rPr>
            </w:pPr>
            <w:r>
              <w:rPr>
                <w:spacing w:val="-2"/>
                <w:sz w:val="21"/>
              </w:rPr>
              <w:t>是指被保险人感染上人类免疫缺陷病毒（HIV）</w:t>
            </w:r>
            <w:r>
              <w:rPr>
                <w:spacing w:val="-3"/>
                <w:sz w:val="21"/>
              </w:rPr>
              <w:t>并且符合下列所有条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492" w:type="dxa"/>
          </w:tcPr>
          <w:p>
            <w:pPr>
              <w:pStyle w:val="7"/>
              <w:rPr>
                <w:rFonts w:ascii="Times New Roman"/>
                <w:sz w:val="20"/>
              </w:rPr>
            </w:pPr>
          </w:p>
        </w:tc>
        <w:tc>
          <w:tcPr>
            <w:tcW w:w="1388" w:type="dxa"/>
          </w:tcPr>
          <w:p>
            <w:pPr>
              <w:pStyle w:val="7"/>
              <w:spacing w:before="13"/>
              <w:ind w:left="124"/>
              <w:rPr>
                <w:b/>
                <w:sz w:val="21"/>
              </w:rPr>
            </w:pPr>
            <w:r>
              <w:rPr>
                <w:b/>
                <w:spacing w:val="-16"/>
                <w:w w:val="95"/>
                <w:sz w:val="21"/>
              </w:rPr>
              <w:t xml:space="preserve">的 </w:t>
            </w:r>
            <w:r>
              <w:rPr>
                <w:b/>
                <w:w w:val="95"/>
                <w:sz w:val="21"/>
              </w:rPr>
              <w:t>HIV</w:t>
            </w:r>
            <w:r>
              <w:rPr>
                <w:b/>
                <w:spacing w:val="-32"/>
                <w:w w:val="95"/>
                <w:sz w:val="21"/>
              </w:rPr>
              <w:t xml:space="preserve"> </w:t>
            </w:r>
            <w:r>
              <w:rPr>
                <w:b/>
                <w:w w:val="95"/>
                <w:sz w:val="21"/>
              </w:rPr>
              <w:t>感</w:t>
            </w:r>
            <w:r>
              <w:rPr>
                <w:b/>
                <w:spacing w:val="-10"/>
                <w:w w:val="95"/>
                <w:sz w:val="21"/>
              </w:rPr>
              <w:t>染</w:t>
            </w:r>
          </w:p>
        </w:tc>
        <w:tc>
          <w:tcPr>
            <w:tcW w:w="6585" w:type="dxa"/>
          </w:tcPr>
          <w:p>
            <w:pPr>
              <w:pStyle w:val="7"/>
              <w:spacing w:before="13"/>
              <w:ind w:left="205"/>
              <w:rPr>
                <w:sz w:val="21"/>
              </w:rPr>
            </w:pPr>
            <w:r>
              <w:rPr>
                <w:spacing w:val="-5"/>
                <w:sz w:val="21"/>
              </w:rPr>
              <w:t>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492" w:type="dxa"/>
          </w:tcPr>
          <w:p>
            <w:pPr>
              <w:pStyle w:val="7"/>
              <w:rPr>
                <w:rFonts w:ascii="Times New Roman"/>
                <w:sz w:val="18"/>
              </w:rPr>
            </w:pPr>
          </w:p>
        </w:tc>
        <w:tc>
          <w:tcPr>
            <w:tcW w:w="1388" w:type="dxa"/>
          </w:tcPr>
          <w:p>
            <w:pPr>
              <w:pStyle w:val="7"/>
              <w:rPr>
                <w:rFonts w:ascii="Times New Roman"/>
                <w:sz w:val="18"/>
              </w:rPr>
            </w:pPr>
          </w:p>
        </w:tc>
        <w:tc>
          <w:tcPr>
            <w:tcW w:w="6585" w:type="dxa"/>
          </w:tcPr>
          <w:p>
            <w:pPr>
              <w:pStyle w:val="7"/>
              <w:spacing w:before="13" w:line="228" w:lineRule="exact"/>
              <w:ind w:left="205"/>
              <w:rPr>
                <w:sz w:val="21"/>
              </w:rPr>
            </w:pPr>
            <w:r>
              <w:rPr>
                <w:spacing w:val="-2"/>
                <w:sz w:val="21"/>
              </w:rPr>
              <w:t>（1）</w:t>
            </w:r>
            <w:r>
              <w:rPr>
                <w:spacing w:val="-9"/>
                <w:sz w:val="21"/>
              </w:rPr>
              <w:t xml:space="preserve"> 被保险人因治疗必需而接受输血，并且因输血而感染人类免疫</w:t>
            </w:r>
          </w:p>
        </w:tc>
      </w:tr>
    </w:tbl>
    <w:p>
      <w:pPr>
        <w:pStyle w:val="2"/>
        <w:spacing w:before="75"/>
        <w:ind w:left="2796"/>
      </w:pPr>
      <w:r>
        <w:rPr>
          <w:spacing w:val="-2"/>
        </w:rPr>
        <w:t>缺陷病毒</w:t>
      </w:r>
      <w:r>
        <w:rPr>
          <w:spacing w:val="13"/>
        </w:rPr>
        <w:t>（</w:t>
      </w:r>
      <w:r>
        <w:rPr>
          <w:spacing w:val="16"/>
        </w:rPr>
        <w:t>HIV</w:t>
      </w:r>
      <w:r>
        <w:rPr>
          <w:spacing w:val="-92"/>
        </w:rPr>
        <w:t>）</w:t>
      </w:r>
      <w:r>
        <w:rPr>
          <w:spacing w:val="16"/>
        </w:rPr>
        <w:t>；</w:t>
      </w:r>
    </w:p>
    <w:p>
      <w:pPr>
        <w:pStyle w:val="6"/>
        <w:numPr>
          <w:ilvl w:val="1"/>
          <w:numId w:val="28"/>
        </w:numPr>
        <w:tabs>
          <w:tab w:val="left" w:pos="2813"/>
        </w:tabs>
        <w:spacing w:before="43" w:after="0" w:line="278" w:lineRule="auto"/>
        <w:ind w:left="2796" w:right="754" w:hanging="567"/>
        <w:jc w:val="left"/>
        <w:rPr>
          <w:sz w:val="21"/>
        </w:rPr>
      </w:pPr>
      <w:r>
        <w:rPr>
          <w:spacing w:val="-2"/>
          <w:sz w:val="21"/>
        </w:rPr>
        <w:t>提供输血治疗的输血中心或医院出具该项输血感染属医疗责任事故的报告，或者法院终审裁定为医疗责任并且不准上诉；</w:t>
      </w:r>
    </w:p>
    <w:p>
      <w:pPr>
        <w:pStyle w:val="6"/>
        <w:numPr>
          <w:ilvl w:val="1"/>
          <w:numId w:val="28"/>
        </w:numPr>
        <w:tabs>
          <w:tab w:val="left" w:pos="2813"/>
        </w:tabs>
        <w:spacing w:before="0" w:after="0" w:line="240" w:lineRule="auto"/>
        <w:ind w:left="2813" w:right="0" w:hanging="584"/>
        <w:jc w:val="left"/>
        <w:rPr>
          <w:sz w:val="21"/>
        </w:rPr>
      </w:pPr>
      <w:r>
        <w:rPr>
          <w:spacing w:val="-3"/>
          <w:sz w:val="21"/>
        </w:rPr>
        <w:t>提供输血治疗的输血中心或医院必须拥有合法经营执照；</w:t>
      </w:r>
    </w:p>
    <w:p>
      <w:pPr>
        <w:pStyle w:val="6"/>
        <w:numPr>
          <w:ilvl w:val="1"/>
          <w:numId w:val="28"/>
        </w:numPr>
        <w:tabs>
          <w:tab w:val="left" w:pos="2813"/>
        </w:tabs>
        <w:spacing w:before="43" w:after="0" w:line="240" w:lineRule="auto"/>
        <w:ind w:left="2813" w:right="0" w:hanging="584"/>
        <w:jc w:val="left"/>
        <w:rPr>
          <w:sz w:val="21"/>
        </w:rPr>
      </w:pPr>
      <w:r>
        <w:rPr>
          <w:spacing w:val="-3"/>
          <w:sz w:val="21"/>
        </w:rPr>
        <w:t>受感染的被保险人不是血友病患者。</w:t>
      </w:r>
    </w:p>
    <w:p>
      <w:pPr>
        <w:spacing w:before="43" w:line="278" w:lineRule="auto"/>
        <w:ind w:left="2229" w:right="733" w:firstLine="0"/>
        <w:jc w:val="both"/>
        <w:rPr>
          <w:rFonts w:hint="eastAsia" w:ascii="黑体" w:eastAsia="黑体"/>
          <w:b/>
          <w:sz w:val="21"/>
        </w:rPr>
      </w:pPr>
      <w:r>
        <w:rPr>
          <w:rFonts w:hint="eastAsia" w:ascii="黑体" w:eastAsia="黑体"/>
          <w:b/>
          <w:spacing w:val="-2"/>
          <w:sz w:val="21"/>
        </w:rPr>
        <w:t>在任何治愈艾滋病或阻止人类免疫缺陷病毒（HIV）病毒作用的疗法被发现以后，或能防止艾滋病发生的医疗方法被研究出来以后，本保障将不再予以赔付。</w:t>
      </w:r>
    </w:p>
    <w:p>
      <w:pPr>
        <w:spacing w:before="0" w:line="278" w:lineRule="auto"/>
        <w:ind w:left="2229" w:right="898" w:firstLine="0"/>
        <w:jc w:val="left"/>
        <w:rPr>
          <w:rFonts w:hint="eastAsia" w:ascii="黑体" w:eastAsia="黑体"/>
          <w:b/>
          <w:sz w:val="21"/>
        </w:rPr>
      </w:pPr>
      <w:r>
        <w:rPr>
          <w:rFonts w:hint="eastAsia" w:ascii="黑体" w:eastAsia="黑体"/>
          <w:b/>
          <w:spacing w:val="-2"/>
          <w:sz w:val="21"/>
        </w:rPr>
        <w:t>保险公司必须拥有获得使用被保险人的所有血液样本的权利和能够对这些样本进行独立检验的权利。</w:t>
      </w:r>
    </w:p>
    <w:p>
      <w:pPr>
        <w:spacing w:before="0" w:line="278" w:lineRule="auto"/>
        <w:ind w:left="2229" w:right="730" w:firstLine="0"/>
        <w:jc w:val="left"/>
        <w:rPr>
          <w:rFonts w:hint="eastAsia" w:ascii="黑体" w:hAnsi="黑体" w:eastAsia="黑体"/>
          <w:b/>
          <w:sz w:val="21"/>
        </w:rPr>
      </w:pPr>
      <w:r>
        <w:rPr>
          <w:rFonts w:hint="eastAsia" w:ascii="黑体" w:hAnsi="黑体" w:eastAsia="黑体"/>
          <w:b/>
          <w:spacing w:val="-2"/>
          <w:sz w:val="21"/>
        </w:rPr>
        <w:t>我们承担本项疾病责任不受本合同责任免除中“被保险人感染艾滋病病毒或患艾滋病”的限制。</w:t>
      </w:r>
    </w:p>
    <w:p>
      <w:pPr>
        <w:pStyle w:val="2"/>
        <w:spacing w:before="4"/>
        <w:rPr>
          <w:rFonts w:ascii="黑体"/>
          <w:b/>
          <w:sz w:val="24"/>
        </w:rPr>
      </w:pPr>
    </w:p>
    <w:p>
      <w:pPr>
        <w:pStyle w:val="2"/>
        <w:tabs>
          <w:tab w:val="left" w:pos="2229"/>
        </w:tabs>
        <w:ind w:left="194"/>
      </w:pPr>
      <w:r>
        <w:t>33.</w:t>
      </w:r>
      <w:r>
        <w:rPr>
          <w:spacing w:val="91"/>
          <w:w w:val="150"/>
        </w:rPr>
        <w:t xml:space="preserve"> </w:t>
      </w:r>
      <w:r>
        <w:rPr>
          <w:b/>
        </w:rPr>
        <w:t>原发性硬</w:t>
      </w:r>
      <w:r>
        <w:rPr>
          <w:b/>
          <w:spacing w:val="-10"/>
        </w:rPr>
        <w:t>化</w:t>
      </w:r>
      <w:r>
        <w:rPr>
          <w:b/>
        </w:rPr>
        <w:tab/>
      </w:r>
      <w:r>
        <w:rPr>
          <w:spacing w:val="-4"/>
        </w:rPr>
        <w:t>指一种胆汁淤积综合征，其特征是肝内、肝外胆道因纤维化性炎症</w:t>
      </w:r>
      <w:r>
        <w:rPr>
          <w:spacing w:val="-10"/>
        </w:rPr>
        <w:t>逐</w:t>
      </w:r>
    </w:p>
    <w:p>
      <w:pPr>
        <w:spacing w:after="0"/>
        <w:sectPr>
          <w:pgSz w:w="11910" w:h="16840"/>
          <w:pgMar w:top="1480" w:right="1080" w:bottom="1320" w:left="1580" w:header="0" w:footer="1137" w:gutter="0"/>
          <w:cols w:space="720" w:num="1"/>
        </w:sectPr>
      </w:pPr>
    </w:p>
    <w:tbl>
      <w:tblPr>
        <w:tblStyle w:val="3"/>
        <w:tblW w:w="0" w:type="auto"/>
        <w:tblInd w:w="1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92"/>
        <w:gridCol w:w="1487"/>
        <w:gridCol w:w="64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492" w:type="dxa"/>
          </w:tcPr>
          <w:p>
            <w:pPr>
              <w:pStyle w:val="7"/>
              <w:rPr>
                <w:rFonts w:ascii="Times New Roman"/>
                <w:sz w:val="18"/>
              </w:rPr>
            </w:pPr>
          </w:p>
        </w:tc>
        <w:tc>
          <w:tcPr>
            <w:tcW w:w="1487" w:type="dxa"/>
          </w:tcPr>
          <w:p>
            <w:pPr>
              <w:pStyle w:val="7"/>
              <w:spacing w:line="232" w:lineRule="exact"/>
              <w:ind w:left="124"/>
              <w:rPr>
                <w:b/>
                <w:sz w:val="21"/>
              </w:rPr>
            </w:pPr>
            <w:r>
              <w:rPr>
                <w:b/>
                <w:spacing w:val="-3"/>
                <w:sz w:val="21"/>
              </w:rPr>
              <w:t>性胆管炎</w:t>
            </w:r>
          </w:p>
        </w:tc>
        <w:tc>
          <w:tcPr>
            <w:tcW w:w="6479" w:type="dxa"/>
          </w:tcPr>
          <w:p>
            <w:pPr>
              <w:pStyle w:val="7"/>
              <w:spacing w:line="232" w:lineRule="exact"/>
              <w:ind w:left="106"/>
              <w:rPr>
                <w:sz w:val="21"/>
              </w:rPr>
            </w:pPr>
            <w:r>
              <w:rPr>
                <w:spacing w:val="-5"/>
                <w:sz w:val="21"/>
              </w:rPr>
              <w:t>渐狭窄，并最终导致完全阻塞而发展为肝硬化。本病须经内镜逆行胰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487" w:type="dxa"/>
          </w:tcPr>
          <w:p>
            <w:pPr>
              <w:pStyle w:val="7"/>
              <w:rPr>
                <w:rFonts w:ascii="Times New Roman"/>
                <w:sz w:val="20"/>
              </w:rPr>
            </w:pPr>
          </w:p>
        </w:tc>
        <w:tc>
          <w:tcPr>
            <w:tcW w:w="6479" w:type="dxa"/>
          </w:tcPr>
          <w:p>
            <w:pPr>
              <w:pStyle w:val="7"/>
              <w:spacing w:before="13"/>
              <w:ind w:left="106"/>
              <w:rPr>
                <w:sz w:val="21"/>
              </w:rPr>
            </w:pPr>
            <w:r>
              <w:rPr>
                <w:spacing w:val="-3"/>
                <w:sz w:val="21"/>
              </w:rPr>
              <w:t>胆管造影等影像学检查证实，并须满足下列全部条件：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487" w:type="dxa"/>
          </w:tcPr>
          <w:p>
            <w:pPr>
              <w:pStyle w:val="7"/>
              <w:rPr>
                <w:rFonts w:ascii="Times New Roman"/>
                <w:sz w:val="20"/>
              </w:rPr>
            </w:pPr>
          </w:p>
        </w:tc>
        <w:tc>
          <w:tcPr>
            <w:tcW w:w="6479" w:type="dxa"/>
          </w:tcPr>
          <w:p>
            <w:pPr>
              <w:pStyle w:val="7"/>
              <w:spacing w:before="13"/>
              <w:ind w:left="106"/>
              <w:rPr>
                <w:sz w:val="21"/>
              </w:rPr>
            </w:pPr>
            <w:r>
              <w:rPr>
                <w:spacing w:val="-2"/>
                <w:sz w:val="21"/>
              </w:rPr>
              <w:t>（1）</w:t>
            </w:r>
            <w:r>
              <w:rPr>
                <w:spacing w:val="-11"/>
                <w:sz w:val="21"/>
              </w:rPr>
              <w:t xml:space="preserve"> 总胆红素和直接胆红素同时升高，血清 </w:t>
            </w:r>
            <w:r>
              <w:rPr>
                <w:spacing w:val="-2"/>
                <w:sz w:val="21"/>
              </w:rPr>
              <w:t>ALP&gt;200U/L；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492" w:type="dxa"/>
          </w:tcPr>
          <w:p>
            <w:pPr>
              <w:pStyle w:val="7"/>
              <w:rPr>
                <w:rFonts w:ascii="Times New Roman"/>
                <w:sz w:val="20"/>
              </w:rPr>
            </w:pPr>
          </w:p>
        </w:tc>
        <w:tc>
          <w:tcPr>
            <w:tcW w:w="1487" w:type="dxa"/>
          </w:tcPr>
          <w:p>
            <w:pPr>
              <w:pStyle w:val="7"/>
              <w:rPr>
                <w:rFonts w:ascii="Times New Roman"/>
                <w:sz w:val="20"/>
              </w:rPr>
            </w:pPr>
          </w:p>
        </w:tc>
        <w:tc>
          <w:tcPr>
            <w:tcW w:w="6479" w:type="dxa"/>
          </w:tcPr>
          <w:p>
            <w:pPr>
              <w:pStyle w:val="7"/>
              <w:spacing w:before="13"/>
              <w:ind w:left="106"/>
              <w:rPr>
                <w:sz w:val="21"/>
              </w:rPr>
            </w:pPr>
            <w:r>
              <w:rPr>
                <w:spacing w:val="-2"/>
                <w:sz w:val="21"/>
              </w:rPr>
              <w:t>（2）</w:t>
            </w:r>
            <w:r>
              <w:rPr>
                <w:spacing w:val="-10"/>
                <w:sz w:val="21"/>
              </w:rPr>
              <w:t xml:space="preserve"> 持续性黄疸病史；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75" w:hRule="atLeast"/>
        </w:trPr>
        <w:tc>
          <w:tcPr>
            <w:tcW w:w="492" w:type="dxa"/>
          </w:tcPr>
          <w:p>
            <w:pPr>
              <w:pStyle w:val="7"/>
              <w:rPr>
                <w:rFonts w:ascii="Times New Roman"/>
                <w:sz w:val="20"/>
              </w:rPr>
            </w:pPr>
          </w:p>
        </w:tc>
        <w:tc>
          <w:tcPr>
            <w:tcW w:w="1487" w:type="dxa"/>
          </w:tcPr>
          <w:p>
            <w:pPr>
              <w:pStyle w:val="7"/>
              <w:rPr>
                <w:rFonts w:ascii="Times New Roman"/>
                <w:sz w:val="20"/>
              </w:rPr>
            </w:pPr>
          </w:p>
        </w:tc>
        <w:tc>
          <w:tcPr>
            <w:tcW w:w="6479" w:type="dxa"/>
          </w:tcPr>
          <w:p>
            <w:pPr>
              <w:pStyle w:val="7"/>
              <w:spacing w:before="13"/>
              <w:ind w:left="106"/>
              <w:rPr>
                <w:sz w:val="21"/>
              </w:rPr>
            </w:pPr>
            <w:r>
              <w:rPr>
                <w:spacing w:val="-2"/>
                <w:sz w:val="21"/>
              </w:rPr>
              <w:t>（3）</w:t>
            </w:r>
            <w:r>
              <w:rPr>
                <w:spacing w:val="-9"/>
                <w:sz w:val="21"/>
              </w:rPr>
              <w:t xml:space="preserve"> 出现胆汁性肝硬化或门脉高压。</w:t>
            </w:r>
          </w:p>
          <w:p>
            <w:pPr>
              <w:pStyle w:val="7"/>
              <w:spacing w:before="43"/>
              <w:ind w:left="106"/>
              <w:rPr>
                <w:rFonts w:hint="eastAsia" w:ascii="黑体" w:eastAsia="黑体"/>
                <w:b/>
                <w:sz w:val="21"/>
              </w:rPr>
            </w:pPr>
            <w:r>
              <w:rPr>
                <w:rFonts w:hint="eastAsia" w:ascii="黑体" w:eastAsia="黑体"/>
                <w:b/>
                <w:spacing w:val="-3"/>
                <w:sz w:val="21"/>
              </w:rPr>
              <w:t>因肿瘤或胆管损伤等继发性的硬化性胆管炎不在保障范围内。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2" w:hRule="atLeast"/>
        </w:trPr>
        <w:tc>
          <w:tcPr>
            <w:tcW w:w="492" w:type="dxa"/>
          </w:tcPr>
          <w:p>
            <w:pPr>
              <w:pStyle w:val="7"/>
              <w:spacing w:before="173"/>
              <w:ind w:left="50"/>
              <w:rPr>
                <w:sz w:val="21"/>
              </w:rPr>
            </w:pPr>
            <w:r>
              <w:rPr>
                <w:spacing w:val="-5"/>
                <w:sz w:val="21"/>
              </w:rPr>
              <w:t>34.</w:t>
            </w:r>
          </w:p>
        </w:tc>
        <w:tc>
          <w:tcPr>
            <w:tcW w:w="1487" w:type="dxa"/>
          </w:tcPr>
          <w:p>
            <w:pPr>
              <w:pStyle w:val="7"/>
              <w:spacing w:before="173"/>
              <w:ind w:left="124"/>
              <w:rPr>
                <w:b/>
                <w:sz w:val="21"/>
              </w:rPr>
            </w:pPr>
            <w:r>
              <w:rPr>
                <w:b/>
                <w:spacing w:val="-2"/>
                <w:sz w:val="21"/>
              </w:rPr>
              <w:t>特发性慢性</w:t>
            </w:r>
          </w:p>
        </w:tc>
        <w:tc>
          <w:tcPr>
            <w:tcW w:w="6479" w:type="dxa"/>
          </w:tcPr>
          <w:p>
            <w:pPr>
              <w:pStyle w:val="7"/>
              <w:spacing w:before="173"/>
              <w:ind w:left="106"/>
              <w:rPr>
                <w:sz w:val="21"/>
              </w:rPr>
            </w:pPr>
            <w:r>
              <w:rPr>
                <w:spacing w:val="-5"/>
                <w:sz w:val="21"/>
              </w:rPr>
              <w:t>因为自身免疫功能紊乱，使肾上腺组织逐渐受损，而需要长期接受糖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492" w:type="dxa"/>
          </w:tcPr>
          <w:p>
            <w:pPr>
              <w:pStyle w:val="7"/>
              <w:rPr>
                <w:rFonts w:ascii="Times New Roman"/>
                <w:sz w:val="20"/>
              </w:rPr>
            </w:pPr>
          </w:p>
        </w:tc>
        <w:tc>
          <w:tcPr>
            <w:tcW w:w="1487" w:type="dxa"/>
          </w:tcPr>
          <w:p>
            <w:pPr>
              <w:pStyle w:val="7"/>
              <w:spacing w:before="13"/>
              <w:ind w:left="124"/>
              <w:rPr>
                <w:b/>
                <w:sz w:val="21"/>
              </w:rPr>
            </w:pPr>
            <w:r>
              <w:rPr>
                <w:b/>
                <w:spacing w:val="-2"/>
                <w:sz w:val="21"/>
              </w:rPr>
              <w:t>肾上腺皮质</w:t>
            </w:r>
          </w:p>
        </w:tc>
        <w:tc>
          <w:tcPr>
            <w:tcW w:w="6479" w:type="dxa"/>
          </w:tcPr>
          <w:p>
            <w:pPr>
              <w:pStyle w:val="7"/>
              <w:spacing w:before="13"/>
              <w:ind w:left="106"/>
              <w:rPr>
                <w:sz w:val="21"/>
              </w:rPr>
            </w:pPr>
            <w:r>
              <w:rPr>
                <w:spacing w:val="-5"/>
                <w:sz w:val="21"/>
              </w:rPr>
              <w:t>皮质激素及肾上腺皮质激素替代疗法。该病必须经内分泌专科医生确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487" w:type="dxa"/>
          </w:tcPr>
          <w:p>
            <w:pPr>
              <w:pStyle w:val="7"/>
              <w:spacing w:before="13"/>
              <w:ind w:left="124"/>
              <w:rPr>
                <w:b/>
                <w:sz w:val="21"/>
              </w:rPr>
            </w:pPr>
            <w:r>
              <w:rPr>
                <w:b/>
                <w:spacing w:val="-3"/>
                <w:sz w:val="21"/>
              </w:rPr>
              <w:t>功能减退</w:t>
            </w:r>
          </w:p>
        </w:tc>
        <w:tc>
          <w:tcPr>
            <w:tcW w:w="6479" w:type="dxa"/>
          </w:tcPr>
          <w:p>
            <w:pPr>
              <w:pStyle w:val="7"/>
              <w:spacing w:before="13"/>
              <w:ind w:left="106"/>
              <w:rPr>
                <w:sz w:val="21"/>
              </w:rPr>
            </w:pPr>
            <w:r>
              <w:rPr>
                <w:spacing w:val="-3"/>
                <w:sz w:val="21"/>
              </w:rPr>
              <w:t>诊，并有以下报告作为证据：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487" w:type="dxa"/>
          </w:tcPr>
          <w:p>
            <w:pPr>
              <w:pStyle w:val="7"/>
              <w:rPr>
                <w:rFonts w:ascii="Times New Roman"/>
                <w:sz w:val="20"/>
              </w:rPr>
            </w:pPr>
          </w:p>
        </w:tc>
        <w:tc>
          <w:tcPr>
            <w:tcW w:w="6479" w:type="dxa"/>
          </w:tcPr>
          <w:p>
            <w:pPr>
              <w:pStyle w:val="7"/>
              <w:spacing w:before="13"/>
              <w:ind w:left="106"/>
              <w:rPr>
                <w:sz w:val="21"/>
              </w:rPr>
            </w:pPr>
            <w:r>
              <w:rPr>
                <w:spacing w:val="-2"/>
                <w:sz w:val="21"/>
              </w:rPr>
              <w:t>（1）</w:t>
            </w:r>
            <w:r>
              <w:rPr>
                <w:spacing w:val="-7"/>
                <w:sz w:val="21"/>
              </w:rPr>
              <w:t xml:space="preserve"> 促肾上腺皮质激素(</w:t>
            </w:r>
            <w:r>
              <w:rPr>
                <w:spacing w:val="-2"/>
                <w:sz w:val="21"/>
              </w:rPr>
              <w:t>ACTH</w:t>
            </w:r>
            <w:r>
              <w:rPr>
                <w:spacing w:val="-4"/>
                <w:sz w:val="21"/>
              </w:rPr>
              <w:t>)刺激试验；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487" w:type="dxa"/>
          </w:tcPr>
          <w:p>
            <w:pPr>
              <w:pStyle w:val="7"/>
              <w:rPr>
                <w:rFonts w:ascii="Times New Roman"/>
                <w:sz w:val="20"/>
              </w:rPr>
            </w:pPr>
          </w:p>
        </w:tc>
        <w:tc>
          <w:tcPr>
            <w:tcW w:w="6479" w:type="dxa"/>
          </w:tcPr>
          <w:p>
            <w:pPr>
              <w:pStyle w:val="7"/>
              <w:spacing w:before="14"/>
              <w:ind w:left="106"/>
              <w:rPr>
                <w:sz w:val="21"/>
              </w:rPr>
            </w:pPr>
            <w:r>
              <w:rPr>
                <w:spacing w:val="-2"/>
                <w:sz w:val="21"/>
              </w:rPr>
              <w:t>（2）</w:t>
            </w:r>
            <w:r>
              <w:rPr>
                <w:spacing w:val="-10"/>
                <w:sz w:val="21"/>
              </w:rPr>
              <w:t xml:space="preserve"> 胰岛素血糖减少测试；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487" w:type="dxa"/>
          </w:tcPr>
          <w:p>
            <w:pPr>
              <w:pStyle w:val="7"/>
              <w:rPr>
                <w:rFonts w:ascii="Times New Roman"/>
                <w:sz w:val="20"/>
              </w:rPr>
            </w:pPr>
          </w:p>
        </w:tc>
        <w:tc>
          <w:tcPr>
            <w:tcW w:w="6479" w:type="dxa"/>
          </w:tcPr>
          <w:p>
            <w:pPr>
              <w:pStyle w:val="7"/>
              <w:spacing w:before="13"/>
              <w:ind w:left="106"/>
              <w:rPr>
                <w:sz w:val="21"/>
              </w:rPr>
            </w:pPr>
            <w:r>
              <w:rPr>
                <w:spacing w:val="-2"/>
                <w:sz w:val="21"/>
              </w:rPr>
              <w:t>（3）</w:t>
            </w:r>
            <w:r>
              <w:rPr>
                <w:spacing w:val="-8"/>
                <w:sz w:val="21"/>
              </w:rPr>
              <w:t xml:space="preserve"> 血浆促肾上腺皮质激素(</w:t>
            </w:r>
            <w:r>
              <w:rPr>
                <w:spacing w:val="-2"/>
                <w:sz w:val="21"/>
              </w:rPr>
              <w:t>ACTH</w:t>
            </w:r>
            <w:r>
              <w:rPr>
                <w:spacing w:val="-4"/>
                <w:sz w:val="21"/>
              </w:rPr>
              <w:t>)水平测定；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5" w:hRule="atLeast"/>
        </w:trPr>
        <w:tc>
          <w:tcPr>
            <w:tcW w:w="492" w:type="dxa"/>
          </w:tcPr>
          <w:p>
            <w:pPr>
              <w:pStyle w:val="7"/>
              <w:rPr>
                <w:rFonts w:ascii="Times New Roman"/>
                <w:sz w:val="20"/>
              </w:rPr>
            </w:pPr>
          </w:p>
        </w:tc>
        <w:tc>
          <w:tcPr>
            <w:tcW w:w="1487" w:type="dxa"/>
          </w:tcPr>
          <w:p>
            <w:pPr>
              <w:pStyle w:val="7"/>
              <w:rPr>
                <w:rFonts w:ascii="Times New Roman"/>
                <w:sz w:val="20"/>
              </w:rPr>
            </w:pPr>
          </w:p>
        </w:tc>
        <w:tc>
          <w:tcPr>
            <w:tcW w:w="6479" w:type="dxa"/>
          </w:tcPr>
          <w:p>
            <w:pPr>
              <w:pStyle w:val="7"/>
              <w:spacing w:before="13"/>
              <w:ind w:left="106"/>
              <w:rPr>
                <w:sz w:val="21"/>
              </w:rPr>
            </w:pPr>
            <w:r>
              <w:rPr>
                <w:spacing w:val="-2"/>
                <w:sz w:val="21"/>
              </w:rPr>
              <w:t>（4）</w:t>
            </w:r>
            <w:r>
              <w:rPr>
                <w:spacing w:val="-8"/>
                <w:sz w:val="21"/>
              </w:rPr>
              <w:t xml:space="preserve"> 血浆肾素活性(</w:t>
            </w:r>
            <w:r>
              <w:rPr>
                <w:spacing w:val="-2"/>
                <w:sz w:val="21"/>
              </w:rPr>
              <w:t>PRA</w:t>
            </w:r>
            <w:r>
              <w:rPr>
                <w:spacing w:val="-4"/>
                <w:sz w:val="21"/>
              </w:rPr>
              <w:t>)测定。</w:t>
            </w:r>
          </w:p>
          <w:p>
            <w:pPr>
              <w:pStyle w:val="7"/>
              <w:spacing w:before="43"/>
              <w:ind w:left="106"/>
              <w:rPr>
                <w:rFonts w:hint="eastAsia" w:ascii="黑体" w:eastAsia="黑体"/>
                <w:b/>
                <w:sz w:val="21"/>
              </w:rPr>
            </w:pPr>
            <w:r>
              <w:rPr>
                <w:rFonts w:hint="eastAsia" w:ascii="黑体" w:eastAsia="黑体"/>
                <w:b/>
                <w:spacing w:val="-3"/>
                <w:sz w:val="21"/>
              </w:rPr>
              <w:t>慢性肾上腺皮质功能衰竭只对由自身免疫功能紊乱引起的承担保险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2" w:hRule="atLeast"/>
        </w:trPr>
        <w:tc>
          <w:tcPr>
            <w:tcW w:w="492" w:type="dxa"/>
          </w:tcPr>
          <w:p>
            <w:pPr>
              <w:pStyle w:val="7"/>
              <w:rPr>
                <w:rFonts w:ascii="Times New Roman"/>
                <w:sz w:val="20"/>
              </w:rPr>
            </w:pPr>
          </w:p>
        </w:tc>
        <w:tc>
          <w:tcPr>
            <w:tcW w:w="1487" w:type="dxa"/>
          </w:tcPr>
          <w:p>
            <w:pPr>
              <w:pStyle w:val="7"/>
              <w:rPr>
                <w:rFonts w:ascii="Times New Roman"/>
                <w:sz w:val="20"/>
              </w:rPr>
            </w:pPr>
          </w:p>
        </w:tc>
        <w:tc>
          <w:tcPr>
            <w:tcW w:w="6479" w:type="dxa"/>
          </w:tcPr>
          <w:p>
            <w:pPr>
              <w:pStyle w:val="7"/>
              <w:spacing w:before="22"/>
              <w:ind w:left="106"/>
              <w:rPr>
                <w:rFonts w:hint="eastAsia" w:ascii="黑体" w:eastAsia="黑体"/>
                <w:b/>
                <w:sz w:val="21"/>
              </w:rPr>
            </w:pPr>
            <w:r>
              <w:rPr>
                <w:rFonts w:hint="eastAsia" w:ascii="黑体" w:eastAsia="黑体"/>
                <w:b/>
                <w:spacing w:val="-3"/>
                <w:sz w:val="21"/>
              </w:rPr>
              <w:t>责任，其他原因引起的除外。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2" w:hRule="atLeast"/>
        </w:trPr>
        <w:tc>
          <w:tcPr>
            <w:tcW w:w="492" w:type="dxa"/>
          </w:tcPr>
          <w:p>
            <w:pPr>
              <w:pStyle w:val="7"/>
              <w:spacing w:before="173"/>
              <w:ind w:left="50"/>
              <w:rPr>
                <w:sz w:val="21"/>
              </w:rPr>
            </w:pPr>
            <w:r>
              <w:rPr>
                <w:spacing w:val="-5"/>
                <w:sz w:val="21"/>
              </w:rPr>
              <w:t>35.</w:t>
            </w:r>
          </w:p>
        </w:tc>
        <w:tc>
          <w:tcPr>
            <w:tcW w:w="1487" w:type="dxa"/>
          </w:tcPr>
          <w:p>
            <w:pPr>
              <w:pStyle w:val="7"/>
              <w:spacing w:before="173"/>
              <w:ind w:left="124"/>
              <w:rPr>
                <w:b/>
                <w:sz w:val="21"/>
              </w:rPr>
            </w:pPr>
            <w:r>
              <w:rPr>
                <w:b/>
                <w:spacing w:val="-2"/>
                <w:sz w:val="21"/>
              </w:rPr>
              <w:t>系统性红斑</w:t>
            </w:r>
          </w:p>
        </w:tc>
        <w:tc>
          <w:tcPr>
            <w:tcW w:w="6479" w:type="dxa"/>
          </w:tcPr>
          <w:p>
            <w:pPr>
              <w:pStyle w:val="7"/>
              <w:spacing w:before="173"/>
              <w:ind w:left="106"/>
              <w:rPr>
                <w:sz w:val="21"/>
              </w:rPr>
            </w:pPr>
            <w:r>
              <w:rPr>
                <w:spacing w:val="-3"/>
                <w:sz w:val="21"/>
              </w:rPr>
              <w:t>系统性红斑狼疮是由多种因素引起，累及多系统的自身免疫性疾病。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56" w:hRule="atLeast"/>
        </w:trPr>
        <w:tc>
          <w:tcPr>
            <w:tcW w:w="492" w:type="dxa"/>
          </w:tcPr>
          <w:p>
            <w:pPr>
              <w:pStyle w:val="7"/>
              <w:rPr>
                <w:rFonts w:ascii="Times New Roman"/>
                <w:sz w:val="20"/>
              </w:rPr>
            </w:pPr>
          </w:p>
        </w:tc>
        <w:tc>
          <w:tcPr>
            <w:tcW w:w="1487" w:type="dxa"/>
          </w:tcPr>
          <w:p>
            <w:pPr>
              <w:pStyle w:val="7"/>
              <w:spacing w:before="13" w:line="278" w:lineRule="auto"/>
              <w:ind w:left="124" w:right="105"/>
              <w:rPr>
                <w:b/>
                <w:sz w:val="21"/>
              </w:rPr>
            </w:pPr>
            <w:r>
              <w:rPr>
                <w:b/>
                <w:sz w:val="21"/>
              </w:rPr>
              <w:t>狼疮 －（并</w:t>
            </w:r>
            <w:r>
              <w:rPr>
                <w:b/>
                <w:spacing w:val="-4"/>
                <w:sz w:val="21"/>
              </w:rPr>
              <w:t>发）Ⅲ型或以</w:t>
            </w:r>
            <w:r>
              <w:rPr>
                <w:b/>
                <w:spacing w:val="-2"/>
                <w:sz w:val="21"/>
              </w:rPr>
              <w:t xml:space="preserve">上狼疮性肾 </w:t>
            </w:r>
            <w:r>
              <w:rPr>
                <w:b/>
                <w:spacing w:val="-10"/>
                <w:sz w:val="21"/>
              </w:rPr>
              <w:t>炎</w:t>
            </w:r>
          </w:p>
        </w:tc>
        <w:tc>
          <w:tcPr>
            <w:tcW w:w="6479" w:type="dxa"/>
          </w:tcPr>
          <w:p>
            <w:pPr>
              <w:pStyle w:val="7"/>
              <w:spacing w:before="13"/>
              <w:ind w:left="106"/>
              <w:rPr>
                <w:sz w:val="21"/>
              </w:rPr>
            </w:pPr>
            <w:r>
              <w:rPr>
                <w:spacing w:val="-3"/>
                <w:sz w:val="21"/>
              </w:rPr>
              <w:t>其特点是生成自身抗体对抗多种自身抗原。多见于育龄妇女。</w:t>
            </w:r>
          </w:p>
          <w:p>
            <w:pPr>
              <w:pStyle w:val="7"/>
              <w:spacing w:before="43" w:line="278" w:lineRule="auto"/>
              <w:ind w:left="106" w:right="48"/>
              <w:jc w:val="both"/>
              <w:rPr>
                <w:rFonts w:hint="eastAsia" w:ascii="黑体" w:hAnsi="黑体" w:eastAsia="黑体"/>
                <w:b/>
                <w:sz w:val="21"/>
              </w:rPr>
            </w:pPr>
            <w:r>
              <w:rPr>
                <w:spacing w:val="-2"/>
                <w:sz w:val="21"/>
              </w:rPr>
              <w:t>本合同所指的系统性红斑狼疮仅限于累及肾脏</w:t>
            </w:r>
            <w:r>
              <w:rPr>
                <w:rFonts w:hint="eastAsia" w:ascii="黑体" w:hAnsi="黑体" w:eastAsia="黑体"/>
                <w:b/>
                <w:spacing w:val="-2"/>
                <w:sz w:val="21"/>
              </w:rPr>
              <w:t>（经肾脏活检确认的，</w:t>
            </w:r>
            <w:r>
              <w:rPr>
                <w:rFonts w:hint="eastAsia" w:ascii="黑体" w:hAnsi="黑体" w:eastAsia="黑体"/>
                <w:b/>
                <w:w w:val="95"/>
                <w:sz w:val="21"/>
              </w:rPr>
              <w:t>符合 WHO 诊断标准定义Ⅲ型至 V 型狼疮性肾炎）</w:t>
            </w:r>
            <w:r>
              <w:rPr>
                <w:w w:val="95"/>
                <w:sz w:val="21"/>
              </w:rPr>
              <w:t>的系统性红斑狼疮。</w:t>
            </w:r>
            <w:r>
              <w:rPr>
                <w:rFonts w:hint="eastAsia" w:ascii="黑体" w:hAnsi="黑体" w:eastAsia="黑体"/>
                <w:b/>
                <w:spacing w:val="-2"/>
                <w:sz w:val="21"/>
              </w:rPr>
              <w:t>其他类型的红斑性狼疮，如盘状狼疮、仅累及血液及关节的狼疮不在</w:t>
            </w:r>
          </w:p>
          <w:p>
            <w:pPr>
              <w:pStyle w:val="7"/>
              <w:ind w:left="106"/>
              <w:rPr>
                <w:rFonts w:hint="eastAsia" w:ascii="黑体" w:eastAsia="黑体"/>
                <w:b/>
                <w:sz w:val="21"/>
              </w:rPr>
            </w:pPr>
            <w:r>
              <w:rPr>
                <w:rFonts w:hint="eastAsia" w:ascii="黑体" w:eastAsia="黑体"/>
                <w:b/>
                <w:spacing w:val="-2"/>
                <w:sz w:val="21"/>
              </w:rPr>
              <w:t>保障范围內。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6" w:hRule="atLeast"/>
        </w:trPr>
        <w:tc>
          <w:tcPr>
            <w:tcW w:w="492" w:type="dxa"/>
          </w:tcPr>
          <w:p>
            <w:pPr>
              <w:pStyle w:val="7"/>
              <w:rPr>
                <w:rFonts w:ascii="Times New Roman"/>
                <w:sz w:val="20"/>
              </w:rPr>
            </w:pPr>
          </w:p>
        </w:tc>
        <w:tc>
          <w:tcPr>
            <w:tcW w:w="1487" w:type="dxa"/>
          </w:tcPr>
          <w:p>
            <w:pPr>
              <w:pStyle w:val="7"/>
              <w:rPr>
                <w:rFonts w:ascii="Times New Roman"/>
                <w:sz w:val="20"/>
              </w:rPr>
            </w:pPr>
          </w:p>
        </w:tc>
        <w:tc>
          <w:tcPr>
            <w:tcW w:w="6479" w:type="dxa"/>
          </w:tcPr>
          <w:p>
            <w:pPr>
              <w:pStyle w:val="7"/>
              <w:spacing w:before="17"/>
              <w:ind w:left="106"/>
              <w:rPr>
                <w:sz w:val="21"/>
              </w:rPr>
            </w:pPr>
            <w:r>
              <w:rPr>
                <w:spacing w:val="-3"/>
                <w:sz w:val="21"/>
              </w:rPr>
              <w:t>本病必须由免疫和风湿科专家医师确诊。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492" w:type="dxa"/>
          </w:tcPr>
          <w:p>
            <w:pPr>
              <w:pStyle w:val="7"/>
              <w:rPr>
                <w:rFonts w:ascii="Times New Roman"/>
                <w:sz w:val="18"/>
              </w:rPr>
            </w:pPr>
          </w:p>
        </w:tc>
        <w:tc>
          <w:tcPr>
            <w:tcW w:w="1487" w:type="dxa"/>
          </w:tcPr>
          <w:p>
            <w:pPr>
              <w:pStyle w:val="7"/>
              <w:rPr>
                <w:rFonts w:ascii="Times New Roman"/>
                <w:sz w:val="18"/>
              </w:rPr>
            </w:pPr>
          </w:p>
        </w:tc>
        <w:tc>
          <w:tcPr>
            <w:tcW w:w="6479" w:type="dxa"/>
          </w:tcPr>
          <w:p>
            <w:pPr>
              <w:pStyle w:val="7"/>
              <w:spacing w:before="13" w:line="228" w:lineRule="exact"/>
              <w:ind w:left="106"/>
              <w:rPr>
                <w:sz w:val="21"/>
              </w:rPr>
            </w:pPr>
            <w:r>
              <w:rPr>
                <w:spacing w:val="-2"/>
                <w:sz w:val="21"/>
              </w:rPr>
              <w:t>世界卫生组织（WHO）</w:t>
            </w:r>
            <w:r>
              <w:rPr>
                <w:spacing w:val="-4"/>
                <w:sz w:val="21"/>
              </w:rPr>
              <w:t>狼疮性肾炎分型：</w:t>
            </w:r>
          </w:p>
        </w:tc>
      </w:tr>
    </w:tbl>
    <w:p>
      <w:pPr>
        <w:tabs>
          <w:tab w:val="left" w:pos="5174"/>
        </w:tabs>
        <w:spacing w:before="70" w:line="283" w:lineRule="auto"/>
        <w:ind w:left="2337" w:right="588" w:firstLine="0"/>
        <w:jc w:val="left"/>
        <w:rPr>
          <w:b/>
          <w:sz w:val="21"/>
        </w:rPr>
      </w:pPr>
      <w:r>
        <w:rPr>
          <w:b/>
          <w:spacing w:val="-2"/>
          <w:sz w:val="21"/>
        </w:rPr>
        <w:t>Ⅰ型（微小病变型）</w:t>
      </w:r>
      <w:r>
        <w:rPr>
          <w:b/>
          <w:sz w:val="21"/>
        </w:rPr>
        <w:tab/>
      </w:r>
      <w:r>
        <w:rPr>
          <w:b/>
          <w:spacing w:val="-2"/>
          <w:sz w:val="21"/>
        </w:rPr>
        <w:t>镜下阴性，尿液正常</w:t>
      </w:r>
      <w:r>
        <w:rPr>
          <w:b/>
          <w:spacing w:val="80"/>
          <w:w w:val="150"/>
          <w:sz w:val="21"/>
        </w:rPr>
        <w:t xml:space="preserve">       </w:t>
      </w:r>
      <w:r>
        <w:rPr>
          <w:b/>
          <w:spacing w:val="-2"/>
          <w:sz w:val="21"/>
        </w:rPr>
        <w:t>Ⅱ型（系膜病变型）</w:t>
      </w:r>
      <w:r>
        <w:rPr>
          <w:b/>
          <w:sz w:val="21"/>
        </w:rPr>
        <w:tab/>
      </w:r>
      <w:r>
        <w:rPr>
          <w:b/>
          <w:spacing w:val="-2"/>
          <w:sz w:val="21"/>
        </w:rPr>
        <w:t>中度蛋白尿，偶有尿沉渣改变</w:t>
      </w:r>
      <w:r>
        <w:rPr>
          <w:b/>
          <w:spacing w:val="80"/>
          <w:w w:val="150"/>
          <w:sz w:val="21"/>
        </w:rPr>
        <w:t xml:space="preserve">   </w:t>
      </w:r>
      <w:r>
        <w:rPr>
          <w:b/>
          <w:spacing w:val="-2"/>
          <w:sz w:val="21"/>
        </w:rPr>
        <w:t>Ⅲ型（局灶及节段增生型）</w:t>
      </w:r>
      <w:r>
        <w:rPr>
          <w:b/>
          <w:sz w:val="21"/>
        </w:rPr>
        <w:tab/>
      </w:r>
      <w:r>
        <w:rPr>
          <w:b/>
          <w:spacing w:val="-2"/>
          <w:sz w:val="21"/>
        </w:rPr>
        <w:t>蛋白尿，尿沉渣改变</w:t>
      </w:r>
      <w:r>
        <w:rPr>
          <w:b/>
          <w:spacing w:val="80"/>
          <w:w w:val="150"/>
          <w:sz w:val="21"/>
        </w:rPr>
        <w:t xml:space="preserve">       </w:t>
      </w:r>
      <w:r>
        <w:rPr>
          <w:b/>
          <w:spacing w:val="-2"/>
          <w:sz w:val="21"/>
        </w:rPr>
        <w:t>Ⅳ型（弥漫增生型）</w:t>
      </w:r>
      <w:r>
        <w:rPr>
          <w:b/>
          <w:sz w:val="21"/>
        </w:rPr>
        <w:tab/>
      </w:r>
      <w:r>
        <w:rPr>
          <w:b/>
          <w:spacing w:val="-2"/>
          <w:sz w:val="21"/>
        </w:rPr>
        <w:t>急性肾炎伴有尿沉渣改变及/或肾病综 Ⅴ型（膜型）</w:t>
      </w:r>
      <w:r>
        <w:rPr>
          <w:b/>
          <w:sz w:val="21"/>
        </w:rPr>
        <w:tab/>
      </w:r>
      <w:r>
        <w:rPr>
          <w:b/>
          <w:spacing w:val="-2"/>
          <w:sz w:val="21"/>
        </w:rPr>
        <w:t>肾病综合征或重度蛋白尿</w:t>
      </w:r>
    </w:p>
    <w:p>
      <w:pPr>
        <w:pStyle w:val="2"/>
        <w:spacing w:before="1"/>
        <w:rPr>
          <w:b/>
          <w:sz w:val="20"/>
        </w:rPr>
      </w:pPr>
    </w:p>
    <w:p>
      <w:pPr>
        <w:spacing w:after="0"/>
        <w:rPr>
          <w:sz w:val="20"/>
        </w:rPr>
        <w:sectPr>
          <w:pgSz w:w="11910" w:h="16840"/>
          <w:pgMar w:top="1480" w:right="1080" w:bottom="1320" w:left="1580" w:header="0" w:footer="1137" w:gutter="0"/>
          <w:cols w:space="720" w:num="1"/>
        </w:sectPr>
      </w:pPr>
    </w:p>
    <w:p>
      <w:pPr>
        <w:spacing w:before="63"/>
        <w:ind w:left="194" w:right="0" w:firstLine="0"/>
        <w:jc w:val="left"/>
        <w:rPr>
          <w:b/>
          <w:sz w:val="21"/>
        </w:rPr>
      </w:pPr>
      <w:r>
        <w:rPr>
          <w:sz w:val="21"/>
        </w:rPr>
        <w:t>36.</w:t>
      </w:r>
      <w:r>
        <w:rPr>
          <w:spacing w:val="91"/>
          <w:w w:val="150"/>
          <w:sz w:val="21"/>
        </w:rPr>
        <w:t xml:space="preserve"> </w:t>
      </w:r>
      <w:r>
        <w:rPr>
          <w:b/>
          <w:spacing w:val="-2"/>
          <w:sz w:val="21"/>
        </w:rPr>
        <w:t>严重类风湿</w:t>
      </w:r>
    </w:p>
    <w:p>
      <w:pPr>
        <w:spacing w:before="44"/>
        <w:ind w:left="760" w:right="0" w:firstLine="0"/>
        <w:jc w:val="left"/>
        <w:rPr>
          <w:b/>
          <w:sz w:val="21"/>
        </w:rPr>
      </w:pPr>
      <w:r>
        <w:rPr>
          <w:b/>
          <w:spacing w:val="-3"/>
          <w:sz w:val="21"/>
        </w:rPr>
        <w:t>性关节炎</w:t>
      </w:r>
    </w:p>
    <w:p>
      <w:pPr>
        <w:pStyle w:val="2"/>
        <w:spacing w:before="63" w:line="278" w:lineRule="auto"/>
        <w:ind w:left="194" w:right="624"/>
      </w:pPr>
      <w:r>
        <w:br w:type="column"/>
      </w:r>
      <w:r>
        <w:rPr>
          <w:spacing w:val="-2"/>
        </w:rPr>
        <w:t>类风湿性关节炎为广泛分布的慢性进行性多关节病变，表现为关节严</w:t>
      </w:r>
      <w:r>
        <w:rPr>
          <w:spacing w:val="-6"/>
        </w:rPr>
        <w:t>重变形，侵犯至少三个主要关节或关节组（如：双手（多手指）关节、</w:t>
      </w:r>
      <w:r>
        <w:rPr>
          <w:spacing w:val="-2"/>
        </w:rPr>
        <w:t>双足（多足趾）关节、双腕关节、双膝关节和双髋关节</w:t>
      </w:r>
      <w:r>
        <w:rPr>
          <w:spacing w:val="-108"/>
        </w:rPr>
        <w:t>）</w:t>
      </w:r>
      <w:r>
        <w:rPr>
          <w:spacing w:val="-2"/>
        </w:rPr>
        <w:t>。类风湿性 关节炎必须明确诊断并且已经达到类风湿性关节炎功能分级Ⅲ级以</w:t>
      </w:r>
      <w:r>
        <w:rPr>
          <w:spacing w:val="80"/>
          <w:w w:val="150"/>
        </w:rPr>
        <w:t xml:space="preserve"> </w:t>
      </w:r>
      <w:r>
        <w:rPr>
          <w:spacing w:val="-2"/>
        </w:rPr>
        <w:t>上的功能障碍（关节活动严重限制，不能完成大部分的日常工作和活动）并且满足下列全部条件：</w:t>
      </w:r>
    </w:p>
    <w:p>
      <w:pPr>
        <w:pStyle w:val="6"/>
        <w:numPr>
          <w:ilvl w:val="0"/>
          <w:numId w:val="30"/>
        </w:numPr>
        <w:tabs>
          <w:tab w:val="left" w:pos="778"/>
        </w:tabs>
        <w:spacing w:before="0" w:after="0" w:line="240" w:lineRule="auto"/>
        <w:ind w:left="777" w:right="0" w:hanging="584"/>
        <w:jc w:val="left"/>
        <w:rPr>
          <w:sz w:val="21"/>
        </w:rPr>
      </w:pPr>
      <w:r>
        <w:rPr>
          <w:spacing w:val="-4"/>
          <w:sz w:val="21"/>
        </w:rPr>
        <w:t>晨僵；</w:t>
      </w:r>
    </w:p>
    <w:p>
      <w:pPr>
        <w:pStyle w:val="6"/>
        <w:numPr>
          <w:ilvl w:val="0"/>
          <w:numId w:val="30"/>
        </w:numPr>
        <w:tabs>
          <w:tab w:val="left" w:pos="778"/>
        </w:tabs>
        <w:spacing w:before="43" w:after="0" w:line="240" w:lineRule="auto"/>
        <w:ind w:left="777" w:right="0" w:hanging="584"/>
        <w:jc w:val="left"/>
        <w:rPr>
          <w:sz w:val="21"/>
        </w:rPr>
      </w:pPr>
      <w:r>
        <w:rPr>
          <w:spacing w:val="-4"/>
          <w:sz w:val="21"/>
        </w:rPr>
        <w:t>对称性关节炎；</w:t>
      </w:r>
    </w:p>
    <w:p>
      <w:pPr>
        <w:pStyle w:val="6"/>
        <w:numPr>
          <w:ilvl w:val="0"/>
          <w:numId w:val="30"/>
        </w:numPr>
        <w:tabs>
          <w:tab w:val="left" w:pos="778"/>
        </w:tabs>
        <w:spacing w:before="43" w:after="0" w:line="240" w:lineRule="auto"/>
        <w:ind w:left="777" w:right="0" w:hanging="584"/>
        <w:jc w:val="left"/>
        <w:rPr>
          <w:sz w:val="21"/>
        </w:rPr>
      </w:pPr>
      <w:r>
        <w:rPr>
          <w:spacing w:val="-3"/>
          <w:sz w:val="21"/>
        </w:rPr>
        <w:t>类风湿性皮下结节；</w:t>
      </w:r>
    </w:p>
    <w:p>
      <w:pPr>
        <w:pStyle w:val="6"/>
        <w:numPr>
          <w:ilvl w:val="0"/>
          <w:numId w:val="30"/>
        </w:numPr>
        <w:tabs>
          <w:tab w:val="left" w:pos="778"/>
        </w:tabs>
        <w:spacing w:before="43" w:after="0" w:line="240" w:lineRule="auto"/>
        <w:ind w:left="777" w:right="0" w:hanging="584"/>
        <w:jc w:val="left"/>
        <w:rPr>
          <w:sz w:val="21"/>
        </w:rPr>
      </w:pPr>
      <w:r>
        <w:rPr>
          <w:spacing w:val="-3"/>
          <w:sz w:val="21"/>
        </w:rPr>
        <w:t>类风湿因子滴度升高；</w:t>
      </w:r>
    </w:p>
    <w:p>
      <w:pPr>
        <w:pStyle w:val="6"/>
        <w:numPr>
          <w:ilvl w:val="0"/>
          <w:numId w:val="30"/>
        </w:numPr>
        <w:tabs>
          <w:tab w:val="left" w:pos="778"/>
        </w:tabs>
        <w:spacing w:before="43" w:after="0" w:line="278" w:lineRule="auto"/>
        <w:ind w:left="760" w:right="754" w:hanging="567"/>
        <w:jc w:val="left"/>
        <w:rPr>
          <w:sz w:val="21"/>
        </w:rPr>
      </w:pPr>
      <w:r>
        <w:rPr>
          <w:spacing w:val="-2"/>
          <w:sz w:val="21"/>
        </w:rPr>
        <w:t>自主生活能力严重丧失，无法独立完成六项基本日常生活活动中的三项或三项以上。</w:t>
      </w:r>
    </w:p>
    <w:p>
      <w:pPr>
        <w:spacing w:after="0" w:line="278" w:lineRule="auto"/>
        <w:jc w:val="left"/>
        <w:rPr>
          <w:sz w:val="21"/>
        </w:rPr>
        <w:sectPr>
          <w:type w:val="continuous"/>
          <w:pgSz w:w="11910" w:h="16840"/>
          <w:pgMar w:top="260" w:right="1080" w:bottom="1320" w:left="1580" w:header="0" w:footer="1137" w:gutter="0"/>
          <w:cols w:equalWidth="0" w:num="2">
            <w:col w:w="1857" w:space="179"/>
            <w:col w:w="7214"/>
          </w:cols>
        </w:sectPr>
      </w:pPr>
    </w:p>
    <w:tbl>
      <w:tblPr>
        <w:tblStyle w:val="3"/>
        <w:tblW w:w="0" w:type="auto"/>
        <w:tblInd w:w="1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92"/>
        <w:gridCol w:w="1388"/>
        <w:gridCol w:w="66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492" w:type="dxa"/>
          </w:tcPr>
          <w:p>
            <w:pPr>
              <w:pStyle w:val="7"/>
              <w:spacing w:line="232" w:lineRule="exact"/>
              <w:ind w:left="50"/>
              <w:rPr>
                <w:sz w:val="21"/>
              </w:rPr>
            </w:pPr>
            <w:r>
              <w:rPr>
                <w:spacing w:val="-5"/>
                <w:sz w:val="21"/>
              </w:rPr>
              <w:t>37.</w:t>
            </w:r>
          </w:p>
        </w:tc>
        <w:tc>
          <w:tcPr>
            <w:tcW w:w="1388" w:type="dxa"/>
          </w:tcPr>
          <w:p>
            <w:pPr>
              <w:pStyle w:val="7"/>
              <w:spacing w:line="232" w:lineRule="exact"/>
              <w:ind w:left="124"/>
              <w:rPr>
                <w:b/>
                <w:sz w:val="21"/>
              </w:rPr>
            </w:pPr>
            <w:r>
              <w:rPr>
                <w:b/>
                <w:spacing w:val="-2"/>
                <w:sz w:val="21"/>
              </w:rPr>
              <w:t>重症急性坏</w:t>
            </w:r>
          </w:p>
        </w:tc>
        <w:tc>
          <w:tcPr>
            <w:tcW w:w="6645" w:type="dxa"/>
          </w:tcPr>
          <w:p>
            <w:pPr>
              <w:pStyle w:val="7"/>
              <w:spacing w:line="232" w:lineRule="exact"/>
              <w:ind w:left="205"/>
              <w:rPr>
                <w:sz w:val="21"/>
              </w:rPr>
            </w:pPr>
            <w:r>
              <w:rPr>
                <w:spacing w:val="-3"/>
                <w:sz w:val="21"/>
              </w:rPr>
              <w:t>是一种由细菌侵入皮下组织和筋膜引起的急性坏死性软组织感染，可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spacing w:before="13"/>
              <w:ind w:left="124"/>
              <w:rPr>
                <w:b/>
                <w:sz w:val="21"/>
              </w:rPr>
            </w:pPr>
            <w:r>
              <w:rPr>
                <w:b/>
                <w:spacing w:val="-2"/>
                <w:sz w:val="21"/>
              </w:rPr>
              <w:t>死性筋膜炎</w:t>
            </w:r>
          </w:p>
        </w:tc>
        <w:tc>
          <w:tcPr>
            <w:tcW w:w="6645" w:type="dxa"/>
          </w:tcPr>
          <w:p>
            <w:pPr>
              <w:pStyle w:val="7"/>
              <w:spacing w:before="13"/>
              <w:ind w:left="205"/>
              <w:rPr>
                <w:sz w:val="21"/>
              </w:rPr>
            </w:pPr>
            <w:r>
              <w:rPr>
                <w:spacing w:val="-7"/>
                <w:sz w:val="21"/>
              </w:rPr>
              <w:t>伴有毒血症、败血症、中毒性休克、弥漫性血管内凝血及多器官衰竭。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645" w:type="dxa"/>
          </w:tcPr>
          <w:p>
            <w:pPr>
              <w:pStyle w:val="7"/>
              <w:spacing w:before="13"/>
              <w:ind w:left="205"/>
              <w:rPr>
                <w:sz w:val="21"/>
              </w:rPr>
            </w:pPr>
            <w:r>
              <w:rPr>
                <w:spacing w:val="-3"/>
                <w:sz w:val="21"/>
              </w:rPr>
              <w:t>必须满足以下所有条件：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645" w:type="dxa"/>
          </w:tcPr>
          <w:p>
            <w:pPr>
              <w:pStyle w:val="7"/>
              <w:spacing w:before="13"/>
              <w:ind w:left="205"/>
              <w:rPr>
                <w:sz w:val="21"/>
              </w:rPr>
            </w:pPr>
            <w:r>
              <w:rPr>
                <w:spacing w:val="-2"/>
                <w:sz w:val="21"/>
              </w:rPr>
              <w:t>（1）</w:t>
            </w:r>
            <w:r>
              <w:rPr>
                <w:spacing w:val="-9"/>
                <w:sz w:val="21"/>
              </w:rPr>
              <w:t xml:space="preserve"> 细菌培养和临床表现符合坏死性筋膜炎诊断标准；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645" w:type="dxa"/>
          </w:tcPr>
          <w:p>
            <w:pPr>
              <w:pStyle w:val="7"/>
              <w:spacing w:before="13"/>
              <w:ind w:left="205"/>
              <w:rPr>
                <w:sz w:val="21"/>
              </w:rPr>
            </w:pPr>
            <w:r>
              <w:rPr>
                <w:spacing w:val="-2"/>
                <w:sz w:val="21"/>
              </w:rPr>
              <w:t>（2）</w:t>
            </w:r>
            <w:r>
              <w:rPr>
                <w:spacing w:val="-9"/>
                <w:sz w:val="21"/>
              </w:rPr>
              <w:t xml:space="preserve"> 病情迅速恶化，有脓毒血症表现；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645" w:type="dxa"/>
          </w:tcPr>
          <w:p>
            <w:pPr>
              <w:pStyle w:val="7"/>
              <w:spacing w:before="13"/>
              <w:ind w:left="205"/>
              <w:rPr>
                <w:sz w:val="21"/>
              </w:rPr>
            </w:pPr>
            <w:r>
              <w:rPr>
                <w:spacing w:val="-2"/>
                <w:sz w:val="21"/>
              </w:rPr>
              <w:t>（3）</w:t>
            </w:r>
            <w:r>
              <w:rPr>
                <w:spacing w:val="-8"/>
                <w:sz w:val="21"/>
              </w:rPr>
              <w:t xml:space="preserve"> 受感染肢体被截肢</w:t>
            </w:r>
            <w:r>
              <w:rPr>
                <w:spacing w:val="-2"/>
                <w:sz w:val="21"/>
              </w:rPr>
              <w:t>（自腕关节或踝关节近端</w:t>
            </w:r>
            <w:r>
              <w:rPr>
                <w:spacing w:val="-108"/>
                <w:sz w:val="21"/>
              </w:rPr>
              <w:t>）</w:t>
            </w:r>
            <w:r>
              <w:rPr>
                <w:spacing w:val="-118"/>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492" w:type="dxa"/>
          </w:tcPr>
          <w:p>
            <w:pPr>
              <w:pStyle w:val="7"/>
              <w:spacing w:before="169"/>
              <w:ind w:left="50"/>
              <w:rPr>
                <w:sz w:val="21"/>
              </w:rPr>
            </w:pPr>
            <w:r>
              <w:rPr>
                <w:spacing w:val="-5"/>
                <w:sz w:val="21"/>
              </w:rPr>
              <w:t>38.</w:t>
            </w:r>
          </w:p>
        </w:tc>
        <w:tc>
          <w:tcPr>
            <w:tcW w:w="1388" w:type="dxa"/>
          </w:tcPr>
          <w:p>
            <w:pPr>
              <w:pStyle w:val="7"/>
              <w:spacing w:before="169"/>
              <w:ind w:left="124"/>
              <w:rPr>
                <w:b/>
                <w:sz w:val="21"/>
              </w:rPr>
            </w:pPr>
            <w:r>
              <w:rPr>
                <w:b/>
                <w:spacing w:val="-2"/>
                <w:sz w:val="21"/>
              </w:rPr>
              <w:t>急性坏死性</w:t>
            </w:r>
          </w:p>
        </w:tc>
        <w:tc>
          <w:tcPr>
            <w:tcW w:w="6645" w:type="dxa"/>
          </w:tcPr>
          <w:p>
            <w:pPr>
              <w:pStyle w:val="7"/>
              <w:spacing w:before="169"/>
              <w:ind w:left="205"/>
              <w:rPr>
                <w:sz w:val="21"/>
              </w:rPr>
            </w:pPr>
            <w:r>
              <w:rPr>
                <w:spacing w:val="-3"/>
                <w:sz w:val="21"/>
              </w:rPr>
              <w:t>指被保险人因为急性出血坏死性胰腺炎已经接受了外科开腹手术治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88" w:hRule="atLeast"/>
        </w:trPr>
        <w:tc>
          <w:tcPr>
            <w:tcW w:w="492" w:type="dxa"/>
          </w:tcPr>
          <w:p>
            <w:pPr>
              <w:pStyle w:val="7"/>
              <w:rPr>
                <w:rFonts w:ascii="Times New Roman"/>
                <w:sz w:val="20"/>
              </w:rPr>
            </w:pPr>
          </w:p>
        </w:tc>
        <w:tc>
          <w:tcPr>
            <w:tcW w:w="1388" w:type="dxa"/>
          </w:tcPr>
          <w:p>
            <w:pPr>
              <w:pStyle w:val="7"/>
              <w:spacing w:before="13" w:line="278" w:lineRule="auto"/>
              <w:ind w:left="124" w:right="205"/>
              <w:rPr>
                <w:b/>
                <w:sz w:val="21"/>
              </w:rPr>
            </w:pPr>
            <w:r>
              <w:rPr>
                <w:b/>
                <w:spacing w:val="-2"/>
                <w:sz w:val="21"/>
              </w:rPr>
              <w:t>胰腺炎开腹</w:t>
            </w:r>
            <w:r>
              <w:rPr>
                <w:b/>
                <w:spacing w:val="-6"/>
                <w:sz w:val="21"/>
              </w:rPr>
              <w:t>手术</w:t>
            </w:r>
          </w:p>
        </w:tc>
        <w:tc>
          <w:tcPr>
            <w:tcW w:w="6645" w:type="dxa"/>
          </w:tcPr>
          <w:p>
            <w:pPr>
              <w:pStyle w:val="7"/>
              <w:spacing w:before="13"/>
              <w:ind w:left="205"/>
              <w:rPr>
                <w:sz w:val="21"/>
              </w:rPr>
            </w:pPr>
            <w:r>
              <w:rPr>
                <w:spacing w:val="-3"/>
                <w:sz w:val="21"/>
              </w:rPr>
              <w:t>疗，以进行坏死组织清除、坏死病灶切除或胰腺切除。</w:t>
            </w:r>
          </w:p>
          <w:p>
            <w:pPr>
              <w:pStyle w:val="7"/>
              <w:spacing w:before="43" w:line="278" w:lineRule="auto"/>
              <w:ind w:left="205" w:right="321"/>
              <w:rPr>
                <w:rFonts w:hint="eastAsia" w:ascii="黑体" w:eastAsia="黑体"/>
                <w:b/>
                <w:sz w:val="21"/>
              </w:rPr>
            </w:pPr>
            <w:r>
              <w:rPr>
                <w:rFonts w:hint="eastAsia" w:ascii="黑体" w:eastAsia="黑体"/>
                <w:b/>
                <w:spacing w:val="-2"/>
                <w:sz w:val="21"/>
              </w:rPr>
              <w:t>因饮酒所致的急性出血坏死性胰腺炎或经腹腔镜手术进行的治疗不在保障范围内。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2" w:hRule="atLeast"/>
        </w:trPr>
        <w:tc>
          <w:tcPr>
            <w:tcW w:w="492" w:type="dxa"/>
          </w:tcPr>
          <w:p>
            <w:pPr>
              <w:pStyle w:val="7"/>
              <w:spacing w:before="174"/>
              <w:ind w:left="50"/>
              <w:rPr>
                <w:sz w:val="21"/>
              </w:rPr>
            </w:pPr>
            <w:r>
              <w:rPr>
                <w:spacing w:val="-5"/>
                <w:sz w:val="21"/>
              </w:rPr>
              <w:t>39.</w:t>
            </w:r>
          </w:p>
        </w:tc>
        <w:tc>
          <w:tcPr>
            <w:tcW w:w="1388" w:type="dxa"/>
          </w:tcPr>
          <w:p>
            <w:pPr>
              <w:pStyle w:val="7"/>
              <w:spacing w:before="174"/>
              <w:ind w:left="124"/>
              <w:rPr>
                <w:b/>
                <w:sz w:val="21"/>
              </w:rPr>
            </w:pPr>
            <w:r>
              <w:rPr>
                <w:b/>
                <w:spacing w:val="-2"/>
                <w:sz w:val="21"/>
              </w:rPr>
              <w:t>系统性硬皮</w:t>
            </w:r>
          </w:p>
        </w:tc>
        <w:tc>
          <w:tcPr>
            <w:tcW w:w="6645" w:type="dxa"/>
          </w:tcPr>
          <w:p>
            <w:pPr>
              <w:pStyle w:val="7"/>
              <w:spacing w:before="174"/>
              <w:ind w:left="205"/>
              <w:rPr>
                <w:sz w:val="21"/>
              </w:rPr>
            </w:pPr>
            <w:r>
              <w:rPr>
                <w:spacing w:val="-5"/>
                <w:sz w:val="21"/>
              </w:rPr>
              <w:t>指一种全身性的胶原血管性疾病，可以导致皮肤、血管及内脏器官进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492" w:type="dxa"/>
          </w:tcPr>
          <w:p>
            <w:pPr>
              <w:pStyle w:val="7"/>
              <w:rPr>
                <w:rFonts w:ascii="Times New Roman"/>
                <w:sz w:val="20"/>
              </w:rPr>
            </w:pPr>
          </w:p>
        </w:tc>
        <w:tc>
          <w:tcPr>
            <w:tcW w:w="1388" w:type="dxa"/>
          </w:tcPr>
          <w:p>
            <w:pPr>
              <w:pStyle w:val="7"/>
              <w:spacing w:before="13"/>
              <w:ind w:left="124"/>
              <w:rPr>
                <w:b/>
                <w:sz w:val="21"/>
              </w:rPr>
            </w:pPr>
            <w:r>
              <w:rPr>
                <w:b/>
                <w:w w:val="100"/>
                <w:sz w:val="21"/>
              </w:rPr>
              <w:t>病</w:t>
            </w:r>
          </w:p>
        </w:tc>
        <w:tc>
          <w:tcPr>
            <w:tcW w:w="6645" w:type="dxa"/>
          </w:tcPr>
          <w:p>
            <w:pPr>
              <w:pStyle w:val="7"/>
              <w:spacing w:before="13"/>
              <w:ind w:left="205"/>
              <w:rPr>
                <w:sz w:val="21"/>
              </w:rPr>
            </w:pPr>
            <w:r>
              <w:rPr>
                <w:spacing w:val="-5"/>
                <w:sz w:val="21"/>
              </w:rPr>
              <w:t>行性弥漫性纤维化。诊断必须经活检及血清学检查证实，疾病必须是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645" w:type="dxa"/>
          </w:tcPr>
          <w:p>
            <w:pPr>
              <w:pStyle w:val="7"/>
              <w:spacing w:before="13"/>
              <w:ind w:left="205"/>
              <w:rPr>
                <w:sz w:val="21"/>
              </w:rPr>
            </w:pPr>
            <w:r>
              <w:rPr>
                <w:spacing w:val="-3"/>
                <w:sz w:val="21"/>
              </w:rPr>
              <w:t>全身性，且须满足下列至少一项条件：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645" w:type="dxa"/>
          </w:tcPr>
          <w:p>
            <w:pPr>
              <w:pStyle w:val="7"/>
              <w:spacing w:before="13"/>
              <w:ind w:left="205"/>
              <w:rPr>
                <w:sz w:val="21"/>
              </w:rPr>
            </w:pPr>
            <w:r>
              <w:rPr>
                <w:spacing w:val="-2"/>
                <w:sz w:val="21"/>
              </w:rPr>
              <w:t>（1）</w:t>
            </w:r>
            <w:r>
              <w:rPr>
                <w:spacing w:val="-9"/>
                <w:sz w:val="21"/>
              </w:rPr>
              <w:t xml:space="preserve"> 肺脏：肺部病变进而发展为肺间质纤维化和肺动脉高压；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492" w:type="dxa"/>
          </w:tcPr>
          <w:p>
            <w:pPr>
              <w:pStyle w:val="7"/>
              <w:rPr>
                <w:rFonts w:ascii="Times New Roman"/>
                <w:sz w:val="18"/>
              </w:rPr>
            </w:pPr>
          </w:p>
        </w:tc>
        <w:tc>
          <w:tcPr>
            <w:tcW w:w="1388" w:type="dxa"/>
          </w:tcPr>
          <w:p>
            <w:pPr>
              <w:pStyle w:val="7"/>
              <w:rPr>
                <w:rFonts w:ascii="Times New Roman"/>
                <w:sz w:val="18"/>
              </w:rPr>
            </w:pPr>
          </w:p>
        </w:tc>
        <w:tc>
          <w:tcPr>
            <w:tcW w:w="6645" w:type="dxa"/>
          </w:tcPr>
          <w:p>
            <w:pPr>
              <w:pStyle w:val="7"/>
              <w:spacing w:before="13" w:line="228" w:lineRule="exact"/>
              <w:ind w:left="205"/>
              <w:rPr>
                <w:sz w:val="21"/>
              </w:rPr>
            </w:pPr>
            <w:r>
              <w:rPr>
                <w:spacing w:val="-4"/>
                <w:sz w:val="21"/>
              </w:rPr>
              <w:t>（2）</w:t>
            </w:r>
            <w:r>
              <w:rPr>
                <w:spacing w:val="-10"/>
                <w:sz w:val="21"/>
              </w:rPr>
              <w:t xml:space="preserve"> 心脏：心功能受损达到美国纽约心脏病学会心功能状态分级 </w:t>
            </w:r>
            <w:r>
              <w:rPr>
                <w:spacing w:val="-5"/>
                <w:sz w:val="21"/>
              </w:rPr>
              <w:t>IV</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645" w:type="dxa"/>
          </w:tcPr>
          <w:p>
            <w:pPr>
              <w:pStyle w:val="7"/>
              <w:spacing w:before="64" w:line="228" w:lineRule="exact"/>
              <w:ind w:left="772"/>
              <w:rPr>
                <w:sz w:val="21"/>
              </w:rPr>
            </w:pPr>
            <w:r>
              <w:rPr>
                <w:spacing w:val="-5"/>
                <w:sz w:val="21"/>
              </w:rPr>
              <w:t>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0"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645" w:type="dxa"/>
          </w:tcPr>
          <w:p>
            <w:pPr>
              <w:pStyle w:val="7"/>
              <w:spacing w:before="64"/>
              <w:ind w:left="205"/>
              <w:rPr>
                <w:sz w:val="21"/>
              </w:rPr>
            </w:pPr>
            <w:r>
              <w:rPr>
                <w:spacing w:val="-4"/>
                <w:sz w:val="21"/>
              </w:rPr>
              <w:t>（3）</w:t>
            </w:r>
            <w:r>
              <w:rPr>
                <w:spacing w:val="-11"/>
                <w:sz w:val="21"/>
              </w:rPr>
              <w:t xml:space="preserve"> 肾脏：肾脏受损导致双肾功能慢性不可逆衰竭，达到尿毒症期。</w:t>
            </w:r>
          </w:p>
          <w:p>
            <w:pPr>
              <w:pStyle w:val="7"/>
              <w:spacing w:before="43"/>
              <w:ind w:left="205"/>
              <w:rPr>
                <w:rFonts w:hint="eastAsia" w:ascii="黑体" w:eastAsia="黑体"/>
                <w:b/>
                <w:sz w:val="21"/>
              </w:rPr>
            </w:pPr>
            <w:r>
              <w:rPr>
                <w:rFonts w:hint="eastAsia" w:ascii="黑体" w:eastAsia="黑体"/>
                <w:b/>
                <w:spacing w:val="-3"/>
                <w:sz w:val="21"/>
              </w:rPr>
              <w:t>以下情况不在保障范围内：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6"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645" w:type="dxa"/>
          </w:tcPr>
          <w:p>
            <w:pPr>
              <w:pStyle w:val="7"/>
              <w:spacing w:before="17"/>
              <w:ind w:left="205"/>
              <w:rPr>
                <w:sz w:val="21"/>
              </w:rPr>
            </w:pPr>
            <w:r>
              <w:rPr>
                <w:spacing w:val="-2"/>
                <w:sz w:val="21"/>
              </w:rPr>
              <w:t>（1）</w:t>
            </w:r>
            <w:r>
              <w:rPr>
                <w:spacing w:val="-8"/>
                <w:sz w:val="21"/>
              </w:rPr>
              <w:t xml:space="preserve"> 局限性硬皮病</w:t>
            </w:r>
            <w:r>
              <w:rPr>
                <w:spacing w:val="-2"/>
                <w:sz w:val="21"/>
              </w:rPr>
              <w:t>（带状硬皮病或斑状损害</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645" w:type="dxa"/>
          </w:tcPr>
          <w:p>
            <w:pPr>
              <w:pStyle w:val="7"/>
              <w:spacing w:before="14"/>
              <w:ind w:left="205"/>
              <w:rPr>
                <w:sz w:val="21"/>
              </w:rPr>
            </w:pPr>
            <w:r>
              <w:rPr>
                <w:spacing w:val="-2"/>
                <w:sz w:val="21"/>
              </w:rPr>
              <w:t>（2）</w:t>
            </w:r>
            <w:r>
              <w:rPr>
                <w:spacing w:val="-10"/>
                <w:sz w:val="21"/>
              </w:rPr>
              <w:t xml:space="preserve"> 嗜酸性筋膜炎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645" w:type="dxa"/>
          </w:tcPr>
          <w:p>
            <w:pPr>
              <w:pStyle w:val="7"/>
              <w:spacing w:before="13"/>
              <w:ind w:left="205"/>
              <w:rPr>
                <w:sz w:val="21"/>
              </w:rPr>
            </w:pPr>
            <w:r>
              <w:rPr>
                <w:spacing w:val="-2"/>
                <w:sz w:val="21"/>
              </w:rPr>
              <w:t>（3）</w:t>
            </w:r>
            <w:r>
              <w:rPr>
                <w:spacing w:val="-44"/>
                <w:sz w:val="21"/>
              </w:rPr>
              <w:t xml:space="preserve"> </w:t>
            </w:r>
            <w:r>
              <w:rPr>
                <w:spacing w:val="-2"/>
                <w:sz w:val="21"/>
              </w:rPr>
              <w:t>CREST</w:t>
            </w:r>
            <w:r>
              <w:rPr>
                <w:spacing w:val="-16"/>
                <w:sz w:val="21"/>
              </w:rPr>
              <w:t xml:space="preserve"> 综合征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492" w:type="dxa"/>
          </w:tcPr>
          <w:p>
            <w:pPr>
              <w:pStyle w:val="7"/>
              <w:spacing w:before="169"/>
              <w:ind w:left="50"/>
              <w:rPr>
                <w:sz w:val="21"/>
              </w:rPr>
            </w:pPr>
            <w:r>
              <w:rPr>
                <w:spacing w:val="-5"/>
                <w:sz w:val="21"/>
              </w:rPr>
              <w:t>40.</w:t>
            </w:r>
          </w:p>
        </w:tc>
        <w:tc>
          <w:tcPr>
            <w:tcW w:w="1388" w:type="dxa"/>
          </w:tcPr>
          <w:p>
            <w:pPr>
              <w:pStyle w:val="7"/>
              <w:spacing w:before="169"/>
              <w:ind w:left="124"/>
              <w:rPr>
                <w:b/>
                <w:sz w:val="21"/>
              </w:rPr>
            </w:pPr>
            <w:r>
              <w:rPr>
                <w:b/>
                <w:spacing w:val="-2"/>
                <w:sz w:val="21"/>
              </w:rPr>
              <w:t>慢性复发性</w:t>
            </w:r>
          </w:p>
        </w:tc>
        <w:tc>
          <w:tcPr>
            <w:tcW w:w="6645" w:type="dxa"/>
          </w:tcPr>
          <w:p>
            <w:pPr>
              <w:pStyle w:val="7"/>
              <w:spacing w:before="169"/>
              <w:ind w:left="205"/>
              <w:rPr>
                <w:sz w:val="21"/>
              </w:rPr>
            </w:pPr>
            <w:r>
              <w:rPr>
                <w:spacing w:val="-3"/>
                <w:sz w:val="21"/>
              </w:rPr>
              <w:t>胰腺炎反复发作超过三次以上并导致胰腺功能紊乱和营养不良，需要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spacing w:before="13"/>
              <w:ind w:left="124"/>
              <w:rPr>
                <w:b/>
                <w:sz w:val="21"/>
              </w:rPr>
            </w:pPr>
            <w:r>
              <w:rPr>
                <w:b/>
                <w:spacing w:val="-4"/>
                <w:sz w:val="21"/>
              </w:rPr>
              <w:t>胰腺炎</w:t>
            </w:r>
          </w:p>
        </w:tc>
        <w:tc>
          <w:tcPr>
            <w:tcW w:w="6645" w:type="dxa"/>
          </w:tcPr>
          <w:p>
            <w:pPr>
              <w:pStyle w:val="7"/>
              <w:spacing w:before="13"/>
              <w:ind w:left="205"/>
              <w:rPr>
                <w:sz w:val="21"/>
              </w:rPr>
            </w:pPr>
            <w:r>
              <w:rPr>
                <w:spacing w:val="-5"/>
                <w:sz w:val="21"/>
              </w:rPr>
              <w:t>接受酶替代治疗。诊断必须有消化科专科医生确认并且有内窥镜逆行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75"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645" w:type="dxa"/>
          </w:tcPr>
          <w:p>
            <w:pPr>
              <w:pStyle w:val="7"/>
              <w:spacing w:before="13"/>
              <w:ind w:left="205"/>
              <w:rPr>
                <w:sz w:val="21"/>
              </w:rPr>
            </w:pPr>
            <w:r>
              <w:rPr>
                <w:spacing w:val="-3"/>
                <w:sz w:val="21"/>
              </w:rPr>
              <w:t>胰胆管造影所证实。</w:t>
            </w:r>
          </w:p>
          <w:p>
            <w:pPr>
              <w:pStyle w:val="7"/>
              <w:spacing w:before="43"/>
              <w:ind w:left="205"/>
              <w:rPr>
                <w:rFonts w:hint="eastAsia" w:ascii="黑体" w:eastAsia="黑体"/>
                <w:b/>
                <w:sz w:val="21"/>
              </w:rPr>
            </w:pPr>
            <w:r>
              <w:rPr>
                <w:rFonts w:hint="eastAsia" w:ascii="黑体" w:eastAsia="黑体"/>
                <w:b/>
                <w:spacing w:val="-3"/>
                <w:sz w:val="21"/>
              </w:rPr>
              <w:t>因酒精所致的慢性复发性胰腺炎除外。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2" w:hRule="atLeast"/>
        </w:trPr>
        <w:tc>
          <w:tcPr>
            <w:tcW w:w="492" w:type="dxa"/>
          </w:tcPr>
          <w:p>
            <w:pPr>
              <w:pStyle w:val="7"/>
              <w:spacing w:before="173"/>
              <w:ind w:left="50"/>
              <w:rPr>
                <w:sz w:val="21"/>
              </w:rPr>
            </w:pPr>
            <w:r>
              <w:rPr>
                <w:spacing w:val="-5"/>
                <w:sz w:val="21"/>
              </w:rPr>
              <w:t>41.</w:t>
            </w:r>
          </w:p>
        </w:tc>
        <w:tc>
          <w:tcPr>
            <w:tcW w:w="1388" w:type="dxa"/>
          </w:tcPr>
          <w:p>
            <w:pPr>
              <w:pStyle w:val="7"/>
              <w:spacing w:before="173"/>
              <w:ind w:left="124"/>
              <w:rPr>
                <w:b/>
                <w:sz w:val="21"/>
              </w:rPr>
            </w:pPr>
            <w:r>
              <w:rPr>
                <w:b/>
                <w:spacing w:val="-2"/>
                <w:sz w:val="21"/>
              </w:rPr>
              <w:t>严重肌营养</w:t>
            </w:r>
          </w:p>
        </w:tc>
        <w:tc>
          <w:tcPr>
            <w:tcW w:w="6645" w:type="dxa"/>
          </w:tcPr>
          <w:p>
            <w:pPr>
              <w:pStyle w:val="7"/>
              <w:spacing w:before="173"/>
              <w:ind w:left="205"/>
              <w:rPr>
                <w:sz w:val="21"/>
              </w:rPr>
            </w:pPr>
            <w:r>
              <w:rPr>
                <w:spacing w:val="-5"/>
                <w:sz w:val="21"/>
              </w:rPr>
              <w:t>指一组原发于肌肉的遗传性疾病，临床表现为与神经系统无关的肌肉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spacing w:before="13"/>
              <w:ind w:left="124"/>
              <w:rPr>
                <w:b/>
                <w:sz w:val="21"/>
              </w:rPr>
            </w:pPr>
            <w:r>
              <w:rPr>
                <w:b/>
                <w:spacing w:val="-4"/>
                <w:sz w:val="21"/>
              </w:rPr>
              <w:t>不良症</w:t>
            </w:r>
          </w:p>
        </w:tc>
        <w:tc>
          <w:tcPr>
            <w:tcW w:w="6645" w:type="dxa"/>
          </w:tcPr>
          <w:p>
            <w:pPr>
              <w:pStyle w:val="7"/>
              <w:spacing w:before="13"/>
              <w:ind w:left="205"/>
              <w:rPr>
                <w:sz w:val="21"/>
              </w:rPr>
            </w:pPr>
            <w:r>
              <w:rPr>
                <w:spacing w:val="-3"/>
                <w:sz w:val="21"/>
              </w:rPr>
              <w:t>无力和肌肉萎缩。须满足下列全部条件：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492" w:type="dxa"/>
          </w:tcPr>
          <w:p>
            <w:pPr>
              <w:pStyle w:val="7"/>
              <w:rPr>
                <w:rFonts w:ascii="Times New Roman"/>
                <w:sz w:val="18"/>
              </w:rPr>
            </w:pPr>
          </w:p>
        </w:tc>
        <w:tc>
          <w:tcPr>
            <w:tcW w:w="1388" w:type="dxa"/>
          </w:tcPr>
          <w:p>
            <w:pPr>
              <w:pStyle w:val="7"/>
              <w:rPr>
                <w:rFonts w:ascii="Times New Roman"/>
                <w:sz w:val="18"/>
              </w:rPr>
            </w:pPr>
          </w:p>
        </w:tc>
        <w:tc>
          <w:tcPr>
            <w:tcW w:w="6645" w:type="dxa"/>
          </w:tcPr>
          <w:p>
            <w:pPr>
              <w:pStyle w:val="7"/>
              <w:spacing w:before="13" w:line="228" w:lineRule="exact"/>
              <w:ind w:left="205"/>
              <w:rPr>
                <w:sz w:val="21"/>
              </w:rPr>
            </w:pPr>
            <w:r>
              <w:rPr>
                <w:spacing w:val="-2"/>
                <w:sz w:val="21"/>
              </w:rPr>
              <w:t>（1）</w:t>
            </w:r>
            <w:r>
              <w:rPr>
                <w:spacing w:val="-8"/>
                <w:sz w:val="21"/>
              </w:rPr>
              <w:t xml:space="preserve"> 肌肉组织活检结果满足肌营养不良症的肌肉细胞变性、坏死等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645" w:type="dxa"/>
          </w:tcPr>
          <w:p>
            <w:pPr>
              <w:pStyle w:val="7"/>
              <w:spacing w:before="64" w:line="228" w:lineRule="exact"/>
              <w:ind w:left="772"/>
              <w:rPr>
                <w:sz w:val="21"/>
              </w:rPr>
            </w:pPr>
            <w:r>
              <w:rPr>
                <w:spacing w:val="-4"/>
                <w:sz w:val="21"/>
              </w:rPr>
              <w:t>阳性改变；</w:t>
            </w:r>
          </w:p>
        </w:tc>
      </w:tr>
    </w:tbl>
    <w:p>
      <w:pPr>
        <w:pStyle w:val="2"/>
        <w:spacing w:before="74" w:line="278" w:lineRule="auto"/>
        <w:ind w:left="2796" w:right="754" w:hanging="567"/>
      </w:pPr>
      <w:r>
        <w:t>（2）</w:t>
      </w:r>
      <w:r>
        <w:rPr>
          <w:spacing w:val="-8"/>
        </w:rPr>
        <w:t xml:space="preserve"> 自主生活能力严重丧失，无法独立完成六项基本日常生活活动</w:t>
      </w:r>
      <w:r>
        <w:rPr>
          <w:spacing w:val="-2"/>
        </w:rPr>
        <w:t>中的三项或三项以上。</w:t>
      </w:r>
    </w:p>
    <w:p>
      <w:pPr>
        <w:spacing w:before="0" w:line="278" w:lineRule="auto"/>
        <w:ind w:left="2229" w:right="733" w:firstLine="0"/>
        <w:jc w:val="left"/>
        <w:rPr>
          <w:rFonts w:hint="eastAsia" w:ascii="黑体" w:hAnsi="黑体" w:eastAsia="黑体"/>
          <w:b/>
          <w:sz w:val="21"/>
        </w:rPr>
      </w:pPr>
      <w:r>
        <w:rPr>
          <w:rFonts w:hint="eastAsia" w:ascii="黑体" w:hAnsi="黑体" w:eastAsia="黑体"/>
          <w:b/>
          <w:spacing w:val="-2"/>
          <w:sz w:val="21"/>
        </w:rPr>
        <w:t>我们承担本项疾病责任不受本合同责任免除中“遗传性疾病，先天性畸形、变形或染色体异常”的限制。</w:t>
      </w:r>
    </w:p>
    <w:p>
      <w:pPr>
        <w:pStyle w:val="2"/>
        <w:spacing w:before="3"/>
        <w:rPr>
          <w:rFonts w:ascii="黑体"/>
          <w:b/>
          <w:sz w:val="24"/>
        </w:rPr>
      </w:pPr>
    </w:p>
    <w:p>
      <w:pPr>
        <w:pStyle w:val="6"/>
        <w:numPr>
          <w:ilvl w:val="0"/>
          <w:numId w:val="31"/>
        </w:numPr>
        <w:tabs>
          <w:tab w:val="left" w:pos="761"/>
        </w:tabs>
        <w:spacing w:before="1" w:after="0" w:line="278" w:lineRule="auto"/>
        <w:ind w:left="2229" w:right="732" w:hanging="2036"/>
        <w:jc w:val="both"/>
        <w:rPr>
          <w:sz w:val="21"/>
        </w:rPr>
      </w:pPr>
      <w:r>
        <w:rPr>
          <w:b/>
          <w:spacing w:val="42"/>
          <w:sz w:val="21"/>
        </w:rPr>
        <w:t xml:space="preserve">严重克隆病 </w:t>
      </w:r>
      <w:r>
        <w:rPr>
          <w:sz w:val="21"/>
        </w:rPr>
        <w:t>克隆病是一种慢性肉芽肿性肠炎，具有特征性的克隆病病理组织学变</w:t>
      </w:r>
      <w:r>
        <w:rPr>
          <w:spacing w:val="-2"/>
          <w:sz w:val="21"/>
        </w:rPr>
        <w:t>化。诊断必须由病理检查结果证实。被保险人所患的克隆病必须已经造成瘘管形成并伴有肠梗阻或肠穿孔。</w:t>
      </w:r>
    </w:p>
    <w:p>
      <w:pPr>
        <w:pStyle w:val="2"/>
        <w:spacing w:before="5"/>
        <w:rPr>
          <w:sz w:val="19"/>
        </w:rPr>
      </w:pPr>
    </w:p>
    <w:p>
      <w:pPr>
        <w:spacing w:after="0"/>
        <w:rPr>
          <w:sz w:val="19"/>
        </w:rPr>
        <w:sectPr>
          <w:pgSz w:w="11910" w:h="16840"/>
          <w:pgMar w:top="1480" w:right="1080" w:bottom="1320" w:left="1580" w:header="0" w:footer="1137" w:gutter="0"/>
          <w:cols w:space="720" w:num="1"/>
        </w:sectPr>
      </w:pPr>
    </w:p>
    <w:p>
      <w:pPr>
        <w:pStyle w:val="6"/>
        <w:numPr>
          <w:ilvl w:val="0"/>
          <w:numId w:val="31"/>
        </w:numPr>
        <w:tabs>
          <w:tab w:val="left" w:pos="761"/>
        </w:tabs>
        <w:spacing w:before="63" w:after="0" w:line="278" w:lineRule="auto"/>
        <w:ind w:left="760" w:right="38" w:hanging="567"/>
        <w:jc w:val="left"/>
        <w:rPr>
          <w:b/>
          <w:sz w:val="21"/>
        </w:rPr>
      </w:pPr>
      <w:r>
        <w:rPr>
          <w:b/>
          <w:spacing w:val="-2"/>
          <w:sz w:val="21"/>
        </w:rPr>
        <w:t>严重溃疡性</w:t>
      </w:r>
      <w:r>
        <w:rPr>
          <w:b/>
          <w:spacing w:val="-4"/>
          <w:sz w:val="21"/>
        </w:rPr>
        <w:t>结肠炎</w:t>
      </w:r>
    </w:p>
    <w:p>
      <w:pPr>
        <w:pStyle w:val="2"/>
        <w:spacing w:before="63" w:line="278" w:lineRule="auto"/>
        <w:ind w:left="194" w:right="730"/>
      </w:pPr>
      <w:r>
        <w:br w:type="column"/>
      </w:r>
      <w:r>
        <w:rPr>
          <w:spacing w:val="-3"/>
          <w:w w:val="100"/>
        </w:rPr>
        <w:t>溃疡性结肠炎是指伴有致命性电解质紊乱的急性暴发性溃疡性结肠</w:t>
      </w:r>
      <w:r>
        <w:rPr>
          <w:spacing w:val="-6"/>
          <w:w w:val="100"/>
        </w:rPr>
        <w:t>炎，病变累及全结肠，表现为严重的血便和系统性症状体征，治疗通</w:t>
      </w:r>
    </w:p>
    <w:p>
      <w:pPr>
        <w:spacing w:after="0" w:line="278" w:lineRule="auto"/>
        <w:sectPr>
          <w:type w:val="continuous"/>
          <w:pgSz w:w="11910" w:h="16840"/>
          <w:pgMar w:top="260" w:right="1080" w:bottom="1320" w:left="1580" w:header="0" w:footer="1137" w:gutter="0"/>
          <w:cols w:equalWidth="0" w:num="2">
            <w:col w:w="1857" w:space="179"/>
            <w:col w:w="7214"/>
          </w:cols>
        </w:sectPr>
      </w:pPr>
    </w:p>
    <w:p>
      <w:pPr>
        <w:pStyle w:val="2"/>
        <w:spacing w:before="44" w:line="278" w:lineRule="auto"/>
        <w:ind w:left="2229" w:right="730"/>
      </w:pPr>
      <w:r>
        <w:rPr>
          <w:spacing w:val="-2"/>
        </w:rPr>
        <w:t>常采取全结肠切除和回肠造瘘术。溃疡性结肠炎必须根据组织病理学特点诊断，并且被保险人已经接受了结肠切除和回肠造瘘术。</w:t>
      </w:r>
    </w:p>
    <w:p>
      <w:pPr>
        <w:pStyle w:val="2"/>
        <w:spacing w:before="5"/>
        <w:rPr>
          <w:sz w:val="19"/>
        </w:rPr>
      </w:pPr>
    </w:p>
    <w:p>
      <w:pPr>
        <w:spacing w:after="0"/>
        <w:rPr>
          <w:sz w:val="19"/>
        </w:rPr>
        <w:sectPr>
          <w:pgSz w:w="11910" w:h="16840"/>
          <w:pgMar w:top="1400" w:right="1080" w:bottom="1320" w:left="1580" w:header="0" w:footer="1137" w:gutter="0"/>
          <w:cols w:space="720" w:num="1"/>
        </w:sectPr>
      </w:pPr>
    </w:p>
    <w:p>
      <w:pPr>
        <w:pStyle w:val="6"/>
        <w:numPr>
          <w:ilvl w:val="0"/>
          <w:numId w:val="31"/>
        </w:numPr>
        <w:tabs>
          <w:tab w:val="left" w:pos="761"/>
        </w:tabs>
        <w:spacing w:before="64" w:after="0" w:line="240" w:lineRule="auto"/>
        <w:ind w:left="760" w:right="0" w:hanging="567"/>
        <w:jc w:val="left"/>
        <w:rPr>
          <w:b/>
          <w:sz w:val="21"/>
        </w:rPr>
      </w:pPr>
      <w:r>
        <w:rPr>
          <w:b/>
          <w:spacing w:val="-2"/>
          <w:sz w:val="21"/>
        </w:rPr>
        <w:t>溶血性链球</w:t>
      </w:r>
    </w:p>
    <w:p>
      <w:pPr>
        <w:spacing w:before="43" w:line="278" w:lineRule="auto"/>
        <w:ind w:left="760" w:right="38" w:firstLine="0"/>
        <w:jc w:val="left"/>
        <w:rPr>
          <w:b/>
          <w:sz w:val="21"/>
        </w:rPr>
      </w:pPr>
      <w:r>
        <w:rPr>
          <w:b/>
          <w:spacing w:val="-2"/>
          <w:sz w:val="21"/>
        </w:rPr>
        <w:t>菌引起的坏</w:t>
      </w:r>
      <w:r>
        <w:rPr>
          <w:b/>
          <w:spacing w:val="-10"/>
          <w:sz w:val="21"/>
        </w:rPr>
        <w:t>疽</w:t>
      </w:r>
    </w:p>
    <w:p>
      <w:pPr>
        <w:pStyle w:val="2"/>
        <w:spacing w:before="64" w:line="278" w:lineRule="auto"/>
        <w:ind w:left="194" w:right="730"/>
      </w:pPr>
      <w:r>
        <w:br w:type="column"/>
      </w:r>
      <w:r>
        <w:rPr>
          <w:spacing w:val="-2"/>
        </w:rPr>
        <w:t>包围肢体或躯干的浅筋膜和/或深筋膜受到溶血性链球菌的感染，病情在短时间内急剧恶化，已经立刻进行了手术及清创术。最后的诊断必须由微生物或病理学专家进行相关检查后证实。</w:t>
      </w:r>
    </w:p>
    <w:p>
      <w:pPr>
        <w:spacing w:after="0" w:line="278" w:lineRule="auto"/>
        <w:sectPr>
          <w:type w:val="continuous"/>
          <w:pgSz w:w="11910" w:h="16840"/>
          <w:pgMar w:top="260" w:right="1080" w:bottom="1320" w:left="1580" w:header="0" w:footer="1137" w:gutter="0"/>
          <w:cols w:equalWidth="0" w:num="2">
            <w:col w:w="1857" w:space="179"/>
            <w:col w:w="7214"/>
          </w:cols>
        </w:sectPr>
      </w:pPr>
    </w:p>
    <w:p>
      <w:pPr>
        <w:pStyle w:val="2"/>
        <w:spacing w:before="5"/>
        <w:rPr>
          <w:sz w:val="19"/>
        </w:rPr>
      </w:pPr>
    </w:p>
    <w:p>
      <w:pPr>
        <w:spacing w:after="0"/>
        <w:rPr>
          <w:sz w:val="19"/>
        </w:rPr>
        <w:sectPr>
          <w:type w:val="continuous"/>
          <w:pgSz w:w="11910" w:h="16840"/>
          <w:pgMar w:top="260" w:right="1080" w:bottom="1320" w:left="1580" w:header="0" w:footer="1137" w:gutter="0"/>
          <w:cols w:space="720" w:num="1"/>
        </w:sectPr>
      </w:pPr>
    </w:p>
    <w:p>
      <w:pPr>
        <w:pStyle w:val="6"/>
        <w:numPr>
          <w:ilvl w:val="0"/>
          <w:numId w:val="31"/>
        </w:numPr>
        <w:tabs>
          <w:tab w:val="left" w:pos="761"/>
        </w:tabs>
        <w:spacing w:before="63" w:after="0" w:line="240" w:lineRule="auto"/>
        <w:ind w:left="760" w:right="0" w:hanging="567"/>
        <w:jc w:val="left"/>
        <w:rPr>
          <w:b/>
          <w:sz w:val="21"/>
        </w:rPr>
      </w:pPr>
      <w:r>
        <w:rPr>
          <w:b/>
          <w:spacing w:val="-2"/>
          <w:sz w:val="21"/>
        </w:rPr>
        <w:t>因职业关系</w:t>
      </w:r>
    </w:p>
    <w:p>
      <w:pPr>
        <w:spacing w:before="43" w:line="278" w:lineRule="auto"/>
        <w:ind w:left="760" w:right="0" w:firstLine="0"/>
        <w:jc w:val="left"/>
        <w:rPr>
          <w:b/>
          <w:sz w:val="21"/>
        </w:rPr>
      </w:pPr>
      <w:r>
        <w:rPr>
          <w:b/>
          <w:spacing w:val="-17"/>
          <w:sz w:val="21"/>
        </w:rPr>
        <w:t xml:space="preserve">导致的 </w:t>
      </w:r>
      <w:r>
        <w:rPr>
          <w:b/>
          <w:spacing w:val="-2"/>
          <w:sz w:val="21"/>
        </w:rPr>
        <w:t>HIV</w:t>
      </w:r>
      <w:r>
        <w:rPr>
          <w:b/>
          <w:spacing w:val="-32"/>
          <w:sz w:val="21"/>
        </w:rPr>
        <w:t xml:space="preserve"> 感</w:t>
      </w:r>
      <w:r>
        <w:rPr>
          <w:b/>
          <w:spacing w:val="-10"/>
          <w:sz w:val="21"/>
        </w:rPr>
        <w:t>染</w:t>
      </w:r>
    </w:p>
    <w:p>
      <w:pPr>
        <w:pStyle w:val="2"/>
        <w:spacing w:before="63" w:line="278" w:lineRule="auto"/>
        <w:ind w:left="176" w:right="624"/>
        <w:jc w:val="both"/>
      </w:pPr>
      <w:r>
        <w:br w:type="column"/>
      </w:r>
      <w:r>
        <w:rPr>
          <w:spacing w:val="-2"/>
        </w:rPr>
        <w:t>被保险人在其常规职业工作过程中遭遇外伤，或职业需要处理血液或</w:t>
      </w:r>
      <w:r>
        <w:rPr>
          <w:spacing w:val="-8"/>
        </w:rPr>
        <w:t>其他体液时感染上人类免疫缺陷病毒</w:t>
      </w:r>
      <w:r>
        <w:rPr>
          <w:spacing w:val="18"/>
        </w:rPr>
        <w:t>（H</w:t>
      </w:r>
      <w:r>
        <w:rPr>
          <w:spacing w:val="15"/>
        </w:rPr>
        <w:t>I</w:t>
      </w:r>
      <w:r>
        <w:rPr>
          <w:spacing w:val="17"/>
        </w:rPr>
        <w:t>V</w:t>
      </w:r>
      <w:r>
        <w:rPr>
          <w:spacing w:val="-90"/>
        </w:rPr>
        <w:t>）</w:t>
      </w:r>
      <w:r>
        <w:rPr>
          <w:spacing w:val="-12"/>
        </w:rPr>
        <w:t>。必须满足下列全部条件：</w:t>
      </w:r>
    </w:p>
    <w:p>
      <w:pPr>
        <w:pStyle w:val="6"/>
        <w:numPr>
          <w:ilvl w:val="0"/>
          <w:numId w:val="32"/>
        </w:numPr>
        <w:tabs>
          <w:tab w:val="left" w:pos="760"/>
        </w:tabs>
        <w:spacing w:before="0" w:after="0" w:line="278" w:lineRule="auto"/>
        <w:ind w:left="742" w:right="754" w:hanging="567"/>
        <w:jc w:val="both"/>
        <w:rPr>
          <w:sz w:val="21"/>
        </w:rPr>
      </w:pPr>
      <w:r>
        <w:rPr>
          <w:spacing w:val="-2"/>
          <w:sz w:val="21"/>
        </w:rPr>
        <w:t>感染必须是在被保险人正在从事其职业工作中发生，该职业必须属于下列限定职业范围内的职业；</w:t>
      </w:r>
    </w:p>
    <w:p>
      <w:pPr>
        <w:pStyle w:val="6"/>
        <w:numPr>
          <w:ilvl w:val="0"/>
          <w:numId w:val="32"/>
        </w:numPr>
        <w:tabs>
          <w:tab w:val="left" w:pos="760"/>
        </w:tabs>
        <w:spacing w:before="0" w:after="0" w:line="240" w:lineRule="auto"/>
        <w:ind w:left="759" w:right="0" w:hanging="584"/>
        <w:jc w:val="both"/>
        <w:rPr>
          <w:sz w:val="21"/>
        </w:rPr>
      </w:pPr>
      <w:r>
        <w:rPr>
          <w:spacing w:val="-5"/>
          <w:sz w:val="21"/>
        </w:rPr>
        <w:t xml:space="preserve">血清转化必须出现在事故发生后的 </w:t>
      </w:r>
      <w:r>
        <w:rPr>
          <w:spacing w:val="-2"/>
          <w:sz w:val="21"/>
        </w:rPr>
        <w:t>6</w:t>
      </w:r>
      <w:r>
        <w:rPr>
          <w:spacing w:val="-12"/>
          <w:sz w:val="21"/>
        </w:rPr>
        <w:t xml:space="preserve"> 个月以内；</w:t>
      </w:r>
    </w:p>
    <w:p>
      <w:pPr>
        <w:pStyle w:val="6"/>
        <w:numPr>
          <w:ilvl w:val="0"/>
          <w:numId w:val="32"/>
        </w:numPr>
        <w:tabs>
          <w:tab w:val="left" w:pos="760"/>
        </w:tabs>
        <w:spacing w:before="43" w:after="0" w:line="278" w:lineRule="auto"/>
        <w:ind w:left="742" w:right="754" w:hanging="567"/>
        <w:jc w:val="both"/>
        <w:rPr>
          <w:sz w:val="21"/>
        </w:rPr>
      </w:pPr>
      <w:r>
        <w:rPr>
          <w:spacing w:val="-4"/>
          <w:sz w:val="21"/>
        </w:rPr>
        <w:t xml:space="preserve">必须提供被保险人在所报事故后发生的 </w:t>
      </w:r>
      <w:r>
        <w:rPr>
          <w:spacing w:val="-2"/>
          <w:sz w:val="21"/>
        </w:rPr>
        <w:t>5</w:t>
      </w:r>
      <w:r>
        <w:rPr>
          <w:spacing w:val="-7"/>
          <w:sz w:val="21"/>
        </w:rPr>
        <w:t xml:space="preserve"> 天以内进行的检查报</w:t>
      </w:r>
      <w:r>
        <w:rPr>
          <w:spacing w:val="-4"/>
          <w:sz w:val="21"/>
        </w:rPr>
        <w:t>告，该报告必须显示被保险人血液人类免疫缺陷病毒（HIV）阴</w:t>
      </w:r>
      <w:r>
        <w:rPr>
          <w:spacing w:val="-2"/>
          <w:sz w:val="21"/>
        </w:rPr>
        <w:t>性和/或人类免疫缺陷病毒（HIV）抗体阴性；</w:t>
      </w:r>
    </w:p>
    <w:p>
      <w:pPr>
        <w:pStyle w:val="6"/>
        <w:numPr>
          <w:ilvl w:val="0"/>
          <w:numId w:val="32"/>
        </w:numPr>
        <w:tabs>
          <w:tab w:val="left" w:pos="760"/>
        </w:tabs>
        <w:spacing w:before="0" w:after="0" w:line="278" w:lineRule="auto"/>
        <w:ind w:left="742" w:right="862" w:hanging="567"/>
        <w:jc w:val="left"/>
        <w:rPr>
          <w:sz w:val="21"/>
        </w:rPr>
      </w:pPr>
      <w:r>
        <w:rPr>
          <w:spacing w:val="-6"/>
          <w:sz w:val="21"/>
        </w:rPr>
        <w:t xml:space="preserve">必须在事故发生后的 </w:t>
      </w:r>
      <w:r>
        <w:rPr>
          <w:sz w:val="21"/>
        </w:rPr>
        <w:t>12</w:t>
      </w:r>
      <w:r>
        <w:rPr>
          <w:spacing w:val="-8"/>
          <w:sz w:val="21"/>
        </w:rPr>
        <w:t xml:space="preserve"> 个月内证实被保险人体内存在人类免</w:t>
      </w:r>
      <w:r>
        <w:rPr>
          <w:spacing w:val="-2"/>
          <w:sz w:val="21"/>
        </w:rPr>
        <w:t>疫缺陷病毒（HIV）或人类免疫缺陷病毒（HIV）抗体。</w:t>
      </w:r>
    </w:p>
    <w:p>
      <w:pPr>
        <w:pStyle w:val="2"/>
        <w:spacing w:line="269" w:lineRule="exact"/>
        <w:ind w:left="176"/>
      </w:pPr>
      <w:r>
        <w:rPr>
          <w:spacing w:val="-4"/>
        </w:rPr>
        <w:t>限定职业：</w:t>
      </w:r>
    </w:p>
    <w:p>
      <w:pPr>
        <w:spacing w:before="43" w:line="278" w:lineRule="auto"/>
        <w:ind w:left="176" w:right="732" w:firstLine="0"/>
        <w:jc w:val="left"/>
        <w:rPr>
          <w:rFonts w:hint="eastAsia" w:ascii="黑体" w:eastAsia="黑体"/>
          <w:b/>
          <w:sz w:val="21"/>
        </w:rPr>
      </w:pPr>
      <w:r>
        <w:rPr>
          <w:spacing w:val="-7"/>
          <w:w w:val="100"/>
          <w:sz w:val="21"/>
        </w:rPr>
        <w:t>医生和牙科医生、护士、医院化验室工作人员、医院护工、医生助理</w:t>
      </w:r>
      <w:r>
        <w:rPr>
          <w:spacing w:val="-5"/>
          <w:w w:val="100"/>
          <w:sz w:val="21"/>
        </w:rPr>
        <w:t>和牙医助理、救护车工作人员、助产士、消防队员、警察、狱警。</w:t>
      </w:r>
      <w:r>
        <w:rPr>
          <w:rFonts w:hint="eastAsia" w:ascii="黑体" w:eastAsia="黑体"/>
          <w:b/>
          <w:spacing w:val="-5"/>
          <w:w w:val="100"/>
          <w:sz w:val="21"/>
        </w:rPr>
        <w:t>在任何治愈艾滋病或阻止人类免疫缺陷病毒</w:t>
      </w:r>
      <w:r>
        <w:rPr>
          <w:rFonts w:hint="eastAsia" w:ascii="黑体" w:eastAsia="黑体"/>
          <w:b/>
          <w:w w:val="100"/>
          <w:sz w:val="21"/>
        </w:rPr>
        <w:t>（</w:t>
      </w:r>
      <w:r>
        <w:rPr>
          <w:rFonts w:hint="eastAsia" w:ascii="黑体" w:eastAsia="黑体"/>
          <w:b/>
          <w:w w:val="99"/>
          <w:sz w:val="21"/>
        </w:rPr>
        <w:t>HIV</w:t>
      </w:r>
      <w:r>
        <w:rPr>
          <w:rFonts w:hint="eastAsia" w:ascii="黑体" w:eastAsia="黑体"/>
          <w:b/>
          <w:spacing w:val="-3"/>
          <w:w w:val="100"/>
          <w:sz w:val="21"/>
        </w:rPr>
        <w:t>）</w:t>
      </w:r>
      <w:r>
        <w:rPr>
          <w:rFonts w:hint="eastAsia" w:ascii="黑体" w:eastAsia="黑体"/>
          <w:b/>
          <w:w w:val="100"/>
          <w:sz w:val="21"/>
        </w:rPr>
        <w:t>病毒作用的疗法</w:t>
      </w:r>
      <w:r>
        <w:rPr>
          <w:rFonts w:hint="eastAsia" w:ascii="黑体" w:eastAsia="黑体"/>
          <w:b/>
          <w:spacing w:val="-6"/>
          <w:w w:val="100"/>
          <w:sz w:val="21"/>
        </w:rPr>
        <w:t>被发现以后，或能防止艾滋病发生的医疗方法被研究出来以后，本保</w:t>
      </w:r>
      <w:r>
        <w:rPr>
          <w:rFonts w:hint="eastAsia" w:ascii="黑体" w:eastAsia="黑体"/>
          <w:b/>
          <w:w w:val="100"/>
          <w:sz w:val="21"/>
        </w:rPr>
        <w:t>障将不再予以赔付。</w:t>
      </w:r>
    </w:p>
    <w:p>
      <w:pPr>
        <w:spacing w:before="0" w:line="278" w:lineRule="auto"/>
        <w:ind w:left="176" w:right="730" w:firstLine="0"/>
        <w:jc w:val="left"/>
        <w:rPr>
          <w:rFonts w:hint="eastAsia" w:ascii="黑体" w:hAnsi="黑体" w:eastAsia="黑体"/>
          <w:b/>
          <w:sz w:val="21"/>
        </w:rPr>
      </w:pPr>
      <w:r>
        <w:rPr>
          <w:rFonts w:hint="eastAsia" w:ascii="黑体" w:hAnsi="黑体" w:eastAsia="黑体"/>
          <w:b/>
          <w:spacing w:val="-2"/>
          <w:sz w:val="21"/>
        </w:rPr>
        <w:t>我们承担本项疾病责任不受本合同责任免除中“被保险人感染艾滋病病毒或患艾滋病”的限制。</w:t>
      </w:r>
    </w:p>
    <w:p>
      <w:pPr>
        <w:spacing w:after="0" w:line="278" w:lineRule="auto"/>
        <w:jc w:val="left"/>
        <w:rPr>
          <w:rFonts w:hint="eastAsia" w:ascii="黑体" w:hAnsi="黑体" w:eastAsia="黑体"/>
          <w:sz w:val="21"/>
        </w:rPr>
        <w:sectPr>
          <w:type w:val="continuous"/>
          <w:pgSz w:w="11910" w:h="16840"/>
          <w:pgMar w:top="260" w:right="1080" w:bottom="1320" w:left="1580" w:header="0" w:footer="1137" w:gutter="0"/>
          <w:cols w:equalWidth="0" w:num="2">
            <w:col w:w="2014" w:space="40"/>
            <w:col w:w="7196"/>
          </w:cols>
        </w:sectPr>
      </w:pPr>
    </w:p>
    <w:p>
      <w:pPr>
        <w:pStyle w:val="2"/>
        <w:spacing w:before="4"/>
        <w:rPr>
          <w:rFonts w:ascii="黑体"/>
          <w:b/>
          <w:sz w:val="19"/>
        </w:rPr>
      </w:pPr>
    </w:p>
    <w:p>
      <w:pPr>
        <w:pStyle w:val="6"/>
        <w:numPr>
          <w:ilvl w:val="0"/>
          <w:numId w:val="31"/>
        </w:numPr>
        <w:tabs>
          <w:tab w:val="left" w:pos="761"/>
          <w:tab w:val="left" w:pos="2229"/>
        </w:tabs>
        <w:spacing w:before="64" w:after="0" w:line="278" w:lineRule="auto"/>
        <w:ind w:left="2229" w:right="730" w:hanging="2036"/>
        <w:jc w:val="left"/>
        <w:rPr>
          <w:sz w:val="21"/>
        </w:rPr>
      </w:pPr>
      <w:r>
        <w:rPr>
          <w:b/>
          <w:w w:val="100"/>
          <w:sz w:val="21"/>
        </w:rPr>
        <w:t>脊髓灰质炎</w:t>
      </w:r>
      <w:r>
        <w:rPr>
          <w:b/>
          <w:sz w:val="21"/>
        </w:rPr>
        <w:tab/>
      </w:r>
      <w:r>
        <w:rPr>
          <w:w w:val="100"/>
          <w:sz w:val="21"/>
        </w:rPr>
        <w:t>是由</w:t>
      </w:r>
      <w:r>
        <w:rPr>
          <w:spacing w:val="-3"/>
          <w:w w:val="100"/>
          <w:sz w:val="21"/>
        </w:rPr>
        <w:t>于</w:t>
      </w:r>
      <w:r>
        <w:rPr>
          <w:w w:val="100"/>
          <w:sz w:val="21"/>
        </w:rPr>
        <w:t>脊</w:t>
      </w:r>
      <w:r>
        <w:rPr>
          <w:spacing w:val="-3"/>
          <w:w w:val="100"/>
          <w:sz w:val="21"/>
        </w:rPr>
        <w:t>髓</w:t>
      </w:r>
      <w:r>
        <w:rPr>
          <w:w w:val="100"/>
          <w:sz w:val="21"/>
        </w:rPr>
        <w:t>灰</w:t>
      </w:r>
      <w:r>
        <w:rPr>
          <w:spacing w:val="-3"/>
          <w:w w:val="100"/>
          <w:sz w:val="21"/>
        </w:rPr>
        <w:t>质</w:t>
      </w:r>
      <w:r>
        <w:rPr>
          <w:w w:val="100"/>
          <w:sz w:val="21"/>
        </w:rPr>
        <w:t>炎</w:t>
      </w:r>
      <w:r>
        <w:rPr>
          <w:spacing w:val="-3"/>
          <w:w w:val="100"/>
          <w:sz w:val="21"/>
        </w:rPr>
        <w:t>病</w:t>
      </w:r>
      <w:r>
        <w:rPr>
          <w:w w:val="100"/>
          <w:sz w:val="21"/>
        </w:rPr>
        <w:t>毒</w:t>
      </w:r>
      <w:r>
        <w:rPr>
          <w:spacing w:val="-3"/>
          <w:w w:val="100"/>
          <w:sz w:val="21"/>
        </w:rPr>
        <w:t>感</w:t>
      </w:r>
      <w:r>
        <w:rPr>
          <w:w w:val="100"/>
          <w:sz w:val="21"/>
        </w:rPr>
        <w:t>染所</w:t>
      </w:r>
      <w:r>
        <w:rPr>
          <w:spacing w:val="-3"/>
          <w:w w:val="100"/>
          <w:sz w:val="21"/>
        </w:rPr>
        <w:t>致</w:t>
      </w:r>
      <w:r>
        <w:rPr>
          <w:w w:val="100"/>
          <w:sz w:val="21"/>
        </w:rPr>
        <w:t>的</w:t>
      </w:r>
      <w:r>
        <w:rPr>
          <w:spacing w:val="-3"/>
          <w:w w:val="100"/>
          <w:sz w:val="21"/>
        </w:rPr>
        <w:t>瘫</w:t>
      </w:r>
      <w:r>
        <w:rPr>
          <w:w w:val="100"/>
          <w:sz w:val="21"/>
        </w:rPr>
        <w:t>痪</w:t>
      </w:r>
      <w:r>
        <w:rPr>
          <w:spacing w:val="-3"/>
          <w:w w:val="100"/>
          <w:sz w:val="21"/>
        </w:rPr>
        <w:t>性</w:t>
      </w:r>
      <w:r>
        <w:rPr>
          <w:w w:val="100"/>
          <w:sz w:val="21"/>
        </w:rPr>
        <w:t>疾</w:t>
      </w:r>
      <w:r>
        <w:rPr>
          <w:spacing w:val="-3"/>
          <w:w w:val="100"/>
          <w:sz w:val="21"/>
        </w:rPr>
        <w:t>病</w:t>
      </w:r>
      <w:r>
        <w:rPr>
          <w:spacing w:val="-22"/>
          <w:w w:val="100"/>
          <w:sz w:val="21"/>
        </w:rPr>
        <w:t>，</w:t>
      </w:r>
      <w:r>
        <w:rPr>
          <w:spacing w:val="-3"/>
          <w:w w:val="100"/>
          <w:sz w:val="21"/>
        </w:rPr>
        <w:t>临</w:t>
      </w:r>
      <w:r>
        <w:rPr>
          <w:w w:val="100"/>
          <w:sz w:val="21"/>
        </w:rPr>
        <w:t>床表</w:t>
      </w:r>
      <w:r>
        <w:rPr>
          <w:spacing w:val="-3"/>
          <w:w w:val="100"/>
          <w:sz w:val="21"/>
        </w:rPr>
        <w:t>现</w:t>
      </w:r>
      <w:r>
        <w:rPr>
          <w:w w:val="100"/>
          <w:sz w:val="21"/>
        </w:rPr>
        <w:t>为</w:t>
      </w:r>
      <w:r>
        <w:rPr>
          <w:spacing w:val="-3"/>
          <w:w w:val="100"/>
          <w:sz w:val="21"/>
        </w:rPr>
        <w:t>运</w:t>
      </w:r>
      <w:r>
        <w:rPr>
          <w:w w:val="100"/>
          <w:sz w:val="21"/>
        </w:rPr>
        <w:t>动</w:t>
      </w:r>
      <w:r>
        <w:rPr>
          <w:spacing w:val="-3"/>
          <w:w w:val="100"/>
          <w:sz w:val="21"/>
        </w:rPr>
        <w:t>功</w:t>
      </w:r>
      <w:r>
        <w:rPr>
          <w:w w:val="100"/>
          <w:sz w:val="21"/>
        </w:rPr>
        <w:t>能损害</w:t>
      </w:r>
      <w:r>
        <w:rPr>
          <w:spacing w:val="-3"/>
          <w:w w:val="100"/>
          <w:sz w:val="21"/>
        </w:rPr>
        <w:t>或</w:t>
      </w:r>
      <w:r>
        <w:rPr>
          <w:w w:val="100"/>
          <w:sz w:val="21"/>
        </w:rPr>
        <w:t>呼</w:t>
      </w:r>
      <w:r>
        <w:rPr>
          <w:spacing w:val="-3"/>
          <w:w w:val="100"/>
          <w:sz w:val="21"/>
        </w:rPr>
        <w:t>吸</w:t>
      </w:r>
      <w:r>
        <w:rPr>
          <w:spacing w:val="-1"/>
          <w:w w:val="100"/>
          <w:sz w:val="21"/>
        </w:rPr>
        <w:t>无</w:t>
      </w:r>
      <w:r>
        <w:rPr>
          <w:spacing w:val="-3"/>
          <w:w w:val="100"/>
          <w:sz w:val="21"/>
        </w:rPr>
        <w:t>力</w:t>
      </w:r>
      <w:r>
        <w:rPr>
          <w:spacing w:val="-13"/>
          <w:w w:val="100"/>
          <w:sz w:val="21"/>
        </w:rPr>
        <w:t>。</w:t>
      </w:r>
      <w:r>
        <w:rPr>
          <w:w w:val="100"/>
          <w:sz w:val="21"/>
        </w:rPr>
        <w:t>脊</w:t>
      </w:r>
      <w:r>
        <w:rPr>
          <w:spacing w:val="-3"/>
          <w:w w:val="100"/>
          <w:sz w:val="21"/>
        </w:rPr>
        <w:t>髓灰</w:t>
      </w:r>
      <w:r>
        <w:rPr>
          <w:w w:val="100"/>
          <w:sz w:val="21"/>
        </w:rPr>
        <w:t>质炎</w:t>
      </w:r>
      <w:r>
        <w:rPr>
          <w:spacing w:val="-3"/>
          <w:w w:val="100"/>
          <w:sz w:val="21"/>
        </w:rPr>
        <w:t>必</w:t>
      </w:r>
      <w:r>
        <w:rPr>
          <w:w w:val="100"/>
          <w:sz w:val="21"/>
        </w:rPr>
        <w:t>须</w:t>
      </w:r>
      <w:r>
        <w:rPr>
          <w:spacing w:val="-3"/>
          <w:w w:val="100"/>
          <w:sz w:val="21"/>
        </w:rPr>
        <w:t>明</w:t>
      </w:r>
      <w:r>
        <w:rPr>
          <w:w w:val="100"/>
          <w:sz w:val="21"/>
        </w:rPr>
        <w:t>确</w:t>
      </w:r>
      <w:r>
        <w:rPr>
          <w:spacing w:val="-3"/>
          <w:w w:val="100"/>
          <w:sz w:val="21"/>
        </w:rPr>
        <w:t>诊断</w:t>
      </w:r>
      <w:r>
        <w:rPr>
          <w:spacing w:val="-10"/>
          <w:w w:val="100"/>
          <w:sz w:val="21"/>
        </w:rPr>
        <w:t>。</w:t>
      </w:r>
      <w:r>
        <w:rPr>
          <w:spacing w:val="-3"/>
          <w:w w:val="100"/>
          <w:sz w:val="21"/>
        </w:rPr>
        <w:t>本合</w:t>
      </w:r>
      <w:r>
        <w:rPr>
          <w:w w:val="100"/>
          <w:sz w:val="21"/>
        </w:rPr>
        <w:t>同仅</w:t>
      </w:r>
      <w:r>
        <w:rPr>
          <w:spacing w:val="-3"/>
          <w:w w:val="100"/>
          <w:sz w:val="21"/>
        </w:rPr>
        <w:t>对</w:t>
      </w:r>
      <w:r>
        <w:rPr>
          <w:w w:val="100"/>
          <w:sz w:val="21"/>
        </w:rPr>
        <w:t>脊</w:t>
      </w:r>
      <w:r>
        <w:rPr>
          <w:spacing w:val="-3"/>
          <w:w w:val="100"/>
          <w:sz w:val="21"/>
        </w:rPr>
        <w:t>髓</w:t>
      </w:r>
      <w:r>
        <w:rPr>
          <w:w w:val="100"/>
          <w:sz w:val="21"/>
        </w:rPr>
        <w:t>灰</w:t>
      </w:r>
      <w:r>
        <w:rPr>
          <w:spacing w:val="-3"/>
          <w:w w:val="100"/>
          <w:sz w:val="21"/>
        </w:rPr>
        <w:t>质</w:t>
      </w:r>
      <w:r>
        <w:rPr>
          <w:w w:val="100"/>
          <w:sz w:val="21"/>
        </w:rPr>
        <w:t>炎造成</w:t>
      </w:r>
      <w:r>
        <w:rPr>
          <w:spacing w:val="-3"/>
          <w:w w:val="100"/>
          <w:sz w:val="21"/>
        </w:rPr>
        <w:t>的</w:t>
      </w:r>
      <w:r>
        <w:rPr>
          <w:w w:val="100"/>
          <w:sz w:val="21"/>
        </w:rPr>
        <w:t>神</w:t>
      </w:r>
      <w:r>
        <w:rPr>
          <w:spacing w:val="-3"/>
          <w:w w:val="100"/>
          <w:sz w:val="21"/>
        </w:rPr>
        <w:t>经</w:t>
      </w:r>
      <w:r>
        <w:rPr>
          <w:w w:val="100"/>
          <w:sz w:val="21"/>
        </w:rPr>
        <w:t>系</w:t>
      </w:r>
      <w:r>
        <w:rPr>
          <w:spacing w:val="-3"/>
          <w:w w:val="100"/>
          <w:sz w:val="21"/>
        </w:rPr>
        <w:t>统</w:t>
      </w:r>
      <w:r>
        <w:rPr>
          <w:w w:val="100"/>
          <w:sz w:val="21"/>
        </w:rPr>
        <w:t>功</w:t>
      </w:r>
      <w:r>
        <w:rPr>
          <w:spacing w:val="-3"/>
          <w:w w:val="100"/>
          <w:sz w:val="21"/>
        </w:rPr>
        <w:t>能</w:t>
      </w:r>
      <w:r>
        <w:rPr>
          <w:w w:val="100"/>
          <w:sz w:val="21"/>
        </w:rPr>
        <w:t>损</w:t>
      </w:r>
      <w:r>
        <w:rPr>
          <w:spacing w:val="-3"/>
          <w:w w:val="100"/>
          <w:sz w:val="21"/>
        </w:rPr>
        <w:t>害</w:t>
      </w:r>
      <w:r>
        <w:rPr>
          <w:w w:val="100"/>
          <w:sz w:val="21"/>
        </w:rPr>
        <w:t>导致</w:t>
      </w:r>
      <w:r>
        <w:rPr>
          <w:spacing w:val="-3"/>
          <w:w w:val="100"/>
          <w:sz w:val="21"/>
        </w:rPr>
        <w:t>被</w:t>
      </w:r>
      <w:r>
        <w:rPr>
          <w:w w:val="100"/>
          <w:sz w:val="21"/>
        </w:rPr>
        <w:t>保</w:t>
      </w:r>
      <w:r>
        <w:rPr>
          <w:spacing w:val="-3"/>
          <w:w w:val="100"/>
          <w:sz w:val="21"/>
        </w:rPr>
        <w:t>险</w:t>
      </w:r>
      <w:r>
        <w:rPr>
          <w:w w:val="100"/>
          <w:sz w:val="21"/>
        </w:rPr>
        <w:t>人</w:t>
      </w:r>
      <w:r>
        <w:rPr>
          <w:spacing w:val="-3"/>
          <w:w w:val="100"/>
          <w:sz w:val="21"/>
        </w:rPr>
        <w:t>一</w:t>
      </w:r>
      <w:r>
        <w:rPr>
          <w:w w:val="100"/>
          <w:sz w:val="21"/>
        </w:rPr>
        <w:t>肢</w:t>
      </w:r>
      <w:r>
        <w:rPr>
          <w:spacing w:val="-3"/>
          <w:w w:val="100"/>
          <w:sz w:val="21"/>
        </w:rPr>
        <w:t>或</w:t>
      </w:r>
      <w:r>
        <w:rPr>
          <w:w w:val="100"/>
          <w:sz w:val="21"/>
        </w:rPr>
        <w:t>一</w:t>
      </w:r>
      <w:r>
        <w:rPr>
          <w:spacing w:val="-3"/>
          <w:w w:val="100"/>
          <w:sz w:val="21"/>
        </w:rPr>
        <w:t>肢</w:t>
      </w:r>
      <w:r>
        <w:rPr>
          <w:w w:val="100"/>
          <w:sz w:val="21"/>
        </w:rPr>
        <w:t>以上</w:t>
      </w:r>
      <w:r>
        <w:rPr>
          <w:spacing w:val="-2"/>
          <w:w w:val="100"/>
          <w:sz w:val="21"/>
        </w:rPr>
        <w:t>肢</w:t>
      </w:r>
      <w:r>
        <w:rPr>
          <w:w w:val="100"/>
          <w:sz w:val="21"/>
        </w:rPr>
        <w:t>体</w:t>
      </w:r>
      <w:r>
        <w:rPr>
          <w:spacing w:val="-3"/>
          <w:w w:val="100"/>
          <w:sz w:val="21"/>
        </w:rPr>
        <w:t>技</w:t>
      </w:r>
      <w:r>
        <w:rPr>
          <w:w w:val="100"/>
          <w:sz w:val="21"/>
        </w:rPr>
        <w:t>能永久性</w:t>
      </w:r>
      <w:r>
        <w:rPr>
          <w:spacing w:val="-3"/>
          <w:w w:val="100"/>
          <w:sz w:val="21"/>
        </w:rPr>
        <w:t>完</w:t>
      </w:r>
      <w:r>
        <w:rPr>
          <w:w w:val="100"/>
          <w:sz w:val="21"/>
        </w:rPr>
        <w:t>全</w:t>
      </w:r>
      <w:r>
        <w:rPr>
          <w:spacing w:val="-3"/>
          <w:w w:val="100"/>
          <w:sz w:val="21"/>
        </w:rPr>
        <w:t>丧</w:t>
      </w:r>
      <w:r>
        <w:rPr>
          <w:w w:val="100"/>
          <w:sz w:val="21"/>
        </w:rPr>
        <w:t>失</w:t>
      </w:r>
      <w:r>
        <w:rPr>
          <w:spacing w:val="-3"/>
          <w:w w:val="100"/>
          <w:sz w:val="21"/>
        </w:rPr>
        <w:t>的</w:t>
      </w:r>
      <w:r>
        <w:rPr>
          <w:w w:val="100"/>
          <w:sz w:val="21"/>
        </w:rPr>
        <w:t>情</w:t>
      </w:r>
      <w:r>
        <w:rPr>
          <w:spacing w:val="-3"/>
          <w:w w:val="100"/>
          <w:sz w:val="21"/>
        </w:rPr>
        <w:t>况</w:t>
      </w:r>
      <w:r>
        <w:rPr>
          <w:spacing w:val="-1"/>
          <w:w w:val="100"/>
          <w:sz w:val="21"/>
        </w:rPr>
        <w:t>予</w:t>
      </w:r>
      <w:r>
        <w:rPr>
          <w:spacing w:val="-3"/>
          <w:w w:val="100"/>
          <w:sz w:val="21"/>
        </w:rPr>
        <w:t>以</w:t>
      </w:r>
      <w:r>
        <w:rPr>
          <w:w w:val="100"/>
          <w:sz w:val="21"/>
        </w:rPr>
        <w:t>理赔。</w:t>
      </w:r>
    </w:p>
    <w:p>
      <w:pPr>
        <w:pStyle w:val="2"/>
        <w:spacing w:line="269" w:lineRule="exact"/>
        <w:ind w:left="2229"/>
      </w:pPr>
      <w:r>
        <w:rPr>
          <w:spacing w:val="-5"/>
        </w:rPr>
        <w:t xml:space="preserve">肢体机能永久完全丧失，指疾病确诊 </w:t>
      </w:r>
      <w:r>
        <w:rPr>
          <w:spacing w:val="-2"/>
        </w:rPr>
        <w:t>180</w:t>
      </w:r>
      <w:r>
        <w:rPr>
          <w:spacing w:val="-12"/>
        </w:rPr>
        <w:t xml:space="preserve"> 天后或者意外伤害发生 </w:t>
      </w:r>
      <w:r>
        <w:rPr>
          <w:spacing w:val="-5"/>
        </w:rPr>
        <w:t>180</w:t>
      </w:r>
    </w:p>
    <w:p>
      <w:pPr>
        <w:pStyle w:val="2"/>
        <w:spacing w:before="43"/>
        <w:ind w:left="2229"/>
      </w:pPr>
      <w:r>
        <w:rPr>
          <w:spacing w:val="-13"/>
        </w:rPr>
        <w:t>天后，每肢三大关节中的两大关节仍然完全僵硬，或不能随意识活动。</w:t>
      </w:r>
    </w:p>
    <w:p>
      <w:pPr>
        <w:pStyle w:val="2"/>
        <w:spacing w:before="9"/>
        <w:rPr>
          <w:sz w:val="27"/>
        </w:rPr>
      </w:pPr>
    </w:p>
    <w:p>
      <w:pPr>
        <w:pStyle w:val="6"/>
        <w:numPr>
          <w:ilvl w:val="0"/>
          <w:numId w:val="31"/>
        </w:numPr>
        <w:tabs>
          <w:tab w:val="left" w:pos="761"/>
          <w:tab w:val="left" w:pos="2229"/>
        </w:tabs>
        <w:spacing w:before="0" w:after="0" w:line="278" w:lineRule="auto"/>
        <w:ind w:left="2229" w:right="814" w:hanging="2036"/>
        <w:jc w:val="left"/>
        <w:rPr>
          <w:sz w:val="21"/>
        </w:rPr>
      </w:pPr>
      <w:r>
        <w:rPr>
          <w:b/>
          <w:spacing w:val="-2"/>
          <w:sz w:val="21"/>
        </w:rPr>
        <w:t>植物人状态</w:t>
      </w:r>
      <w:r>
        <w:rPr>
          <w:b/>
          <w:sz w:val="21"/>
        </w:rPr>
        <w:tab/>
      </w:r>
      <w:r>
        <w:rPr>
          <w:spacing w:val="-2"/>
          <w:sz w:val="21"/>
        </w:rPr>
        <w:t>指脑皮质广泛性坏死而导致对自身及周边的认知能力完全丧失,但脑干功能依然存在。必须由神经专科医生明确诊断,并有头颅断层扫描</w:t>
      </w:r>
    </w:p>
    <w:p>
      <w:pPr>
        <w:pStyle w:val="2"/>
        <w:spacing w:line="278" w:lineRule="auto"/>
        <w:ind w:left="2229" w:right="816"/>
      </w:pPr>
      <w:r>
        <w:rPr>
          <w:spacing w:val="17"/>
        </w:rPr>
        <w:t>（CT</w:t>
      </w:r>
      <w:r>
        <w:rPr>
          <w:spacing w:val="-91"/>
        </w:rPr>
        <w:t>）</w:t>
      </w:r>
      <w:r>
        <w:rPr>
          <w:spacing w:val="-3"/>
        </w:rPr>
        <w:t>，核磁共振检查</w:t>
      </w:r>
      <w:r>
        <w:rPr>
          <w:spacing w:val="-4"/>
        </w:rPr>
        <w:t>（MRI）或正电子发射断层扫描（PET）等影像</w:t>
      </w:r>
      <w:r>
        <w:rPr>
          <w:spacing w:val="-2"/>
        </w:rPr>
        <w:t>学检查证实。</w:t>
      </w:r>
    </w:p>
    <w:p>
      <w:pPr>
        <w:spacing w:before="0" w:line="278" w:lineRule="auto"/>
        <w:ind w:left="2229" w:right="731" w:firstLine="0"/>
        <w:jc w:val="left"/>
        <w:rPr>
          <w:rFonts w:hint="eastAsia" w:ascii="黑体" w:eastAsia="黑体"/>
          <w:b/>
          <w:sz w:val="21"/>
        </w:rPr>
      </w:pPr>
      <w:r>
        <w:rPr>
          <w:rFonts w:hint="eastAsia" w:ascii="黑体" w:eastAsia="黑体"/>
          <w:b/>
          <w:spacing w:val="-2"/>
          <w:sz w:val="21"/>
        </w:rPr>
        <w:t>上述情况必须有至少一个月的病历记录加以证实。由于酗酒或滥用药物所致的植物人状态不在保障范围内。</w:t>
      </w:r>
    </w:p>
    <w:p>
      <w:pPr>
        <w:pStyle w:val="2"/>
        <w:spacing w:before="5"/>
        <w:rPr>
          <w:rFonts w:ascii="黑体"/>
          <w:b/>
          <w:sz w:val="19"/>
        </w:rPr>
      </w:pPr>
    </w:p>
    <w:p>
      <w:pPr>
        <w:spacing w:after="0"/>
        <w:rPr>
          <w:rFonts w:ascii="黑体"/>
          <w:sz w:val="19"/>
        </w:rPr>
        <w:sectPr>
          <w:type w:val="continuous"/>
          <w:pgSz w:w="11910" w:h="16840"/>
          <w:pgMar w:top="260" w:right="1080" w:bottom="1320" w:left="1580" w:header="0" w:footer="1137" w:gutter="0"/>
          <w:cols w:space="720" w:num="1"/>
        </w:sectPr>
      </w:pPr>
    </w:p>
    <w:p>
      <w:pPr>
        <w:pStyle w:val="6"/>
        <w:numPr>
          <w:ilvl w:val="0"/>
          <w:numId w:val="31"/>
        </w:numPr>
        <w:tabs>
          <w:tab w:val="left" w:pos="761"/>
        </w:tabs>
        <w:spacing w:before="63" w:after="0" w:line="278" w:lineRule="auto"/>
        <w:ind w:left="760" w:right="38" w:hanging="567"/>
        <w:jc w:val="left"/>
        <w:rPr>
          <w:b/>
          <w:sz w:val="21"/>
        </w:rPr>
      </w:pPr>
      <w:r>
        <w:rPr>
          <w:b/>
          <w:spacing w:val="-2"/>
          <w:sz w:val="21"/>
        </w:rPr>
        <w:t>室壁瘤切除</w:t>
      </w:r>
      <w:r>
        <w:rPr>
          <w:b/>
          <w:spacing w:val="-6"/>
          <w:sz w:val="21"/>
        </w:rPr>
        <w:t>手术</w:t>
      </w:r>
    </w:p>
    <w:p>
      <w:pPr>
        <w:spacing w:before="63" w:line="278" w:lineRule="auto"/>
        <w:ind w:left="194" w:right="730" w:firstLine="0"/>
        <w:jc w:val="left"/>
        <w:rPr>
          <w:rFonts w:hint="eastAsia" w:ascii="黑体" w:eastAsia="黑体"/>
          <w:b/>
          <w:sz w:val="21"/>
        </w:rPr>
      </w:pPr>
      <w:r>
        <w:br w:type="column"/>
      </w:r>
      <w:r>
        <w:rPr>
          <w:spacing w:val="-5"/>
          <w:w w:val="100"/>
          <w:sz w:val="21"/>
        </w:rPr>
        <w:t>被保险人被明确诊断为左室室壁瘤，并且实际接受了开胸开心进行的</w:t>
      </w:r>
      <w:r>
        <w:rPr>
          <w:spacing w:val="-4"/>
          <w:w w:val="100"/>
          <w:sz w:val="21"/>
        </w:rPr>
        <w:t>室壁瘤切除手术治疗，</w:t>
      </w:r>
      <w:r>
        <w:rPr>
          <w:rFonts w:hint="eastAsia" w:ascii="黑体" w:eastAsia="黑体"/>
          <w:b/>
          <w:spacing w:val="-2"/>
          <w:w w:val="100"/>
          <w:sz w:val="21"/>
        </w:rPr>
        <w:t>经导管心室内成型手术治疗不在本保障范围内。</w:t>
      </w:r>
    </w:p>
    <w:p>
      <w:pPr>
        <w:spacing w:after="0" w:line="278" w:lineRule="auto"/>
        <w:jc w:val="left"/>
        <w:rPr>
          <w:rFonts w:hint="eastAsia" w:ascii="黑体" w:eastAsia="黑体"/>
          <w:sz w:val="21"/>
        </w:rPr>
        <w:sectPr>
          <w:type w:val="continuous"/>
          <w:pgSz w:w="11910" w:h="16840"/>
          <w:pgMar w:top="260" w:right="1080" w:bottom="1320" w:left="1580" w:header="0" w:footer="1137" w:gutter="0"/>
          <w:cols w:equalWidth="0" w:num="2">
            <w:col w:w="1857" w:space="179"/>
            <w:col w:w="7214"/>
          </w:cols>
        </w:sectPr>
      </w:pPr>
    </w:p>
    <w:p>
      <w:pPr>
        <w:pStyle w:val="6"/>
        <w:numPr>
          <w:ilvl w:val="0"/>
          <w:numId w:val="31"/>
        </w:numPr>
        <w:tabs>
          <w:tab w:val="left" w:pos="761"/>
        </w:tabs>
        <w:spacing w:before="44" w:after="0" w:line="240" w:lineRule="auto"/>
        <w:ind w:left="760" w:right="0" w:hanging="567"/>
        <w:jc w:val="left"/>
        <w:rPr>
          <w:b/>
          <w:sz w:val="21"/>
        </w:rPr>
      </w:pPr>
      <w:r>
        <w:rPr>
          <w:b/>
          <w:spacing w:val="-2"/>
          <w:sz w:val="21"/>
        </w:rPr>
        <w:t>非阿尔茨海</w:t>
      </w:r>
    </w:p>
    <w:p>
      <w:pPr>
        <w:spacing w:before="43" w:line="278" w:lineRule="auto"/>
        <w:ind w:left="760" w:right="38" w:firstLine="0"/>
        <w:jc w:val="left"/>
        <w:rPr>
          <w:b/>
          <w:sz w:val="21"/>
        </w:rPr>
      </w:pPr>
      <w:r>
        <w:rPr>
          <w:b/>
          <w:spacing w:val="-2"/>
          <w:sz w:val="21"/>
        </w:rPr>
        <w:t>默病所致严</w:t>
      </w:r>
      <w:r>
        <w:rPr>
          <w:b/>
          <w:spacing w:val="-4"/>
          <w:sz w:val="21"/>
        </w:rPr>
        <w:t>重痴呆</w:t>
      </w:r>
    </w:p>
    <w:p>
      <w:pPr>
        <w:pStyle w:val="2"/>
        <w:spacing w:before="44" w:line="278" w:lineRule="auto"/>
        <w:ind w:left="194" w:right="730"/>
      </w:pPr>
      <w:r>
        <w:br w:type="column"/>
      </w:r>
      <w:r>
        <w:rPr>
          <w:spacing w:val="-3"/>
          <w:w w:val="100"/>
        </w:rPr>
        <w:t>指因阿尔茨海默病以外的脑的器质性疾病造成脑功能衰竭导致永久</w:t>
      </w:r>
      <w:r>
        <w:rPr>
          <w:spacing w:val="-5"/>
          <w:w w:val="100"/>
        </w:rPr>
        <w:t>不可逆性的严重痴呆，临床表现为明显的认知能力障碍、行为异常和</w:t>
      </w:r>
      <w:r>
        <w:rPr>
          <w:spacing w:val="-6"/>
          <w:w w:val="100"/>
        </w:rPr>
        <w:t>社交能力减退。被保险人自主生活能力完全丧失，无法独立完成六项</w:t>
      </w:r>
      <w:r>
        <w:rPr>
          <w:spacing w:val="-5"/>
          <w:w w:val="100"/>
        </w:rPr>
        <w:t>基本日常生活活动中的三项或三项以上，日常生活必须持续受到他人监护。导致痴呆的疾病必须明确诊断，并且由完整的临床、实验室和</w:t>
      </w:r>
      <w:r>
        <w:rPr>
          <w:spacing w:val="-4"/>
          <w:w w:val="100"/>
        </w:rPr>
        <w:t>影像学检查结果证实。</w:t>
      </w:r>
    </w:p>
    <w:p>
      <w:pPr>
        <w:spacing w:before="0" w:line="268" w:lineRule="exact"/>
        <w:ind w:left="194" w:right="0" w:firstLine="0"/>
        <w:jc w:val="left"/>
        <w:rPr>
          <w:rFonts w:hint="eastAsia" w:ascii="黑体" w:eastAsia="黑体"/>
          <w:b/>
          <w:sz w:val="21"/>
        </w:rPr>
      </w:pPr>
      <w:r>
        <w:rPr>
          <w:rFonts w:hint="eastAsia" w:ascii="黑体" w:eastAsia="黑体"/>
          <w:b/>
          <w:spacing w:val="-3"/>
          <w:sz w:val="21"/>
        </w:rPr>
        <w:t>神经官能症和精神疾病不在保障范围内。</w:t>
      </w:r>
    </w:p>
    <w:p>
      <w:pPr>
        <w:spacing w:after="0" w:line="268" w:lineRule="exact"/>
        <w:jc w:val="left"/>
        <w:rPr>
          <w:rFonts w:hint="eastAsia" w:ascii="黑体" w:eastAsia="黑体"/>
          <w:sz w:val="21"/>
        </w:rPr>
        <w:sectPr>
          <w:pgSz w:w="11910" w:h="16840"/>
          <w:pgMar w:top="1400" w:right="1080" w:bottom="1320" w:left="1580" w:header="0" w:footer="1137" w:gutter="0"/>
          <w:cols w:equalWidth="0" w:num="2">
            <w:col w:w="1857" w:space="179"/>
            <w:col w:w="7214"/>
          </w:cols>
        </w:sectPr>
      </w:pPr>
    </w:p>
    <w:p>
      <w:pPr>
        <w:pStyle w:val="2"/>
        <w:spacing w:before="10"/>
        <w:rPr>
          <w:rFonts w:ascii="黑体"/>
          <w:b/>
          <w:sz w:val="22"/>
        </w:rPr>
      </w:pPr>
    </w:p>
    <w:p>
      <w:pPr>
        <w:spacing w:after="0"/>
        <w:rPr>
          <w:rFonts w:ascii="黑体"/>
          <w:sz w:val="22"/>
        </w:rPr>
        <w:sectPr>
          <w:type w:val="continuous"/>
          <w:pgSz w:w="11910" w:h="16840"/>
          <w:pgMar w:top="260" w:right="1080" w:bottom="1320" w:left="1580" w:header="0" w:footer="1137" w:gutter="0"/>
          <w:cols w:space="720" w:num="1"/>
        </w:sectPr>
      </w:pPr>
    </w:p>
    <w:p>
      <w:pPr>
        <w:pStyle w:val="6"/>
        <w:numPr>
          <w:ilvl w:val="0"/>
          <w:numId w:val="31"/>
        </w:numPr>
        <w:tabs>
          <w:tab w:val="left" w:pos="761"/>
        </w:tabs>
        <w:spacing w:before="64" w:after="0" w:line="240" w:lineRule="auto"/>
        <w:ind w:left="760" w:right="0" w:hanging="567"/>
        <w:jc w:val="left"/>
        <w:rPr>
          <w:b/>
          <w:sz w:val="21"/>
        </w:rPr>
      </w:pPr>
      <w:r>
        <w:rPr>
          <w:b/>
          <w:spacing w:val="-2"/>
          <w:sz w:val="21"/>
        </w:rPr>
        <w:t>严重冠状动</w:t>
      </w:r>
    </w:p>
    <w:p>
      <w:pPr>
        <w:spacing w:before="42" w:line="278" w:lineRule="auto"/>
        <w:ind w:left="760" w:right="38" w:firstLine="0"/>
        <w:jc w:val="left"/>
        <w:rPr>
          <w:b/>
          <w:sz w:val="21"/>
        </w:rPr>
      </w:pPr>
      <w:r>
        <w:rPr>
          <w:b/>
          <w:spacing w:val="-2"/>
          <w:sz w:val="21"/>
        </w:rPr>
        <w:t>脉粥样硬化</w:t>
      </w:r>
      <w:r>
        <w:rPr>
          <w:b/>
          <w:spacing w:val="-4"/>
          <w:sz w:val="21"/>
        </w:rPr>
        <w:t>性心脏病</w:t>
      </w:r>
    </w:p>
    <w:p>
      <w:pPr>
        <w:pStyle w:val="2"/>
        <w:spacing w:before="64" w:line="278" w:lineRule="auto"/>
        <w:ind w:left="194" w:right="727"/>
      </w:pPr>
      <w:r>
        <w:br w:type="column"/>
      </w:r>
      <w:r>
        <w:rPr>
          <w:spacing w:val="-2"/>
        </w:rPr>
        <w:t>指经冠状动脉造影检查明确诊断为主要血管严重狭窄性病变，须满足下列至少一项条件：</w:t>
      </w:r>
    </w:p>
    <w:p>
      <w:pPr>
        <w:pStyle w:val="6"/>
        <w:numPr>
          <w:ilvl w:val="0"/>
          <w:numId w:val="33"/>
        </w:numPr>
        <w:tabs>
          <w:tab w:val="left" w:pos="778"/>
        </w:tabs>
        <w:spacing w:before="0" w:after="0" w:line="278" w:lineRule="auto"/>
        <w:ind w:left="760" w:right="627" w:hanging="567"/>
        <w:jc w:val="left"/>
        <w:rPr>
          <w:sz w:val="21"/>
        </w:rPr>
      </w:pPr>
      <w:r>
        <w:rPr>
          <w:spacing w:val="-4"/>
          <w:sz w:val="21"/>
        </w:rPr>
        <w:t xml:space="preserve">左冠状动脉主干和右冠状动脉中，一支血管管腔堵塞 </w:t>
      </w:r>
      <w:r>
        <w:rPr>
          <w:spacing w:val="-2"/>
          <w:sz w:val="21"/>
        </w:rPr>
        <w:t>75%以上，</w:t>
      </w:r>
      <w:r>
        <w:rPr>
          <w:spacing w:val="-5"/>
          <w:sz w:val="21"/>
        </w:rPr>
        <w:t xml:space="preserve">另一支血管管腔堵塞 </w:t>
      </w:r>
      <w:r>
        <w:rPr>
          <w:sz w:val="21"/>
        </w:rPr>
        <w:t>60%以上；</w:t>
      </w:r>
    </w:p>
    <w:p>
      <w:pPr>
        <w:pStyle w:val="6"/>
        <w:numPr>
          <w:ilvl w:val="0"/>
          <w:numId w:val="33"/>
        </w:numPr>
        <w:tabs>
          <w:tab w:val="left" w:pos="778"/>
        </w:tabs>
        <w:spacing w:before="0" w:after="0" w:line="240" w:lineRule="auto"/>
        <w:ind w:left="777" w:right="0" w:hanging="584"/>
        <w:jc w:val="left"/>
        <w:rPr>
          <w:sz w:val="21"/>
        </w:rPr>
      </w:pPr>
      <w:r>
        <w:rPr>
          <w:spacing w:val="-15"/>
          <w:sz w:val="21"/>
        </w:rPr>
        <w:t xml:space="preserve">左前降支、左旋支和右冠状动脉中，至少一支血管官腔堵塞 </w:t>
      </w:r>
      <w:r>
        <w:rPr>
          <w:spacing w:val="-5"/>
          <w:sz w:val="21"/>
        </w:rPr>
        <w:t>75%</w:t>
      </w:r>
    </w:p>
    <w:p>
      <w:pPr>
        <w:pStyle w:val="2"/>
        <w:spacing w:before="43"/>
        <w:ind w:left="760"/>
      </w:pPr>
      <w:r>
        <w:rPr>
          <w:spacing w:val="-5"/>
        </w:rPr>
        <w:t xml:space="preserve">以上，其他两支血管官腔堵塞 </w:t>
      </w:r>
      <w:r>
        <w:rPr>
          <w:spacing w:val="-2"/>
        </w:rPr>
        <w:t>60</w:t>
      </w:r>
      <w:r>
        <w:rPr>
          <w:spacing w:val="-4"/>
        </w:rPr>
        <w:t>%以上。</w:t>
      </w:r>
    </w:p>
    <w:p>
      <w:pPr>
        <w:spacing w:before="43" w:line="278" w:lineRule="auto"/>
        <w:ind w:left="194" w:right="730" w:firstLine="0"/>
        <w:jc w:val="left"/>
        <w:rPr>
          <w:rFonts w:hint="eastAsia" w:ascii="黑体" w:eastAsia="黑体"/>
          <w:b/>
          <w:sz w:val="21"/>
        </w:rPr>
      </w:pPr>
      <w:r>
        <w:rPr>
          <w:rFonts w:hint="eastAsia" w:ascii="黑体" w:eastAsia="黑体"/>
          <w:b/>
          <w:spacing w:val="-2"/>
          <w:sz w:val="21"/>
        </w:rPr>
        <w:t>左前降支的分支血管、左旋支的分支血管及右冠状动脉的分支血管的狭窄不作为本保障的衡量指标。</w:t>
      </w:r>
    </w:p>
    <w:p>
      <w:pPr>
        <w:spacing w:after="0" w:line="278" w:lineRule="auto"/>
        <w:jc w:val="left"/>
        <w:rPr>
          <w:rFonts w:hint="eastAsia" w:ascii="黑体" w:eastAsia="黑体"/>
          <w:sz w:val="21"/>
        </w:rPr>
        <w:sectPr>
          <w:type w:val="continuous"/>
          <w:pgSz w:w="11910" w:h="16840"/>
          <w:pgMar w:top="260" w:right="1080" w:bottom="1320" w:left="1580" w:header="0" w:footer="1137" w:gutter="0"/>
          <w:cols w:equalWidth="0" w:num="2">
            <w:col w:w="1857" w:space="179"/>
            <w:col w:w="7214"/>
          </w:cols>
        </w:sectPr>
      </w:pPr>
    </w:p>
    <w:p>
      <w:pPr>
        <w:pStyle w:val="2"/>
        <w:spacing w:before="4"/>
        <w:rPr>
          <w:rFonts w:ascii="黑体"/>
          <w:b/>
          <w:sz w:val="19"/>
        </w:rPr>
      </w:pPr>
    </w:p>
    <w:p>
      <w:pPr>
        <w:pStyle w:val="6"/>
        <w:numPr>
          <w:ilvl w:val="0"/>
          <w:numId w:val="31"/>
        </w:numPr>
        <w:tabs>
          <w:tab w:val="left" w:pos="761"/>
          <w:tab w:val="left" w:pos="2229"/>
        </w:tabs>
        <w:spacing w:before="64" w:after="0" w:line="278" w:lineRule="auto"/>
        <w:ind w:left="2229" w:right="709" w:hanging="2036"/>
        <w:jc w:val="left"/>
        <w:rPr>
          <w:sz w:val="21"/>
        </w:rPr>
      </w:pPr>
      <w:r>
        <w:rPr>
          <w:b/>
          <w:spacing w:val="-2"/>
          <w:sz w:val="21"/>
        </w:rPr>
        <w:t>多发性硬化</w:t>
      </w:r>
      <w:r>
        <w:rPr>
          <w:b/>
          <w:sz w:val="21"/>
        </w:rPr>
        <w:tab/>
      </w:r>
      <w:r>
        <w:rPr>
          <w:spacing w:val="-2"/>
          <w:sz w:val="21"/>
        </w:rPr>
        <w:t>被保险人因脑及脊髓内的脱髓鞘病变而出现神经系统多灶性（多发</w:t>
      </w:r>
      <w:r>
        <w:rPr>
          <w:spacing w:val="40"/>
          <w:sz w:val="21"/>
        </w:rPr>
        <w:t xml:space="preserve"> </w:t>
      </w:r>
      <w:r>
        <w:rPr>
          <w:sz w:val="21"/>
        </w:rPr>
        <w:t>性）多时相（至少</w:t>
      </w:r>
      <w:r>
        <w:rPr>
          <w:spacing w:val="-55"/>
          <w:sz w:val="21"/>
        </w:rPr>
        <w:t xml:space="preserve"> </w:t>
      </w:r>
      <w:r>
        <w:rPr>
          <w:sz w:val="21"/>
        </w:rPr>
        <w:t>6</w:t>
      </w:r>
      <w:r>
        <w:rPr>
          <w:spacing w:val="-53"/>
          <w:sz w:val="21"/>
        </w:rPr>
        <w:t xml:space="preserve"> </w:t>
      </w:r>
      <w:r>
        <w:rPr>
          <w:sz w:val="21"/>
        </w:rPr>
        <w:t>个月以内有一次以上（不包含一次）的发作）的</w:t>
      </w:r>
      <w:r>
        <w:rPr>
          <w:spacing w:val="-4"/>
          <w:sz w:val="21"/>
        </w:rPr>
        <w:t>病变，须由计算机断层扫描</w:t>
      </w:r>
      <w:r>
        <w:rPr>
          <w:spacing w:val="23"/>
          <w:sz w:val="21"/>
        </w:rPr>
        <w:t>（CT</w:t>
      </w:r>
      <w:r>
        <w:rPr>
          <w:spacing w:val="-85"/>
          <w:sz w:val="21"/>
        </w:rPr>
        <w:t>）</w:t>
      </w:r>
      <w:r>
        <w:rPr>
          <w:spacing w:val="-4"/>
          <w:sz w:val="21"/>
        </w:rPr>
        <w:t>、核磁共振检查（MRI）或正电子发</w:t>
      </w:r>
      <w:r>
        <w:rPr>
          <w:spacing w:val="-2"/>
          <w:sz w:val="21"/>
        </w:rPr>
        <w:t>射断层扫描（PET）等影像学检查证实，且已经造成自主生活能力完全丧失，无法独立完成六项基本日常生活活动中的三项或三项以上，</w:t>
      </w:r>
      <w:r>
        <w:rPr>
          <w:sz w:val="21"/>
        </w:rPr>
        <w:t>持续至少</w:t>
      </w:r>
      <w:r>
        <w:rPr>
          <w:spacing w:val="-22"/>
          <w:sz w:val="21"/>
        </w:rPr>
        <w:t xml:space="preserve"> </w:t>
      </w:r>
      <w:r>
        <w:rPr>
          <w:sz w:val="21"/>
        </w:rPr>
        <w:t>180</w:t>
      </w:r>
      <w:r>
        <w:rPr>
          <w:spacing w:val="-22"/>
          <w:sz w:val="21"/>
        </w:rPr>
        <w:t xml:space="preserve"> </w:t>
      </w:r>
      <w:r>
        <w:rPr>
          <w:sz w:val="21"/>
        </w:rPr>
        <w:t>天。</w:t>
      </w:r>
    </w:p>
    <w:p>
      <w:pPr>
        <w:pStyle w:val="2"/>
        <w:spacing w:before="5"/>
        <w:rPr>
          <w:sz w:val="19"/>
        </w:rPr>
      </w:pPr>
    </w:p>
    <w:p>
      <w:pPr>
        <w:spacing w:after="0"/>
        <w:rPr>
          <w:sz w:val="19"/>
        </w:rPr>
        <w:sectPr>
          <w:type w:val="continuous"/>
          <w:pgSz w:w="11910" w:h="16840"/>
          <w:pgMar w:top="260" w:right="1080" w:bottom="1320" w:left="1580" w:header="0" w:footer="1137" w:gutter="0"/>
          <w:cols w:space="720" w:num="1"/>
        </w:sectPr>
      </w:pPr>
    </w:p>
    <w:p>
      <w:pPr>
        <w:pStyle w:val="6"/>
        <w:numPr>
          <w:ilvl w:val="0"/>
          <w:numId w:val="31"/>
        </w:numPr>
        <w:tabs>
          <w:tab w:val="left" w:pos="761"/>
        </w:tabs>
        <w:spacing w:before="63" w:after="0" w:line="240" w:lineRule="auto"/>
        <w:ind w:left="760" w:right="0" w:hanging="567"/>
        <w:jc w:val="left"/>
        <w:rPr>
          <w:b/>
          <w:sz w:val="21"/>
        </w:rPr>
      </w:pPr>
      <w:r>
        <w:rPr>
          <w:b/>
          <w:sz w:val="21"/>
        </w:rPr>
        <w:t>全身性（型</w:t>
      </w:r>
      <w:r>
        <w:rPr>
          <w:b/>
          <w:spacing w:val="-10"/>
          <w:sz w:val="21"/>
        </w:rPr>
        <w:t>）</w:t>
      </w:r>
    </w:p>
    <w:p>
      <w:pPr>
        <w:spacing w:before="43"/>
        <w:ind w:left="760" w:right="0" w:firstLine="0"/>
        <w:jc w:val="left"/>
        <w:rPr>
          <w:b/>
          <w:sz w:val="21"/>
        </w:rPr>
      </w:pPr>
      <w:r>
        <w:rPr>
          <w:b/>
          <w:spacing w:val="-2"/>
          <w:sz w:val="21"/>
        </w:rPr>
        <w:t>重症肌无力</w:t>
      </w:r>
    </w:p>
    <w:p>
      <w:pPr>
        <w:pStyle w:val="2"/>
        <w:spacing w:before="63" w:line="278" w:lineRule="auto"/>
        <w:ind w:left="162" w:right="728"/>
      </w:pPr>
      <w:r>
        <w:br w:type="column"/>
      </w:r>
      <w:r>
        <w:rPr>
          <w:spacing w:val="-4"/>
          <w:w w:val="100"/>
        </w:rPr>
        <w:t>是指一种神经与肌肉接头部位传递障碍的自身免疫性疾病，临床特征</w:t>
      </w:r>
      <w:r>
        <w:rPr>
          <w:spacing w:val="-3"/>
          <w:w w:val="100"/>
        </w:rPr>
        <w:t>是局部或全身横纹肌于活动时易于疲劳无力，颅神经眼外肌最易累</w:t>
      </w:r>
      <w:r>
        <w:rPr>
          <w:spacing w:val="-6"/>
          <w:w w:val="100"/>
        </w:rPr>
        <w:t>及，也可涉及呼吸肌、下肢近端肌群以至全身肌肉，须经我们认可的</w:t>
      </w:r>
      <w:r>
        <w:rPr>
          <w:spacing w:val="-4"/>
          <w:w w:val="100"/>
        </w:rPr>
        <w:t>神经科医师确诊。其诊断必须同时具有下列情况：</w:t>
      </w:r>
    </w:p>
    <w:p>
      <w:pPr>
        <w:pStyle w:val="6"/>
        <w:numPr>
          <w:ilvl w:val="0"/>
          <w:numId w:val="34"/>
        </w:numPr>
        <w:tabs>
          <w:tab w:val="left" w:pos="746"/>
        </w:tabs>
        <w:spacing w:before="0" w:after="0" w:line="278" w:lineRule="auto"/>
        <w:ind w:left="728" w:right="754" w:hanging="567"/>
        <w:jc w:val="both"/>
        <w:rPr>
          <w:sz w:val="21"/>
        </w:rPr>
      </w:pPr>
      <w:r>
        <w:rPr>
          <w:spacing w:val="-2"/>
          <w:sz w:val="21"/>
        </w:rPr>
        <w:t>经药物、胸腺手术治疗一年以上无法控制病情，丧失正常工作</w:t>
      </w:r>
      <w:r>
        <w:rPr>
          <w:spacing w:val="-4"/>
          <w:sz w:val="21"/>
        </w:rPr>
        <w:t>能力；</w:t>
      </w:r>
    </w:p>
    <w:p>
      <w:pPr>
        <w:pStyle w:val="6"/>
        <w:numPr>
          <w:ilvl w:val="0"/>
          <w:numId w:val="34"/>
        </w:numPr>
        <w:tabs>
          <w:tab w:val="left" w:pos="746"/>
        </w:tabs>
        <w:spacing w:before="0" w:after="0" w:line="278" w:lineRule="auto"/>
        <w:ind w:left="728" w:right="732" w:hanging="567"/>
        <w:jc w:val="both"/>
        <w:rPr>
          <w:sz w:val="21"/>
        </w:rPr>
      </w:pPr>
      <w:r>
        <w:rPr>
          <w:spacing w:val="-4"/>
          <w:sz w:val="21"/>
        </w:rPr>
        <w:t>出现眼睑下垂，或延髓肌受累引起的构音困难、进食呛咳,或由</w:t>
      </w:r>
      <w:r>
        <w:rPr>
          <w:spacing w:val="-2"/>
          <w:sz w:val="21"/>
        </w:rPr>
        <w:t>于肌无力累及延髓肌、呼吸肌而致机体呼吸功能不正常的危急状态即肌无力危象；</w:t>
      </w:r>
    </w:p>
    <w:p>
      <w:pPr>
        <w:pStyle w:val="6"/>
        <w:numPr>
          <w:ilvl w:val="0"/>
          <w:numId w:val="34"/>
        </w:numPr>
        <w:tabs>
          <w:tab w:val="left" w:pos="746"/>
        </w:tabs>
        <w:spacing w:before="0" w:after="0" w:line="278" w:lineRule="auto"/>
        <w:ind w:left="728" w:right="754" w:hanging="567"/>
        <w:jc w:val="both"/>
        <w:rPr>
          <w:sz w:val="21"/>
        </w:rPr>
      </w:pPr>
      <w:r>
        <w:rPr>
          <w:spacing w:val="-2"/>
          <w:sz w:val="21"/>
        </w:rPr>
        <w:t>症状缓解、复发及恶化交替出现，临床接受新斯的明等抗胆碱酯酶药物治疗的病史。</w:t>
      </w:r>
    </w:p>
    <w:p>
      <w:pPr>
        <w:spacing w:after="0" w:line="278" w:lineRule="auto"/>
        <w:jc w:val="both"/>
        <w:rPr>
          <w:sz w:val="21"/>
        </w:rPr>
        <w:sectPr>
          <w:type w:val="continuous"/>
          <w:pgSz w:w="11910" w:h="16840"/>
          <w:pgMar w:top="260" w:right="1080" w:bottom="1320" w:left="1580" w:header="0" w:footer="1137" w:gutter="0"/>
          <w:cols w:equalWidth="0" w:num="2">
            <w:col w:w="2028" w:space="40"/>
            <w:col w:w="7182"/>
          </w:cols>
        </w:sectPr>
      </w:pPr>
    </w:p>
    <w:p>
      <w:pPr>
        <w:pStyle w:val="2"/>
        <w:spacing w:before="5"/>
        <w:rPr>
          <w:sz w:val="19"/>
        </w:rPr>
      </w:pPr>
    </w:p>
    <w:p>
      <w:pPr>
        <w:pStyle w:val="6"/>
        <w:numPr>
          <w:ilvl w:val="0"/>
          <w:numId w:val="31"/>
        </w:numPr>
        <w:tabs>
          <w:tab w:val="left" w:pos="761"/>
        </w:tabs>
        <w:spacing w:before="63" w:after="0" w:line="278" w:lineRule="auto"/>
        <w:ind w:left="2229" w:right="730" w:hanging="2036"/>
        <w:jc w:val="both"/>
        <w:rPr>
          <w:sz w:val="21"/>
        </w:rPr>
      </w:pPr>
      <w:r>
        <w:rPr>
          <w:b/>
          <w:spacing w:val="43"/>
          <w:sz w:val="21"/>
        </w:rPr>
        <w:t xml:space="preserve">严重心肌病 </w:t>
      </w:r>
      <w:r>
        <w:rPr>
          <w:sz w:val="21"/>
        </w:rPr>
        <w:t>指不明原因引起的一类心肌病变，包括原发性扩张型心肌病、原发性</w:t>
      </w:r>
      <w:r>
        <w:rPr>
          <w:spacing w:val="-2"/>
          <w:sz w:val="21"/>
        </w:rPr>
        <w:t>肥厚型心肌病及原发性限制型心肌病三种，病变必须已造成事实上心室功能障碍而出现明显的心功能衰竭（美国纽约心脏病学会心功能状</w:t>
      </w:r>
      <w:r>
        <w:rPr>
          <w:w w:val="95"/>
          <w:sz w:val="21"/>
        </w:rPr>
        <w:t>态分级</w:t>
      </w:r>
      <w:r>
        <w:rPr>
          <w:spacing w:val="35"/>
          <w:sz w:val="21"/>
        </w:rPr>
        <w:t xml:space="preserve"> </w:t>
      </w:r>
      <w:r>
        <w:rPr>
          <w:w w:val="95"/>
          <w:sz w:val="21"/>
        </w:rPr>
        <w:t>IV</w:t>
      </w:r>
      <w:r>
        <w:rPr>
          <w:spacing w:val="29"/>
          <w:sz w:val="21"/>
        </w:rPr>
        <w:t xml:space="preserve"> </w:t>
      </w:r>
      <w:r>
        <w:rPr>
          <w:w w:val="95"/>
          <w:sz w:val="21"/>
        </w:rPr>
        <w:t>级</w:t>
      </w:r>
      <w:r>
        <w:rPr>
          <w:spacing w:val="-64"/>
          <w:w w:val="95"/>
          <w:sz w:val="21"/>
        </w:rPr>
        <w:t>）</w:t>
      </w:r>
      <w:r>
        <w:rPr>
          <w:spacing w:val="-14"/>
          <w:w w:val="95"/>
          <w:sz w:val="21"/>
        </w:rPr>
        <w:t>，且有相关</w:t>
      </w:r>
      <w:r>
        <w:rPr>
          <w:w w:val="95"/>
          <w:sz w:val="21"/>
        </w:rPr>
        <w:t>住院医疗记录显示四级心功能衰竭状态持续</w:t>
      </w:r>
      <w:r>
        <w:rPr>
          <w:spacing w:val="-2"/>
          <w:sz w:val="21"/>
        </w:rPr>
        <w:t>至少一百八十天。</w:t>
      </w:r>
    </w:p>
    <w:p>
      <w:pPr>
        <w:spacing w:before="0" w:line="278" w:lineRule="auto"/>
        <w:ind w:left="2229" w:right="730" w:firstLine="0"/>
        <w:jc w:val="left"/>
        <w:rPr>
          <w:rFonts w:hint="eastAsia" w:ascii="黑体" w:eastAsia="黑体"/>
          <w:b/>
          <w:sz w:val="21"/>
        </w:rPr>
      </w:pPr>
      <w:r>
        <w:rPr>
          <w:rFonts w:hint="eastAsia" w:ascii="黑体" w:eastAsia="黑体"/>
          <w:b/>
          <w:spacing w:val="-2"/>
          <w:sz w:val="21"/>
        </w:rPr>
        <w:t>本病须经专科医生明确诊断。继发于全身性疾病或其他器官系统疾病造成的心肌病变除外。</w:t>
      </w:r>
    </w:p>
    <w:p>
      <w:pPr>
        <w:spacing w:after="0" w:line="278" w:lineRule="auto"/>
        <w:jc w:val="left"/>
        <w:rPr>
          <w:rFonts w:hint="eastAsia" w:ascii="黑体" w:eastAsia="黑体"/>
          <w:sz w:val="21"/>
        </w:rPr>
        <w:sectPr>
          <w:type w:val="continuous"/>
          <w:pgSz w:w="11910" w:h="16840"/>
          <w:pgMar w:top="260" w:right="1080" w:bottom="1320" w:left="1580" w:header="0" w:footer="1137" w:gutter="0"/>
          <w:cols w:space="720" w:num="1"/>
        </w:sectPr>
      </w:pPr>
    </w:p>
    <w:tbl>
      <w:tblPr>
        <w:tblStyle w:val="3"/>
        <w:tblW w:w="0" w:type="auto"/>
        <w:tblInd w:w="1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92"/>
        <w:gridCol w:w="1487"/>
        <w:gridCol w:w="65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771" w:hRule="atLeast"/>
        </w:trPr>
        <w:tc>
          <w:tcPr>
            <w:tcW w:w="492" w:type="dxa"/>
          </w:tcPr>
          <w:p>
            <w:pPr>
              <w:pStyle w:val="7"/>
              <w:spacing w:line="232" w:lineRule="exact"/>
              <w:ind w:left="50"/>
              <w:rPr>
                <w:sz w:val="21"/>
              </w:rPr>
            </w:pPr>
            <w:r>
              <w:rPr>
                <w:spacing w:val="-5"/>
                <w:sz w:val="21"/>
              </w:rPr>
              <w:t>54.</w:t>
            </w:r>
          </w:p>
        </w:tc>
        <w:tc>
          <w:tcPr>
            <w:tcW w:w="1487" w:type="dxa"/>
          </w:tcPr>
          <w:p>
            <w:pPr>
              <w:pStyle w:val="7"/>
              <w:spacing w:line="232" w:lineRule="exact"/>
              <w:ind w:left="124"/>
              <w:rPr>
                <w:b/>
                <w:sz w:val="21"/>
              </w:rPr>
            </w:pPr>
            <w:r>
              <w:rPr>
                <w:b/>
                <w:spacing w:val="-2"/>
                <w:sz w:val="21"/>
              </w:rPr>
              <w:t>慢性呼吸功</w:t>
            </w:r>
          </w:p>
          <w:p>
            <w:pPr>
              <w:pStyle w:val="7"/>
              <w:spacing w:before="43" w:line="278" w:lineRule="auto"/>
              <w:ind w:left="124" w:right="304"/>
              <w:rPr>
                <w:b/>
                <w:sz w:val="21"/>
              </w:rPr>
            </w:pPr>
            <w:r>
              <w:rPr>
                <w:b/>
                <w:spacing w:val="-2"/>
                <w:sz w:val="21"/>
              </w:rPr>
              <w:t>能衰竭终末</w:t>
            </w:r>
            <w:r>
              <w:rPr>
                <w:b/>
                <w:spacing w:val="-4"/>
                <w:sz w:val="21"/>
              </w:rPr>
              <w:t>期肺病</w:t>
            </w:r>
          </w:p>
        </w:tc>
        <w:tc>
          <w:tcPr>
            <w:tcW w:w="6547" w:type="dxa"/>
          </w:tcPr>
          <w:p>
            <w:pPr>
              <w:pStyle w:val="7"/>
              <w:spacing w:line="232" w:lineRule="exact"/>
              <w:ind w:left="106"/>
              <w:rPr>
                <w:sz w:val="21"/>
              </w:rPr>
            </w:pPr>
            <w:r>
              <w:rPr>
                <w:spacing w:val="-5"/>
                <w:sz w:val="21"/>
              </w:rPr>
              <w:t>慢性肺部疾病导致永久不可逆性的慢性呼吸功能衰竭。慢性呼吸功能</w:t>
            </w:r>
          </w:p>
          <w:p>
            <w:pPr>
              <w:pStyle w:val="7"/>
              <w:spacing w:before="43"/>
              <w:ind w:left="106"/>
              <w:rPr>
                <w:sz w:val="21"/>
              </w:rPr>
            </w:pPr>
            <w:r>
              <w:rPr>
                <w:spacing w:val="-3"/>
                <w:sz w:val="21"/>
              </w:rPr>
              <w:t>衰竭必须明确诊断并满足下列全部条件：</w:t>
            </w:r>
          </w:p>
          <w:p>
            <w:pPr>
              <w:pStyle w:val="7"/>
              <w:numPr>
                <w:ilvl w:val="0"/>
                <w:numId w:val="35"/>
              </w:numPr>
              <w:tabs>
                <w:tab w:val="left" w:pos="690"/>
              </w:tabs>
              <w:spacing w:before="42" w:after="0" w:line="240" w:lineRule="auto"/>
              <w:ind w:left="689" w:right="0" w:hanging="584"/>
              <w:jc w:val="left"/>
              <w:rPr>
                <w:sz w:val="21"/>
              </w:rPr>
            </w:pPr>
            <w:r>
              <w:rPr>
                <w:spacing w:val="-2"/>
                <w:position w:val="1"/>
                <w:sz w:val="21"/>
              </w:rPr>
              <w:t>动脉血氧分压（PaO</w:t>
            </w:r>
            <w:r>
              <w:rPr>
                <w:spacing w:val="-2"/>
                <w:sz w:val="11"/>
              </w:rPr>
              <w:t>2</w:t>
            </w:r>
            <w:r>
              <w:rPr>
                <w:spacing w:val="-2"/>
                <w:position w:val="1"/>
                <w:sz w:val="21"/>
              </w:rPr>
              <w:t>）&lt;50mmHg；</w:t>
            </w:r>
          </w:p>
          <w:p>
            <w:pPr>
              <w:pStyle w:val="7"/>
              <w:numPr>
                <w:ilvl w:val="0"/>
                <w:numId w:val="35"/>
              </w:numPr>
              <w:tabs>
                <w:tab w:val="left" w:pos="690"/>
              </w:tabs>
              <w:spacing w:before="43" w:after="0" w:line="240" w:lineRule="auto"/>
              <w:ind w:left="689" w:right="0" w:hanging="584"/>
              <w:jc w:val="left"/>
              <w:rPr>
                <w:sz w:val="21"/>
              </w:rPr>
            </w:pPr>
            <w:r>
              <w:rPr>
                <w:spacing w:val="-2"/>
                <w:position w:val="1"/>
                <w:sz w:val="21"/>
              </w:rPr>
              <w:t>动脉血氧饱和度（SaO</w:t>
            </w:r>
            <w:r>
              <w:rPr>
                <w:spacing w:val="-2"/>
                <w:sz w:val="11"/>
              </w:rPr>
              <w:t>2</w:t>
            </w:r>
            <w:r>
              <w:rPr>
                <w:spacing w:val="-2"/>
                <w:position w:val="1"/>
                <w:sz w:val="21"/>
              </w:rPr>
              <w:t>）&lt;80%；</w:t>
            </w:r>
          </w:p>
          <w:p>
            <w:pPr>
              <w:pStyle w:val="7"/>
              <w:numPr>
                <w:ilvl w:val="0"/>
                <w:numId w:val="35"/>
              </w:numPr>
              <w:tabs>
                <w:tab w:val="left" w:pos="690"/>
              </w:tabs>
              <w:spacing w:before="43" w:after="0" w:line="240" w:lineRule="auto"/>
              <w:ind w:left="689" w:right="0" w:hanging="584"/>
              <w:jc w:val="left"/>
              <w:rPr>
                <w:sz w:val="21"/>
              </w:rPr>
            </w:pPr>
            <w:r>
              <w:rPr>
                <w:spacing w:val="-3"/>
                <w:sz w:val="21"/>
              </w:rPr>
              <w:t>因缺氧必须接受持续的输氧治疗。</w:t>
            </w:r>
          </w:p>
          <w:p>
            <w:pPr>
              <w:pStyle w:val="7"/>
              <w:spacing w:before="43" w:line="228" w:lineRule="exact"/>
              <w:ind w:left="526"/>
              <w:rPr>
                <w:sz w:val="21"/>
              </w:rPr>
            </w:pPr>
            <w:r>
              <w:rPr>
                <w:spacing w:val="-3"/>
                <w:sz w:val="21"/>
              </w:rPr>
              <w:t>理赔时必须提供以上三项相应的证明文件或检查报告。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42" w:hRule="atLeast"/>
        </w:trPr>
        <w:tc>
          <w:tcPr>
            <w:tcW w:w="492" w:type="dxa"/>
          </w:tcPr>
          <w:p>
            <w:pPr>
              <w:pStyle w:val="7"/>
              <w:spacing w:before="4"/>
              <w:rPr>
                <w:rFonts w:ascii="黑体"/>
                <w:b/>
                <w:sz w:val="29"/>
              </w:rPr>
            </w:pPr>
          </w:p>
          <w:p>
            <w:pPr>
              <w:pStyle w:val="7"/>
              <w:ind w:left="50"/>
              <w:rPr>
                <w:sz w:val="21"/>
              </w:rPr>
            </w:pPr>
            <w:r>
              <w:rPr>
                <w:spacing w:val="-5"/>
                <w:sz w:val="21"/>
              </w:rPr>
              <w:t>55.</w:t>
            </w:r>
          </w:p>
        </w:tc>
        <w:tc>
          <w:tcPr>
            <w:tcW w:w="1487" w:type="dxa"/>
          </w:tcPr>
          <w:p>
            <w:pPr>
              <w:pStyle w:val="7"/>
              <w:spacing w:before="4"/>
              <w:rPr>
                <w:rFonts w:ascii="黑体"/>
                <w:b/>
                <w:sz w:val="29"/>
              </w:rPr>
            </w:pPr>
          </w:p>
          <w:p>
            <w:pPr>
              <w:pStyle w:val="7"/>
              <w:ind w:left="124"/>
              <w:rPr>
                <w:b/>
                <w:sz w:val="21"/>
              </w:rPr>
            </w:pPr>
            <w:r>
              <w:rPr>
                <w:b/>
                <w:spacing w:val="-2"/>
                <w:sz w:val="21"/>
              </w:rPr>
              <w:t>严重心肌炎</w:t>
            </w:r>
          </w:p>
        </w:tc>
        <w:tc>
          <w:tcPr>
            <w:tcW w:w="6547" w:type="dxa"/>
          </w:tcPr>
          <w:p>
            <w:pPr>
              <w:pStyle w:val="7"/>
              <w:spacing w:before="4"/>
              <w:rPr>
                <w:rFonts w:ascii="黑体"/>
                <w:b/>
                <w:sz w:val="29"/>
              </w:rPr>
            </w:pPr>
          </w:p>
          <w:p>
            <w:pPr>
              <w:pStyle w:val="7"/>
              <w:spacing w:line="278" w:lineRule="auto"/>
              <w:ind w:left="106" w:right="48"/>
              <w:rPr>
                <w:sz w:val="21"/>
              </w:rPr>
            </w:pPr>
            <w:r>
              <w:rPr>
                <w:spacing w:val="-2"/>
                <w:sz w:val="21"/>
              </w:rPr>
              <w:t>指心肌局限性或弥漫性的急性或慢性炎症病变，导致心脏功能障碍，</w:t>
            </w:r>
            <w:r>
              <w:rPr>
                <w:spacing w:val="-3"/>
                <w:sz w:val="21"/>
              </w:rPr>
              <w:t xml:space="preserve">达到美国纽约心脏病学会心功能状态分级 </w:t>
            </w:r>
            <w:r>
              <w:rPr>
                <w:sz w:val="21"/>
              </w:rPr>
              <w:t>IV</w:t>
            </w:r>
            <w:r>
              <w:rPr>
                <w:spacing w:val="-25"/>
                <w:sz w:val="21"/>
              </w:rPr>
              <w:t xml:space="preserve"> 级，且需持续至少 </w:t>
            </w:r>
            <w:r>
              <w:rPr>
                <w:sz w:val="21"/>
              </w:rPr>
              <w:t>90</w:t>
            </w:r>
            <w:r>
              <w:rPr>
                <w:spacing w:val="-20"/>
                <w:sz w:val="21"/>
              </w:rPr>
              <w:t xml:space="preserve"> 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90" w:hRule="atLeast"/>
        </w:trPr>
        <w:tc>
          <w:tcPr>
            <w:tcW w:w="492" w:type="dxa"/>
          </w:tcPr>
          <w:p>
            <w:pPr>
              <w:pStyle w:val="7"/>
              <w:spacing w:before="169"/>
              <w:ind w:left="50"/>
              <w:rPr>
                <w:sz w:val="21"/>
              </w:rPr>
            </w:pPr>
            <w:r>
              <w:rPr>
                <w:spacing w:val="-5"/>
                <w:sz w:val="21"/>
              </w:rPr>
              <w:t>56.</w:t>
            </w:r>
          </w:p>
        </w:tc>
        <w:tc>
          <w:tcPr>
            <w:tcW w:w="1487" w:type="dxa"/>
          </w:tcPr>
          <w:p>
            <w:pPr>
              <w:pStyle w:val="7"/>
              <w:spacing w:before="169" w:line="278" w:lineRule="auto"/>
              <w:ind w:left="124" w:right="304"/>
              <w:rPr>
                <w:b/>
                <w:sz w:val="21"/>
              </w:rPr>
            </w:pPr>
            <w:r>
              <w:rPr>
                <w:b/>
                <w:spacing w:val="-2"/>
                <w:sz w:val="21"/>
              </w:rPr>
              <w:t>肺淋巴管肌</w:t>
            </w:r>
            <w:r>
              <w:rPr>
                <w:b/>
                <w:spacing w:val="-6"/>
                <w:sz w:val="21"/>
              </w:rPr>
              <w:t>瘤病</w:t>
            </w:r>
          </w:p>
        </w:tc>
        <w:tc>
          <w:tcPr>
            <w:tcW w:w="6547" w:type="dxa"/>
          </w:tcPr>
          <w:p>
            <w:pPr>
              <w:pStyle w:val="7"/>
              <w:spacing w:before="169" w:line="278" w:lineRule="auto"/>
              <w:ind w:left="106" w:right="153"/>
              <w:jc w:val="both"/>
              <w:rPr>
                <w:sz w:val="21"/>
              </w:rPr>
            </w:pPr>
            <w:r>
              <w:rPr>
                <w:spacing w:val="-2"/>
                <w:sz w:val="21"/>
              </w:rPr>
              <w:t>肺淋巴管肌瘤病是一种弥漫性肺部疾病，主要病理改变为肺间质、支气管、血管和淋巴管内出现未成熟的平滑肌异常增生，同时需满足下列全部条件：</w:t>
            </w:r>
          </w:p>
          <w:p>
            <w:pPr>
              <w:pStyle w:val="7"/>
              <w:numPr>
                <w:ilvl w:val="0"/>
                <w:numId w:val="36"/>
              </w:numPr>
              <w:tabs>
                <w:tab w:val="left" w:pos="690"/>
              </w:tabs>
              <w:spacing w:before="1" w:after="0" w:line="240" w:lineRule="auto"/>
              <w:ind w:left="689" w:right="0" w:hanging="584"/>
              <w:jc w:val="both"/>
              <w:rPr>
                <w:sz w:val="21"/>
              </w:rPr>
            </w:pPr>
            <w:r>
              <w:rPr>
                <w:spacing w:val="-3"/>
                <w:sz w:val="21"/>
              </w:rPr>
              <w:t>经组织病理学诊断；</w:t>
            </w:r>
          </w:p>
          <w:p>
            <w:pPr>
              <w:pStyle w:val="7"/>
              <w:numPr>
                <w:ilvl w:val="0"/>
                <w:numId w:val="36"/>
              </w:numPr>
              <w:tabs>
                <w:tab w:val="left" w:pos="690"/>
              </w:tabs>
              <w:spacing w:before="43" w:after="0" w:line="240" w:lineRule="auto"/>
              <w:ind w:left="689" w:right="0" w:hanging="584"/>
              <w:jc w:val="both"/>
              <w:rPr>
                <w:sz w:val="21"/>
              </w:rPr>
            </w:pPr>
            <w:r>
              <w:rPr>
                <w:spacing w:val="-2"/>
                <w:sz w:val="21"/>
              </w:rPr>
              <w:t>CT</w:t>
            </w:r>
            <w:r>
              <w:rPr>
                <w:spacing w:val="-10"/>
                <w:sz w:val="21"/>
              </w:rPr>
              <w:t xml:space="preserve"> 显示双肺弥漫性囊性改变；</w:t>
            </w:r>
          </w:p>
          <w:p>
            <w:pPr>
              <w:pStyle w:val="7"/>
              <w:numPr>
                <w:ilvl w:val="0"/>
                <w:numId w:val="36"/>
              </w:numPr>
              <w:tabs>
                <w:tab w:val="left" w:pos="690"/>
              </w:tabs>
              <w:spacing w:before="0" w:after="0" w:line="310" w:lineRule="atLeast"/>
              <w:ind w:left="673" w:right="178" w:hanging="567"/>
              <w:jc w:val="both"/>
              <w:rPr>
                <w:sz w:val="21"/>
              </w:rPr>
            </w:pPr>
            <w:r>
              <w:rPr>
                <w:spacing w:val="-2"/>
                <w:sz w:val="21"/>
              </w:rPr>
              <w:t>休息时出现呼吸困难或并经我们认可医院的专科医生认可有必要进行肺移植手术。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37" w:hRule="atLeast"/>
        </w:trPr>
        <w:tc>
          <w:tcPr>
            <w:tcW w:w="492" w:type="dxa"/>
          </w:tcPr>
          <w:p>
            <w:pPr>
              <w:pStyle w:val="7"/>
              <w:rPr>
                <w:rFonts w:ascii="黑体"/>
                <w:b/>
                <w:sz w:val="28"/>
              </w:rPr>
            </w:pPr>
          </w:p>
          <w:p>
            <w:pPr>
              <w:pStyle w:val="7"/>
              <w:ind w:left="50"/>
              <w:rPr>
                <w:sz w:val="21"/>
              </w:rPr>
            </w:pPr>
            <w:r>
              <w:rPr>
                <w:spacing w:val="-5"/>
                <w:sz w:val="21"/>
              </w:rPr>
              <w:t>57.</w:t>
            </w:r>
          </w:p>
        </w:tc>
        <w:tc>
          <w:tcPr>
            <w:tcW w:w="1487" w:type="dxa"/>
          </w:tcPr>
          <w:p>
            <w:pPr>
              <w:pStyle w:val="7"/>
              <w:rPr>
                <w:rFonts w:ascii="黑体"/>
                <w:b/>
                <w:sz w:val="28"/>
              </w:rPr>
            </w:pPr>
          </w:p>
          <w:p>
            <w:pPr>
              <w:pStyle w:val="7"/>
              <w:spacing w:line="278" w:lineRule="auto"/>
              <w:ind w:left="124" w:right="105"/>
              <w:rPr>
                <w:b/>
                <w:sz w:val="21"/>
              </w:rPr>
            </w:pPr>
            <w:r>
              <w:rPr>
                <w:b/>
                <w:spacing w:val="-2"/>
                <w:sz w:val="21"/>
              </w:rPr>
              <w:t xml:space="preserve">侵蚀性葡萄 </w:t>
            </w:r>
            <w:r>
              <w:rPr>
                <w:b/>
                <w:spacing w:val="-4"/>
                <w:sz w:val="21"/>
              </w:rPr>
              <w:t>胎（或称恶性葡萄胎）</w:t>
            </w:r>
          </w:p>
        </w:tc>
        <w:tc>
          <w:tcPr>
            <w:tcW w:w="6547" w:type="dxa"/>
          </w:tcPr>
          <w:p>
            <w:pPr>
              <w:pStyle w:val="7"/>
              <w:rPr>
                <w:rFonts w:ascii="黑体"/>
                <w:b/>
                <w:sz w:val="28"/>
              </w:rPr>
            </w:pPr>
          </w:p>
          <w:p>
            <w:pPr>
              <w:pStyle w:val="7"/>
              <w:spacing w:line="278" w:lineRule="auto"/>
              <w:ind w:left="106" w:right="341"/>
              <w:rPr>
                <w:sz w:val="21"/>
              </w:rPr>
            </w:pPr>
            <w:r>
              <w:rPr>
                <w:spacing w:val="-2"/>
                <w:sz w:val="21"/>
              </w:rPr>
              <w:t>该类疾病是指异常增生的绒毛组织浸润性生长浸入子宫肌层或转移至其他器官或组织的葡萄胎，并已经进行化疗。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77" w:hRule="atLeast"/>
        </w:trPr>
        <w:tc>
          <w:tcPr>
            <w:tcW w:w="492" w:type="dxa"/>
          </w:tcPr>
          <w:p>
            <w:pPr>
              <w:pStyle w:val="7"/>
              <w:spacing w:before="170"/>
              <w:ind w:left="50"/>
              <w:rPr>
                <w:sz w:val="21"/>
              </w:rPr>
            </w:pPr>
            <w:r>
              <w:rPr>
                <w:spacing w:val="-5"/>
                <w:sz w:val="21"/>
              </w:rPr>
              <w:t>58.</w:t>
            </w:r>
          </w:p>
        </w:tc>
        <w:tc>
          <w:tcPr>
            <w:tcW w:w="1487" w:type="dxa"/>
          </w:tcPr>
          <w:p>
            <w:pPr>
              <w:pStyle w:val="7"/>
              <w:spacing w:before="170" w:line="278" w:lineRule="auto"/>
              <w:ind w:left="124" w:right="304"/>
              <w:rPr>
                <w:b/>
                <w:sz w:val="21"/>
              </w:rPr>
            </w:pPr>
            <w:r>
              <w:rPr>
                <w:b/>
                <w:spacing w:val="-2"/>
                <w:sz w:val="21"/>
              </w:rPr>
              <w:t>Ⅲ度房室传</w:t>
            </w:r>
            <w:r>
              <w:rPr>
                <w:b/>
                <w:spacing w:val="-4"/>
                <w:sz w:val="21"/>
              </w:rPr>
              <w:t>导阻滞</w:t>
            </w:r>
          </w:p>
        </w:tc>
        <w:tc>
          <w:tcPr>
            <w:tcW w:w="6547" w:type="dxa"/>
          </w:tcPr>
          <w:p>
            <w:pPr>
              <w:pStyle w:val="7"/>
              <w:spacing w:before="170" w:line="278" w:lineRule="auto"/>
              <w:ind w:left="106" w:right="154"/>
              <w:rPr>
                <w:sz w:val="21"/>
              </w:rPr>
            </w:pPr>
            <w:r>
              <w:rPr>
                <w:spacing w:val="-2"/>
                <w:sz w:val="21"/>
              </w:rPr>
              <w:t>指心房激动在房室交界区、房室束及其分支内发生阻滞，不能正常地传到心室的心脏传导性疾病，须满足下列所有条件：</w:t>
            </w:r>
          </w:p>
          <w:p>
            <w:pPr>
              <w:pStyle w:val="7"/>
              <w:numPr>
                <w:ilvl w:val="0"/>
                <w:numId w:val="37"/>
              </w:numPr>
              <w:tabs>
                <w:tab w:val="left" w:pos="690"/>
              </w:tabs>
              <w:spacing w:before="0" w:after="0" w:line="269" w:lineRule="exact"/>
              <w:ind w:left="689" w:right="0" w:hanging="584"/>
              <w:jc w:val="left"/>
              <w:rPr>
                <w:sz w:val="21"/>
              </w:rPr>
            </w:pPr>
            <w:r>
              <w:rPr>
                <w:spacing w:val="-2"/>
                <w:sz w:val="21"/>
              </w:rPr>
              <w:t>心电图显示房室搏动彼此独立，心室率&lt;50</w:t>
            </w:r>
            <w:r>
              <w:rPr>
                <w:spacing w:val="-10"/>
                <w:sz w:val="21"/>
              </w:rPr>
              <w:t xml:space="preserve"> 次/分钟；</w:t>
            </w:r>
          </w:p>
          <w:p>
            <w:pPr>
              <w:pStyle w:val="7"/>
              <w:numPr>
                <w:ilvl w:val="0"/>
                <w:numId w:val="37"/>
              </w:numPr>
              <w:tabs>
                <w:tab w:val="left" w:pos="690"/>
              </w:tabs>
              <w:spacing w:before="42" w:after="0" w:line="240" w:lineRule="auto"/>
              <w:ind w:left="689" w:right="0" w:hanging="584"/>
              <w:jc w:val="left"/>
              <w:rPr>
                <w:sz w:val="21"/>
              </w:rPr>
            </w:pPr>
            <w:r>
              <w:rPr>
                <w:spacing w:val="-3"/>
                <w:sz w:val="21"/>
              </w:rPr>
              <w:t>出现阿-斯综合征或心力衰竭的表现；</w:t>
            </w:r>
          </w:p>
          <w:p>
            <w:pPr>
              <w:pStyle w:val="7"/>
              <w:numPr>
                <w:ilvl w:val="0"/>
                <w:numId w:val="37"/>
              </w:numPr>
              <w:tabs>
                <w:tab w:val="left" w:pos="690"/>
              </w:tabs>
              <w:spacing w:before="0" w:after="0" w:line="310" w:lineRule="atLeast"/>
              <w:ind w:left="673" w:right="178" w:hanging="567"/>
              <w:jc w:val="left"/>
              <w:rPr>
                <w:sz w:val="21"/>
              </w:rPr>
            </w:pPr>
            <w:r>
              <w:rPr>
                <w:spacing w:val="-2"/>
                <w:sz w:val="21"/>
              </w:rPr>
              <w:t>必须持续性依赖心脏起搏器维持心脏正常功能，且已经放置心脏起搏器。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67" w:hRule="atLeast"/>
        </w:trPr>
        <w:tc>
          <w:tcPr>
            <w:tcW w:w="492" w:type="dxa"/>
          </w:tcPr>
          <w:p>
            <w:pPr>
              <w:pStyle w:val="7"/>
              <w:rPr>
                <w:rFonts w:ascii="黑体"/>
                <w:b/>
                <w:sz w:val="28"/>
              </w:rPr>
            </w:pPr>
          </w:p>
          <w:p>
            <w:pPr>
              <w:pStyle w:val="7"/>
              <w:spacing w:before="1"/>
              <w:ind w:left="50"/>
              <w:rPr>
                <w:sz w:val="21"/>
              </w:rPr>
            </w:pPr>
            <w:r>
              <w:rPr>
                <w:spacing w:val="-5"/>
                <w:sz w:val="21"/>
              </w:rPr>
              <w:t>59.</w:t>
            </w:r>
          </w:p>
        </w:tc>
        <w:tc>
          <w:tcPr>
            <w:tcW w:w="1487" w:type="dxa"/>
          </w:tcPr>
          <w:p>
            <w:pPr>
              <w:pStyle w:val="7"/>
              <w:rPr>
                <w:rFonts w:ascii="黑体"/>
                <w:b/>
                <w:sz w:val="28"/>
              </w:rPr>
            </w:pPr>
          </w:p>
          <w:p>
            <w:pPr>
              <w:pStyle w:val="7"/>
              <w:spacing w:before="1" w:line="278" w:lineRule="auto"/>
              <w:ind w:left="124" w:right="304"/>
              <w:rPr>
                <w:b/>
                <w:sz w:val="21"/>
              </w:rPr>
            </w:pPr>
            <w:r>
              <w:rPr>
                <w:b/>
                <w:spacing w:val="-2"/>
                <w:sz w:val="21"/>
              </w:rPr>
              <w:t>感染性心内</w:t>
            </w:r>
            <w:r>
              <w:rPr>
                <w:b/>
                <w:spacing w:val="-6"/>
                <w:sz w:val="21"/>
              </w:rPr>
              <w:t>膜炎</w:t>
            </w:r>
          </w:p>
        </w:tc>
        <w:tc>
          <w:tcPr>
            <w:tcW w:w="6547" w:type="dxa"/>
          </w:tcPr>
          <w:p>
            <w:pPr>
              <w:pStyle w:val="7"/>
              <w:rPr>
                <w:rFonts w:ascii="黑体"/>
                <w:b/>
                <w:sz w:val="28"/>
              </w:rPr>
            </w:pPr>
          </w:p>
          <w:p>
            <w:pPr>
              <w:pStyle w:val="7"/>
              <w:spacing w:before="1" w:line="278" w:lineRule="auto"/>
              <w:ind w:left="106" w:right="154"/>
              <w:jc w:val="both"/>
              <w:rPr>
                <w:sz w:val="21"/>
              </w:rPr>
            </w:pPr>
            <w:r>
              <w:rPr>
                <w:spacing w:val="-2"/>
                <w:sz w:val="21"/>
              </w:rPr>
              <w:t>指因细菌、真菌和其他微生物（如病毒、立克次体、衣原体、螺旋体等）直接感染而产生心瓣膜或心室壁内膜的炎症，须经心脏专科医生确诊，并符合以下所有条件：</w:t>
            </w:r>
          </w:p>
          <w:p>
            <w:pPr>
              <w:pStyle w:val="7"/>
              <w:ind w:left="106"/>
              <w:jc w:val="both"/>
              <w:rPr>
                <w:sz w:val="21"/>
              </w:rPr>
            </w:pPr>
            <w:r>
              <w:rPr>
                <w:spacing w:val="-2"/>
                <w:sz w:val="21"/>
              </w:rPr>
              <w:t>（1）</w:t>
            </w:r>
            <w:r>
              <w:rPr>
                <w:spacing w:val="-10"/>
                <w:sz w:val="21"/>
              </w:rPr>
              <w:t xml:space="preserve"> 血液培养测试结果为阳性，并至少符合以下条件之一：</w:t>
            </w:r>
          </w:p>
          <w:p>
            <w:pPr>
              <w:pStyle w:val="7"/>
              <w:spacing w:before="43" w:line="239" w:lineRule="exact"/>
              <w:ind w:left="526"/>
              <w:jc w:val="both"/>
              <w:rPr>
                <w:sz w:val="21"/>
              </w:rPr>
            </w:pPr>
            <w:r>
              <w:rPr>
                <w:rFonts w:ascii="MS PGothic" w:hAnsi="MS PGothic" w:eastAsia="MS PGothic"/>
                <w:spacing w:val="42"/>
                <w:sz w:val="21"/>
              </w:rPr>
              <w:t xml:space="preserve">① </w:t>
            </w:r>
            <w:r>
              <w:rPr>
                <w:spacing w:val="-1"/>
                <w:sz w:val="21"/>
              </w:rPr>
              <w:t>微生物：在赘生物，栓塞的赘生物或心脏内脓肿培养或组织</w:t>
            </w:r>
          </w:p>
        </w:tc>
      </w:tr>
    </w:tbl>
    <w:p>
      <w:pPr>
        <w:pStyle w:val="2"/>
        <w:spacing w:before="56"/>
        <w:ind w:left="3045"/>
      </w:pPr>
      <w:r>
        <w:rPr>
          <w:spacing w:val="-3"/>
        </w:rPr>
        <w:t>检查证实有微生物；</w:t>
      </w:r>
    </w:p>
    <w:p>
      <w:pPr>
        <w:pStyle w:val="2"/>
        <w:spacing w:before="42" w:line="278" w:lineRule="auto"/>
        <w:ind w:left="3045" w:right="735" w:hanging="396"/>
      </w:pPr>
      <w:r>
        <w:rPr>
          <w:rFonts w:ascii="MS PGothic" w:hAnsi="MS PGothic" w:eastAsia="MS PGothic"/>
          <w:spacing w:val="45"/>
        </w:rPr>
        <w:t xml:space="preserve">② </w:t>
      </w:r>
      <w:r>
        <w:t>病理性病灶：组织检查证实赘生物或心脏内脓肿有活动性心</w:t>
      </w:r>
      <w:r>
        <w:rPr>
          <w:spacing w:val="-4"/>
        </w:rPr>
        <w:t>内膜炎；</w:t>
      </w:r>
    </w:p>
    <w:p>
      <w:pPr>
        <w:pStyle w:val="2"/>
        <w:spacing w:line="269" w:lineRule="exact"/>
        <w:ind w:left="2649"/>
      </w:pPr>
      <w:r>
        <w:rPr>
          <w:rFonts w:ascii="MS PGothic" w:hAnsi="MS PGothic" w:eastAsia="MS PGothic"/>
          <w:spacing w:val="42"/>
        </w:rPr>
        <w:t xml:space="preserve">③ </w:t>
      </w:r>
      <w:r>
        <w:rPr>
          <w:spacing w:val="-1"/>
        </w:rPr>
        <w:t>分别两次血液培养证实有典型的微生物且与心内膜炎符合；</w:t>
      </w:r>
    </w:p>
    <w:p>
      <w:pPr>
        <w:pStyle w:val="2"/>
        <w:spacing w:before="43"/>
        <w:ind w:left="2649"/>
      </w:pPr>
      <w:r>
        <w:rPr>
          <w:rFonts w:ascii="MS PGothic" w:hAnsi="MS PGothic" w:eastAsia="MS PGothic"/>
          <w:spacing w:val="42"/>
        </w:rPr>
        <w:t xml:space="preserve">➃ </w:t>
      </w:r>
      <w:r>
        <w:rPr>
          <w:spacing w:val="-1"/>
        </w:rPr>
        <w:t>持续血液培养证实有微生物阳性反应，且与心内膜炎符合。</w:t>
      </w:r>
    </w:p>
    <w:p>
      <w:pPr>
        <w:pStyle w:val="6"/>
        <w:numPr>
          <w:ilvl w:val="1"/>
          <w:numId w:val="34"/>
        </w:numPr>
        <w:tabs>
          <w:tab w:val="left" w:pos="2797"/>
        </w:tabs>
        <w:spacing w:before="43" w:after="0" w:line="278" w:lineRule="auto"/>
        <w:ind w:left="2796" w:right="730" w:hanging="567"/>
        <w:jc w:val="left"/>
        <w:rPr>
          <w:sz w:val="21"/>
        </w:rPr>
      </w:pPr>
      <w:r>
        <w:rPr>
          <w:sz w:val="21"/>
        </w:rPr>
        <w:t>心内膜炎引起中度心瓣膜关闭不全（</w:t>
      </w:r>
      <w:r>
        <w:rPr>
          <w:spacing w:val="-8"/>
          <w:sz w:val="21"/>
        </w:rPr>
        <w:t xml:space="preserve">指返流指数 </w:t>
      </w:r>
      <w:r>
        <w:rPr>
          <w:sz w:val="21"/>
        </w:rPr>
        <w:t>20%或以上）</w:t>
      </w:r>
      <w:r>
        <w:rPr>
          <w:spacing w:val="-21"/>
          <w:sz w:val="21"/>
        </w:rPr>
        <w:t>或中度心瓣膜狭窄</w:t>
      </w:r>
      <w:r>
        <w:rPr>
          <w:spacing w:val="-8"/>
          <w:sz w:val="21"/>
        </w:rPr>
        <w:t>（</w:t>
      </w:r>
      <w:r>
        <w:rPr>
          <w:spacing w:val="-12"/>
          <w:sz w:val="21"/>
        </w:rPr>
        <w:t xml:space="preserve">指心瓣膜开口范围小于或等于正常的 </w:t>
      </w:r>
      <w:r>
        <w:rPr>
          <w:spacing w:val="32"/>
          <w:sz w:val="21"/>
        </w:rPr>
        <w:t>3</w:t>
      </w:r>
      <w:r>
        <w:rPr>
          <w:spacing w:val="35"/>
          <w:sz w:val="21"/>
        </w:rPr>
        <w:t>0</w:t>
      </w:r>
      <w:r>
        <w:rPr>
          <w:spacing w:val="34"/>
          <w:sz w:val="21"/>
        </w:rPr>
        <w:t>%</w:t>
      </w:r>
      <w:r>
        <w:rPr>
          <w:spacing w:val="-71"/>
          <w:sz w:val="21"/>
        </w:rPr>
        <w:t>）；</w:t>
      </w:r>
    </w:p>
    <w:p>
      <w:pPr>
        <w:pStyle w:val="6"/>
        <w:numPr>
          <w:ilvl w:val="1"/>
          <w:numId w:val="34"/>
        </w:numPr>
        <w:tabs>
          <w:tab w:val="left" w:pos="2797"/>
        </w:tabs>
        <w:spacing w:before="0" w:after="0" w:line="269" w:lineRule="exact"/>
        <w:ind w:left="2796" w:right="0" w:hanging="568"/>
        <w:jc w:val="left"/>
        <w:rPr>
          <w:sz w:val="21"/>
        </w:rPr>
      </w:pPr>
      <w:r>
        <w:rPr>
          <w:spacing w:val="-3"/>
          <w:sz w:val="21"/>
        </w:rPr>
        <w:t>心内膜炎及心瓣膜损毁程度需经由心脏专科医生确诊。</w:t>
      </w:r>
    </w:p>
    <w:p>
      <w:pPr>
        <w:pStyle w:val="2"/>
        <w:spacing w:before="10"/>
        <w:rPr>
          <w:sz w:val="27"/>
        </w:rPr>
      </w:pPr>
    </w:p>
    <w:p>
      <w:pPr>
        <w:pStyle w:val="2"/>
        <w:tabs>
          <w:tab w:val="left" w:pos="2229"/>
        </w:tabs>
        <w:ind w:left="194"/>
      </w:pPr>
      <w:r>
        <w:t>60.</w:t>
      </w:r>
      <w:r>
        <w:rPr>
          <w:spacing w:val="91"/>
          <w:w w:val="150"/>
        </w:rPr>
        <w:t xml:space="preserve"> </w:t>
      </w:r>
      <w:r>
        <w:rPr>
          <w:b/>
        </w:rPr>
        <w:t>肝豆状核</w:t>
      </w:r>
      <w:r>
        <w:rPr>
          <w:b/>
          <w:spacing w:val="-10"/>
        </w:rPr>
        <w:t>变</w:t>
      </w:r>
      <w:r>
        <w:rPr>
          <w:b/>
        </w:rPr>
        <w:tab/>
      </w:r>
      <w:r>
        <w:rPr>
          <w:spacing w:val="-4"/>
        </w:rPr>
        <w:t>肝豆状核变性是一种可能危及生命的铜代谢疾病，以铜沉积造成的</w:t>
      </w:r>
      <w:r>
        <w:rPr>
          <w:spacing w:val="-10"/>
        </w:rPr>
        <w:t>渐</w:t>
      </w:r>
    </w:p>
    <w:p>
      <w:pPr>
        <w:spacing w:after="0"/>
        <w:sectPr>
          <w:pgSz w:w="11910" w:h="16840"/>
          <w:pgMar w:top="1480" w:right="1080" w:bottom="1320" w:left="1580" w:header="0" w:footer="1137" w:gutter="0"/>
          <w:cols w:space="720" w:num="1"/>
        </w:sectPr>
      </w:pPr>
    </w:p>
    <w:tbl>
      <w:tblPr>
        <w:tblStyle w:val="3"/>
        <w:tblW w:w="0" w:type="auto"/>
        <w:tblInd w:w="1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92"/>
        <w:gridCol w:w="1388"/>
        <w:gridCol w:w="654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492" w:type="dxa"/>
          </w:tcPr>
          <w:p>
            <w:pPr>
              <w:pStyle w:val="7"/>
              <w:rPr>
                <w:rFonts w:ascii="Times New Roman"/>
                <w:sz w:val="18"/>
              </w:rPr>
            </w:pPr>
          </w:p>
        </w:tc>
        <w:tc>
          <w:tcPr>
            <w:tcW w:w="1388" w:type="dxa"/>
          </w:tcPr>
          <w:p>
            <w:pPr>
              <w:pStyle w:val="7"/>
              <w:spacing w:line="232" w:lineRule="exact"/>
              <w:ind w:left="124"/>
              <w:rPr>
                <w:b/>
                <w:sz w:val="21"/>
              </w:rPr>
            </w:pPr>
            <w:r>
              <w:rPr>
                <w:b/>
                <w:w w:val="100"/>
                <w:sz w:val="21"/>
              </w:rPr>
              <w:t>性</w:t>
            </w:r>
          </w:p>
        </w:tc>
        <w:tc>
          <w:tcPr>
            <w:tcW w:w="6544" w:type="dxa"/>
          </w:tcPr>
          <w:p>
            <w:pPr>
              <w:pStyle w:val="7"/>
              <w:spacing w:line="232" w:lineRule="exact"/>
              <w:ind w:left="205"/>
              <w:rPr>
                <w:sz w:val="21"/>
              </w:rPr>
            </w:pPr>
            <w:r>
              <w:rPr>
                <w:spacing w:val="-3"/>
                <w:sz w:val="21"/>
              </w:rPr>
              <w:t>进性肝功能损害及/或神经功能恶化为特征。必须由我们认可医院的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544" w:type="dxa"/>
          </w:tcPr>
          <w:p>
            <w:pPr>
              <w:pStyle w:val="7"/>
              <w:spacing w:before="13"/>
              <w:ind w:left="205"/>
              <w:rPr>
                <w:sz w:val="21"/>
              </w:rPr>
            </w:pPr>
            <w:r>
              <w:rPr>
                <w:spacing w:val="-3"/>
                <w:sz w:val="21"/>
              </w:rPr>
              <w:t>专科医生通过肝脏活组织检查结果确定诊断并配合螯合剂治疗持续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5"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544" w:type="dxa"/>
          </w:tcPr>
          <w:p>
            <w:pPr>
              <w:pStyle w:val="7"/>
              <w:spacing w:before="13"/>
              <w:ind w:left="205"/>
              <w:rPr>
                <w:sz w:val="21"/>
              </w:rPr>
            </w:pPr>
            <w:r>
              <w:rPr>
                <w:spacing w:val="-18"/>
                <w:sz w:val="21"/>
              </w:rPr>
              <w:t xml:space="preserve">至少 </w:t>
            </w:r>
            <w:r>
              <w:rPr>
                <w:spacing w:val="-2"/>
                <w:sz w:val="21"/>
              </w:rPr>
              <w:t>6</w:t>
            </w:r>
            <w:r>
              <w:rPr>
                <w:spacing w:val="-17"/>
                <w:sz w:val="21"/>
              </w:rPr>
              <w:t xml:space="preserve"> 个月。</w:t>
            </w:r>
          </w:p>
          <w:p>
            <w:pPr>
              <w:pStyle w:val="7"/>
              <w:spacing w:before="43"/>
              <w:ind w:left="205"/>
              <w:rPr>
                <w:rFonts w:hint="eastAsia" w:ascii="黑体" w:hAnsi="黑体" w:eastAsia="黑体"/>
                <w:b/>
                <w:sz w:val="21"/>
              </w:rPr>
            </w:pPr>
            <w:r>
              <w:rPr>
                <w:rFonts w:hint="eastAsia" w:ascii="黑体" w:hAnsi="黑体" w:eastAsia="黑体"/>
                <w:b/>
                <w:spacing w:val="-3"/>
                <w:sz w:val="21"/>
              </w:rPr>
              <w:t>我们承担本项疾病责任不受本合同责任免除中“遗传性疾病，先天性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2"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544" w:type="dxa"/>
          </w:tcPr>
          <w:p>
            <w:pPr>
              <w:pStyle w:val="7"/>
              <w:spacing w:before="22"/>
              <w:ind w:left="205"/>
              <w:rPr>
                <w:rFonts w:hint="eastAsia" w:ascii="黑体" w:hAnsi="黑体" w:eastAsia="黑体"/>
                <w:b/>
                <w:sz w:val="21"/>
              </w:rPr>
            </w:pPr>
            <w:r>
              <w:rPr>
                <w:rFonts w:hint="eastAsia" w:ascii="黑体" w:hAnsi="黑体" w:eastAsia="黑体"/>
                <w:b/>
                <w:spacing w:val="-3"/>
                <w:sz w:val="21"/>
              </w:rPr>
              <w:t>畸形、变形或染色体异常”的限制。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2" w:hRule="atLeast"/>
        </w:trPr>
        <w:tc>
          <w:tcPr>
            <w:tcW w:w="492" w:type="dxa"/>
          </w:tcPr>
          <w:p>
            <w:pPr>
              <w:pStyle w:val="7"/>
              <w:spacing w:before="173"/>
              <w:ind w:left="50"/>
              <w:rPr>
                <w:sz w:val="21"/>
              </w:rPr>
            </w:pPr>
            <w:r>
              <w:rPr>
                <w:spacing w:val="-5"/>
                <w:sz w:val="21"/>
              </w:rPr>
              <w:t>61.</w:t>
            </w:r>
          </w:p>
        </w:tc>
        <w:tc>
          <w:tcPr>
            <w:tcW w:w="1388" w:type="dxa"/>
          </w:tcPr>
          <w:p>
            <w:pPr>
              <w:pStyle w:val="7"/>
              <w:spacing w:before="173"/>
              <w:ind w:left="124"/>
              <w:rPr>
                <w:b/>
                <w:sz w:val="21"/>
              </w:rPr>
            </w:pPr>
            <w:r>
              <w:rPr>
                <w:b/>
                <w:spacing w:val="-2"/>
                <w:sz w:val="21"/>
              </w:rPr>
              <w:t>肺源性心脏</w:t>
            </w:r>
          </w:p>
        </w:tc>
        <w:tc>
          <w:tcPr>
            <w:tcW w:w="6544" w:type="dxa"/>
          </w:tcPr>
          <w:p>
            <w:pPr>
              <w:pStyle w:val="7"/>
              <w:spacing w:before="173"/>
              <w:ind w:left="205"/>
              <w:rPr>
                <w:sz w:val="21"/>
              </w:rPr>
            </w:pPr>
            <w:r>
              <w:rPr>
                <w:spacing w:val="-5"/>
                <w:sz w:val="21"/>
              </w:rPr>
              <w:t>指由于各种胸肺及支气管病变而继发的肺动脉高压，最后导致以右室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spacing w:before="13"/>
              <w:ind w:left="124"/>
              <w:rPr>
                <w:b/>
                <w:sz w:val="21"/>
              </w:rPr>
            </w:pPr>
            <w:r>
              <w:rPr>
                <w:b/>
                <w:w w:val="100"/>
                <w:sz w:val="21"/>
              </w:rPr>
              <w:t>病</w:t>
            </w:r>
          </w:p>
        </w:tc>
        <w:tc>
          <w:tcPr>
            <w:tcW w:w="6544" w:type="dxa"/>
          </w:tcPr>
          <w:p>
            <w:pPr>
              <w:pStyle w:val="7"/>
              <w:spacing w:before="13"/>
              <w:ind w:left="205"/>
              <w:rPr>
                <w:sz w:val="21"/>
              </w:rPr>
            </w:pPr>
            <w:r>
              <w:rPr>
                <w:spacing w:val="-5"/>
                <w:sz w:val="21"/>
              </w:rPr>
              <w:t>肥大为特征的心脏病。须经呼吸专科医生确诊，且必须同时满足如下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544" w:type="dxa"/>
          </w:tcPr>
          <w:p>
            <w:pPr>
              <w:pStyle w:val="7"/>
              <w:spacing w:before="13"/>
              <w:ind w:left="205"/>
              <w:rPr>
                <w:sz w:val="21"/>
              </w:rPr>
            </w:pPr>
            <w:r>
              <w:rPr>
                <w:spacing w:val="-4"/>
                <w:sz w:val="21"/>
              </w:rPr>
              <w:t>诊断标准：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544" w:type="dxa"/>
          </w:tcPr>
          <w:p>
            <w:pPr>
              <w:pStyle w:val="7"/>
              <w:spacing w:before="13"/>
              <w:ind w:left="205"/>
              <w:rPr>
                <w:sz w:val="21"/>
              </w:rPr>
            </w:pPr>
            <w:r>
              <w:rPr>
                <w:spacing w:val="-2"/>
                <w:sz w:val="21"/>
              </w:rPr>
              <w:t>（1）</w:t>
            </w:r>
            <w:r>
              <w:rPr>
                <w:spacing w:val="-12"/>
                <w:sz w:val="21"/>
              </w:rPr>
              <w:t xml:space="preserve"> 左心房压力增高</w:t>
            </w:r>
            <w:r>
              <w:rPr>
                <w:spacing w:val="-2"/>
                <w:sz w:val="21"/>
              </w:rPr>
              <w:t>（</w:t>
            </w:r>
            <w:r>
              <w:rPr>
                <w:spacing w:val="-14"/>
                <w:sz w:val="21"/>
              </w:rPr>
              <w:t xml:space="preserve">不低于 </w:t>
            </w:r>
            <w:r>
              <w:rPr>
                <w:spacing w:val="-2"/>
                <w:sz w:val="21"/>
              </w:rPr>
              <w:t>20</w:t>
            </w:r>
            <w:r>
              <w:rPr>
                <w:spacing w:val="-14"/>
                <w:sz w:val="21"/>
              </w:rPr>
              <w:t xml:space="preserve"> 个单位</w:t>
            </w:r>
            <w:r>
              <w:rPr>
                <w:spacing w:val="-113"/>
                <w:sz w:val="21"/>
              </w:rPr>
              <w:t>）</w:t>
            </w:r>
            <w:r>
              <w:rPr>
                <w:spacing w:val="-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544" w:type="dxa"/>
          </w:tcPr>
          <w:p>
            <w:pPr>
              <w:pStyle w:val="7"/>
              <w:spacing w:before="13"/>
              <w:ind w:left="205"/>
              <w:rPr>
                <w:sz w:val="21"/>
              </w:rPr>
            </w:pPr>
            <w:r>
              <w:rPr>
                <w:sz w:val="21"/>
              </w:rPr>
              <w:t>（2）</w:t>
            </w:r>
            <w:r>
              <w:rPr>
                <w:spacing w:val="-13"/>
                <w:sz w:val="21"/>
              </w:rPr>
              <w:t xml:space="preserve"> 肺血管阻力高于正常值 </w:t>
            </w:r>
            <w:r>
              <w:rPr>
                <w:sz w:val="21"/>
              </w:rPr>
              <w:t>3</w:t>
            </w:r>
            <w:r>
              <w:rPr>
                <w:spacing w:val="-15"/>
                <w:sz w:val="21"/>
              </w:rPr>
              <w:t xml:space="preserve"> 个单位</w:t>
            </w:r>
            <w:r>
              <w:rPr>
                <w:sz w:val="21"/>
              </w:rPr>
              <w:t>（Pulmonary</w:t>
            </w:r>
            <w:r>
              <w:rPr>
                <w:spacing w:val="-25"/>
                <w:sz w:val="21"/>
              </w:rPr>
              <w:t xml:space="preserve"> </w:t>
            </w:r>
            <w:r>
              <w:rPr>
                <w:spacing w:val="7"/>
                <w:sz w:val="21"/>
              </w:rPr>
              <w:t>Res</w:t>
            </w:r>
            <w:r>
              <w:rPr>
                <w:spacing w:val="5"/>
                <w:sz w:val="21"/>
              </w:rPr>
              <w:t>i</w:t>
            </w:r>
            <w:r>
              <w:rPr>
                <w:spacing w:val="4"/>
                <w:sz w:val="21"/>
              </w:rPr>
              <w:t>s</w:t>
            </w:r>
            <w:r>
              <w:rPr>
                <w:spacing w:val="7"/>
                <w:sz w:val="21"/>
              </w:rPr>
              <w:t>tanc</w:t>
            </w:r>
            <w:r>
              <w:rPr>
                <w:spacing w:val="6"/>
                <w:sz w:val="21"/>
              </w:rPr>
              <w:t>e</w:t>
            </w:r>
            <w:r>
              <w:rPr>
                <w:spacing w:val="-101"/>
                <w:sz w:val="21"/>
              </w:rPr>
              <w:t>）</w:t>
            </w:r>
            <w:r>
              <w:rPr>
                <w:spacing w:val="7"/>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544" w:type="dxa"/>
          </w:tcPr>
          <w:p>
            <w:pPr>
              <w:pStyle w:val="7"/>
              <w:spacing w:before="14"/>
              <w:ind w:left="205"/>
              <w:rPr>
                <w:sz w:val="21"/>
              </w:rPr>
            </w:pPr>
            <w:r>
              <w:rPr>
                <w:spacing w:val="-2"/>
                <w:sz w:val="21"/>
              </w:rPr>
              <w:t>（3）</w:t>
            </w:r>
            <w:r>
              <w:rPr>
                <w:spacing w:val="-15"/>
                <w:sz w:val="21"/>
              </w:rPr>
              <w:t xml:space="preserve"> 肺动脉血压不低于 </w:t>
            </w:r>
            <w:r>
              <w:rPr>
                <w:spacing w:val="-2"/>
                <w:sz w:val="21"/>
              </w:rPr>
              <w:t>40</w:t>
            </w:r>
            <w:r>
              <w:rPr>
                <w:spacing w:val="-12"/>
                <w:sz w:val="21"/>
              </w:rPr>
              <w:t xml:space="preserve"> 毫米汞柱；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544" w:type="dxa"/>
          </w:tcPr>
          <w:p>
            <w:pPr>
              <w:pStyle w:val="7"/>
              <w:spacing w:before="13"/>
              <w:ind w:left="205"/>
              <w:rPr>
                <w:sz w:val="21"/>
              </w:rPr>
            </w:pPr>
            <w:r>
              <w:rPr>
                <w:spacing w:val="-2"/>
                <w:sz w:val="21"/>
              </w:rPr>
              <w:t>（4）</w:t>
            </w:r>
            <w:r>
              <w:rPr>
                <w:spacing w:val="-15"/>
                <w:sz w:val="21"/>
              </w:rPr>
              <w:t xml:space="preserve"> 肺动脉楔压不低于 </w:t>
            </w:r>
            <w:r>
              <w:rPr>
                <w:spacing w:val="-2"/>
                <w:sz w:val="21"/>
              </w:rPr>
              <w:t>6</w:t>
            </w:r>
            <w:r>
              <w:rPr>
                <w:spacing w:val="-12"/>
                <w:sz w:val="21"/>
              </w:rPr>
              <w:t xml:space="preserve"> 毫米汞柱；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544" w:type="dxa"/>
          </w:tcPr>
          <w:p>
            <w:pPr>
              <w:pStyle w:val="7"/>
              <w:spacing w:before="13"/>
              <w:ind w:left="205"/>
              <w:rPr>
                <w:sz w:val="21"/>
              </w:rPr>
            </w:pPr>
            <w:r>
              <w:rPr>
                <w:spacing w:val="-2"/>
                <w:sz w:val="21"/>
              </w:rPr>
              <w:t>（5）</w:t>
            </w:r>
            <w:r>
              <w:rPr>
                <w:spacing w:val="-14"/>
                <w:sz w:val="21"/>
              </w:rPr>
              <w:t xml:space="preserve"> 右心室心脏舒张期末压力不低于 </w:t>
            </w:r>
            <w:r>
              <w:rPr>
                <w:spacing w:val="-2"/>
                <w:sz w:val="21"/>
              </w:rPr>
              <w:t>8</w:t>
            </w:r>
            <w:r>
              <w:rPr>
                <w:spacing w:val="-12"/>
                <w:sz w:val="21"/>
              </w:rPr>
              <w:t xml:space="preserve"> 毫米汞柱；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544" w:type="dxa"/>
          </w:tcPr>
          <w:p>
            <w:pPr>
              <w:pStyle w:val="7"/>
              <w:spacing w:before="13"/>
              <w:ind w:left="205"/>
              <w:rPr>
                <w:sz w:val="21"/>
              </w:rPr>
            </w:pPr>
            <w:r>
              <w:rPr>
                <w:spacing w:val="-2"/>
                <w:sz w:val="21"/>
              </w:rPr>
              <w:t>（6）</w:t>
            </w:r>
            <w:r>
              <w:rPr>
                <w:spacing w:val="-10"/>
                <w:sz w:val="21"/>
              </w:rPr>
              <w:t xml:space="preserve"> 右心室过度肥大、扩张，出现右心衰竭和呼吸困难。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492" w:type="dxa"/>
          </w:tcPr>
          <w:p>
            <w:pPr>
              <w:pStyle w:val="7"/>
              <w:spacing w:before="169"/>
              <w:ind w:left="50"/>
              <w:rPr>
                <w:sz w:val="21"/>
              </w:rPr>
            </w:pPr>
            <w:r>
              <w:rPr>
                <w:spacing w:val="-5"/>
                <w:sz w:val="21"/>
              </w:rPr>
              <w:t>62.</w:t>
            </w:r>
          </w:p>
        </w:tc>
        <w:tc>
          <w:tcPr>
            <w:tcW w:w="1388" w:type="dxa"/>
          </w:tcPr>
          <w:p>
            <w:pPr>
              <w:pStyle w:val="7"/>
              <w:spacing w:before="169"/>
              <w:ind w:left="124"/>
              <w:rPr>
                <w:b/>
                <w:sz w:val="21"/>
              </w:rPr>
            </w:pPr>
            <w:r>
              <w:rPr>
                <w:b/>
                <w:spacing w:val="-2"/>
                <w:sz w:val="21"/>
              </w:rPr>
              <w:t>肾髓质囊性</w:t>
            </w:r>
          </w:p>
        </w:tc>
        <w:tc>
          <w:tcPr>
            <w:tcW w:w="6544" w:type="dxa"/>
          </w:tcPr>
          <w:p>
            <w:pPr>
              <w:pStyle w:val="7"/>
              <w:spacing w:before="169"/>
              <w:ind w:left="205"/>
              <w:rPr>
                <w:sz w:val="21"/>
              </w:rPr>
            </w:pPr>
            <w:r>
              <w:rPr>
                <w:spacing w:val="-3"/>
                <w:sz w:val="21"/>
              </w:rPr>
              <w:t>肾髓质囊性病的诊断须同时符合下列要求：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492" w:type="dxa"/>
          </w:tcPr>
          <w:p>
            <w:pPr>
              <w:pStyle w:val="7"/>
              <w:rPr>
                <w:rFonts w:ascii="Times New Roman"/>
                <w:sz w:val="20"/>
              </w:rPr>
            </w:pPr>
          </w:p>
        </w:tc>
        <w:tc>
          <w:tcPr>
            <w:tcW w:w="1388" w:type="dxa"/>
          </w:tcPr>
          <w:p>
            <w:pPr>
              <w:pStyle w:val="7"/>
              <w:spacing w:before="13"/>
              <w:ind w:left="124"/>
              <w:rPr>
                <w:b/>
                <w:sz w:val="21"/>
              </w:rPr>
            </w:pPr>
            <w:r>
              <w:rPr>
                <w:b/>
                <w:w w:val="100"/>
                <w:sz w:val="21"/>
              </w:rPr>
              <w:t>病</w:t>
            </w:r>
          </w:p>
        </w:tc>
        <w:tc>
          <w:tcPr>
            <w:tcW w:w="6544" w:type="dxa"/>
          </w:tcPr>
          <w:p>
            <w:pPr>
              <w:pStyle w:val="7"/>
              <w:spacing w:before="13"/>
              <w:ind w:left="205"/>
              <w:rPr>
                <w:sz w:val="21"/>
              </w:rPr>
            </w:pPr>
            <w:r>
              <w:rPr>
                <w:spacing w:val="-2"/>
                <w:sz w:val="21"/>
              </w:rPr>
              <w:t>（1）</w:t>
            </w:r>
            <w:r>
              <w:rPr>
                <w:spacing w:val="-10"/>
                <w:sz w:val="21"/>
              </w:rPr>
              <w:t xml:space="preserve"> 肾髓质有囊肿、肾小管萎缩及间质纤维化等病理改变；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544" w:type="dxa"/>
          </w:tcPr>
          <w:p>
            <w:pPr>
              <w:pStyle w:val="7"/>
              <w:spacing w:before="13"/>
              <w:ind w:left="205"/>
              <w:rPr>
                <w:sz w:val="21"/>
              </w:rPr>
            </w:pPr>
            <w:r>
              <w:rPr>
                <w:spacing w:val="-2"/>
                <w:sz w:val="21"/>
              </w:rPr>
              <w:t>（2）</w:t>
            </w:r>
            <w:r>
              <w:rPr>
                <w:spacing w:val="-12"/>
                <w:sz w:val="21"/>
              </w:rPr>
              <w:t xml:space="preserve"> 肾功能衰竭；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5"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544" w:type="dxa"/>
          </w:tcPr>
          <w:p>
            <w:pPr>
              <w:pStyle w:val="7"/>
              <w:spacing w:before="13"/>
              <w:ind w:left="205"/>
              <w:rPr>
                <w:sz w:val="21"/>
              </w:rPr>
            </w:pPr>
            <w:r>
              <w:rPr>
                <w:spacing w:val="-2"/>
                <w:sz w:val="21"/>
              </w:rPr>
              <w:t>（3）</w:t>
            </w:r>
            <w:r>
              <w:rPr>
                <w:spacing w:val="-10"/>
                <w:sz w:val="21"/>
              </w:rPr>
              <w:t xml:space="preserve"> 诊断须由肾组织活检确定。</w:t>
            </w:r>
          </w:p>
          <w:p>
            <w:pPr>
              <w:pStyle w:val="7"/>
              <w:spacing w:before="43"/>
              <w:ind w:left="205"/>
              <w:rPr>
                <w:rFonts w:hint="eastAsia" w:ascii="黑体" w:hAnsi="黑体" w:eastAsia="黑体"/>
                <w:b/>
                <w:sz w:val="21"/>
              </w:rPr>
            </w:pPr>
            <w:r>
              <w:rPr>
                <w:rFonts w:hint="eastAsia" w:ascii="黑体" w:hAnsi="黑体" w:eastAsia="黑体"/>
                <w:b/>
                <w:spacing w:val="-5"/>
                <w:sz w:val="21"/>
              </w:rPr>
              <w:t>我们承担本项疾病责任不受本合同责任免除中“遗传性疾病，先天性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2"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544" w:type="dxa"/>
          </w:tcPr>
          <w:p>
            <w:pPr>
              <w:pStyle w:val="7"/>
              <w:spacing w:before="22"/>
              <w:ind w:left="205"/>
              <w:rPr>
                <w:rFonts w:hint="eastAsia" w:ascii="黑体" w:hAnsi="黑体" w:eastAsia="黑体"/>
                <w:b/>
                <w:sz w:val="21"/>
              </w:rPr>
            </w:pPr>
            <w:r>
              <w:rPr>
                <w:rFonts w:hint="eastAsia" w:ascii="黑体" w:hAnsi="黑体" w:eastAsia="黑体"/>
                <w:b/>
                <w:spacing w:val="-3"/>
                <w:sz w:val="21"/>
              </w:rPr>
              <w:t>畸形、变形或染色体异常”的限制。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2" w:hRule="atLeast"/>
        </w:trPr>
        <w:tc>
          <w:tcPr>
            <w:tcW w:w="492" w:type="dxa"/>
          </w:tcPr>
          <w:p>
            <w:pPr>
              <w:pStyle w:val="7"/>
              <w:spacing w:before="173"/>
              <w:ind w:left="50"/>
              <w:rPr>
                <w:sz w:val="21"/>
              </w:rPr>
            </w:pPr>
            <w:r>
              <w:rPr>
                <w:spacing w:val="-5"/>
                <w:sz w:val="21"/>
              </w:rPr>
              <w:t>63.</w:t>
            </w:r>
          </w:p>
        </w:tc>
        <w:tc>
          <w:tcPr>
            <w:tcW w:w="1388" w:type="dxa"/>
          </w:tcPr>
          <w:p>
            <w:pPr>
              <w:pStyle w:val="7"/>
              <w:spacing w:before="173"/>
              <w:ind w:left="124"/>
              <w:rPr>
                <w:b/>
                <w:sz w:val="21"/>
              </w:rPr>
            </w:pPr>
            <w:r>
              <w:rPr>
                <w:b/>
                <w:spacing w:val="-2"/>
                <w:sz w:val="21"/>
              </w:rPr>
              <w:t>严重继发性</w:t>
            </w:r>
          </w:p>
        </w:tc>
        <w:tc>
          <w:tcPr>
            <w:tcW w:w="6544" w:type="dxa"/>
          </w:tcPr>
          <w:p>
            <w:pPr>
              <w:pStyle w:val="7"/>
              <w:spacing w:before="173"/>
              <w:ind w:left="205"/>
              <w:rPr>
                <w:sz w:val="21"/>
              </w:rPr>
            </w:pPr>
            <w:r>
              <w:rPr>
                <w:spacing w:val="-5"/>
                <w:sz w:val="21"/>
              </w:rPr>
              <w:t>继发性肺动脉压力持续增高，导致右心室肥厚，已经造成永久不可逆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spacing w:before="13"/>
              <w:ind w:left="124"/>
              <w:rPr>
                <w:b/>
                <w:sz w:val="21"/>
              </w:rPr>
            </w:pPr>
            <w:r>
              <w:rPr>
                <w:b/>
                <w:spacing w:val="-2"/>
                <w:sz w:val="21"/>
              </w:rPr>
              <w:t>肺动脉高压</w:t>
            </w:r>
          </w:p>
        </w:tc>
        <w:tc>
          <w:tcPr>
            <w:tcW w:w="6544" w:type="dxa"/>
          </w:tcPr>
          <w:p>
            <w:pPr>
              <w:pStyle w:val="7"/>
              <w:spacing w:before="13"/>
              <w:ind w:left="205"/>
              <w:rPr>
                <w:sz w:val="21"/>
              </w:rPr>
            </w:pPr>
            <w:r>
              <w:rPr>
                <w:spacing w:val="-5"/>
                <w:sz w:val="21"/>
              </w:rPr>
              <w:t>性的体力活动能力受限，达到美国纽约心脏病学会心功能状态分级Ⅳ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544" w:type="dxa"/>
          </w:tcPr>
          <w:p>
            <w:pPr>
              <w:pStyle w:val="7"/>
              <w:spacing w:before="13"/>
              <w:ind w:left="205"/>
              <w:rPr>
                <w:sz w:val="21"/>
              </w:rPr>
            </w:pPr>
            <w:r>
              <w:rPr>
                <w:spacing w:val="-5"/>
                <w:sz w:val="21"/>
              </w:rPr>
              <w:t>级。诊断需要由心脏科专家确诊，并且心导管检查报告显示静息状态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5"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544" w:type="dxa"/>
          </w:tcPr>
          <w:p>
            <w:pPr>
              <w:pStyle w:val="7"/>
              <w:spacing w:before="13"/>
              <w:ind w:left="205"/>
              <w:rPr>
                <w:sz w:val="21"/>
              </w:rPr>
            </w:pPr>
            <w:r>
              <w:rPr>
                <w:spacing w:val="-7"/>
                <w:sz w:val="21"/>
              </w:rPr>
              <w:t xml:space="preserve">下肺动脉平均压超过 </w:t>
            </w:r>
            <w:r>
              <w:rPr>
                <w:spacing w:val="-2"/>
                <w:sz w:val="21"/>
              </w:rPr>
              <w:t>30mmHg</w:t>
            </w:r>
            <w:r>
              <w:rPr>
                <w:spacing w:val="-10"/>
                <w:sz w:val="21"/>
              </w:rPr>
              <w:t>。</w:t>
            </w:r>
          </w:p>
          <w:p>
            <w:pPr>
              <w:pStyle w:val="7"/>
              <w:spacing w:before="43"/>
              <w:ind w:left="205"/>
              <w:rPr>
                <w:rFonts w:hint="eastAsia" w:ascii="黑体" w:eastAsia="黑体"/>
                <w:b/>
                <w:sz w:val="21"/>
              </w:rPr>
            </w:pPr>
            <w:r>
              <w:rPr>
                <w:rFonts w:hint="eastAsia" w:ascii="黑体" w:eastAsia="黑体"/>
                <w:b/>
                <w:spacing w:val="-3"/>
                <w:sz w:val="21"/>
              </w:rPr>
              <w:t>所有先天性心脏疾病直接或间接引起的肺动脉高压也不在保障范围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2"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544" w:type="dxa"/>
          </w:tcPr>
          <w:p>
            <w:pPr>
              <w:pStyle w:val="7"/>
              <w:spacing w:before="22"/>
              <w:ind w:left="205"/>
              <w:rPr>
                <w:rFonts w:hint="eastAsia" w:ascii="黑体" w:eastAsia="黑体"/>
                <w:b/>
                <w:sz w:val="21"/>
              </w:rPr>
            </w:pPr>
            <w:r>
              <w:rPr>
                <w:rFonts w:hint="eastAsia" w:ascii="黑体" w:eastAsia="黑体"/>
                <w:b/>
                <w:spacing w:val="-5"/>
                <w:sz w:val="21"/>
              </w:rPr>
              <w:t>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2" w:hRule="atLeast"/>
        </w:trPr>
        <w:tc>
          <w:tcPr>
            <w:tcW w:w="492" w:type="dxa"/>
          </w:tcPr>
          <w:p>
            <w:pPr>
              <w:pStyle w:val="7"/>
              <w:spacing w:before="173"/>
              <w:ind w:left="50"/>
              <w:rPr>
                <w:sz w:val="21"/>
              </w:rPr>
            </w:pPr>
            <w:r>
              <w:rPr>
                <w:spacing w:val="-5"/>
                <w:sz w:val="21"/>
              </w:rPr>
              <w:t>64.</w:t>
            </w:r>
          </w:p>
        </w:tc>
        <w:tc>
          <w:tcPr>
            <w:tcW w:w="1388" w:type="dxa"/>
          </w:tcPr>
          <w:p>
            <w:pPr>
              <w:pStyle w:val="7"/>
              <w:spacing w:before="173"/>
              <w:ind w:left="124"/>
              <w:rPr>
                <w:b/>
                <w:sz w:val="21"/>
              </w:rPr>
            </w:pPr>
            <w:r>
              <w:rPr>
                <w:b/>
                <w:spacing w:val="-2"/>
                <w:sz w:val="21"/>
              </w:rPr>
              <w:t>进行性核上</w:t>
            </w:r>
          </w:p>
        </w:tc>
        <w:tc>
          <w:tcPr>
            <w:tcW w:w="6544" w:type="dxa"/>
          </w:tcPr>
          <w:p>
            <w:pPr>
              <w:pStyle w:val="7"/>
              <w:spacing w:before="173"/>
              <w:ind w:left="205"/>
              <w:rPr>
                <w:sz w:val="21"/>
              </w:rPr>
            </w:pPr>
            <w:r>
              <w:rPr>
                <w:spacing w:val="-5"/>
                <w:sz w:val="21"/>
              </w:rPr>
              <w:t>一种隐袭起病、逐渐加重的神经系统变性疾病。本疾病必须由我们认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spacing w:before="13"/>
              <w:ind w:left="124"/>
              <w:rPr>
                <w:b/>
                <w:sz w:val="21"/>
              </w:rPr>
            </w:pPr>
            <w:r>
              <w:rPr>
                <w:b/>
                <w:spacing w:val="-4"/>
                <w:sz w:val="21"/>
              </w:rPr>
              <w:t>性麻痹</w:t>
            </w:r>
          </w:p>
        </w:tc>
        <w:tc>
          <w:tcPr>
            <w:tcW w:w="6544" w:type="dxa"/>
          </w:tcPr>
          <w:p>
            <w:pPr>
              <w:pStyle w:val="7"/>
              <w:spacing w:before="13"/>
              <w:ind w:left="205"/>
              <w:rPr>
                <w:sz w:val="21"/>
              </w:rPr>
            </w:pPr>
            <w:r>
              <w:rPr>
                <w:spacing w:val="-3"/>
                <w:sz w:val="21"/>
              </w:rPr>
              <w:t>可的医院的神经科专科医生确诊，并须满足下列所有条件：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544" w:type="dxa"/>
          </w:tcPr>
          <w:p>
            <w:pPr>
              <w:pStyle w:val="7"/>
              <w:spacing w:before="14"/>
              <w:ind w:left="205"/>
              <w:rPr>
                <w:sz w:val="21"/>
              </w:rPr>
            </w:pPr>
            <w:r>
              <w:rPr>
                <w:spacing w:val="-2"/>
                <w:sz w:val="21"/>
              </w:rPr>
              <w:t>（1）</w:t>
            </w:r>
            <w:r>
              <w:rPr>
                <w:spacing w:val="-11"/>
                <w:sz w:val="21"/>
              </w:rPr>
              <w:t xml:space="preserve"> 步态共济失调；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544" w:type="dxa"/>
          </w:tcPr>
          <w:p>
            <w:pPr>
              <w:pStyle w:val="7"/>
              <w:spacing w:before="13"/>
              <w:ind w:left="205"/>
              <w:rPr>
                <w:sz w:val="21"/>
              </w:rPr>
            </w:pPr>
            <w:r>
              <w:rPr>
                <w:spacing w:val="-2"/>
                <w:sz w:val="21"/>
              </w:rPr>
              <w:t>（2）</w:t>
            </w:r>
            <w:r>
              <w:rPr>
                <w:spacing w:val="-10"/>
                <w:sz w:val="21"/>
              </w:rPr>
              <w:t xml:space="preserve"> 对称性眼球垂直运动障碍；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544" w:type="dxa"/>
          </w:tcPr>
          <w:p>
            <w:pPr>
              <w:pStyle w:val="7"/>
              <w:spacing w:before="13"/>
              <w:ind w:left="205"/>
              <w:rPr>
                <w:sz w:val="21"/>
              </w:rPr>
            </w:pPr>
            <w:r>
              <w:rPr>
                <w:spacing w:val="-2"/>
                <w:sz w:val="21"/>
              </w:rPr>
              <w:t>（3）</w:t>
            </w:r>
            <w:r>
              <w:rPr>
                <w:spacing w:val="-10"/>
                <w:sz w:val="21"/>
              </w:rPr>
              <w:t xml:space="preserve"> 假性球麻痹，表现为构音障碍和吞咽困难。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492" w:type="dxa"/>
          </w:tcPr>
          <w:p>
            <w:pPr>
              <w:pStyle w:val="7"/>
              <w:spacing w:before="169"/>
              <w:ind w:left="50"/>
              <w:rPr>
                <w:sz w:val="21"/>
              </w:rPr>
            </w:pPr>
            <w:r>
              <w:rPr>
                <w:spacing w:val="-5"/>
                <w:sz w:val="21"/>
              </w:rPr>
              <w:t>65.</w:t>
            </w:r>
          </w:p>
        </w:tc>
        <w:tc>
          <w:tcPr>
            <w:tcW w:w="1388" w:type="dxa"/>
          </w:tcPr>
          <w:p>
            <w:pPr>
              <w:pStyle w:val="7"/>
              <w:spacing w:before="169"/>
              <w:ind w:left="124"/>
              <w:rPr>
                <w:b/>
                <w:sz w:val="21"/>
              </w:rPr>
            </w:pPr>
            <w:r>
              <w:rPr>
                <w:b/>
                <w:spacing w:val="-2"/>
                <w:sz w:val="21"/>
              </w:rPr>
              <w:t>失去一肢及</w:t>
            </w:r>
          </w:p>
        </w:tc>
        <w:tc>
          <w:tcPr>
            <w:tcW w:w="6544" w:type="dxa"/>
          </w:tcPr>
          <w:p>
            <w:pPr>
              <w:pStyle w:val="7"/>
              <w:spacing w:before="169"/>
              <w:ind w:left="205"/>
              <w:rPr>
                <w:sz w:val="21"/>
              </w:rPr>
            </w:pPr>
            <w:r>
              <w:rPr>
                <w:spacing w:val="-3"/>
                <w:sz w:val="21"/>
              </w:rPr>
              <w:t>因疾病或受伤导致以下两项情形同时不可复原及永久性完全丧失：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492" w:type="dxa"/>
          </w:tcPr>
          <w:p>
            <w:pPr>
              <w:pStyle w:val="7"/>
              <w:rPr>
                <w:rFonts w:ascii="Times New Roman"/>
                <w:sz w:val="20"/>
              </w:rPr>
            </w:pPr>
          </w:p>
        </w:tc>
        <w:tc>
          <w:tcPr>
            <w:tcW w:w="1388" w:type="dxa"/>
          </w:tcPr>
          <w:p>
            <w:pPr>
              <w:pStyle w:val="7"/>
              <w:spacing w:before="13"/>
              <w:ind w:left="124"/>
              <w:rPr>
                <w:b/>
                <w:sz w:val="21"/>
              </w:rPr>
            </w:pPr>
            <w:r>
              <w:rPr>
                <w:b/>
                <w:spacing w:val="-5"/>
                <w:sz w:val="21"/>
              </w:rPr>
              <w:t>一眼</w:t>
            </w:r>
          </w:p>
        </w:tc>
        <w:tc>
          <w:tcPr>
            <w:tcW w:w="6544" w:type="dxa"/>
          </w:tcPr>
          <w:p>
            <w:pPr>
              <w:pStyle w:val="7"/>
              <w:spacing w:before="13"/>
              <w:ind w:left="205"/>
              <w:rPr>
                <w:sz w:val="21"/>
              </w:rPr>
            </w:pPr>
            <w:r>
              <w:rPr>
                <w:spacing w:val="-2"/>
                <w:sz w:val="21"/>
              </w:rPr>
              <w:t>（1）</w:t>
            </w:r>
            <w:r>
              <w:rPr>
                <w:spacing w:val="-14"/>
                <w:sz w:val="21"/>
              </w:rPr>
              <w:t xml:space="preserve"> 一眼视力；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544" w:type="dxa"/>
          </w:tcPr>
          <w:p>
            <w:pPr>
              <w:pStyle w:val="7"/>
              <w:spacing w:before="13"/>
              <w:ind w:left="205"/>
              <w:rPr>
                <w:sz w:val="21"/>
              </w:rPr>
            </w:pPr>
            <w:r>
              <w:rPr>
                <w:spacing w:val="-2"/>
                <w:sz w:val="21"/>
              </w:rPr>
              <w:t>（2）</w:t>
            </w:r>
            <w:r>
              <w:rPr>
                <w:spacing w:val="-10"/>
                <w:sz w:val="21"/>
              </w:rPr>
              <w:t xml:space="preserve"> 任何一肢于腕骨或踝骨部位或以上切断。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492" w:type="dxa"/>
          </w:tcPr>
          <w:p>
            <w:pPr>
              <w:pStyle w:val="7"/>
              <w:spacing w:before="169"/>
              <w:ind w:left="50"/>
              <w:rPr>
                <w:sz w:val="21"/>
              </w:rPr>
            </w:pPr>
            <w:r>
              <w:rPr>
                <w:spacing w:val="-5"/>
                <w:sz w:val="21"/>
              </w:rPr>
              <w:t>66.</w:t>
            </w:r>
          </w:p>
        </w:tc>
        <w:tc>
          <w:tcPr>
            <w:tcW w:w="1388" w:type="dxa"/>
          </w:tcPr>
          <w:p>
            <w:pPr>
              <w:pStyle w:val="7"/>
              <w:spacing w:before="169"/>
              <w:ind w:left="124"/>
              <w:rPr>
                <w:b/>
                <w:sz w:val="21"/>
              </w:rPr>
            </w:pPr>
            <w:r>
              <w:rPr>
                <w:b/>
                <w:spacing w:val="-2"/>
                <w:sz w:val="21"/>
              </w:rPr>
              <w:t>嗜铬细胞瘤</w:t>
            </w:r>
          </w:p>
        </w:tc>
        <w:tc>
          <w:tcPr>
            <w:tcW w:w="6544" w:type="dxa"/>
          </w:tcPr>
          <w:p>
            <w:pPr>
              <w:pStyle w:val="7"/>
              <w:spacing w:before="169"/>
              <w:ind w:left="205"/>
              <w:rPr>
                <w:sz w:val="21"/>
              </w:rPr>
            </w:pPr>
            <w:r>
              <w:rPr>
                <w:spacing w:val="-5"/>
                <w:sz w:val="21"/>
              </w:rPr>
              <w:t>是指肾上腺或嗜铬外组织出现神经内分泌肿瘤，并分泌过多的儿茶酚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544" w:type="dxa"/>
          </w:tcPr>
          <w:p>
            <w:pPr>
              <w:pStyle w:val="7"/>
              <w:spacing w:before="13"/>
              <w:ind w:left="205"/>
              <w:rPr>
                <w:sz w:val="21"/>
              </w:rPr>
            </w:pPr>
            <w:r>
              <w:rPr>
                <w:spacing w:val="-5"/>
                <w:sz w:val="21"/>
              </w:rPr>
              <w:t>胺类，需要确实进行手术以切除肿瘤并提供病理报告证实。嗜铬细胞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492" w:type="dxa"/>
          </w:tcPr>
          <w:p>
            <w:pPr>
              <w:pStyle w:val="7"/>
              <w:rPr>
                <w:rFonts w:ascii="Times New Roman"/>
                <w:sz w:val="18"/>
              </w:rPr>
            </w:pPr>
          </w:p>
        </w:tc>
        <w:tc>
          <w:tcPr>
            <w:tcW w:w="1388" w:type="dxa"/>
          </w:tcPr>
          <w:p>
            <w:pPr>
              <w:pStyle w:val="7"/>
              <w:rPr>
                <w:rFonts w:ascii="Times New Roman"/>
                <w:sz w:val="18"/>
              </w:rPr>
            </w:pPr>
          </w:p>
        </w:tc>
        <w:tc>
          <w:tcPr>
            <w:tcW w:w="6544" w:type="dxa"/>
          </w:tcPr>
          <w:p>
            <w:pPr>
              <w:pStyle w:val="7"/>
              <w:spacing w:before="14" w:line="228" w:lineRule="exact"/>
              <w:ind w:left="205"/>
              <w:rPr>
                <w:sz w:val="21"/>
              </w:rPr>
            </w:pPr>
            <w:r>
              <w:rPr>
                <w:spacing w:val="-3"/>
                <w:sz w:val="21"/>
              </w:rPr>
              <w:t>瘤的诊断必须由内分泌专科医生确定。</w:t>
            </w:r>
          </w:p>
        </w:tc>
      </w:tr>
    </w:tbl>
    <w:p>
      <w:pPr>
        <w:spacing w:after="0" w:line="228" w:lineRule="exact"/>
        <w:rPr>
          <w:sz w:val="21"/>
        </w:rPr>
        <w:sectPr>
          <w:pgSz w:w="11910" w:h="16840"/>
          <w:pgMar w:top="1480" w:right="1080" w:bottom="1320" w:left="1580" w:header="0" w:footer="1137" w:gutter="0"/>
          <w:cols w:space="720" w:num="1"/>
        </w:sectPr>
      </w:pPr>
    </w:p>
    <w:tbl>
      <w:tblPr>
        <w:tblStyle w:val="3"/>
        <w:tblW w:w="0" w:type="auto"/>
        <w:tblInd w:w="1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92"/>
        <w:gridCol w:w="1388"/>
        <w:gridCol w:w="65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37" w:hRule="atLeast"/>
        </w:trPr>
        <w:tc>
          <w:tcPr>
            <w:tcW w:w="492" w:type="dxa"/>
          </w:tcPr>
          <w:p>
            <w:pPr>
              <w:pStyle w:val="7"/>
              <w:spacing w:line="232" w:lineRule="exact"/>
              <w:ind w:left="50"/>
              <w:rPr>
                <w:sz w:val="21"/>
              </w:rPr>
            </w:pPr>
            <w:r>
              <w:rPr>
                <w:spacing w:val="-5"/>
                <w:sz w:val="21"/>
              </w:rPr>
              <w:t>67.</w:t>
            </w:r>
          </w:p>
        </w:tc>
        <w:tc>
          <w:tcPr>
            <w:tcW w:w="1388" w:type="dxa"/>
          </w:tcPr>
          <w:p>
            <w:pPr>
              <w:pStyle w:val="7"/>
              <w:spacing w:line="232" w:lineRule="exact"/>
              <w:ind w:left="124"/>
              <w:rPr>
                <w:b/>
                <w:sz w:val="21"/>
              </w:rPr>
            </w:pPr>
            <w:r>
              <w:rPr>
                <w:b/>
                <w:spacing w:val="-3"/>
                <w:sz w:val="21"/>
              </w:rPr>
              <w:t>小肠移植</w:t>
            </w:r>
          </w:p>
        </w:tc>
        <w:tc>
          <w:tcPr>
            <w:tcW w:w="6563" w:type="dxa"/>
          </w:tcPr>
          <w:p>
            <w:pPr>
              <w:pStyle w:val="7"/>
              <w:spacing w:line="232" w:lineRule="exact"/>
              <w:ind w:left="205"/>
              <w:rPr>
                <w:sz w:val="21"/>
              </w:rPr>
            </w:pPr>
            <w:r>
              <w:rPr>
                <w:spacing w:val="-5"/>
                <w:sz w:val="21"/>
              </w:rPr>
              <w:t>指因肠道疾病或外伤，已经实施了在全身麻醉下进行的小肠的异体器</w:t>
            </w:r>
          </w:p>
          <w:p>
            <w:pPr>
              <w:pStyle w:val="7"/>
              <w:spacing w:before="43" w:line="278" w:lineRule="auto"/>
              <w:ind w:left="205" w:right="258"/>
              <w:rPr>
                <w:sz w:val="21"/>
              </w:rPr>
            </w:pPr>
            <w:r>
              <w:rPr>
                <w:spacing w:val="-2"/>
                <w:sz w:val="21"/>
              </w:rPr>
              <w:t>官移植手术。此手术必须由专科医生认为是医学上必需的情况下进</w:t>
            </w:r>
            <w:r>
              <w:rPr>
                <w:spacing w:val="-6"/>
                <w:sz w:val="21"/>
              </w:rPr>
              <w:t>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492" w:type="dxa"/>
          </w:tcPr>
          <w:p>
            <w:pPr>
              <w:pStyle w:val="7"/>
              <w:spacing w:before="173"/>
              <w:ind w:left="50"/>
              <w:rPr>
                <w:sz w:val="21"/>
              </w:rPr>
            </w:pPr>
            <w:r>
              <w:rPr>
                <w:spacing w:val="-5"/>
                <w:sz w:val="21"/>
              </w:rPr>
              <w:t>68.</w:t>
            </w:r>
          </w:p>
        </w:tc>
        <w:tc>
          <w:tcPr>
            <w:tcW w:w="1388" w:type="dxa"/>
          </w:tcPr>
          <w:p>
            <w:pPr>
              <w:pStyle w:val="7"/>
              <w:spacing w:before="173"/>
              <w:ind w:left="124"/>
              <w:rPr>
                <w:b/>
                <w:sz w:val="21"/>
              </w:rPr>
            </w:pPr>
            <w:r>
              <w:rPr>
                <w:b/>
                <w:spacing w:val="-3"/>
                <w:sz w:val="21"/>
              </w:rPr>
              <w:t>颅脑手术</w:t>
            </w:r>
          </w:p>
        </w:tc>
        <w:tc>
          <w:tcPr>
            <w:tcW w:w="6563" w:type="dxa"/>
          </w:tcPr>
          <w:p>
            <w:pPr>
              <w:pStyle w:val="7"/>
              <w:spacing w:before="173"/>
              <w:ind w:left="205"/>
              <w:rPr>
                <w:rFonts w:hint="eastAsia" w:ascii="黑体" w:eastAsia="黑体"/>
                <w:b/>
                <w:sz w:val="21"/>
              </w:rPr>
            </w:pPr>
            <w:r>
              <w:rPr>
                <w:spacing w:val="-2"/>
                <w:sz w:val="21"/>
              </w:rPr>
              <w:t>被保险人确已实施全麻下的开颅手术</w:t>
            </w:r>
            <w:r>
              <w:rPr>
                <w:rFonts w:hint="eastAsia" w:ascii="黑体" w:eastAsia="黑体"/>
                <w:b/>
                <w:spacing w:val="-2"/>
                <w:sz w:val="21"/>
              </w:rPr>
              <w:t>（</w:t>
            </w:r>
            <w:r>
              <w:rPr>
                <w:rFonts w:hint="eastAsia" w:ascii="黑体" w:eastAsia="黑体"/>
                <w:b/>
                <w:spacing w:val="-3"/>
                <w:sz w:val="21"/>
              </w:rPr>
              <w:t>不包括颅骨钻孔手术和经鼻蝶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7"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563" w:type="dxa"/>
          </w:tcPr>
          <w:p>
            <w:pPr>
              <w:pStyle w:val="7"/>
              <w:spacing w:before="17"/>
              <w:ind w:left="205"/>
              <w:rPr>
                <w:rFonts w:ascii="黑体" w:eastAsia="黑体"/>
                <w:sz w:val="21"/>
              </w:rPr>
            </w:pPr>
            <w:r>
              <w:rPr>
                <w:rFonts w:hint="eastAsia" w:ascii="黑体" w:eastAsia="黑体"/>
                <w:b/>
                <w:sz w:val="21"/>
              </w:rPr>
              <w:t>窦入颅手术</w:t>
            </w:r>
            <w:r>
              <w:rPr>
                <w:rFonts w:hint="eastAsia" w:ascii="黑体" w:eastAsia="黑体"/>
                <w:b/>
                <w:spacing w:val="-106"/>
                <w:sz w:val="21"/>
              </w:rPr>
              <w:t>）</w:t>
            </w:r>
            <w:r>
              <w:rPr>
                <w:rFonts w:ascii="黑体" w:eastAsia="黑体"/>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563" w:type="dxa"/>
          </w:tcPr>
          <w:p>
            <w:pPr>
              <w:pStyle w:val="7"/>
              <w:spacing w:before="22"/>
              <w:ind w:left="205"/>
              <w:rPr>
                <w:rFonts w:hint="eastAsia" w:ascii="黑体" w:eastAsia="黑体"/>
                <w:b/>
                <w:sz w:val="21"/>
              </w:rPr>
            </w:pPr>
            <w:r>
              <w:rPr>
                <w:rFonts w:hint="eastAsia" w:ascii="黑体" w:eastAsia="黑体"/>
                <w:b/>
                <w:spacing w:val="-3"/>
                <w:sz w:val="21"/>
              </w:rPr>
              <w:t>因外伤而实施的脑外科手术不在保障范围之内。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2"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563" w:type="dxa"/>
          </w:tcPr>
          <w:p>
            <w:pPr>
              <w:pStyle w:val="7"/>
              <w:spacing w:before="22"/>
              <w:ind w:left="205"/>
              <w:rPr>
                <w:rFonts w:hint="eastAsia" w:ascii="黑体" w:eastAsia="黑体"/>
                <w:b/>
                <w:sz w:val="21"/>
              </w:rPr>
            </w:pPr>
            <w:r>
              <w:rPr>
                <w:rFonts w:hint="eastAsia" w:ascii="黑体" w:eastAsia="黑体"/>
                <w:b/>
                <w:spacing w:val="-3"/>
                <w:sz w:val="21"/>
              </w:rPr>
              <w:t>理赔时必须提供由神经外科医生出具的诊断书及手术报告。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2" w:hRule="atLeast"/>
        </w:trPr>
        <w:tc>
          <w:tcPr>
            <w:tcW w:w="492" w:type="dxa"/>
          </w:tcPr>
          <w:p>
            <w:pPr>
              <w:pStyle w:val="7"/>
              <w:spacing w:before="173"/>
              <w:ind w:left="50"/>
              <w:rPr>
                <w:sz w:val="21"/>
              </w:rPr>
            </w:pPr>
            <w:r>
              <w:rPr>
                <w:spacing w:val="-5"/>
                <w:sz w:val="21"/>
              </w:rPr>
              <w:t>69.</w:t>
            </w:r>
          </w:p>
        </w:tc>
        <w:tc>
          <w:tcPr>
            <w:tcW w:w="1388" w:type="dxa"/>
          </w:tcPr>
          <w:p>
            <w:pPr>
              <w:pStyle w:val="7"/>
              <w:spacing w:before="173"/>
              <w:ind w:left="124"/>
              <w:rPr>
                <w:b/>
                <w:sz w:val="21"/>
              </w:rPr>
            </w:pPr>
            <w:r>
              <w:rPr>
                <w:b/>
                <w:spacing w:val="-2"/>
                <w:sz w:val="21"/>
              </w:rPr>
              <w:t>严重自身免</w:t>
            </w:r>
          </w:p>
        </w:tc>
        <w:tc>
          <w:tcPr>
            <w:tcW w:w="6563" w:type="dxa"/>
          </w:tcPr>
          <w:p>
            <w:pPr>
              <w:pStyle w:val="7"/>
              <w:spacing w:before="173"/>
              <w:ind w:left="205"/>
              <w:rPr>
                <w:sz w:val="21"/>
              </w:rPr>
            </w:pPr>
            <w:r>
              <w:rPr>
                <w:spacing w:val="-5"/>
                <w:sz w:val="21"/>
              </w:rPr>
              <w:t>自身免疫性肝炎是一种原因不明的慢性肝脏的坏死性炎性疾病，机体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spacing w:before="13"/>
              <w:ind w:left="124"/>
              <w:rPr>
                <w:b/>
                <w:sz w:val="21"/>
              </w:rPr>
            </w:pPr>
            <w:r>
              <w:rPr>
                <w:b/>
                <w:spacing w:val="-3"/>
                <w:sz w:val="21"/>
              </w:rPr>
              <w:t>疫性肝炎</w:t>
            </w:r>
          </w:p>
        </w:tc>
        <w:tc>
          <w:tcPr>
            <w:tcW w:w="6563" w:type="dxa"/>
          </w:tcPr>
          <w:p>
            <w:pPr>
              <w:pStyle w:val="7"/>
              <w:spacing w:before="13"/>
              <w:ind w:left="205"/>
              <w:rPr>
                <w:sz w:val="21"/>
              </w:rPr>
            </w:pPr>
            <w:r>
              <w:rPr>
                <w:spacing w:val="-3"/>
                <w:sz w:val="21"/>
              </w:rPr>
              <w:t>免疫机制被破坏，产生针对肝脏自身抗原的抗体导致自身免疫反应，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563" w:type="dxa"/>
          </w:tcPr>
          <w:p>
            <w:pPr>
              <w:pStyle w:val="7"/>
              <w:spacing w:before="14"/>
              <w:ind w:left="205"/>
              <w:rPr>
                <w:sz w:val="21"/>
              </w:rPr>
            </w:pPr>
            <w:r>
              <w:rPr>
                <w:spacing w:val="-5"/>
                <w:sz w:val="21"/>
              </w:rPr>
              <w:t>从而破坏肝细胞造成肝脏炎症坏死，进而发展为肝硬化。必须满足所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563" w:type="dxa"/>
          </w:tcPr>
          <w:p>
            <w:pPr>
              <w:pStyle w:val="7"/>
              <w:spacing w:before="13"/>
              <w:ind w:left="205"/>
              <w:rPr>
                <w:sz w:val="21"/>
              </w:rPr>
            </w:pPr>
            <w:r>
              <w:rPr>
                <w:spacing w:val="-4"/>
                <w:sz w:val="21"/>
              </w:rPr>
              <w:t>有以下条件：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563" w:type="dxa"/>
          </w:tcPr>
          <w:p>
            <w:pPr>
              <w:pStyle w:val="7"/>
              <w:spacing w:before="13"/>
              <w:ind w:left="205"/>
              <w:rPr>
                <w:sz w:val="21"/>
              </w:rPr>
            </w:pPr>
            <w:r>
              <w:rPr>
                <w:spacing w:val="-2"/>
                <w:sz w:val="21"/>
              </w:rPr>
              <w:t>（1）</w:t>
            </w:r>
            <w:r>
              <w:rPr>
                <w:spacing w:val="-30"/>
                <w:sz w:val="21"/>
              </w:rPr>
              <w:t xml:space="preserve"> 高</w:t>
            </w:r>
            <w:r>
              <w:rPr>
                <w:spacing w:val="-2"/>
                <w:sz w:val="21"/>
              </w:rPr>
              <w:t>γ</w:t>
            </w:r>
            <w:r>
              <w:rPr>
                <w:spacing w:val="-4"/>
                <w:sz w:val="21"/>
              </w:rPr>
              <w:t>球蛋白血症；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492" w:type="dxa"/>
          </w:tcPr>
          <w:p>
            <w:pPr>
              <w:pStyle w:val="7"/>
              <w:rPr>
                <w:rFonts w:ascii="Times New Roman"/>
                <w:sz w:val="18"/>
              </w:rPr>
            </w:pPr>
          </w:p>
        </w:tc>
        <w:tc>
          <w:tcPr>
            <w:tcW w:w="1388" w:type="dxa"/>
          </w:tcPr>
          <w:p>
            <w:pPr>
              <w:pStyle w:val="7"/>
              <w:rPr>
                <w:rFonts w:ascii="Times New Roman"/>
                <w:sz w:val="18"/>
              </w:rPr>
            </w:pPr>
          </w:p>
        </w:tc>
        <w:tc>
          <w:tcPr>
            <w:tcW w:w="6563" w:type="dxa"/>
          </w:tcPr>
          <w:p>
            <w:pPr>
              <w:pStyle w:val="7"/>
              <w:spacing w:before="13" w:line="228" w:lineRule="exact"/>
              <w:ind w:left="205"/>
              <w:rPr>
                <w:sz w:val="21"/>
              </w:rPr>
            </w:pPr>
            <w:r>
              <w:rPr>
                <w:spacing w:val="-2"/>
                <w:sz w:val="21"/>
              </w:rPr>
              <w:t>（2）</w:t>
            </w:r>
            <w:r>
              <w:rPr>
                <w:spacing w:val="-12"/>
                <w:sz w:val="21"/>
              </w:rPr>
              <w:t xml:space="preserve"> 血液中存在高水平的自身免疫抗体，如 </w:t>
            </w:r>
            <w:r>
              <w:rPr>
                <w:spacing w:val="-2"/>
                <w:sz w:val="21"/>
              </w:rPr>
              <w:t>ANA（抗核抗体</w:t>
            </w:r>
            <w:r>
              <w:rPr>
                <w:spacing w:val="-108"/>
                <w:sz w:val="21"/>
              </w:rPr>
              <w:t>）</w:t>
            </w:r>
            <w:r>
              <w:rPr>
                <w:spacing w:val="-2"/>
                <w:sz w:val="21"/>
              </w:rPr>
              <w:t>、</w:t>
            </w:r>
            <w:r>
              <w:rPr>
                <w:spacing w:val="-5"/>
                <w:sz w:val="21"/>
              </w:rPr>
              <w:t>SMA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563" w:type="dxa"/>
          </w:tcPr>
          <w:p>
            <w:pPr>
              <w:pStyle w:val="7"/>
              <w:spacing w:before="64" w:line="228" w:lineRule="exact"/>
              <w:ind w:left="785" w:right="1022"/>
              <w:jc w:val="center"/>
              <w:rPr>
                <w:sz w:val="21"/>
              </w:rPr>
            </w:pPr>
            <w:r>
              <w:rPr>
                <w:spacing w:val="-2"/>
                <w:sz w:val="21"/>
              </w:rPr>
              <w:t>（抗平滑肌抗体</w:t>
            </w:r>
            <w:r>
              <w:rPr>
                <w:spacing w:val="-106"/>
                <w:sz w:val="21"/>
              </w:rPr>
              <w:t>）</w:t>
            </w:r>
            <w:r>
              <w:rPr>
                <w:spacing w:val="-18"/>
                <w:sz w:val="21"/>
              </w:rPr>
              <w:t xml:space="preserve">、抗 </w:t>
            </w:r>
            <w:r>
              <w:rPr>
                <w:spacing w:val="-2"/>
                <w:sz w:val="21"/>
              </w:rPr>
              <w:t>LKM1</w:t>
            </w:r>
            <w:r>
              <w:rPr>
                <w:spacing w:val="-11"/>
                <w:sz w:val="21"/>
              </w:rPr>
              <w:t xml:space="preserve"> 抗体或抗-</w:t>
            </w:r>
            <w:r>
              <w:rPr>
                <w:spacing w:val="-2"/>
                <w:sz w:val="21"/>
              </w:rPr>
              <w:t>SLA/LP</w:t>
            </w:r>
            <w:r>
              <w:rPr>
                <w:spacing w:val="-16"/>
                <w:sz w:val="21"/>
              </w:rPr>
              <w:t xml:space="preserve"> 抗体；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2"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563" w:type="dxa"/>
          </w:tcPr>
          <w:p>
            <w:pPr>
              <w:pStyle w:val="7"/>
              <w:spacing w:before="64"/>
              <w:ind w:left="205"/>
              <w:rPr>
                <w:sz w:val="21"/>
              </w:rPr>
            </w:pPr>
            <w:r>
              <w:rPr>
                <w:spacing w:val="-2"/>
                <w:sz w:val="21"/>
              </w:rPr>
              <w:t>（3）</w:t>
            </w:r>
            <w:r>
              <w:rPr>
                <w:spacing w:val="-10"/>
                <w:sz w:val="21"/>
              </w:rPr>
              <w:t xml:space="preserve"> 肝脏活检证实免疫性肝炎；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563" w:type="dxa"/>
          </w:tcPr>
          <w:p>
            <w:pPr>
              <w:pStyle w:val="7"/>
              <w:spacing w:before="13"/>
              <w:ind w:left="205"/>
              <w:rPr>
                <w:sz w:val="21"/>
              </w:rPr>
            </w:pPr>
            <w:r>
              <w:rPr>
                <w:spacing w:val="-2"/>
                <w:sz w:val="21"/>
              </w:rPr>
              <w:t>（4）</w:t>
            </w:r>
            <w:r>
              <w:rPr>
                <w:spacing w:val="-10"/>
                <w:sz w:val="21"/>
              </w:rPr>
              <w:t xml:space="preserve"> 临床已经出现腹水、食道静脉曲张和脾肿大等肝硬化表现。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492" w:type="dxa"/>
          </w:tcPr>
          <w:p>
            <w:pPr>
              <w:pStyle w:val="7"/>
              <w:spacing w:before="169"/>
              <w:ind w:left="50"/>
              <w:rPr>
                <w:sz w:val="21"/>
              </w:rPr>
            </w:pPr>
            <w:r>
              <w:rPr>
                <w:spacing w:val="-5"/>
                <w:sz w:val="21"/>
              </w:rPr>
              <w:t>70.</w:t>
            </w:r>
          </w:p>
        </w:tc>
        <w:tc>
          <w:tcPr>
            <w:tcW w:w="1388" w:type="dxa"/>
          </w:tcPr>
          <w:p>
            <w:pPr>
              <w:pStyle w:val="7"/>
              <w:spacing w:before="169"/>
              <w:ind w:left="124"/>
              <w:rPr>
                <w:b/>
                <w:sz w:val="21"/>
              </w:rPr>
            </w:pPr>
            <w:r>
              <w:rPr>
                <w:b/>
                <w:spacing w:val="-2"/>
                <w:sz w:val="21"/>
              </w:rPr>
              <w:t>原发性骨髓</w:t>
            </w:r>
          </w:p>
        </w:tc>
        <w:tc>
          <w:tcPr>
            <w:tcW w:w="6563" w:type="dxa"/>
          </w:tcPr>
          <w:p>
            <w:pPr>
              <w:pStyle w:val="7"/>
              <w:spacing w:before="169"/>
              <w:ind w:left="205"/>
              <w:rPr>
                <w:sz w:val="21"/>
              </w:rPr>
            </w:pPr>
            <w:r>
              <w:rPr>
                <w:spacing w:val="-5"/>
                <w:sz w:val="21"/>
              </w:rPr>
              <w:t>原发性骨髓纤维化为原因不明的骨髓中成纤维细胞增殖，伴有髓外造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spacing w:before="13"/>
              <w:ind w:left="124"/>
              <w:rPr>
                <w:b/>
                <w:sz w:val="21"/>
              </w:rPr>
            </w:pPr>
            <w:r>
              <w:rPr>
                <w:b/>
                <w:spacing w:val="-4"/>
                <w:sz w:val="21"/>
              </w:rPr>
              <w:t>纤维化</w:t>
            </w:r>
          </w:p>
        </w:tc>
        <w:tc>
          <w:tcPr>
            <w:tcW w:w="6563" w:type="dxa"/>
          </w:tcPr>
          <w:p>
            <w:pPr>
              <w:pStyle w:val="7"/>
              <w:spacing w:before="13"/>
              <w:ind w:left="205"/>
              <w:rPr>
                <w:sz w:val="21"/>
              </w:rPr>
            </w:pPr>
            <w:r>
              <w:rPr>
                <w:spacing w:val="-5"/>
                <w:sz w:val="21"/>
              </w:rPr>
              <w:t>血，表现为进行性贫血、脾肿大等症状。本疾病须根据骨髓的活组织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563" w:type="dxa"/>
          </w:tcPr>
          <w:p>
            <w:pPr>
              <w:pStyle w:val="7"/>
              <w:spacing w:before="14"/>
              <w:ind w:left="205"/>
              <w:rPr>
                <w:sz w:val="21"/>
              </w:rPr>
            </w:pPr>
            <w:r>
              <w:rPr>
                <w:spacing w:val="-5"/>
                <w:sz w:val="21"/>
              </w:rPr>
              <w:t>检查和周围血象检查由我们认可的医院血液科专科医生明确诊断，并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563" w:type="dxa"/>
          </w:tcPr>
          <w:p>
            <w:pPr>
              <w:pStyle w:val="7"/>
              <w:spacing w:before="13"/>
              <w:ind w:left="205"/>
              <w:rPr>
                <w:sz w:val="21"/>
              </w:rPr>
            </w:pPr>
            <w:r>
              <w:rPr>
                <w:spacing w:val="-4"/>
                <w:sz w:val="21"/>
              </w:rPr>
              <w:t xml:space="preserve">至少符合下列条件中的三项，且符合条件的状态持续 </w:t>
            </w:r>
            <w:r>
              <w:rPr>
                <w:spacing w:val="-2"/>
                <w:sz w:val="21"/>
              </w:rPr>
              <w:t>180</w:t>
            </w:r>
            <w:r>
              <w:rPr>
                <w:spacing w:val="-11"/>
                <w:sz w:val="21"/>
              </w:rPr>
              <w:t xml:space="preserve"> 天及以上，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563" w:type="dxa"/>
          </w:tcPr>
          <w:p>
            <w:pPr>
              <w:pStyle w:val="7"/>
              <w:spacing w:before="13"/>
              <w:ind w:left="205"/>
              <w:rPr>
                <w:sz w:val="21"/>
              </w:rPr>
            </w:pPr>
            <w:r>
              <w:rPr>
                <w:spacing w:val="-3"/>
                <w:sz w:val="21"/>
              </w:rPr>
              <w:t>并已经实际实施了针对此症的治疗：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563" w:type="dxa"/>
          </w:tcPr>
          <w:p>
            <w:pPr>
              <w:pStyle w:val="7"/>
              <w:spacing w:before="13"/>
              <w:ind w:left="205"/>
              <w:rPr>
                <w:sz w:val="21"/>
              </w:rPr>
            </w:pPr>
            <w:r>
              <w:rPr>
                <w:spacing w:val="-2"/>
                <w:sz w:val="21"/>
              </w:rPr>
              <w:t>（1）</w:t>
            </w:r>
            <w:r>
              <w:rPr>
                <w:spacing w:val="-12"/>
                <w:sz w:val="21"/>
              </w:rPr>
              <w:t xml:space="preserve"> 血红蛋白&lt;</w:t>
            </w:r>
            <w:r>
              <w:rPr>
                <w:spacing w:val="-2"/>
                <w:sz w:val="21"/>
              </w:rPr>
              <w:t>100g/L；</w:t>
            </w:r>
          </w:p>
          <w:p>
            <w:pPr>
              <w:pStyle w:val="7"/>
              <w:spacing w:before="33"/>
              <w:ind w:left="205"/>
              <w:rPr>
                <w:sz w:val="21"/>
              </w:rPr>
            </w:pPr>
            <w:r>
              <w:rPr>
                <w:spacing w:val="-2"/>
                <w:sz w:val="21"/>
              </w:rPr>
              <w:t>（2）</w:t>
            </w:r>
            <w:r>
              <w:rPr>
                <w:spacing w:val="-12"/>
                <w:sz w:val="21"/>
              </w:rPr>
              <w:t xml:space="preserve"> 白细胞计数</w:t>
            </w:r>
            <w:r>
              <w:rPr>
                <w:spacing w:val="-2"/>
                <w:sz w:val="21"/>
              </w:rPr>
              <w:t>&gt;25*10</w:t>
            </w:r>
            <w:r>
              <w:rPr>
                <w:spacing w:val="-2"/>
                <w:position w:val="11"/>
                <w:sz w:val="11"/>
              </w:rPr>
              <w:t>9</w:t>
            </w:r>
            <w:r>
              <w:rPr>
                <w:spacing w:val="-2"/>
                <w:sz w:val="21"/>
              </w:rPr>
              <w:t>/L；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9"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563" w:type="dxa"/>
          </w:tcPr>
          <w:p>
            <w:pPr>
              <w:pStyle w:val="7"/>
              <w:spacing w:before="13"/>
              <w:ind w:left="205"/>
              <w:rPr>
                <w:sz w:val="21"/>
              </w:rPr>
            </w:pPr>
            <w:r>
              <w:rPr>
                <w:sz w:val="21"/>
              </w:rPr>
              <w:t>（3）</w:t>
            </w:r>
            <w:r>
              <w:rPr>
                <w:spacing w:val="-10"/>
                <w:sz w:val="21"/>
              </w:rPr>
              <w:t xml:space="preserve"> 外周血原始细胞≥ </w:t>
            </w:r>
            <w:r>
              <w:rPr>
                <w:spacing w:val="-5"/>
                <w:sz w:val="21"/>
              </w:rPr>
              <w:t>1%；</w:t>
            </w:r>
          </w:p>
          <w:p>
            <w:pPr>
              <w:pStyle w:val="7"/>
              <w:spacing w:before="33"/>
              <w:ind w:left="205"/>
              <w:rPr>
                <w:sz w:val="21"/>
              </w:rPr>
            </w:pPr>
            <w:r>
              <w:rPr>
                <w:spacing w:val="-2"/>
                <w:sz w:val="21"/>
              </w:rPr>
              <w:t>（4）</w:t>
            </w:r>
            <w:r>
              <w:rPr>
                <w:spacing w:val="-11"/>
                <w:sz w:val="21"/>
              </w:rPr>
              <w:t xml:space="preserve"> 血小板计数</w:t>
            </w:r>
            <w:r>
              <w:rPr>
                <w:spacing w:val="-2"/>
                <w:sz w:val="21"/>
              </w:rPr>
              <w:t>&lt;100*10</w:t>
            </w:r>
            <w:r>
              <w:rPr>
                <w:spacing w:val="-2"/>
                <w:position w:val="11"/>
                <w:sz w:val="11"/>
              </w:rPr>
              <w:t>9</w:t>
            </w:r>
            <w:r>
              <w:rPr>
                <w:spacing w:val="-2"/>
                <w:sz w:val="21"/>
              </w:rPr>
              <w:t>/L</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563" w:type="dxa"/>
          </w:tcPr>
          <w:p>
            <w:pPr>
              <w:pStyle w:val="7"/>
              <w:spacing w:before="17"/>
              <w:ind w:left="205"/>
              <w:rPr>
                <w:rFonts w:hint="eastAsia" w:ascii="黑体" w:eastAsia="黑体"/>
                <w:b/>
                <w:sz w:val="21"/>
              </w:rPr>
            </w:pPr>
            <w:r>
              <w:rPr>
                <w:rFonts w:hint="eastAsia" w:ascii="黑体" w:eastAsia="黑体"/>
                <w:b/>
                <w:spacing w:val="-3"/>
                <w:sz w:val="21"/>
              </w:rPr>
              <w:t>继发性骨髓纤维化不在保障范围内。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2" w:hRule="atLeast"/>
        </w:trPr>
        <w:tc>
          <w:tcPr>
            <w:tcW w:w="492" w:type="dxa"/>
          </w:tcPr>
          <w:p>
            <w:pPr>
              <w:pStyle w:val="7"/>
              <w:spacing w:before="173"/>
              <w:ind w:left="50"/>
              <w:rPr>
                <w:sz w:val="21"/>
              </w:rPr>
            </w:pPr>
            <w:r>
              <w:rPr>
                <w:spacing w:val="-5"/>
                <w:sz w:val="21"/>
              </w:rPr>
              <w:t>71.</w:t>
            </w:r>
          </w:p>
        </w:tc>
        <w:tc>
          <w:tcPr>
            <w:tcW w:w="1388" w:type="dxa"/>
          </w:tcPr>
          <w:p>
            <w:pPr>
              <w:pStyle w:val="7"/>
              <w:spacing w:before="173"/>
              <w:ind w:left="124"/>
              <w:rPr>
                <w:b/>
                <w:sz w:val="21"/>
              </w:rPr>
            </w:pPr>
            <w:r>
              <w:rPr>
                <w:b/>
                <w:spacing w:val="-2"/>
                <w:sz w:val="21"/>
              </w:rPr>
              <w:t>严重获得性</w:t>
            </w:r>
          </w:p>
        </w:tc>
        <w:tc>
          <w:tcPr>
            <w:tcW w:w="6563" w:type="dxa"/>
          </w:tcPr>
          <w:p>
            <w:pPr>
              <w:pStyle w:val="7"/>
              <w:spacing w:before="173"/>
              <w:ind w:left="205"/>
              <w:rPr>
                <w:sz w:val="21"/>
              </w:rPr>
            </w:pPr>
            <w:r>
              <w:rPr>
                <w:spacing w:val="-3"/>
                <w:sz w:val="21"/>
              </w:rPr>
              <w:t>因获得性或继发性原因或导致双肺肺泡和细支气管腔内充满不可溶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spacing w:before="13"/>
              <w:ind w:left="124"/>
              <w:rPr>
                <w:b/>
                <w:sz w:val="21"/>
              </w:rPr>
            </w:pPr>
            <w:r>
              <w:rPr>
                <w:b/>
                <w:spacing w:val="-2"/>
                <w:sz w:val="21"/>
              </w:rPr>
              <w:t>或继发性肺</w:t>
            </w:r>
          </w:p>
        </w:tc>
        <w:tc>
          <w:tcPr>
            <w:tcW w:w="6563" w:type="dxa"/>
          </w:tcPr>
          <w:p>
            <w:pPr>
              <w:pStyle w:val="7"/>
              <w:spacing w:before="13"/>
              <w:ind w:left="205"/>
              <w:rPr>
                <w:sz w:val="21"/>
              </w:rPr>
            </w:pPr>
            <w:r>
              <w:rPr>
                <w:spacing w:val="-3"/>
                <w:sz w:val="21"/>
              </w:rPr>
              <w:t>性富磷脂蛋白的疾病。理赔时须满足下列所有条件：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spacing w:before="14"/>
              <w:ind w:left="124"/>
              <w:rPr>
                <w:b/>
                <w:sz w:val="21"/>
              </w:rPr>
            </w:pPr>
            <w:r>
              <w:rPr>
                <w:b/>
                <w:spacing w:val="-2"/>
                <w:sz w:val="21"/>
              </w:rPr>
              <w:t>泡蛋白质沉</w:t>
            </w:r>
          </w:p>
        </w:tc>
        <w:tc>
          <w:tcPr>
            <w:tcW w:w="6563" w:type="dxa"/>
          </w:tcPr>
          <w:p>
            <w:pPr>
              <w:pStyle w:val="7"/>
              <w:spacing w:before="14"/>
              <w:ind w:left="205"/>
              <w:rPr>
                <w:sz w:val="21"/>
              </w:rPr>
            </w:pPr>
            <w:r>
              <w:rPr>
                <w:spacing w:val="-2"/>
                <w:sz w:val="21"/>
              </w:rPr>
              <w:t>（1）</w:t>
            </w:r>
            <w:r>
              <w:rPr>
                <w:spacing w:val="-10"/>
                <w:sz w:val="21"/>
              </w:rPr>
              <w:t xml:space="preserve"> 支气管镜活检或开胸肺活检病理检查证实肺泡内充满有过碘酸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492" w:type="dxa"/>
          </w:tcPr>
          <w:p>
            <w:pPr>
              <w:pStyle w:val="7"/>
              <w:rPr>
                <w:rFonts w:ascii="Times New Roman"/>
                <w:sz w:val="18"/>
              </w:rPr>
            </w:pPr>
          </w:p>
        </w:tc>
        <w:tc>
          <w:tcPr>
            <w:tcW w:w="1388" w:type="dxa"/>
          </w:tcPr>
          <w:p>
            <w:pPr>
              <w:pStyle w:val="7"/>
              <w:spacing w:before="13" w:line="228" w:lineRule="exact"/>
              <w:ind w:left="124"/>
              <w:rPr>
                <w:b/>
                <w:sz w:val="21"/>
              </w:rPr>
            </w:pPr>
            <w:r>
              <w:rPr>
                <w:b/>
                <w:spacing w:val="-5"/>
                <w:sz w:val="21"/>
              </w:rPr>
              <w:t>积症</w:t>
            </w:r>
          </w:p>
        </w:tc>
        <w:tc>
          <w:tcPr>
            <w:tcW w:w="6563" w:type="dxa"/>
          </w:tcPr>
          <w:p>
            <w:pPr>
              <w:pStyle w:val="7"/>
              <w:spacing w:before="13" w:line="228" w:lineRule="exact"/>
              <w:ind w:left="772"/>
              <w:rPr>
                <w:sz w:val="21"/>
              </w:rPr>
            </w:pPr>
            <w:r>
              <w:rPr>
                <w:spacing w:val="-2"/>
                <w:sz w:val="21"/>
              </w:rPr>
              <w:t>雪夫（PAS）</w:t>
            </w:r>
            <w:r>
              <w:rPr>
                <w:spacing w:val="-3"/>
                <w:sz w:val="21"/>
              </w:rPr>
              <w:t>染色阳性的蛋白样物质；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563" w:type="dxa"/>
          </w:tcPr>
          <w:p>
            <w:pPr>
              <w:pStyle w:val="7"/>
              <w:spacing w:before="64" w:line="228" w:lineRule="exact"/>
              <w:ind w:left="205"/>
              <w:rPr>
                <w:sz w:val="21"/>
              </w:rPr>
            </w:pPr>
            <w:r>
              <w:rPr>
                <w:spacing w:val="-2"/>
                <w:sz w:val="21"/>
              </w:rPr>
              <w:t>（2）</w:t>
            </w:r>
            <w:r>
              <w:rPr>
                <w:spacing w:val="-10"/>
                <w:sz w:val="21"/>
              </w:rPr>
              <w:t xml:space="preserve"> 被保险人因中重度呼吸困难或低氧血症而实际已行全身麻醉下</w:t>
            </w:r>
          </w:p>
        </w:tc>
      </w:tr>
    </w:tbl>
    <w:p>
      <w:pPr>
        <w:pStyle w:val="2"/>
        <w:spacing w:before="77"/>
        <w:ind w:left="2796"/>
      </w:pPr>
      <w:r>
        <w:rPr>
          <w:spacing w:val="-4"/>
        </w:rPr>
        <w:t>的全肺灌洗治疗。</w:t>
      </w:r>
    </w:p>
    <w:p>
      <w:pPr>
        <w:pStyle w:val="2"/>
        <w:spacing w:before="9"/>
        <w:rPr>
          <w:sz w:val="22"/>
        </w:rPr>
      </w:pPr>
    </w:p>
    <w:p>
      <w:pPr>
        <w:spacing w:after="0"/>
        <w:rPr>
          <w:sz w:val="22"/>
        </w:rPr>
        <w:sectPr>
          <w:type w:val="continuous"/>
          <w:pgSz w:w="11910" w:h="16840"/>
          <w:pgMar w:top="1480" w:right="1080" w:bottom="1320" w:left="1580" w:header="0" w:footer="1137" w:gutter="0"/>
          <w:cols w:space="720" w:num="1"/>
        </w:sectPr>
      </w:pPr>
    </w:p>
    <w:p>
      <w:pPr>
        <w:spacing w:before="64"/>
        <w:ind w:left="0" w:right="38" w:firstLine="0"/>
        <w:jc w:val="right"/>
        <w:rPr>
          <w:b/>
          <w:sz w:val="21"/>
        </w:rPr>
      </w:pPr>
      <w:r>
        <w:rPr>
          <w:sz w:val="21"/>
        </w:rPr>
        <w:t>72.</w:t>
      </w:r>
      <w:r>
        <w:rPr>
          <w:spacing w:val="91"/>
          <w:w w:val="150"/>
          <w:sz w:val="21"/>
        </w:rPr>
        <w:t xml:space="preserve"> </w:t>
      </w:r>
      <w:r>
        <w:rPr>
          <w:b/>
          <w:spacing w:val="-2"/>
          <w:sz w:val="21"/>
        </w:rPr>
        <w:t>严重慢性缩</w:t>
      </w:r>
    </w:p>
    <w:p>
      <w:pPr>
        <w:spacing w:before="43"/>
        <w:ind w:left="0" w:right="38" w:firstLine="0"/>
        <w:jc w:val="right"/>
        <w:rPr>
          <w:b/>
          <w:sz w:val="21"/>
        </w:rPr>
      </w:pPr>
      <w:r>
        <w:rPr>
          <w:b/>
          <w:spacing w:val="-2"/>
          <w:sz w:val="21"/>
        </w:rPr>
        <w:t>窄性心包炎</w:t>
      </w:r>
    </w:p>
    <w:p>
      <w:pPr>
        <w:pStyle w:val="2"/>
        <w:spacing w:before="64" w:line="278" w:lineRule="auto"/>
        <w:ind w:left="194" w:right="708"/>
        <w:jc w:val="both"/>
      </w:pPr>
      <w:r>
        <w:br w:type="column"/>
      </w:r>
      <w:r>
        <w:rPr>
          <w:spacing w:val="-2"/>
        </w:rPr>
        <w:t>由于慢性心包炎症导致心包脏层和壁层广泛瘢痕粘连、增厚和钙化，心包腔闭塞，形成一个纤维瘢痕外壳，使心脏和大血管根部受压，阻碍心脏的舒张。</w:t>
      </w:r>
    </w:p>
    <w:p>
      <w:pPr>
        <w:pStyle w:val="2"/>
        <w:spacing w:line="269" w:lineRule="exact"/>
        <w:ind w:left="194"/>
      </w:pPr>
      <w:r>
        <w:rPr>
          <w:spacing w:val="-3"/>
        </w:rPr>
        <w:t>被保险人被明确诊断为慢性缩窄性心包炎且必须满足以下所有条件：</w:t>
      </w:r>
    </w:p>
    <w:p>
      <w:pPr>
        <w:pStyle w:val="6"/>
        <w:numPr>
          <w:ilvl w:val="0"/>
          <w:numId w:val="38"/>
        </w:numPr>
        <w:tabs>
          <w:tab w:val="left" w:pos="761"/>
        </w:tabs>
        <w:spacing w:before="43" w:after="0" w:line="278" w:lineRule="auto"/>
        <w:ind w:left="760" w:right="730" w:hanging="567"/>
        <w:jc w:val="left"/>
        <w:rPr>
          <w:sz w:val="21"/>
        </w:rPr>
      </w:pPr>
      <w:r>
        <w:rPr>
          <w:spacing w:val="-3"/>
          <w:sz w:val="21"/>
        </w:rPr>
        <w:t xml:space="preserve">新功能衰竭达到美国纽约心脏病学会心功能状态分级 </w:t>
      </w:r>
      <w:r>
        <w:rPr>
          <w:sz w:val="21"/>
        </w:rPr>
        <w:t>IV</w:t>
      </w:r>
      <w:r>
        <w:rPr>
          <w:spacing w:val="-31"/>
          <w:sz w:val="21"/>
        </w:rPr>
        <w:t xml:space="preserve"> 级，并</w:t>
      </w:r>
      <w:r>
        <w:rPr>
          <w:spacing w:val="-8"/>
          <w:sz w:val="21"/>
        </w:rPr>
        <w:t xml:space="preserve">持续 </w:t>
      </w:r>
      <w:r>
        <w:rPr>
          <w:sz w:val="21"/>
        </w:rPr>
        <w:t>180</w:t>
      </w:r>
      <w:r>
        <w:rPr>
          <w:spacing w:val="-5"/>
          <w:sz w:val="21"/>
        </w:rPr>
        <w:t xml:space="preserve"> 天以上；</w:t>
      </w:r>
    </w:p>
    <w:p>
      <w:pPr>
        <w:pStyle w:val="6"/>
        <w:numPr>
          <w:ilvl w:val="0"/>
          <w:numId w:val="38"/>
        </w:numPr>
        <w:tabs>
          <w:tab w:val="left" w:pos="761"/>
        </w:tabs>
        <w:spacing w:before="0" w:after="0" w:line="240" w:lineRule="auto"/>
        <w:ind w:left="760" w:right="0" w:hanging="567"/>
        <w:jc w:val="left"/>
        <w:rPr>
          <w:sz w:val="21"/>
        </w:rPr>
      </w:pPr>
      <w:r>
        <w:rPr>
          <w:spacing w:val="-3"/>
          <w:sz w:val="21"/>
        </w:rPr>
        <w:t>实际实施了以下任何一种手术路径的心包剥脱或心包切除手</w:t>
      </w:r>
    </w:p>
    <w:p>
      <w:pPr>
        <w:spacing w:after="0" w:line="240" w:lineRule="auto"/>
        <w:jc w:val="left"/>
        <w:rPr>
          <w:sz w:val="21"/>
        </w:rPr>
        <w:sectPr>
          <w:type w:val="continuous"/>
          <w:pgSz w:w="11910" w:h="16840"/>
          <w:pgMar w:top="260" w:right="1080" w:bottom="1320" w:left="1580" w:header="0" w:footer="1137" w:gutter="0"/>
          <w:cols w:equalWidth="0" w:num="2">
            <w:col w:w="1857" w:space="179"/>
            <w:col w:w="7214"/>
          </w:cols>
        </w:sectPr>
      </w:pPr>
    </w:p>
    <w:p>
      <w:pPr>
        <w:pStyle w:val="2"/>
        <w:spacing w:before="44" w:after="29" w:line="278" w:lineRule="auto"/>
        <w:ind w:left="2796" w:right="771"/>
      </w:pPr>
      <w:r>
        <w:rPr>
          <w:spacing w:val="-2"/>
        </w:rPr>
        <w:t>术；手术路径：胸骨正中切口；双侧前胸切口；左前胸肋间切</w:t>
      </w:r>
      <w:r>
        <w:rPr>
          <w:spacing w:val="-6"/>
        </w:rPr>
        <w:t>口。</w:t>
      </w:r>
    </w:p>
    <w:tbl>
      <w:tblPr>
        <w:tblStyle w:val="3"/>
        <w:tblW w:w="0" w:type="auto"/>
        <w:tblInd w:w="1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92"/>
        <w:gridCol w:w="1388"/>
        <w:gridCol w:w="66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1"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647" w:type="dxa"/>
          </w:tcPr>
          <w:p>
            <w:pPr>
              <w:pStyle w:val="7"/>
              <w:spacing w:line="241" w:lineRule="exact"/>
              <w:ind w:left="205"/>
              <w:rPr>
                <w:rFonts w:hint="eastAsia" w:ascii="黑体" w:eastAsia="黑体"/>
                <w:b/>
                <w:sz w:val="21"/>
              </w:rPr>
            </w:pPr>
            <w:r>
              <w:rPr>
                <w:rFonts w:hint="eastAsia" w:ascii="黑体" w:eastAsia="黑体"/>
                <w:b/>
                <w:spacing w:val="-16"/>
                <w:sz w:val="21"/>
              </w:rPr>
              <w:t>经胸腔镜、胸壁打孔进行的手术、心包粘连松解手术不在保障范围内。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72" w:hRule="atLeast"/>
        </w:trPr>
        <w:tc>
          <w:tcPr>
            <w:tcW w:w="492" w:type="dxa"/>
          </w:tcPr>
          <w:p>
            <w:pPr>
              <w:pStyle w:val="7"/>
              <w:spacing w:before="173"/>
              <w:ind w:left="50"/>
              <w:rPr>
                <w:sz w:val="21"/>
              </w:rPr>
            </w:pPr>
            <w:r>
              <w:rPr>
                <w:spacing w:val="-5"/>
                <w:sz w:val="21"/>
              </w:rPr>
              <w:t>73.</w:t>
            </w:r>
          </w:p>
        </w:tc>
        <w:tc>
          <w:tcPr>
            <w:tcW w:w="1388" w:type="dxa"/>
          </w:tcPr>
          <w:p>
            <w:pPr>
              <w:pStyle w:val="7"/>
              <w:spacing w:before="173"/>
              <w:ind w:left="124"/>
              <w:rPr>
                <w:b/>
                <w:sz w:val="21"/>
              </w:rPr>
            </w:pPr>
            <w:r>
              <w:rPr>
                <w:b/>
                <w:spacing w:val="-2"/>
                <w:sz w:val="21"/>
              </w:rPr>
              <w:t>神经白塞病</w:t>
            </w:r>
          </w:p>
        </w:tc>
        <w:tc>
          <w:tcPr>
            <w:tcW w:w="6647" w:type="dxa"/>
          </w:tcPr>
          <w:p>
            <w:pPr>
              <w:pStyle w:val="7"/>
              <w:spacing w:before="173"/>
              <w:ind w:left="205"/>
              <w:rPr>
                <w:sz w:val="21"/>
              </w:rPr>
            </w:pPr>
            <w:r>
              <w:rPr>
                <w:spacing w:val="-5"/>
                <w:sz w:val="21"/>
              </w:rPr>
              <w:t>白塞病是一种慢性全身性血管炎症性疾病，主要表现为复发性口腔溃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647" w:type="dxa"/>
          </w:tcPr>
          <w:p>
            <w:pPr>
              <w:pStyle w:val="7"/>
              <w:spacing w:before="13"/>
              <w:ind w:left="205"/>
              <w:rPr>
                <w:sz w:val="21"/>
              </w:rPr>
            </w:pPr>
            <w:r>
              <w:rPr>
                <w:spacing w:val="-5"/>
                <w:sz w:val="21"/>
              </w:rPr>
              <w:t>疡、生殖器溃疡、眼炎及皮肤损害，并可累及大血管、神经系统、消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647" w:type="dxa"/>
          </w:tcPr>
          <w:p>
            <w:pPr>
              <w:pStyle w:val="7"/>
              <w:spacing w:before="13"/>
              <w:ind w:left="205"/>
              <w:rPr>
                <w:sz w:val="21"/>
              </w:rPr>
            </w:pPr>
            <w:r>
              <w:rPr>
                <w:spacing w:val="-5"/>
                <w:sz w:val="21"/>
              </w:rPr>
              <w:t>化道、肺、肾等等。累及神经系统损害的白塞病称为神经白塞病。神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647" w:type="dxa"/>
          </w:tcPr>
          <w:p>
            <w:pPr>
              <w:pStyle w:val="7"/>
              <w:spacing w:before="13"/>
              <w:ind w:left="205"/>
              <w:rPr>
                <w:sz w:val="21"/>
              </w:rPr>
            </w:pPr>
            <w:r>
              <w:rPr>
                <w:spacing w:val="-5"/>
                <w:sz w:val="21"/>
              </w:rPr>
              <w:t>经白塞病必须明确诊断，并且已经造成自主生活能力部分丧失，无法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65"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647" w:type="dxa"/>
          </w:tcPr>
          <w:p>
            <w:pPr>
              <w:pStyle w:val="7"/>
              <w:spacing w:before="13"/>
              <w:ind w:left="205"/>
              <w:rPr>
                <w:sz w:val="21"/>
              </w:rPr>
            </w:pPr>
            <w:r>
              <w:rPr>
                <w:spacing w:val="-3"/>
                <w:sz w:val="21"/>
              </w:rPr>
              <w:t>独立完成六项基本日常生活活动中的三项或三项以上。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721" w:hRule="atLeast"/>
        </w:trPr>
        <w:tc>
          <w:tcPr>
            <w:tcW w:w="492" w:type="dxa"/>
          </w:tcPr>
          <w:p>
            <w:pPr>
              <w:pStyle w:val="7"/>
              <w:spacing w:before="172"/>
              <w:ind w:left="50"/>
              <w:rPr>
                <w:sz w:val="21"/>
              </w:rPr>
            </w:pPr>
            <w:r>
              <w:rPr>
                <w:spacing w:val="-5"/>
                <w:sz w:val="21"/>
              </w:rPr>
              <w:t>74.</w:t>
            </w:r>
          </w:p>
        </w:tc>
        <w:tc>
          <w:tcPr>
            <w:tcW w:w="1388" w:type="dxa"/>
          </w:tcPr>
          <w:p>
            <w:pPr>
              <w:pStyle w:val="7"/>
              <w:spacing w:before="172"/>
              <w:ind w:left="124"/>
              <w:rPr>
                <w:b/>
                <w:sz w:val="21"/>
              </w:rPr>
            </w:pPr>
            <w:r>
              <w:rPr>
                <w:b/>
                <w:spacing w:val="-2"/>
                <w:sz w:val="21"/>
              </w:rPr>
              <w:t>脊髓空洞症</w:t>
            </w:r>
          </w:p>
        </w:tc>
        <w:tc>
          <w:tcPr>
            <w:tcW w:w="6647" w:type="dxa"/>
          </w:tcPr>
          <w:p>
            <w:pPr>
              <w:pStyle w:val="7"/>
              <w:spacing w:before="164" w:line="266" w:lineRule="auto"/>
              <w:ind w:left="205" w:right="152"/>
              <w:jc w:val="both"/>
              <w:rPr>
                <w:sz w:val="22"/>
              </w:rPr>
            </w:pPr>
            <w:r>
              <w:rPr>
                <w:spacing w:val="-7"/>
                <w:sz w:val="22"/>
              </w:rPr>
              <w:t>脊髓空洞症为慢性进行性的脊髓变性性疾病，其特征为脊髓内空洞</w:t>
            </w:r>
            <w:r>
              <w:rPr>
                <w:spacing w:val="-4"/>
                <w:sz w:val="22"/>
              </w:rPr>
              <w:t>形成。表现为感觉异常、肌萎缩及神经营养障碍。脊髓空洞症累及</w:t>
            </w:r>
            <w:r>
              <w:rPr>
                <w:spacing w:val="-10"/>
                <w:sz w:val="22"/>
              </w:rPr>
              <w:t xml:space="preserve">延髓称为延髓空洞症，表现为延髓麻痹。脊髓空洞症必须明确诊断并且造成永久不可逆的神经系统功能障碍，存在持续至少 </w:t>
            </w:r>
            <w:r>
              <w:rPr>
                <w:spacing w:val="-2"/>
                <w:sz w:val="22"/>
              </w:rPr>
              <w:t>180</w:t>
            </w:r>
            <w:r>
              <w:rPr>
                <w:spacing w:val="-17"/>
                <w:sz w:val="22"/>
              </w:rPr>
              <w:t xml:space="preserve"> 天以</w:t>
            </w:r>
          </w:p>
          <w:p>
            <w:pPr>
              <w:pStyle w:val="7"/>
              <w:spacing w:line="279" w:lineRule="exact"/>
              <w:ind w:left="205"/>
              <w:rPr>
                <w:sz w:val="22"/>
              </w:rPr>
            </w:pPr>
            <w:r>
              <w:rPr>
                <w:spacing w:val="-3"/>
                <w:sz w:val="22"/>
              </w:rPr>
              <w:t>上的神经系统功能缺失并满足下列任一条件：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9"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647" w:type="dxa"/>
          </w:tcPr>
          <w:p>
            <w:pPr>
              <w:pStyle w:val="7"/>
              <w:spacing w:before="11"/>
              <w:ind w:left="205"/>
              <w:rPr>
                <w:sz w:val="21"/>
              </w:rPr>
            </w:pPr>
            <w:r>
              <w:rPr>
                <w:spacing w:val="-2"/>
                <w:sz w:val="21"/>
              </w:rPr>
              <w:t>（1）</w:t>
            </w:r>
            <w:r>
              <w:rPr>
                <w:spacing w:val="-10"/>
                <w:sz w:val="21"/>
              </w:rPr>
              <w:t xml:space="preserve"> 延髓麻痹呈现显著舌肌萎缩、构音困难和吞咽困难；或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5"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647" w:type="dxa"/>
          </w:tcPr>
          <w:p>
            <w:pPr>
              <w:pStyle w:val="7"/>
              <w:spacing w:before="13"/>
              <w:ind w:left="205"/>
              <w:rPr>
                <w:sz w:val="21"/>
              </w:rPr>
            </w:pPr>
            <w:r>
              <w:rPr>
                <w:spacing w:val="-2"/>
                <w:sz w:val="21"/>
              </w:rPr>
              <w:t>（2）</w:t>
            </w:r>
            <w:r>
              <w:rPr>
                <w:spacing w:val="-19"/>
                <w:sz w:val="21"/>
              </w:rPr>
              <w:t xml:space="preserve"> 双手萎缩呈“爪形手”，肌力 </w:t>
            </w:r>
            <w:r>
              <w:rPr>
                <w:spacing w:val="-2"/>
                <w:sz w:val="21"/>
              </w:rPr>
              <w:t>2</w:t>
            </w:r>
            <w:r>
              <w:rPr>
                <w:spacing w:val="-12"/>
                <w:sz w:val="21"/>
              </w:rPr>
              <w:t xml:space="preserve"> 级或以下。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4" w:hRule="atLeast"/>
        </w:trPr>
        <w:tc>
          <w:tcPr>
            <w:tcW w:w="492" w:type="dxa"/>
          </w:tcPr>
          <w:p>
            <w:pPr>
              <w:pStyle w:val="7"/>
              <w:spacing w:before="172"/>
              <w:ind w:left="50"/>
              <w:rPr>
                <w:sz w:val="21"/>
              </w:rPr>
            </w:pPr>
            <w:r>
              <w:rPr>
                <w:spacing w:val="-5"/>
                <w:sz w:val="21"/>
              </w:rPr>
              <w:t>75.</w:t>
            </w:r>
          </w:p>
        </w:tc>
        <w:tc>
          <w:tcPr>
            <w:tcW w:w="1388" w:type="dxa"/>
          </w:tcPr>
          <w:p>
            <w:pPr>
              <w:pStyle w:val="7"/>
              <w:spacing w:before="131" w:line="310" w:lineRule="atLeast"/>
              <w:ind w:left="124" w:right="205"/>
              <w:rPr>
                <w:b/>
                <w:sz w:val="21"/>
              </w:rPr>
            </w:pPr>
            <w:r>
              <w:rPr>
                <w:b/>
                <w:spacing w:val="-2"/>
                <w:sz w:val="21"/>
              </w:rPr>
              <w:t>严重强直性</w:t>
            </w:r>
            <w:r>
              <w:rPr>
                <w:b/>
                <w:spacing w:val="-4"/>
                <w:sz w:val="21"/>
              </w:rPr>
              <w:t>脊柱炎</w:t>
            </w:r>
          </w:p>
        </w:tc>
        <w:tc>
          <w:tcPr>
            <w:tcW w:w="6647" w:type="dxa"/>
          </w:tcPr>
          <w:p>
            <w:pPr>
              <w:pStyle w:val="7"/>
              <w:spacing w:before="136" w:line="310" w:lineRule="atLeast"/>
              <w:ind w:left="205" w:right="155"/>
              <w:rPr>
                <w:sz w:val="22"/>
              </w:rPr>
            </w:pPr>
            <w:r>
              <w:rPr>
                <w:spacing w:val="-4"/>
                <w:sz w:val="22"/>
              </w:rPr>
              <w:t>是一种慢性全身性炎性疾病，主要侵犯脊柱导致脊柱畸形。强直性</w:t>
            </w:r>
            <w:r>
              <w:rPr>
                <w:spacing w:val="-2"/>
                <w:sz w:val="22"/>
              </w:rPr>
              <w:t>脊柱炎必须明确诊断并且满足下列所有条件：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0"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647" w:type="dxa"/>
          </w:tcPr>
          <w:p>
            <w:pPr>
              <w:pStyle w:val="7"/>
              <w:spacing w:before="11"/>
              <w:ind w:left="205"/>
              <w:rPr>
                <w:sz w:val="21"/>
              </w:rPr>
            </w:pPr>
            <w:r>
              <w:rPr>
                <w:spacing w:val="-2"/>
                <w:sz w:val="21"/>
              </w:rPr>
              <w:t>（1）</w:t>
            </w:r>
            <w:r>
              <w:rPr>
                <w:spacing w:val="-11"/>
                <w:sz w:val="21"/>
              </w:rPr>
              <w:t xml:space="preserve"> 严重脊柱畸形；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492" w:type="dxa"/>
          </w:tcPr>
          <w:p>
            <w:pPr>
              <w:pStyle w:val="7"/>
              <w:rPr>
                <w:rFonts w:ascii="Times New Roman"/>
                <w:sz w:val="18"/>
              </w:rPr>
            </w:pPr>
          </w:p>
        </w:tc>
        <w:tc>
          <w:tcPr>
            <w:tcW w:w="1388" w:type="dxa"/>
          </w:tcPr>
          <w:p>
            <w:pPr>
              <w:pStyle w:val="7"/>
              <w:rPr>
                <w:rFonts w:ascii="Times New Roman"/>
                <w:sz w:val="18"/>
              </w:rPr>
            </w:pPr>
          </w:p>
        </w:tc>
        <w:tc>
          <w:tcPr>
            <w:tcW w:w="6647" w:type="dxa"/>
          </w:tcPr>
          <w:p>
            <w:pPr>
              <w:pStyle w:val="7"/>
              <w:spacing w:before="14" w:line="228" w:lineRule="exact"/>
              <w:ind w:left="205"/>
              <w:rPr>
                <w:sz w:val="21"/>
              </w:rPr>
            </w:pPr>
            <w:r>
              <w:rPr>
                <w:spacing w:val="-2"/>
                <w:sz w:val="21"/>
              </w:rPr>
              <w:t>（2）</w:t>
            </w:r>
            <w:r>
              <w:rPr>
                <w:spacing w:val="-10"/>
                <w:sz w:val="21"/>
              </w:rPr>
              <w:t xml:space="preserve"> 自主生活能力完全丧失，无法独立完成六项基本日常生活活动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647" w:type="dxa"/>
          </w:tcPr>
          <w:p>
            <w:pPr>
              <w:pStyle w:val="7"/>
              <w:spacing w:before="64" w:line="228" w:lineRule="exact"/>
              <w:ind w:left="772"/>
              <w:rPr>
                <w:sz w:val="21"/>
              </w:rPr>
            </w:pPr>
            <w:r>
              <w:rPr>
                <w:spacing w:val="-3"/>
                <w:sz w:val="21"/>
              </w:rPr>
              <w:t>中的三项或三项以上。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4" w:hRule="atLeast"/>
        </w:trPr>
        <w:tc>
          <w:tcPr>
            <w:tcW w:w="492" w:type="dxa"/>
          </w:tcPr>
          <w:p>
            <w:pPr>
              <w:pStyle w:val="7"/>
              <w:spacing w:before="4"/>
              <w:rPr>
                <w:sz w:val="29"/>
              </w:rPr>
            </w:pPr>
          </w:p>
          <w:p>
            <w:pPr>
              <w:pStyle w:val="7"/>
              <w:ind w:left="50"/>
              <w:rPr>
                <w:sz w:val="21"/>
              </w:rPr>
            </w:pPr>
            <w:r>
              <w:rPr>
                <w:spacing w:val="-5"/>
                <w:sz w:val="21"/>
              </w:rPr>
              <w:t>76.</w:t>
            </w:r>
          </w:p>
        </w:tc>
        <w:tc>
          <w:tcPr>
            <w:tcW w:w="1388" w:type="dxa"/>
          </w:tcPr>
          <w:p>
            <w:pPr>
              <w:pStyle w:val="7"/>
              <w:spacing w:before="4"/>
              <w:rPr>
                <w:sz w:val="29"/>
              </w:rPr>
            </w:pPr>
          </w:p>
          <w:p>
            <w:pPr>
              <w:pStyle w:val="7"/>
              <w:ind w:left="124"/>
              <w:rPr>
                <w:b/>
                <w:sz w:val="21"/>
              </w:rPr>
            </w:pPr>
            <w:r>
              <w:rPr>
                <w:b/>
                <w:spacing w:val="-2"/>
                <w:sz w:val="21"/>
              </w:rPr>
              <w:t>肌萎缩脊髓</w:t>
            </w:r>
          </w:p>
        </w:tc>
        <w:tc>
          <w:tcPr>
            <w:tcW w:w="6647" w:type="dxa"/>
          </w:tcPr>
          <w:p>
            <w:pPr>
              <w:pStyle w:val="7"/>
              <w:spacing w:before="4"/>
              <w:rPr>
                <w:sz w:val="29"/>
              </w:rPr>
            </w:pPr>
          </w:p>
          <w:p>
            <w:pPr>
              <w:pStyle w:val="7"/>
              <w:ind w:left="205"/>
              <w:rPr>
                <w:sz w:val="21"/>
              </w:rPr>
            </w:pPr>
            <w:r>
              <w:rPr>
                <w:spacing w:val="-5"/>
                <w:sz w:val="21"/>
              </w:rPr>
              <w:t>以肌肉无力及萎缩为特征，并有以下情况作为证明：脊髓前角细胞功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spacing w:before="13"/>
              <w:ind w:left="124"/>
              <w:rPr>
                <w:b/>
                <w:sz w:val="21"/>
              </w:rPr>
            </w:pPr>
            <w:r>
              <w:rPr>
                <w:b/>
                <w:spacing w:val="-2"/>
                <w:sz w:val="21"/>
              </w:rPr>
              <w:t>侧索硬化后</w:t>
            </w:r>
          </w:p>
        </w:tc>
        <w:tc>
          <w:tcPr>
            <w:tcW w:w="6647" w:type="dxa"/>
          </w:tcPr>
          <w:p>
            <w:pPr>
              <w:pStyle w:val="7"/>
              <w:spacing w:before="13"/>
              <w:ind w:left="205"/>
              <w:rPr>
                <w:sz w:val="21"/>
              </w:rPr>
            </w:pPr>
            <w:r>
              <w:rPr>
                <w:spacing w:val="-5"/>
                <w:sz w:val="21"/>
              </w:rPr>
              <w:t>能失调、可见的肌肉颤动、痉挛、过度活跃之深层肌腱反射和外部足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spacing w:before="13"/>
              <w:ind w:left="124"/>
              <w:rPr>
                <w:b/>
                <w:sz w:val="21"/>
              </w:rPr>
            </w:pPr>
            <w:r>
              <w:rPr>
                <w:b/>
                <w:spacing w:val="-5"/>
                <w:sz w:val="21"/>
              </w:rPr>
              <w:t>遗症</w:t>
            </w:r>
          </w:p>
        </w:tc>
        <w:tc>
          <w:tcPr>
            <w:tcW w:w="6647" w:type="dxa"/>
          </w:tcPr>
          <w:p>
            <w:pPr>
              <w:pStyle w:val="7"/>
              <w:spacing w:before="13"/>
              <w:ind w:left="205"/>
              <w:rPr>
                <w:sz w:val="21"/>
              </w:rPr>
            </w:pPr>
            <w:r>
              <w:rPr>
                <w:spacing w:val="-5"/>
                <w:sz w:val="21"/>
              </w:rPr>
              <w:t>底反射、影响皮质脊髓束、构音障碍及吞咽困难。必须由我们认可的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647" w:type="dxa"/>
          </w:tcPr>
          <w:p>
            <w:pPr>
              <w:pStyle w:val="7"/>
              <w:spacing w:before="13"/>
              <w:ind w:left="205"/>
              <w:rPr>
                <w:sz w:val="21"/>
              </w:rPr>
            </w:pPr>
            <w:r>
              <w:rPr>
                <w:spacing w:val="-2"/>
                <w:sz w:val="21"/>
              </w:rPr>
              <w:t>医院专科医生以适当的神经肌肉检查如肌电图（EMG）</w:t>
            </w:r>
            <w:r>
              <w:rPr>
                <w:spacing w:val="-4"/>
                <w:sz w:val="21"/>
              </w:rPr>
              <w:t>证实。本疾病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647" w:type="dxa"/>
          </w:tcPr>
          <w:p>
            <w:pPr>
              <w:pStyle w:val="7"/>
              <w:spacing w:before="13"/>
              <w:ind w:left="205"/>
              <w:rPr>
                <w:sz w:val="21"/>
              </w:rPr>
            </w:pPr>
            <w:r>
              <w:rPr>
                <w:spacing w:val="-4"/>
                <w:sz w:val="21"/>
              </w:rPr>
              <w:t>必须导致严重的生理功能损坏（</w:t>
            </w:r>
            <w:r>
              <w:rPr>
                <w:spacing w:val="-5"/>
                <w:sz w:val="21"/>
              </w:rPr>
              <w:t>由被保险人永久性无法独立完成最少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647" w:type="dxa"/>
          </w:tcPr>
          <w:p>
            <w:pPr>
              <w:pStyle w:val="7"/>
              <w:spacing w:before="13"/>
              <w:ind w:left="205"/>
              <w:rPr>
                <w:sz w:val="21"/>
              </w:rPr>
            </w:pPr>
            <w:r>
              <w:rPr>
                <w:spacing w:val="-2"/>
                <w:sz w:val="21"/>
              </w:rPr>
              <w:t>3</w:t>
            </w:r>
            <w:r>
              <w:rPr>
                <w:spacing w:val="-9"/>
                <w:sz w:val="21"/>
              </w:rPr>
              <w:t xml:space="preserve"> 项基本日常生活活动作为证明</w:t>
            </w:r>
            <w:r>
              <w:rPr>
                <w:spacing w:val="-106"/>
                <w:sz w:val="21"/>
              </w:rPr>
              <w:t>）</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492" w:type="dxa"/>
          </w:tcPr>
          <w:p>
            <w:pPr>
              <w:pStyle w:val="7"/>
              <w:spacing w:before="169"/>
              <w:ind w:left="50"/>
              <w:rPr>
                <w:sz w:val="21"/>
              </w:rPr>
            </w:pPr>
            <w:r>
              <w:rPr>
                <w:spacing w:val="-5"/>
                <w:sz w:val="21"/>
              </w:rPr>
              <w:t>77.</w:t>
            </w:r>
          </w:p>
        </w:tc>
        <w:tc>
          <w:tcPr>
            <w:tcW w:w="1388" w:type="dxa"/>
          </w:tcPr>
          <w:p>
            <w:pPr>
              <w:pStyle w:val="7"/>
              <w:spacing w:before="169"/>
              <w:ind w:left="124"/>
              <w:rPr>
                <w:b/>
                <w:sz w:val="21"/>
              </w:rPr>
            </w:pPr>
            <w:r>
              <w:rPr>
                <w:b/>
                <w:spacing w:val="-2"/>
                <w:sz w:val="21"/>
              </w:rPr>
              <w:t>严重结核性</w:t>
            </w:r>
          </w:p>
        </w:tc>
        <w:tc>
          <w:tcPr>
            <w:tcW w:w="6647" w:type="dxa"/>
          </w:tcPr>
          <w:p>
            <w:pPr>
              <w:pStyle w:val="7"/>
              <w:spacing w:before="169"/>
              <w:ind w:left="205"/>
              <w:rPr>
                <w:sz w:val="21"/>
              </w:rPr>
            </w:pPr>
            <w:r>
              <w:rPr>
                <w:spacing w:val="-5"/>
                <w:sz w:val="21"/>
              </w:rPr>
              <w:t>由结核杆菌引起的脑膜和脊膜的非化脓性炎症性疾病。需满足以下全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spacing w:before="14"/>
              <w:ind w:left="124"/>
              <w:rPr>
                <w:b/>
                <w:sz w:val="21"/>
              </w:rPr>
            </w:pPr>
            <w:r>
              <w:rPr>
                <w:b/>
                <w:spacing w:val="-4"/>
                <w:sz w:val="21"/>
              </w:rPr>
              <w:t>脑膜炎</w:t>
            </w:r>
          </w:p>
        </w:tc>
        <w:tc>
          <w:tcPr>
            <w:tcW w:w="6647" w:type="dxa"/>
          </w:tcPr>
          <w:p>
            <w:pPr>
              <w:pStyle w:val="7"/>
              <w:spacing w:before="14"/>
              <w:ind w:left="205"/>
              <w:rPr>
                <w:sz w:val="21"/>
              </w:rPr>
            </w:pPr>
            <w:r>
              <w:rPr>
                <w:spacing w:val="-4"/>
                <w:sz w:val="21"/>
              </w:rPr>
              <w:t>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647" w:type="dxa"/>
          </w:tcPr>
          <w:p>
            <w:pPr>
              <w:pStyle w:val="7"/>
              <w:spacing w:before="13"/>
              <w:ind w:left="205"/>
              <w:rPr>
                <w:sz w:val="21"/>
              </w:rPr>
            </w:pPr>
            <w:r>
              <w:rPr>
                <w:spacing w:val="-2"/>
                <w:sz w:val="21"/>
              </w:rPr>
              <w:t>（1）</w:t>
            </w:r>
            <w:r>
              <w:rPr>
                <w:spacing w:val="-10"/>
                <w:sz w:val="21"/>
              </w:rPr>
              <w:t xml:space="preserve"> 出现颅内压明显增高，表现头痛、呕吐和视乳头水肿；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647" w:type="dxa"/>
          </w:tcPr>
          <w:p>
            <w:pPr>
              <w:pStyle w:val="7"/>
              <w:spacing w:before="13"/>
              <w:ind w:left="205"/>
              <w:rPr>
                <w:sz w:val="21"/>
              </w:rPr>
            </w:pPr>
            <w:r>
              <w:rPr>
                <w:spacing w:val="-2"/>
                <w:sz w:val="21"/>
              </w:rPr>
              <w:t>（2）</w:t>
            </w:r>
            <w:r>
              <w:rPr>
                <w:spacing w:val="-10"/>
                <w:sz w:val="21"/>
              </w:rPr>
              <w:t xml:space="preserve"> 出现部分性、全身性癫痫发作或癫痫持续状态；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647" w:type="dxa"/>
          </w:tcPr>
          <w:p>
            <w:pPr>
              <w:pStyle w:val="7"/>
              <w:spacing w:before="13"/>
              <w:ind w:left="205"/>
              <w:rPr>
                <w:sz w:val="21"/>
              </w:rPr>
            </w:pPr>
            <w:r>
              <w:rPr>
                <w:spacing w:val="-2"/>
                <w:sz w:val="21"/>
              </w:rPr>
              <w:t>（3）</w:t>
            </w:r>
            <w:r>
              <w:rPr>
                <w:spacing w:val="-10"/>
                <w:sz w:val="21"/>
              </w:rPr>
              <w:t xml:space="preserve"> 昏睡或意识模糊；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647" w:type="dxa"/>
          </w:tcPr>
          <w:p>
            <w:pPr>
              <w:pStyle w:val="7"/>
              <w:spacing w:before="13"/>
              <w:ind w:left="205"/>
              <w:rPr>
                <w:sz w:val="21"/>
              </w:rPr>
            </w:pPr>
            <w:r>
              <w:rPr>
                <w:spacing w:val="-2"/>
                <w:sz w:val="21"/>
              </w:rPr>
              <w:t>（4）</w:t>
            </w:r>
            <w:r>
              <w:rPr>
                <w:spacing w:val="-10"/>
                <w:sz w:val="21"/>
              </w:rPr>
              <w:t xml:space="preserve"> 视力减退、复视和面神经麻痹。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492" w:type="dxa"/>
          </w:tcPr>
          <w:p>
            <w:pPr>
              <w:pStyle w:val="7"/>
              <w:spacing w:before="169"/>
              <w:ind w:left="50"/>
              <w:rPr>
                <w:sz w:val="21"/>
              </w:rPr>
            </w:pPr>
            <w:r>
              <w:rPr>
                <w:spacing w:val="-5"/>
                <w:sz w:val="21"/>
              </w:rPr>
              <w:t>78.</w:t>
            </w:r>
          </w:p>
        </w:tc>
        <w:tc>
          <w:tcPr>
            <w:tcW w:w="1388" w:type="dxa"/>
          </w:tcPr>
          <w:p>
            <w:pPr>
              <w:pStyle w:val="7"/>
              <w:spacing w:before="169"/>
              <w:ind w:left="124"/>
              <w:rPr>
                <w:b/>
                <w:sz w:val="21"/>
              </w:rPr>
            </w:pPr>
            <w:r>
              <w:rPr>
                <w:b/>
                <w:spacing w:val="-2"/>
                <w:sz w:val="21"/>
              </w:rPr>
              <w:t>严重肠道疾</w:t>
            </w:r>
          </w:p>
        </w:tc>
        <w:tc>
          <w:tcPr>
            <w:tcW w:w="6647" w:type="dxa"/>
          </w:tcPr>
          <w:p>
            <w:pPr>
              <w:pStyle w:val="7"/>
              <w:spacing w:before="169"/>
              <w:ind w:left="205"/>
              <w:rPr>
                <w:sz w:val="21"/>
              </w:rPr>
            </w:pPr>
            <w:r>
              <w:rPr>
                <w:spacing w:val="-5"/>
                <w:sz w:val="21"/>
              </w:rPr>
              <w:t>严重肠道疾病或外伤导致小肠损害并发症，本疾病须满足以下所有条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492" w:type="dxa"/>
          </w:tcPr>
          <w:p>
            <w:pPr>
              <w:pStyle w:val="7"/>
              <w:rPr>
                <w:rFonts w:ascii="Times New Roman"/>
                <w:sz w:val="20"/>
              </w:rPr>
            </w:pPr>
          </w:p>
        </w:tc>
        <w:tc>
          <w:tcPr>
            <w:tcW w:w="1388" w:type="dxa"/>
          </w:tcPr>
          <w:p>
            <w:pPr>
              <w:pStyle w:val="7"/>
              <w:spacing w:before="13"/>
              <w:ind w:left="124"/>
              <w:rPr>
                <w:b/>
                <w:sz w:val="21"/>
              </w:rPr>
            </w:pPr>
            <w:r>
              <w:rPr>
                <w:b/>
                <w:spacing w:val="-3"/>
                <w:sz w:val="21"/>
              </w:rPr>
              <w:t>病并发症</w:t>
            </w:r>
          </w:p>
        </w:tc>
        <w:tc>
          <w:tcPr>
            <w:tcW w:w="6647" w:type="dxa"/>
          </w:tcPr>
          <w:p>
            <w:pPr>
              <w:pStyle w:val="7"/>
              <w:spacing w:before="13"/>
              <w:ind w:left="205"/>
              <w:rPr>
                <w:sz w:val="21"/>
              </w:rPr>
            </w:pPr>
            <w:r>
              <w:rPr>
                <w:spacing w:val="-5"/>
                <w:sz w:val="21"/>
              </w:rPr>
              <w:t>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647" w:type="dxa"/>
          </w:tcPr>
          <w:p>
            <w:pPr>
              <w:pStyle w:val="7"/>
              <w:spacing w:before="13"/>
              <w:ind w:left="205"/>
              <w:rPr>
                <w:sz w:val="21"/>
              </w:rPr>
            </w:pPr>
            <w:r>
              <w:rPr>
                <w:spacing w:val="-2"/>
                <w:sz w:val="21"/>
              </w:rPr>
              <w:t>（1）</w:t>
            </w:r>
            <w:r>
              <w:rPr>
                <w:spacing w:val="-10"/>
                <w:sz w:val="21"/>
              </w:rPr>
              <w:t xml:space="preserve"> 至少切除了三分之二小肠；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647" w:type="dxa"/>
          </w:tcPr>
          <w:p>
            <w:pPr>
              <w:pStyle w:val="7"/>
              <w:spacing w:before="13"/>
              <w:ind w:left="205"/>
              <w:rPr>
                <w:sz w:val="21"/>
              </w:rPr>
            </w:pPr>
            <w:r>
              <w:rPr>
                <w:spacing w:val="-2"/>
                <w:sz w:val="21"/>
              </w:rPr>
              <w:t>（2）</w:t>
            </w:r>
            <w:r>
              <w:rPr>
                <w:spacing w:val="-10"/>
                <w:sz w:val="21"/>
              </w:rPr>
              <w:t xml:space="preserve"> 完全肠外营养支持三个月以上。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7" w:hRule="atLeast"/>
        </w:trPr>
        <w:tc>
          <w:tcPr>
            <w:tcW w:w="492" w:type="dxa"/>
          </w:tcPr>
          <w:p>
            <w:pPr>
              <w:pStyle w:val="7"/>
              <w:spacing w:before="170" w:line="228" w:lineRule="exact"/>
              <w:ind w:left="50"/>
              <w:rPr>
                <w:sz w:val="21"/>
              </w:rPr>
            </w:pPr>
            <w:r>
              <w:rPr>
                <w:spacing w:val="-5"/>
                <w:sz w:val="21"/>
              </w:rPr>
              <w:t>79.</w:t>
            </w:r>
          </w:p>
        </w:tc>
        <w:tc>
          <w:tcPr>
            <w:tcW w:w="1388" w:type="dxa"/>
          </w:tcPr>
          <w:p>
            <w:pPr>
              <w:pStyle w:val="7"/>
              <w:spacing w:before="170" w:line="228" w:lineRule="exact"/>
              <w:ind w:left="124"/>
              <w:rPr>
                <w:b/>
                <w:sz w:val="21"/>
              </w:rPr>
            </w:pPr>
            <w:r>
              <w:rPr>
                <w:b/>
                <w:spacing w:val="-2"/>
                <w:sz w:val="21"/>
              </w:rPr>
              <w:t>瑞氏综合征</w:t>
            </w:r>
          </w:p>
        </w:tc>
        <w:tc>
          <w:tcPr>
            <w:tcW w:w="6647" w:type="dxa"/>
          </w:tcPr>
          <w:p>
            <w:pPr>
              <w:pStyle w:val="7"/>
              <w:spacing w:before="170" w:line="228" w:lineRule="exact"/>
              <w:ind w:left="205"/>
              <w:rPr>
                <w:sz w:val="21"/>
              </w:rPr>
            </w:pPr>
            <w:r>
              <w:rPr>
                <w:spacing w:val="-5"/>
                <w:sz w:val="21"/>
              </w:rPr>
              <w:t>瑞氏综合征是线粒体功能障碍性疾病。导致脂肪代谢障碍，引起短链</w:t>
            </w:r>
          </w:p>
        </w:tc>
      </w:tr>
    </w:tbl>
    <w:p>
      <w:pPr>
        <w:spacing w:after="0" w:line="228" w:lineRule="exact"/>
        <w:rPr>
          <w:sz w:val="21"/>
        </w:rPr>
        <w:sectPr>
          <w:pgSz w:w="11910" w:h="16840"/>
          <w:pgMar w:top="1400" w:right="1080" w:bottom="1320" w:left="1580" w:header="0" w:footer="1137" w:gutter="0"/>
          <w:cols w:space="720" w:num="1"/>
        </w:sectPr>
      </w:pPr>
    </w:p>
    <w:p>
      <w:pPr>
        <w:pStyle w:val="2"/>
        <w:spacing w:before="44" w:line="278" w:lineRule="auto"/>
        <w:ind w:left="2229" w:right="732"/>
      </w:pPr>
      <w:r>
        <w:rPr>
          <w:spacing w:val="-2"/>
        </w:rPr>
        <w:t>脂肪酸、血氨升高，造成脑水肿。主要临床表现为急性发热、反复呕吐、惊厥及意识障碍等等。</w:t>
      </w:r>
    </w:p>
    <w:p>
      <w:pPr>
        <w:pStyle w:val="2"/>
        <w:spacing w:line="278" w:lineRule="auto"/>
        <w:ind w:left="2229" w:right="730"/>
      </w:pPr>
      <w:r>
        <w:rPr>
          <w:spacing w:val="-2"/>
        </w:rPr>
        <w:t>肝脏活检是确诊的重要手段。瑞氏综合征需由三级医院的儿科专科医生确诊，并符合下列所有条件：</w:t>
      </w:r>
    </w:p>
    <w:p>
      <w:pPr>
        <w:pStyle w:val="6"/>
        <w:numPr>
          <w:ilvl w:val="1"/>
          <w:numId w:val="38"/>
        </w:numPr>
        <w:tabs>
          <w:tab w:val="left" w:pos="2797"/>
        </w:tabs>
        <w:spacing w:before="0" w:after="0" w:line="269" w:lineRule="exact"/>
        <w:ind w:left="2796" w:right="0" w:hanging="568"/>
        <w:jc w:val="left"/>
        <w:rPr>
          <w:sz w:val="21"/>
        </w:rPr>
      </w:pPr>
      <w:r>
        <w:rPr>
          <w:spacing w:val="-3"/>
          <w:sz w:val="21"/>
        </w:rPr>
        <w:t>有脑水肿和颅内压升高的脑脊液检查和影像学检查证据；</w:t>
      </w:r>
    </w:p>
    <w:p>
      <w:pPr>
        <w:pStyle w:val="6"/>
        <w:numPr>
          <w:ilvl w:val="1"/>
          <w:numId w:val="38"/>
        </w:numPr>
        <w:tabs>
          <w:tab w:val="left" w:pos="2797"/>
        </w:tabs>
        <w:spacing w:before="43" w:after="0" w:line="240" w:lineRule="auto"/>
        <w:ind w:left="2796" w:right="0" w:hanging="568"/>
        <w:jc w:val="left"/>
        <w:rPr>
          <w:sz w:val="21"/>
        </w:rPr>
      </w:pPr>
      <w:r>
        <w:rPr>
          <w:spacing w:val="-3"/>
          <w:sz w:val="21"/>
        </w:rPr>
        <w:t>提供肝脏活检病理报告；</w:t>
      </w:r>
    </w:p>
    <w:p>
      <w:pPr>
        <w:pStyle w:val="6"/>
        <w:numPr>
          <w:ilvl w:val="1"/>
          <w:numId w:val="38"/>
        </w:numPr>
        <w:tabs>
          <w:tab w:val="left" w:pos="2797"/>
        </w:tabs>
        <w:spacing w:before="43" w:after="0" w:line="240" w:lineRule="auto"/>
        <w:ind w:left="2796" w:right="0" w:hanging="568"/>
        <w:jc w:val="left"/>
        <w:rPr>
          <w:sz w:val="21"/>
        </w:rPr>
      </w:pPr>
      <w:r>
        <w:rPr>
          <w:spacing w:val="-8"/>
          <w:sz w:val="21"/>
        </w:rPr>
        <w:t xml:space="preserve">血氨超过正常值的 </w:t>
      </w:r>
      <w:r>
        <w:rPr>
          <w:spacing w:val="-2"/>
          <w:sz w:val="21"/>
        </w:rPr>
        <w:t>3</w:t>
      </w:r>
      <w:r>
        <w:rPr>
          <w:spacing w:val="-21"/>
          <w:sz w:val="21"/>
        </w:rPr>
        <w:t xml:space="preserve"> 倍；</w:t>
      </w:r>
    </w:p>
    <w:p>
      <w:pPr>
        <w:pStyle w:val="6"/>
        <w:numPr>
          <w:ilvl w:val="1"/>
          <w:numId w:val="38"/>
        </w:numPr>
        <w:tabs>
          <w:tab w:val="left" w:pos="2797"/>
        </w:tabs>
        <w:spacing w:before="43" w:after="0" w:line="240" w:lineRule="auto"/>
        <w:ind w:left="2796" w:right="0" w:hanging="568"/>
        <w:jc w:val="left"/>
        <w:rPr>
          <w:sz w:val="21"/>
        </w:rPr>
      </w:pPr>
      <w:r>
        <w:rPr>
          <w:spacing w:val="-2"/>
          <w:sz w:val="21"/>
        </w:rPr>
        <w:t>临床出现昏迷，病程至少达到疾病分期</w:t>
      </w:r>
      <w:r>
        <w:rPr>
          <w:spacing w:val="-49"/>
          <w:sz w:val="21"/>
        </w:rPr>
        <w:t xml:space="preserve"> </w:t>
      </w:r>
      <w:r>
        <w:rPr>
          <w:spacing w:val="-2"/>
          <w:sz w:val="21"/>
        </w:rPr>
        <w:t>3</w:t>
      </w:r>
      <w:r>
        <w:rPr>
          <w:spacing w:val="-20"/>
          <w:sz w:val="21"/>
        </w:rPr>
        <w:t xml:space="preserve"> 期。</w:t>
      </w:r>
    </w:p>
    <w:p>
      <w:pPr>
        <w:pStyle w:val="2"/>
        <w:spacing w:before="10"/>
        <w:rPr>
          <w:sz w:val="22"/>
        </w:rPr>
      </w:pPr>
    </w:p>
    <w:p>
      <w:pPr>
        <w:spacing w:after="0"/>
        <w:rPr>
          <w:sz w:val="22"/>
        </w:rPr>
        <w:sectPr>
          <w:pgSz w:w="11910" w:h="16840"/>
          <w:pgMar w:top="1400" w:right="1080" w:bottom="1320" w:left="1580" w:header="0" w:footer="1137" w:gutter="0"/>
          <w:cols w:space="720" w:num="1"/>
        </w:sectPr>
      </w:pPr>
    </w:p>
    <w:p>
      <w:pPr>
        <w:spacing w:before="63"/>
        <w:ind w:left="194" w:right="0" w:firstLine="0"/>
        <w:jc w:val="left"/>
        <w:rPr>
          <w:b/>
          <w:sz w:val="21"/>
        </w:rPr>
      </w:pPr>
      <w:r>
        <w:rPr>
          <w:sz w:val="21"/>
        </w:rPr>
        <w:t>80.</w:t>
      </w:r>
      <w:r>
        <w:rPr>
          <w:spacing w:val="91"/>
          <w:w w:val="150"/>
          <w:sz w:val="21"/>
        </w:rPr>
        <w:t xml:space="preserve"> </w:t>
      </w:r>
      <w:r>
        <w:rPr>
          <w:b/>
          <w:spacing w:val="-2"/>
          <w:sz w:val="21"/>
        </w:rPr>
        <w:t>严重骨髓异</w:t>
      </w:r>
    </w:p>
    <w:p>
      <w:pPr>
        <w:spacing w:before="43" w:line="278" w:lineRule="auto"/>
        <w:ind w:left="760" w:right="38" w:firstLine="0"/>
        <w:jc w:val="left"/>
        <w:rPr>
          <w:b/>
          <w:sz w:val="21"/>
        </w:rPr>
      </w:pPr>
      <w:r>
        <w:rPr>
          <w:b/>
          <w:spacing w:val="-2"/>
          <w:sz w:val="21"/>
        </w:rPr>
        <w:t>常增生综合</w:t>
      </w:r>
      <w:r>
        <w:rPr>
          <w:b/>
          <w:spacing w:val="-10"/>
          <w:sz w:val="21"/>
        </w:rPr>
        <w:t>征</w:t>
      </w:r>
    </w:p>
    <w:p>
      <w:pPr>
        <w:pStyle w:val="2"/>
        <w:spacing w:before="63" w:line="278" w:lineRule="auto"/>
        <w:ind w:left="194" w:right="763"/>
      </w:pPr>
      <w:r>
        <w:br w:type="column"/>
      </w:r>
      <w:r>
        <w:t>严重骨髓异常增生综合征是指符合世界卫生组织（WHO）2008</w:t>
      </w:r>
      <w:r>
        <w:rPr>
          <w:spacing w:val="-15"/>
        </w:rPr>
        <w:t xml:space="preserve"> 年分型</w:t>
      </w:r>
      <w:r>
        <w:rPr>
          <w:spacing w:val="-2"/>
        </w:rPr>
        <w:t>方案中的难治性贫血细胞减少伴原始细胞增多-1（RAEB-</w:t>
      </w:r>
      <w:r>
        <w:t>1</w:t>
      </w:r>
      <w:r>
        <w:rPr>
          <w:spacing w:val="-108"/>
        </w:rPr>
        <w:t>）</w:t>
      </w:r>
      <w:r>
        <w:rPr>
          <w:spacing w:val="-2"/>
        </w:rPr>
        <w:t>、难治性贫血细胞减少伴原始细胞增多-2（RAEB-</w:t>
      </w:r>
      <w:r>
        <w:rPr>
          <w:spacing w:val="-3"/>
        </w:rPr>
        <w:t>2</w:t>
      </w:r>
      <w:r>
        <w:rPr>
          <w:spacing w:val="-106"/>
        </w:rPr>
        <w:t>）</w:t>
      </w:r>
      <w:r>
        <w:rPr>
          <w:spacing w:val="-2"/>
        </w:rPr>
        <w:t>、MDS-未分类（MDS-</w:t>
      </w:r>
      <w:r>
        <w:t>U</w:t>
      </w:r>
      <w:r>
        <w:rPr>
          <w:spacing w:val="-106"/>
        </w:rPr>
        <w:t>）、</w:t>
      </w:r>
      <w:r>
        <w:t xml:space="preserve"> MDS</w:t>
      </w:r>
      <w:r>
        <w:rPr>
          <w:spacing w:val="-10"/>
        </w:rPr>
        <w:t xml:space="preserve"> 伴单纯 </w:t>
      </w:r>
      <w:r>
        <w:t>5q-，且需满足下列所有条件：</w:t>
      </w:r>
    </w:p>
    <w:p>
      <w:pPr>
        <w:pStyle w:val="6"/>
        <w:numPr>
          <w:ilvl w:val="0"/>
          <w:numId w:val="39"/>
        </w:numPr>
        <w:tabs>
          <w:tab w:val="left" w:pos="761"/>
        </w:tabs>
        <w:spacing w:before="0" w:after="0" w:line="278" w:lineRule="auto"/>
        <w:ind w:left="760" w:right="982" w:hanging="567"/>
        <w:jc w:val="left"/>
        <w:rPr>
          <w:sz w:val="21"/>
        </w:rPr>
      </w:pPr>
      <w:r>
        <w:rPr>
          <w:spacing w:val="-2"/>
          <w:sz w:val="21"/>
        </w:rPr>
        <w:t>由我们认可的医院中设有专门血液病专科的公立三级甲等医院，血液病专科的主治级别以上的医师确诊；</w:t>
      </w:r>
    </w:p>
    <w:p>
      <w:pPr>
        <w:pStyle w:val="6"/>
        <w:numPr>
          <w:ilvl w:val="0"/>
          <w:numId w:val="39"/>
        </w:numPr>
        <w:tabs>
          <w:tab w:val="left" w:pos="761"/>
        </w:tabs>
        <w:spacing w:before="0" w:after="0" w:line="269" w:lineRule="exact"/>
        <w:ind w:left="760" w:right="0" w:hanging="567"/>
        <w:jc w:val="left"/>
        <w:rPr>
          <w:sz w:val="21"/>
        </w:rPr>
      </w:pPr>
      <w:r>
        <w:rPr>
          <w:spacing w:val="-3"/>
          <w:sz w:val="21"/>
        </w:rPr>
        <w:t>骨髓穿刺或骨髓活检结果支持诊断；</w:t>
      </w:r>
    </w:p>
    <w:p>
      <w:pPr>
        <w:pStyle w:val="6"/>
        <w:numPr>
          <w:ilvl w:val="0"/>
          <w:numId w:val="39"/>
        </w:numPr>
        <w:tabs>
          <w:tab w:val="left" w:pos="761"/>
        </w:tabs>
        <w:spacing w:before="43" w:after="0" w:line="278" w:lineRule="auto"/>
        <w:ind w:left="760" w:right="982" w:hanging="567"/>
        <w:jc w:val="left"/>
        <w:rPr>
          <w:sz w:val="21"/>
        </w:rPr>
      </w:pPr>
      <w:r>
        <w:rPr>
          <w:spacing w:val="-2"/>
          <w:sz w:val="21"/>
        </w:rPr>
        <w:t>被保险人已持续接受一个月以上的化疗或已接受骨髓移植治</w:t>
      </w:r>
      <w:r>
        <w:rPr>
          <w:spacing w:val="-6"/>
          <w:sz w:val="21"/>
        </w:rPr>
        <w:t>疗。</w:t>
      </w:r>
    </w:p>
    <w:p>
      <w:pPr>
        <w:spacing w:after="0" w:line="278" w:lineRule="auto"/>
        <w:jc w:val="left"/>
        <w:rPr>
          <w:sz w:val="21"/>
        </w:rPr>
        <w:sectPr>
          <w:type w:val="continuous"/>
          <w:pgSz w:w="11910" w:h="16840"/>
          <w:pgMar w:top="260" w:right="1080" w:bottom="1320" w:left="1580" w:header="0" w:footer="1137" w:gutter="0"/>
          <w:cols w:equalWidth="0" w:num="2">
            <w:col w:w="1857" w:space="179"/>
            <w:col w:w="7214"/>
          </w:cols>
        </w:sectPr>
      </w:pPr>
    </w:p>
    <w:p>
      <w:pPr>
        <w:pStyle w:val="2"/>
        <w:spacing w:before="3"/>
        <w:rPr>
          <w:sz w:val="27"/>
        </w:rPr>
      </w:pPr>
    </w:p>
    <w:tbl>
      <w:tblPr>
        <w:tblStyle w:val="3"/>
        <w:tblW w:w="0" w:type="auto"/>
        <w:tblInd w:w="1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92"/>
        <w:gridCol w:w="1388"/>
        <w:gridCol w:w="66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9" w:hRule="atLeast"/>
        </w:trPr>
        <w:tc>
          <w:tcPr>
            <w:tcW w:w="492" w:type="dxa"/>
          </w:tcPr>
          <w:p>
            <w:pPr>
              <w:pStyle w:val="7"/>
              <w:spacing w:line="232" w:lineRule="exact"/>
              <w:ind w:left="50"/>
              <w:rPr>
                <w:sz w:val="21"/>
              </w:rPr>
            </w:pPr>
            <w:r>
              <w:rPr>
                <w:spacing w:val="-5"/>
                <w:sz w:val="21"/>
              </w:rPr>
              <w:t>81.</w:t>
            </w:r>
          </w:p>
        </w:tc>
        <w:tc>
          <w:tcPr>
            <w:tcW w:w="1388" w:type="dxa"/>
          </w:tcPr>
          <w:p>
            <w:pPr>
              <w:pStyle w:val="7"/>
              <w:spacing w:line="232" w:lineRule="exact"/>
              <w:ind w:left="124"/>
              <w:rPr>
                <w:b/>
                <w:sz w:val="21"/>
              </w:rPr>
            </w:pPr>
            <w:r>
              <w:rPr>
                <w:b/>
                <w:spacing w:val="-2"/>
                <w:sz w:val="21"/>
              </w:rPr>
              <w:t>严重面部烧</w:t>
            </w:r>
          </w:p>
          <w:p>
            <w:pPr>
              <w:pStyle w:val="7"/>
              <w:spacing w:before="43"/>
              <w:ind w:left="124"/>
              <w:rPr>
                <w:b/>
                <w:sz w:val="21"/>
              </w:rPr>
            </w:pPr>
            <w:r>
              <w:rPr>
                <w:b/>
                <w:w w:val="100"/>
                <w:sz w:val="21"/>
              </w:rPr>
              <w:t>伤</w:t>
            </w:r>
          </w:p>
        </w:tc>
        <w:tc>
          <w:tcPr>
            <w:tcW w:w="6647" w:type="dxa"/>
          </w:tcPr>
          <w:p>
            <w:pPr>
              <w:pStyle w:val="7"/>
              <w:spacing w:line="232" w:lineRule="exact"/>
              <w:ind w:left="205"/>
              <w:rPr>
                <w:sz w:val="21"/>
              </w:rPr>
            </w:pPr>
            <w:r>
              <w:rPr>
                <w:spacing w:val="-4"/>
                <w:sz w:val="21"/>
              </w:rPr>
              <w:t xml:space="preserve">指烧伤程度为Ⅲ度，且Ⅲ度烧伤的面积达到面部表面积的 </w:t>
            </w:r>
            <w:r>
              <w:rPr>
                <w:spacing w:val="-2"/>
                <w:sz w:val="21"/>
              </w:rPr>
              <w:t>80</w:t>
            </w:r>
            <w:r>
              <w:rPr>
                <w:spacing w:val="-16"/>
                <w:sz w:val="21"/>
              </w:rPr>
              <w:t xml:space="preserve">%或 </w:t>
            </w:r>
            <w:r>
              <w:rPr>
                <w:spacing w:val="-5"/>
                <w:sz w:val="21"/>
              </w:rPr>
              <w:t>80%</w:t>
            </w:r>
          </w:p>
          <w:p>
            <w:pPr>
              <w:pStyle w:val="7"/>
              <w:spacing w:before="43"/>
              <w:ind w:left="205"/>
              <w:rPr>
                <w:sz w:val="21"/>
              </w:rPr>
            </w:pPr>
            <w:r>
              <w:rPr>
                <w:spacing w:val="-4"/>
                <w:sz w:val="21"/>
              </w:rPr>
              <w:t>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492" w:type="dxa"/>
          </w:tcPr>
          <w:p>
            <w:pPr>
              <w:pStyle w:val="7"/>
              <w:spacing w:before="170"/>
              <w:ind w:left="50"/>
              <w:rPr>
                <w:sz w:val="21"/>
              </w:rPr>
            </w:pPr>
            <w:r>
              <w:rPr>
                <w:spacing w:val="-5"/>
                <w:sz w:val="21"/>
              </w:rPr>
              <w:t>82.</w:t>
            </w:r>
          </w:p>
        </w:tc>
        <w:tc>
          <w:tcPr>
            <w:tcW w:w="1388" w:type="dxa"/>
          </w:tcPr>
          <w:p>
            <w:pPr>
              <w:pStyle w:val="7"/>
              <w:spacing w:before="170"/>
              <w:ind w:left="124"/>
              <w:rPr>
                <w:b/>
                <w:sz w:val="21"/>
              </w:rPr>
            </w:pPr>
            <w:r>
              <w:rPr>
                <w:b/>
                <w:spacing w:val="-2"/>
                <w:sz w:val="21"/>
              </w:rPr>
              <w:t>严重川崎病</w:t>
            </w:r>
          </w:p>
        </w:tc>
        <w:tc>
          <w:tcPr>
            <w:tcW w:w="6647" w:type="dxa"/>
          </w:tcPr>
          <w:p>
            <w:pPr>
              <w:pStyle w:val="7"/>
              <w:spacing w:before="170"/>
              <w:ind w:left="205"/>
              <w:rPr>
                <w:sz w:val="21"/>
              </w:rPr>
            </w:pPr>
            <w:r>
              <w:rPr>
                <w:spacing w:val="-5"/>
                <w:sz w:val="21"/>
              </w:rPr>
              <w:t>是一种血管炎综合征，临床表现为急性发热，皮肤粘膜病损和淋巴结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647" w:type="dxa"/>
          </w:tcPr>
          <w:p>
            <w:pPr>
              <w:pStyle w:val="7"/>
              <w:spacing w:before="13"/>
              <w:ind w:left="205"/>
              <w:rPr>
                <w:sz w:val="21"/>
              </w:rPr>
            </w:pPr>
            <w:r>
              <w:rPr>
                <w:spacing w:val="-5"/>
                <w:sz w:val="21"/>
              </w:rPr>
              <w:t>肿大。本病须经专科医生明确诊断，同时须由血管造影或超声心动图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647" w:type="dxa"/>
          </w:tcPr>
          <w:p>
            <w:pPr>
              <w:pStyle w:val="7"/>
              <w:spacing w:before="13"/>
              <w:ind w:left="205"/>
              <w:rPr>
                <w:sz w:val="21"/>
              </w:rPr>
            </w:pPr>
            <w:r>
              <w:rPr>
                <w:spacing w:val="-3"/>
                <w:sz w:val="21"/>
              </w:rPr>
              <w:t>检查证实，满足下列至少一项条件：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492" w:type="dxa"/>
          </w:tcPr>
          <w:p>
            <w:pPr>
              <w:pStyle w:val="7"/>
              <w:rPr>
                <w:rFonts w:ascii="Times New Roman"/>
                <w:sz w:val="18"/>
              </w:rPr>
            </w:pPr>
          </w:p>
        </w:tc>
        <w:tc>
          <w:tcPr>
            <w:tcW w:w="1388" w:type="dxa"/>
          </w:tcPr>
          <w:p>
            <w:pPr>
              <w:pStyle w:val="7"/>
              <w:rPr>
                <w:rFonts w:ascii="Times New Roman"/>
                <w:sz w:val="18"/>
              </w:rPr>
            </w:pPr>
          </w:p>
        </w:tc>
        <w:tc>
          <w:tcPr>
            <w:tcW w:w="6647" w:type="dxa"/>
          </w:tcPr>
          <w:p>
            <w:pPr>
              <w:pStyle w:val="7"/>
              <w:spacing w:before="13" w:line="228" w:lineRule="exact"/>
              <w:ind w:left="205"/>
              <w:rPr>
                <w:sz w:val="21"/>
              </w:rPr>
            </w:pPr>
            <w:r>
              <w:rPr>
                <w:spacing w:val="-2"/>
                <w:sz w:val="21"/>
              </w:rPr>
              <w:t>（1）</w:t>
            </w:r>
            <w:r>
              <w:rPr>
                <w:spacing w:val="-18"/>
                <w:sz w:val="21"/>
              </w:rPr>
              <w:t xml:space="preserve"> 伴有冠状动脉瘤，且冠状动脉瘤于最初急性发病后持续至少 </w:t>
            </w:r>
            <w:r>
              <w:rPr>
                <w:spacing w:val="-5"/>
                <w:sz w:val="21"/>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647" w:type="dxa"/>
          </w:tcPr>
          <w:p>
            <w:pPr>
              <w:pStyle w:val="7"/>
              <w:spacing w:before="64" w:line="228" w:lineRule="exact"/>
              <w:ind w:left="772"/>
              <w:rPr>
                <w:sz w:val="21"/>
              </w:rPr>
            </w:pPr>
            <w:r>
              <w:rPr>
                <w:spacing w:val="-5"/>
                <w:sz w:val="21"/>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8"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647" w:type="dxa"/>
          </w:tcPr>
          <w:p>
            <w:pPr>
              <w:pStyle w:val="7"/>
              <w:spacing w:before="64"/>
              <w:ind w:left="205"/>
              <w:rPr>
                <w:sz w:val="21"/>
              </w:rPr>
            </w:pPr>
            <w:r>
              <w:rPr>
                <w:spacing w:val="-2"/>
                <w:sz w:val="21"/>
              </w:rPr>
              <w:t>（2）</w:t>
            </w:r>
            <w:r>
              <w:rPr>
                <w:spacing w:val="-13"/>
                <w:sz w:val="21"/>
              </w:rPr>
              <w:t xml:space="preserve"> 伴有冠状动脉瘤，且实际接受了对冠状动脉瘤进行的手术治疗。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492" w:type="dxa"/>
          </w:tcPr>
          <w:p>
            <w:pPr>
              <w:pStyle w:val="7"/>
              <w:spacing w:before="169"/>
              <w:ind w:left="50"/>
              <w:rPr>
                <w:sz w:val="21"/>
              </w:rPr>
            </w:pPr>
            <w:r>
              <w:rPr>
                <w:spacing w:val="-5"/>
                <w:sz w:val="21"/>
              </w:rPr>
              <w:t>83.</w:t>
            </w:r>
          </w:p>
        </w:tc>
        <w:tc>
          <w:tcPr>
            <w:tcW w:w="1388" w:type="dxa"/>
          </w:tcPr>
          <w:p>
            <w:pPr>
              <w:pStyle w:val="7"/>
              <w:spacing w:before="169"/>
              <w:ind w:left="124"/>
              <w:rPr>
                <w:b/>
                <w:sz w:val="21"/>
              </w:rPr>
            </w:pPr>
            <w:r>
              <w:rPr>
                <w:b/>
                <w:spacing w:val="-2"/>
                <w:sz w:val="21"/>
              </w:rPr>
              <w:t>自体造血干</w:t>
            </w:r>
          </w:p>
        </w:tc>
        <w:tc>
          <w:tcPr>
            <w:tcW w:w="6647" w:type="dxa"/>
          </w:tcPr>
          <w:p>
            <w:pPr>
              <w:pStyle w:val="7"/>
              <w:spacing w:before="169"/>
              <w:ind w:left="205"/>
              <w:rPr>
                <w:sz w:val="21"/>
              </w:rPr>
            </w:pPr>
            <w:r>
              <w:rPr>
                <w:spacing w:val="-3"/>
                <w:sz w:val="21"/>
              </w:rPr>
              <w:t>为治疗造血功能损害或造血系统恶性肿瘤，已经实施了造血干细胞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0" w:hRule="atLeast"/>
        </w:trPr>
        <w:tc>
          <w:tcPr>
            <w:tcW w:w="492" w:type="dxa"/>
          </w:tcPr>
          <w:p>
            <w:pPr>
              <w:pStyle w:val="7"/>
              <w:rPr>
                <w:rFonts w:ascii="Times New Roman"/>
                <w:sz w:val="20"/>
              </w:rPr>
            </w:pPr>
          </w:p>
        </w:tc>
        <w:tc>
          <w:tcPr>
            <w:tcW w:w="1388" w:type="dxa"/>
          </w:tcPr>
          <w:p>
            <w:pPr>
              <w:pStyle w:val="7"/>
              <w:spacing w:before="13"/>
              <w:ind w:left="124"/>
              <w:rPr>
                <w:b/>
                <w:sz w:val="21"/>
              </w:rPr>
            </w:pPr>
            <w:r>
              <w:rPr>
                <w:b/>
                <w:spacing w:val="-2"/>
                <w:sz w:val="21"/>
              </w:rPr>
              <w:t>细胞移植术</w:t>
            </w:r>
          </w:p>
        </w:tc>
        <w:tc>
          <w:tcPr>
            <w:tcW w:w="6647" w:type="dxa"/>
          </w:tcPr>
          <w:p>
            <w:pPr>
              <w:pStyle w:val="7"/>
              <w:spacing w:before="13" w:line="278" w:lineRule="auto"/>
              <w:ind w:left="205" w:right="155"/>
              <w:rPr>
                <w:rFonts w:hint="eastAsia" w:ascii="黑体" w:eastAsia="黑体"/>
                <w:b/>
                <w:sz w:val="21"/>
              </w:rPr>
            </w:pPr>
            <w:r>
              <w:rPr>
                <w:spacing w:val="-2"/>
                <w:sz w:val="21"/>
              </w:rPr>
              <w:t>（包括骨髓造血干细胞、外周血造血干细胞和脐血造血干细胞）的自体移植手术。</w:t>
            </w:r>
            <w:r>
              <w:rPr>
                <w:rFonts w:hint="eastAsia" w:ascii="黑体" w:eastAsia="黑体"/>
                <w:b/>
                <w:spacing w:val="-2"/>
                <w:sz w:val="21"/>
              </w:rPr>
              <w:t>该治疗须由专科医生认为在临床上是必需的。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492" w:type="dxa"/>
          </w:tcPr>
          <w:p>
            <w:pPr>
              <w:pStyle w:val="7"/>
              <w:spacing w:before="170"/>
              <w:ind w:left="50"/>
              <w:rPr>
                <w:sz w:val="21"/>
              </w:rPr>
            </w:pPr>
            <w:r>
              <w:rPr>
                <w:spacing w:val="-5"/>
                <w:sz w:val="21"/>
              </w:rPr>
              <w:t>84.</w:t>
            </w:r>
          </w:p>
        </w:tc>
        <w:tc>
          <w:tcPr>
            <w:tcW w:w="1388" w:type="dxa"/>
          </w:tcPr>
          <w:p>
            <w:pPr>
              <w:pStyle w:val="7"/>
              <w:spacing w:before="170"/>
              <w:ind w:left="124"/>
              <w:rPr>
                <w:b/>
                <w:sz w:val="21"/>
              </w:rPr>
            </w:pPr>
            <w:r>
              <w:rPr>
                <w:b/>
                <w:spacing w:val="-2"/>
                <w:sz w:val="21"/>
              </w:rPr>
              <w:t>重症手足口</w:t>
            </w:r>
          </w:p>
        </w:tc>
        <w:tc>
          <w:tcPr>
            <w:tcW w:w="6647" w:type="dxa"/>
          </w:tcPr>
          <w:p>
            <w:pPr>
              <w:pStyle w:val="7"/>
              <w:spacing w:before="170"/>
              <w:ind w:left="205"/>
              <w:rPr>
                <w:sz w:val="21"/>
              </w:rPr>
            </w:pPr>
            <w:r>
              <w:rPr>
                <w:spacing w:val="-5"/>
                <w:sz w:val="21"/>
              </w:rPr>
              <w:t>由肠道病毒引起的急性传染病，主要症状表现为手、足、口腔等部位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492" w:type="dxa"/>
          </w:tcPr>
          <w:p>
            <w:pPr>
              <w:pStyle w:val="7"/>
              <w:rPr>
                <w:rFonts w:ascii="Times New Roman"/>
                <w:sz w:val="20"/>
              </w:rPr>
            </w:pPr>
          </w:p>
        </w:tc>
        <w:tc>
          <w:tcPr>
            <w:tcW w:w="1388" w:type="dxa"/>
          </w:tcPr>
          <w:p>
            <w:pPr>
              <w:pStyle w:val="7"/>
              <w:spacing w:before="13"/>
              <w:ind w:left="124"/>
              <w:rPr>
                <w:b/>
                <w:sz w:val="21"/>
              </w:rPr>
            </w:pPr>
            <w:r>
              <w:rPr>
                <w:b/>
                <w:w w:val="100"/>
                <w:sz w:val="21"/>
              </w:rPr>
              <w:t>病</w:t>
            </w:r>
          </w:p>
        </w:tc>
        <w:tc>
          <w:tcPr>
            <w:tcW w:w="6647" w:type="dxa"/>
          </w:tcPr>
          <w:p>
            <w:pPr>
              <w:pStyle w:val="7"/>
              <w:spacing w:before="13"/>
              <w:ind w:left="205"/>
              <w:rPr>
                <w:sz w:val="21"/>
              </w:rPr>
            </w:pPr>
            <w:r>
              <w:rPr>
                <w:spacing w:val="-5"/>
                <w:sz w:val="21"/>
              </w:rPr>
              <w:t>的斑丘疹、疱疹。经我们认可的医疗机构的专科医生确诊为患有手足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647" w:type="dxa"/>
          </w:tcPr>
          <w:p>
            <w:pPr>
              <w:pStyle w:val="7"/>
              <w:spacing w:before="13"/>
              <w:ind w:left="205"/>
              <w:rPr>
                <w:sz w:val="21"/>
              </w:rPr>
            </w:pPr>
            <w:r>
              <w:rPr>
                <w:spacing w:val="-3"/>
                <w:sz w:val="21"/>
              </w:rPr>
              <w:t>口病，并伴有下列三项中的任意一项并发症：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492" w:type="dxa"/>
          </w:tcPr>
          <w:p>
            <w:pPr>
              <w:pStyle w:val="7"/>
              <w:rPr>
                <w:rFonts w:ascii="Times New Roman"/>
                <w:sz w:val="18"/>
              </w:rPr>
            </w:pPr>
          </w:p>
        </w:tc>
        <w:tc>
          <w:tcPr>
            <w:tcW w:w="1388" w:type="dxa"/>
          </w:tcPr>
          <w:p>
            <w:pPr>
              <w:pStyle w:val="7"/>
              <w:rPr>
                <w:rFonts w:ascii="Times New Roman"/>
                <w:sz w:val="18"/>
              </w:rPr>
            </w:pPr>
          </w:p>
        </w:tc>
        <w:tc>
          <w:tcPr>
            <w:tcW w:w="6647" w:type="dxa"/>
          </w:tcPr>
          <w:p>
            <w:pPr>
              <w:pStyle w:val="7"/>
              <w:spacing w:before="13" w:line="228" w:lineRule="exact"/>
              <w:ind w:left="205"/>
              <w:rPr>
                <w:sz w:val="21"/>
              </w:rPr>
            </w:pPr>
            <w:r>
              <w:rPr>
                <w:spacing w:val="-2"/>
                <w:sz w:val="21"/>
              </w:rPr>
              <w:t>（1）</w:t>
            </w:r>
            <w:r>
              <w:rPr>
                <w:spacing w:val="-10"/>
                <w:sz w:val="21"/>
              </w:rPr>
              <w:t xml:space="preserve"> 有脑膜炎或脑炎并发症，且导致意识障碍或瘫痪的临床表现及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492" w:type="dxa"/>
          </w:tcPr>
          <w:p>
            <w:pPr>
              <w:pStyle w:val="7"/>
              <w:rPr>
                <w:rFonts w:ascii="Times New Roman"/>
                <w:sz w:val="20"/>
              </w:rPr>
            </w:pPr>
          </w:p>
        </w:tc>
        <w:tc>
          <w:tcPr>
            <w:tcW w:w="1388" w:type="dxa"/>
          </w:tcPr>
          <w:p>
            <w:pPr>
              <w:pStyle w:val="7"/>
              <w:rPr>
                <w:rFonts w:ascii="Times New Roman"/>
                <w:sz w:val="20"/>
              </w:rPr>
            </w:pPr>
          </w:p>
        </w:tc>
        <w:tc>
          <w:tcPr>
            <w:tcW w:w="6647" w:type="dxa"/>
          </w:tcPr>
          <w:p>
            <w:pPr>
              <w:pStyle w:val="7"/>
              <w:spacing w:before="64" w:line="228" w:lineRule="exact"/>
              <w:ind w:left="772"/>
              <w:rPr>
                <w:sz w:val="21"/>
              </w:rPr>
            </w:pPr>
            <w:r>
              <w:rPr>
                <w:spacing w:val="-4"/>
                <w:sz w:val="21"/>
              </w:rPr>
              <w:t>实验室检查证据；</w:t>
            </w:r>
          </w:p>
        </w:tc>
      </w:tr>
    </w:tbl>
    <w:p>
      <w:pPr>
        <w:pStyle w:val="6"/>
        <w:numPr>
          <w:ilvl w:val="1"/>
          <w:numId w:val="39"/>
        </w:numPr>
        <w:tabs>
          <w:tab w:val="left" w:pos="2797"/>
        </w:tabs>
        <w:spacing w:before="71" w:after="0" w:line="278" w:lineRule="auto"/>
        <w:ind w:left="2796" w:right="771" w:hanging="567"/>
        <w:jc w:val="left"/>
        <w:rPr>
          <w:sz w:val="21"/>
        </w:rPr>
      </w:pPr>
      <w:r>
        <w:rPr>
          <w:spacing w:val="-2"/>
          <w:sz w:val="21"/>
        </w:rPr>
        <w:t>有肺炎或肺水肿并发症，且导致呼吸衰竭的临床表现及实验室检查证据；</w:t>
      </w:r>
    </w:p>
    <w:p>
      <w:pPr>
        <w:pStyle w:val="6"/>
        <w:numPr>
          <w:ilvl w:val="1"/>
          <w:numId w:val="39"/>
        </w:numPr>
        <w:tabs>
          <w:tab w:val="left" w:pos="2797"/>
        </w:tabs>
        <w:spacing w:before="0" w:after="0" w:line="278" w:lineRule="auto"/>
        <w:ind w:left="2796" w:right="771" w:hanging="567"/>
        <w:jc w:val="left"/>
        <w:rPr>
          <w:sz w:val="21"/>
        </w:rPr>
      </w:pPr>
      <w:r>
        <w:rPr>
          <w:spacing w:val="-2"/>
          <w:sz w:val="21"/>
        </w:rPr>
        <w:t>有心肌炎并发症，且导致心脏扩大或心力衰竭的临床表现及实验室检查证。</w:t>
      </w:r>
    </w:p>
    <w:p>
      <w:pPr>
        <w:pStyle w:val="2"/>
        <w:spacing w:before="4"/>
        <w:rPr>
          <w:sz w:val="24"/>
        </w:rPr>
      </w:pPr>
    </w:p>
    <w:p>
      <w:pPr>
        <w:pStyle w:val="6"/>
        <w:numPr>
          <w:ilvl w:val="0"/>
          <w:numId w:val="40"/>
        </w:numPr>
        <w:tabs>
          <w:tab w:val="left" w:pos="761"/>
          <w:tab w:val="left" w:pos="2229"/>
        </w:tabs>
        <w:spacing w:before="0" w:after="0" w:line="240" w:lineRule="auto"/>
        <w:ind w:left="760" w:right="0" w:hanging="567"/>
        <w:jc w:val="left"/>
        <w:rPr>
          <w:sz w:val="21"/>
        </w:rPr>
      </w:pPr>
      <w:r>
        <w:rPr>
          <w:b/>
          <w:sz w:val="21"/>
        </w:rPr>
        <w:t>严重哮</w:t>
      </w:r>
      <w:r>
        <w:rPr>
          <w:b/>
          <w:spacing w:val="-10"/>
          <w:sz w:val="21"/>
        </w:rPr>
        <w:t>喘</w:t>
      </w:r>
      <w:r>
        <w:rPr>
          <w:b/>
          <w:sz w:val="21"/>
        </w:rPr>
        <w:tab/>
      </w:r>
      <w:r>
        <w:rPr>
          <w:spacing w:val="-4"/>
          <w:sz w:val="21"/>
        </w:rPr>
        <w:t>指一种反复发作的严重支气管阻塞性疾病，经我们认可的专科医生</w:t>
      </w:r>
      <w:r>
        <w:rPr>
          <w:spacing w:val="-10"/>
          <w:sz w:val="21"/>
        </w:rPr>
        <w:t>确</w:t>
      </w:r>
    </w:p>
    <w:p>
      <w:pPr>
        <w:spacing w:after="0" w:line="240" w:lineRule="auto"/>
        <w:jc w:val="left"/>
        <w:rPr>
          <w:sz w:val="21"/>
        </w:rPr>
        <w:sectPr>
          <w:type w:val="continuous"/>
          <w:pgSz w:w="11910" w:h="16840"/>
          <w:pgMar w:top="260" w:right="1080" w:bottom="1320" w:left="1580" w:header="0" w:footer="1137" w:gutter="0"/>
          <w:cols w:space="720" w:num="1"/>
        </w:sectPr>
      </w:pPr>
    </w:p>
    <w:p>
      <w:pPr>
        <w:pStyle w:val="2"/>
        <w:spacing w:before="44"/>
        <w:ind w:left="2229"/>
      </w:pPr>
      <w:r>
        <w:rPr>
          <w:spacing w:val="-3"/>
        </w:rPr>
        <w:t>诊，且必须同时符合下列标准：</w:t>
      </w:r>
    </w:p>
    <w:p>
      <w:pPr>
        <w:pStyle w:val="6"/>
        <w:numPr>
          <w:ilvl w:val="1"/>
          <w:numId w:val="40"/>
        </w:numPr>
        <w:tabs>
          <w:tab w:val="left" w:pos="2797"/>
        </w:tabs>
        <w:spacing w:before="43" w:after="0" w:line="240" w:lineRule="auto"/>
        <w:ind w:left="2796" w:right="0" w:hanging="568"/>
        <w:jc w:val="left"/>
        <w:rPr>
          <w:sz w:val="21"/>
        </w:rPr>
      </w:pPr>
      <w:r>
        <w:rPr>
          <w:spacing w:val="-7"/>
          <w:sz w:val="21"/>
        </w:rPr>
        <w:t>过去两年中曾因哮喘持续状态住院治疗，并提供完整住院记录；</w:t>
      </w:r>
    </w:p>
    <w:p>
      <w:pPr>
        <w:pStyle w:val="6"/>
        <w:numPr>
          <w:ilvl w:val="1"/>
          <w:numId w:val="40"/>
        </w:numPr>
        <w:tabs>
          <w:tab w:val="left" w:pos="2797"/>
        </w:tabs>
        <w:spacing w:before="43" w:after="0" w:line="240" w:lineRule="auto"/>
        <w:ind w:left="2796" w:right="0" w:hanging="568"/>
        <w:jc w:val="left"/>
        <w:rPr>
          <w:sz w:val="21"/>
        </w:rPr>
      </w:pPr>
      <w:r>
        <w:rPr>
          <w:spacing w:val="-3"/>
          <w:sz w:val="21"/>
        </w:rPr>
        <w:t>因慢性过度换气导致胸廓畸形；</w:t>
      </w:r>
    </w:p>
    <w:p>
      <w:pPr>
        <w:pStyle w:val="6"/>
        <w:numPr>
          <w:ilvl w:val="1"/>
          <w:numId w:val="40"/>
        </w:numPr>
        <w:tabs>
          <w:tab w:val="left" w:pos="2797"/>
        </w:tabs>
        <w:spacing w:before="43" w:after="0" w:line="240" w:lineRule="auto"/>
        <w:ind w:left="2796" w:right="0" w:hanging="568"/>
        <w:jc w:val="left"/>
        <w:rPr>
          <w:sz w:val="21"/>
        </w:rPr>
      </w:pPr>
      <w:r>
        <w:rPr>
          <w:spacing w:val="-3"/>
          <w:sz w:val="21"/>
        </w:rPr>
        <w:t>在家中需要医生处方的氧气治疗法；</w:t>
      </w:r>
    </w:p>
    <w:p>
      <w:pPr>
        <w:pStyle w:val="6"/>
        <w:numPr>
          <w:ilvl w:val="1"/>
          <w:numId w:val="40"/>
        </w:numPr>
        <w:tabs>
          <w:tab w:val="left" w:pos="2797"/>
        </w:tabs>
        <w:spacing w:before="43" w:after="0" w:line="240" w:lineRule="auto"/>
        <w:ind w:left="2796" w:right="0" w:hanging="568"/>
        <w:jc w:val="left"/>
        <w:rPr>
          <w:sz w:val="21"/>
        </w:rPr>
      </w:pPr>
      <w:r>
        <w:rPr>
          <w:spacing w:val="-3"/>
          <w:sz w:val="21"/>
        </w:rPr>
        <w:t>持续日常服用口服类固醇激素治疗持续至少六个月。</w:t>
      </w:r>
    </w:p>
    <w:p>
      <w:pPr>
        <w:spacing w:before="43"/>
        <w:ind w:left="2229" w:right="0" w:firstLine="0"/>
        <w:jc w:val="left"/>
        <w:rPr>
          <w:rFonts w:hint="eastAsia" w:ascii="黑体" w:eastAsia="黑体"/>
          <w:b/>
          <w:sz w:val="21"/>
        </w:rPr>
      </w:pPr>
      <w:r>
        <w:rPr>
          <w:rFonts w:hint="eastAsia" w:ascii="黑体" w:eastAsia="黑体"/>
          <w:b/>
          <w:spacing w:val="-3"/>
          <w:sz w:val="21"/>
        </w:rPr>
        <w:t>被保险人申请理赔时年龄必须在年满二十五周岁之前。</w:t>
      </w:r>
    </w:p>
    <w:p>
      <w:pPr>
        <w:pStyle w:val="2"/>
        <w:spacing w:before="10"/>
        <w:rPr>
          <w:rFonts w:ascii="黑体"/>
          <w:b/>
          <w:sz w:val="22"/>
        </w:rPr>
      </w:pPr>
    </w:p>
    <w:p>
      <w:pPr>
        <w:spacing w:after="0"/>
        <w:rPr>
          <w:rFonts w:ascii="黑体"/>
          <w:sz w:val="22"/>
        </w:rPr>
        <w:sectPr>
          <w:pgSz w:w="11910" w:h="16840"/>
          <w:pgMar w:top="1400" w:right="1080" w:bottom="1320" w:left="1580" w:header="0" w:footer="1137" w:gutter="0"/>
          <w:cols w:space="720" w:num="1"/>
        </w:sectPr>
      </w:pPr>
    </w:p>
    <w:p>
      <w:pPr>
        <w:pStyle w:val="6"/>
        <w:numPr>
          <w:ilvl w:val="0"/>
          <w:numId w:val="40"/>
        </w:numPr>
        <w:tabs>
          <w:tab w:val="left" w:pos="761"/>
        </w:tabs>
        <w:spacing w:before="63" w:after="0" w:line="240" w:lineRule="auto"/>
        <w:ind w:left="760" w:right="0" w:hanging="567"/>
        <w:jc w:val="left"/>
        <w:rPr>
          <w:b/>
          <w:sz w:val="21"/>
        </w:rPr>
      </w:pPr>
      <w:r>
        <w:rPr>
          <w:b/>
          <w:spacing w:val="-2"/>
          <w:sz w:val="21"/>
        </w:rPr>
        <w:t>骨生长不全</w:t>
      </w:r>
    </w:p>
    <w:p>
      <w:pPr>
        <w:spacing w:before="43"/>
        <w:ind w:left="760" w:right="0" w:firstLine="0"/>
        <w:jc w:val="left"/>
        <w:rPr>
          <w:b/>
          <w:sz w:val="21"/>
        </w:rPr>
      </w:pPr>
      <w:r>
        <w:rPr>
          <w:b/>
          <w:w w:val="100"/>
          <w:sz w:val="21"/>
        </w:rPr>
        <w:t>症</w:t>
      </w:r>
    </w:p>
    <w:p>
      <w:pPr>
        <w:pStyle w:val="2"/>
        <w:spacing w:before="63" w:line="278" w:lineRule="auto"/>
        <w:ind w:left="194" w:right="627"/>
      </w:pPr>
      <w:r>
        <w:br w:type="column"/>
      </w:r>
      <w:r>
        <w:rPr>
          <w:spacing w:val="-8"/>
        </w:rPr>
        <w:t xml:space="preserve">指一种胶原病，特征为骨易碎，骨质疏松和易骨折。该病有 </w:t>
      </w:r>
      <w:r>
        <w:rPr>
          <w:spacing w:val="-6"/>
        </w:rPr>
        <w:t>4</w:t>
      </w:r>
      <w:r>
        <w:rPr>
          <w:spacing w:val="-14"/>
        </w:rPr>
        <w:t xml:space="preserve"> 种类型：</w:t>
      </w:r>
      <w:r>
        <w:rPr>
          <w:spacing w:val="-6"/>
        </w:rPr>
        <w:t xml:space="preserve"> </w:t>
      </w:r>
      <w:r>
        <w:rPr>
          <w:spacing w:val="-2"/>
        </w:rPr>
        <w:t>Ⅰ型、Ⅱ型、Ⅲ型、Ⅳ型。</w:t>
      </w:r>
      <w:r>
        <w:rPr>
          <w:rFonts w:hint="eastAsia" w:ascii="黑体" w:hAnsi="黑体" w:eastAsia="黑体"/>
          <w:b/>
          <w:spacing w:val="-2"/>
        </w:rPr>
        <w:t>只保障Ⅲ型成骨不全的情形。</w:t>
      </w:r>
      <w:r>
        <w:rPr>
          <w:spacing w:val="-2"/>
        </w:rPr>
        <w:t>其主要临床特点有：发展迟缓、多发性骨折、进行性脊柱后侧凸及听力损害。Ⅲ</w:t>
      </w:r>
      <w:r>
        <w:t>型成骨不全的诊断必须根据身体检查，家族史，X</w:t>
      </w:r>
      <w:r>
        <w:rPr>
          <w:spacing w:val="-7"/>
        </w:rPr>
        <w:t xml:space="preserve"> 线检查和皮肤活检</w:t>
      </w:r>
      <w:r>
        <w:rPr>
          <w:spacing w:val="-2"/>
        </w:rPr>
        <w:t>报告资料确诊。</w:t>
      </w:r>
    </w:p>
    <w:p>
      <w:pPr>
        <w:spacing w:before="0" w:line="278" w:lineRule="auto"/>
        <w:ind w:left="194" w:right="732" w:firstLine="0"/>
        <w:jc w:val="left"/>
        <w:rPr>
          <w:rFonts w:hint="eastAsia" w:ascii="黑体" w:hAnsi="黑体" w:eastAsia="黑体"/>
          <w:b/>
          <w:sz w:val="21"/>
        </w:rPr>
      </w:pPr>
      <w:r>
        <w:rPr>
          <w:rFonts w:hint="eastAsia" w:ascii="黑体" w:hAnsi="黑体" w:eastAsia="黑体"/>
          <w:b/>
          <w:spacing w:val="-2"/>
          <w:sz w:val="21"/>
        </w:rPr>
        <w:t>我们承担本项疾病责任不受本合同责任免除中“遗传性疾病，先天性畸形、变形或染色体异常”的限制。</w:t>
      </w:r>
    </w:p>
    <w:p>
      <w:pPr>
        <w:spacing w:after="0" w:line="278" w:lineRule="auto"/>
        <w:jc w:val="left"/>
        <w:rPr>
          <w:rFonts w:hint="eastAsia" w:ascii="黑体" w:hAnsi="黑体" w:eastAsia="黑体"/>
          <w:sz w:val="21"/>
        </w:rPr>
        <w:sectPr>
          <w:type w:val="continuous"/>
          <w:pgSz w:w="11910" w:h="16840"/>
          <w:pgMar w:top="260" w:right="1080" w:bottom="1320" w:left="1580" w:header="0" w:footer="1137" w:gutter="0"/>
          <w:cols w:equalWidth="0" w:num="2">
            <w:col w:w="1857" w:space="179"/>
            <w:col w:w="7214"/>
          </w:cols>
        </w:sectPr>
      </w:pPr>
    </w:p>
    <w:p>
      <w:pPr>
        <w:pStyle w:val="2"/>
        <w:spacing w:before="5"/>
        <w:rPr>
          <w:rFonts w:ascii="黑体"/>
          <w:b/>
          <w:sz w:val="19"/>
        </w:rPr>
      </w:pPr>
    </w:p>
    <w:p>
      <w:pPr>
        <w:spacing w:after="0"/>
        <w:rPr>
          <w:rFonts w:ascii="黑体"/>
          <w:sz w:val="19"/>
        </w:rPr>
        <w:sectPr>
          <w:type w:val="continuous"/>
          <w:pgSz w:w="11910" w:h="16840"/>
          <w:pgMar w:top="260" w:right="1080" w:bottom="1320" w:left="1580" w:header="0" w:footer="1137" w:gutter="0"/>
          <w:cols w:space="720" w:num="1"/>
        </w:sectPr>
      </w:pPr>
    </w:p>
    <w:p>
      <w:pPr>
        <w:pStyle w:val="6"/>
        <w:numPr>
          <w:ilvl w:val="0"/>
          <w:numId w:val="40"/>
        </w:numPr>
        <w:tabs>
          <w:tab w:val="left" w:pos="761"/>
        </w:tabs>
        <w:spacing w:before="64" w:after="0" w:line="240" w:lineRule="auto"/>
        <w:ind w:left="760" w:right="0" w:hanging="567"/>
        <w:jc w:val="left"/>
        <w:rPr>
          <w:b/>
          <w:sz w:val="21"/>
        </w:rPr>
      </w:pPr>
      <w:r>
        <w:rPr>
          <w:b/>
          <w:spacing w:val="-2"/>
          <w:sz w:val="21"/>
        </w:rPr>
        <w:t>器官移植导</w:t>
      </w:r>
    </w:p>
    <w:p>
      <w:pPr>
        <w:spacing w:before="43"/>
        <w:ind w:left="760" w:right="0" w:firstLine="0"/>
        <w:jc w:val="left"/>
        <w:rPr>
          <w:b/>
          <w:sz w:val="21"/>
        </w:rPr>
      </w:pPr>
      <w:r>
        <w:rPr>
          <w:b/>
          <w:spacing w:val="22"/>
          <w:w w:val="95"/>
          <w:sz w:val="21"/>
        </w:rPr>
        <w:t>致的</w:t>
      </w:r>
      <w:r>
        <w:rPr>
          <w:b/>
          <w:w w:val="95"/>
          <w:sz w:val="21"/>
        </w:rPr>
        <w:t>HIV</w:t>
      </w:r>
      <w:r>
        <w:rPr>
          <w:b/>
          <w:spacing w:val="-8"/>
          <w:w w:val="95"/>
          <w:sz w:val="21"/>
        </w:rPr>
        <w:t xml:space="preserve"> 感染</w:t>
      </w:r>
    </w:p>
    <w:p>
      <w:pPr>
        <w:pStyle w:val="2"/>
        <w:spacing w:before="64" w:line="278" w:lineRule="auto"/>
        <w:ind w:left="176" w:right="730"/>
      </w:pPr>
      <w:r>
        <w:br w:type="column"/>
      </w:r>
      <w:r>
        <w:rPr>
          <w:spacing w:val="-4"/>
        </w:rPr>
        <w:t>指因进行器官移植而感染上人类免疫缺陷病毒</w:t>
      </w:r>
      <w:r>
        <w:rPr>
          <w:spacing w:val="16"/>
        </w:rPr>
        <w:t>（</w:t>
      </w:r>
      <w:r>
        <w:rPr>
          <w:spacing w:val="13"/>
        </w:rPr>
        <w:t>H</w:t>
      </w:r>
      <w:r>
        <w:rPr>
          <w:spacing w:val="16"/>
        </w:rPr>
        <w:t>I</w:t>
      </w:r>
      <w:r>
        <w:rPr>
          <w:spacing w:val="13"/>
        </w:rPr>
        <w:t>V</w:t>
      </w:r>
      <w:r>
        <w:rPr>
          <w:spacing w:val="-90"/>
        </w:rPr>
        <w:t>）</w:t>
      </w:r>
      <w:r>
        <w:rPr>
          <w:spacing w:val="-4"/>
        </w:rPr>
        <w:t>，且须满足下列</w:t>
      </w:r>
      <w:r>
        <w:rPr>
          <w:spacing w:val="-2"/>
        </w:rPr>
        <w:t>全部条件：</w:t>
      </w:r>
    </w:p>
    <w:p>
      <w:pPr>
        <w:pStyle w:val="6"/>
        <w:numPr>
          <w:ilvl w:val="0"/>
          <w:numId w:val="41"/>
        </w:numPr>
        <w:tabs>
          <w:tab w:val="left" w:pos="743"/>
        </w:tabs>
        <w:spacing w:before="0" w:after="0" w:line="278" w:lineRule="auto"/>
        <w:ind w:left="742" w:right="771" w:hanging="567"/>
        <w:jc w:val="both"/>
        <w:rPr>
          <w:sz w:val="21"/>
        </w:rPr>
      </w:pPr>
      <w:r>
        <w:rPr>
          <w:spacing w:val="-2"/>
          <w:sz w:val="21"/>
        </w:rPr>
        <w:t>被保险人因治疗必需而实施器官移植，并且因器官移植而感染人类免疫缺陷病毒</w:t>
      </w:r>
      <w:r>
        <w:rPr>
          <w:spacing w:val="31"/>
          <w:sz w:val="21"/>
        </w:rPr>
        <w:t>（</w:t>
      </w:r>
      <w:r>
        <w:rPr>
          <w:spacing w:val="34"/>
          <w:sz w:val="21"/>
        </w:rPr>
        <w:t>HIV</w:t>
      </w:r>
      <w:r>
        <w:rPr>
          <w:spacing w:val="-74"/>
          <w:sz w:val="21"/>
        </w:rPr>
        <w:t>）；</w:t>
      </w:r>
    </w:p>
    <w:p>
      <w:pPr>
        <w:pStyle w:val="6"/>
        <w:numPr>
          <w:ilvl w:val="0"/>
          <w:numId w:val="41"/>
        </w:numPr>
        <w:tabs>
          <w:tab w:val="left" w:pos="743"/>
        </w:tabs>
        <w:spacing w:before="0" w:after="0" w:line="278" w:lineRule="auto"/>
        <w:ind w:left="742" w:right="771" w:hanging="567"/>
        <w:jc w:val="both"/>
        <w:rPr>
          <w:sz w:val="21"/>
        </w:rPr>
      </w:pPr>
      <w:r>
        <w:rPr>
          <w:spacing w:val="-2"/>
          <w:sz w:val="21"/>
        </w:rPr>
        <w:t>提供器官移植治疗的器官移植中心或医院出具该项器官移植感染，属于医疗责任事故的报告，或者法院终审裁定为医疗责任并且不准上诉；</w:t>
      </w:r>
    </w:p>
    <w:p>
      <w:pPr>
        <w:pStyle w:val="6"/>
        <w:numPr>
          <w:ilvl w:val="0"/>
          <w:numId w:val="41"/>
        </w:numPr>
        <w:tabs>
          <w:tab w:val="left" w:pos="743"/>
        </w:tabs>
        <w:spacing w:before="0" w:after="0" w:line="278" w:lineRule="auto"/>
        <w:ind w:left="742" w:right="771" w:hanging="567"/>
        <w:jc w:val="both"/>
        <w:rPr>
          <w:sz w:val="21"/>
        </w:rPr>
      </w:pPr>
      <w:r>
        <w:rPr>
          <w:spacing w:val="-2"/>
          <w:sz w:val="21"/>
        </w:rPr>
        <w:t>提供器官移植治疗的器官移植中心或医院必须拥有合法经营执</w:t>
      </w:r>
      <w:r>
        <w:rPr>
          <w:spacing w:val="-6"/>
          <w:sz w:val="21"/>
        </w:rPr>
        <w:t>照。</w:t>
      </w:r>
    </w:p>
    <w:p>
      <w:pPr>
        <w:spacing w:before="0" w:line="278" w:lineRule="auto"/>
        <w:ind w:left="176" w:right="735" w:firstLine="0"/>
        <w:jc w:val="both"/>
        <w:rPr>
          <w:rFonts w:hint="eastAsia" w:ascii="黑体" w:eastAsia="黑体"/>
          <w:b/>
          <w:sz w:val="21"/>
        </w:rPr>
      </w:pPr>
      <w:r>
        <w:rPr>
          <w:rFonts w:hint="eastAsia" w:ascii="黑体" w:eastAsia="黑体"/>
          <w:b/>
          <w:spacing w:val="-2"/>
          <w:sz w:val="21"/>
        </w:rPr>
        <w:t>在任何治愈艾滋病或阻止人类免疫缺陷病毒（HIV）病毒作用的疗法被发现以后，或能防止艾滋病发生的医疗方法被研究出来以后，本保障将不再予以赔付。</w:t>
      </w:r>
    </w:p>
    <w:p>
      <w:pPr>
        <w:spacing w:before="0" w:line="278" w:lineRule="auto"/>
        <w:ind w:left="176" w:right="731" w:firstLine="0"/>
        <w:jc w:val="left"/>
        <w:rPr>
          <w:rFonts w:hint="eastAsia" w:ascii="黑体" w:hAnsi="黑体" w:eastAsia="黑体"/>
          <w:b/>
          <w:sz w:val="21"/>
        </w:rPr>
      </w:pPr>
      <w:r>
        <w:rPr>
          <w:rFonts w:hint="eastAsia" w:ascii="黑体" w:hAnsi="黑体" w:eastAsia="黑体"/>
          <w:b/>
          <w:spacing w:val="-2"/>
          <w:sz w:val="21"/>
        </w:rPr>
        <w:t>我们承担本项疾病责任不受本合同责任免除中“被保险人感染艾滋病病毒或患艾滋病”的限制。</w:t>
      </w:r>
    </w:p>
    <w:p>
      <w:pPr>
        <w:spacing w:after="0" w:line="278" w:lineRule="auto"/>
        <w:jc w:val="left"/>
        <w:rPr>
          <w:rFonts w:hint="eastAsia" w:ascii="黑体" w:hAnsi="黑体" w:eastAsia="黑体"/>
          <w:sz w:val="21"/>
        </w:rPr>
        <w:sectPr>
          <w:type w:val="continuous"/>
          <w:pgSz w:w="11910" w:h="16840"/>
          <w:pgMar w:top="260" w:right="1080" w:bottom="1320" w:left="1580" w:header="0" w:footer="1137" w:gutter="0"/>
          <w:cols w:equalWidth="0" w:num="2">
            <w:col w:w="2014" w:space="40"/>
            <w:col w:w="7196"/>
          </w:cols>
        </w:sectPr>
      </w:pPr>
    </w:p>
    <w:p>
      <w:pPr>
        <w:pStyle w:val="2"/>
        <w:spacing w:before="4"/>
        <w:rPr>
          <w:rFonts w:ascii="黑体"/>
          <w:b/>
          <w:sz w:val="19"/>
        </w:rPr>
      </w:pPr>
    </w:p>
    <w:p>
      <w:pPr>
        <w:spacing w:after="0"/>
        <w:rPr>
          <w:rFonts w:ascii="黑体"/>
          <w:sz w:val="19"/>
        </w:rPr>
        <w:sectPr>
          <w:type w:val="continuous"/>
          <w:pgSz w:w="11910" w:h="16840"/>
          <w:pgMar w:top="260" w:right="1080" w:bottom="1320" w:left="1580" w:header="0" w:footer="1137" w:gutter="0"/>
          <w:cols w:space="720" w:num="1"/>
        </w:sectPr>
      </w:pPr>
    </w:p>
    <w:p>
      <w:pPr>
        <w:pStyle w:val="6"/>
        <w:numPr>
          <w:ilvl w:val="0"/>
          <w:numId w:val="40"/>
        </w:numPr>
        <w:tabs>
          <w:tab w:val="left" w:pos="761"/>
        </w:tabs>
        <w:spacing w:before="63" w:after="0" w:line="240" w:lineRule="auto"/>
        <w:ind w:left="760" w:right="38" w:hanging="761"/>
        <w:jc w:val="right"/>
        <w:rPr>
          <w:b/>
          <w:sz w:val="21"/>
        </w:rPr>
      </w:pPr>
      <w:r>
        <w:rPr>
          <w:b/>
          <w:spacing w:val="-2"/>
          <w:sz w:val="21"/>
        </w:rPr>
        <w:t>进行性多灶</w:t>
      </w:r>
    </w:p>
    <w:p>
      <w:pPr>
        <w:spacing w:before="43"/>
        <w:ind w:left="0" w:right="38" w:firstLine="0"/>
        <w:jc w:val="right"/>
        <w:rPr>
          <w:b/>
          <w:sz w:val="21"/>
        </w:rPr>
      </w:pPr>
      <w:r>
        <w:rPr>
          <w:b/>
          <w:spacing w:val="-2"/>
          <w:sz w:val="21"/>
        </w:rPr>
        <w:t>性白质脑病</w:t>
      </w:r>
    </w:p>
    <w:p>
      <w:pPr>
        <w:pStyle w:val="2"/>
        <w:spacing w:before="63" w:line="278" w:lineRule="auto"/>
        <w:ind w:left="194" w:right="730"/>
      </w:pPr>
      <w:r>
        <w:br w:type="column"/>
      </w:r>
      <w:r>
        <w:rPr>
          <w:spacing w:val="-2"/>
        </w:rPr>
        <w:t>是一种亚急性脱髓鞘性脑病，常常发现于免疫缺陷的病人。必须由神经科专科医生根据脑组织活检确诊。</w:t>
      </w:r>
    </w:p>
    <w:p>
      <w:pPr>
        <w:spacing w:after="0" w:line="278" w:lineRule="auto"/>
        <w:sectPr>
          <w:type w:val="continuous"/>
          <w:pgSz w:w="11910" w:h="16840"/>
          <w:pgMar w:top="260" w:right="1080" w:bottom="1320" w:left="1580" w:header="0" w:footer="1137" w:gutter="0"/>
          <w:cols w:equalWidth="0" w:num="2">
            <w:col w:w="1857" w:space="179"/>
            <w:col w:w="7214"/>
          </w:cols>
        </w:sectPr>
      </w:pPr>
    </w:p>
    <w:p>
      <w:pPr>
        <w:pStyle w:val="2"/>
        <w:spacing w:before="6"/>
        <w:rPr>
          <w:sz w:val="19"/>
        </w:rPr>
      </w:pPr>
    </w:p>
    <w:p>
      <w:pPr>
        <w:spacing w:after="0"/>
        <w:rPr>
          <w:sz w:val="19"/>
        </w:rPr>
        <w:sectPr>
          <w:type w:val="continuous"/>
          <w:pgSz w:w="11910" w:h="16840"/>
          <w:pgMar w:top="260" w:right="1080" w:bottom="1320" w:left="1580" w:header="0" w:footer="1137" w:gutter="0"/>
          <w:cols w:space="720" w:num="1"/>
        </w:sectPr>
      </w:pPr>
    </w:p>
    <w:p>
      <w:pPr>
        <w:pStyle w:val="6"/>
        <w:numPr>
          <w:ilvl w:val="0"/>
          <w:numId w:val="40"/>
        </w:numPr>
        <w:tabs>
          <w:tab w:val="left" w:pos="761"/>
        </w:tabs>
        <w:spacing w:before="63" w:after="0" w:line="278" w:lineRule="auto"/>
        <w:ind w:left="760" w:right="38" w:hanging="567"/>
        <w:jc w:val="left"/>
        <w:rPr>
          <w:b/>
          <w:sz w:val="21"/>
        </w:rPr>
      </w:pPr>
      <w:r>
        <w:rPr>
          <w:b/>
          <w:spacing w:val="-2"/>
          <w:sz w:val="21"/>
        </w:rPr>
        <w:t>脊髓小脑变</w:t>
      </w:r>
      <w:r>
        <w:rPr>
          <w:b/>
          <w:spacing w:val="-6"/>
          <w:sz w:val="21"/>
        </w:rPr>
        <w:t>性症</w:t>
      </w:r>
    </w:p>
    <w:p>
      <w:pPr>
        <w:pStyle w:val="2"/>
        <w:spacing w:before="63" w:line="278" w:lineRule="auto"/>
        <w:ind w:left="194" w:right="917"/>
      </w:pPr>
      <w:r>
        <w:br w:type="column"/>
      </w:r>
      <w:r>
        <w:rPr>
          <w:spacing w:val="-2"/>
        </w:rPr>
        <w:t>脊髓小脑变性症为一组以小脑萎缩和共济失调为主要临床特点的疾病。必须符合所有以下条件：</w:t>
      </w:r>
    </w:p>
    <w:p>
      <w:pPr>
        <w:pStyle w:val="6"/>
        <w:numPr>
          <w:ilvl w:val="0"/>
          <w:numId w:val="42"/>
        </w:numPr>
        <w:tabs>
          <w:tab w:val="left" w:pos="778"/>
        </w:tabs>
        <w:spacing w:before="0" w:after="0" w:line="269" w:lineRule="exact"/>
        <w:ind w:left="777" w:right="0" w:hanging="584"/>
        <w:jc w:val="left"/>
        <w:rPr>
          <w:sz w:val="21"/>
        </w:rPr>
      </w:pPr>
      <w:r>
        <w:rPr>
          <w:spacing w:val="-3"/>
          <w:sz w:val="21"/>
        </w:rPr>
        <w:t>脊髓小脑变性症必须由医院诊断，并有以下证据支持：</w:t>
      </w:r>
    </w:p>
    <w:p>
      <w:pPr>
        <w:pStyle w:val="2"/>
        <w:tabs>
          <w:tab w:val="left" w:pos="1033"/>
        </w:tabs>
        <w:spacing w:before="43"/>
        <w:ind w:left="614"/>
      </w:pPr>
      <w:r>
        <w:rPr>
          <w:rFonts w:ascii="MS PGothic" w:hAnsi="MS PGothic" w:eastAsia="MS PGothic"/>
          <w:spacing w:val="-10"/>
        </w:rPr>
        <w:t>①</w:t>
      </w:r>
      <w:r>
        <w:rPr>
          <w:rFonts w:ascii="MS PGothic" w:hAnsi="MS PGothic" w:eastAsia="MS PGothic"/>
        </w:rPr>
        <w:tab/>
      </w:r>
      <w:r>
        <w:rPr>
          <w:spacing w:val="-3"/>
        </w:rPr>
        <w:t>影像学检查证实存在小脑萎缩；</w:t>
      </w:r>
    </w:p>
    <w:p>
      <w:pPr>
        <w:pStyle w:val="2"/>
        <w:tabs>
          <w:tab w:val="left" w:pos="1033"/>
        </w:tabs>
        <w:spacing w:before="43"/>
        <w:ind w:left="614"/>
      </w:pPr>
      <w:r>
        <w:rPr>
          <w:rFonts w:ascii="MS PGothic" w:hAnsi="MS PGothic" w:eastAsia="MS PGothic"/>
          <w:spacing w:val="-10"/>
        </w:rPr>
        <w:t>②</w:t>
      </w:r>
      <w:r>
        <w:rPr>
          <w:rFonts w:ascii="MS PGothic" w:hAnsi="MS PGothic" w:eastAsia="MS PGothic"/>
        </w:rPr>
        <w:tab/>
      </w:r>
      <w:r>
        <w:rPr>
          <w:spacing w:val="-3"/>
        </w:rPr>
        <w:t>临床表现存在共济失调、语言障碍和肌张力异常。</w:t>
      </w:r>
    </w:p>
    <w:p>
      <w:pPr>
        <w:pStyle w:val="6"/>
        <w:numPr>
          <w:ilvl w:val="0"/>
          <w:numId w:val="42"/>
        </w:numPr>
        <w:tabs>
          <w:tab w:val="left" w:pos="778"/>
        </w:tabs>
        <w:spacing w:before="43" w:after="0" w:line="278" w:lineRule="auto"/>
        <w:ind w:left="760" w:right="754" w:hanging="567"/>
        <w:jc w:val="left"/>
        <w:rPr>
          <w:sz w:val="21"/>
        </w:rPr>
      </w:pPr>
      <w:r>
        <w:rPr>
          <w:spacing w:val="-2"/>
          <w:sz w:val="21"/>
        </w:rPr>
        <w:t>被保险人运动功能严重障碍，自主生活能力完全丧失，无法独立完成六项基本日常生活活动中的三项或三项以上。</w:t>
      </w:r>
    </w:p>
    <w:p>
      <w:pPr>
        <w:spacing w:after="0" w:line="278" w:lineRule="auto"/>
        <w:jc w:val="left"/>
        <w:rPr>
          <w:sz w:val="21"/>
        </w:rPr>
        <w:sectPr>
          <w:type w:val="continuous"/>
          <w:pgSz w:w="11910" w:h="16840"/>
          <w:pgMar w:top="260" w:right="1080" w:bottom="1320" w:left="1580" w:header="0" w:footer="1137" w:gutter="0"/>
          <w:cols w:equalWidth="0" w:num="2">
            <w:col w:w="1857" w:space="179"/>
            <w:col w:w="7214"/>
          </w:cols>
        </w:sectPr>
      </w:pPr>
    </w:p>
    <w:p>
      <w:pPr>
        <w:pStyle w:val="2"/>
        <w:spacing w:before="5"/>
        <w:rPr>
          <w:sz w:val="19"/>
        </w:rPr>
      </w:pPr>
    </w:p>
    <w:p>
      <w:pPr>
        <w:spacing w:after="0"/>
        <w:rPr>
          <w:sz w:val="19"/>
        </w:rPr>
        <w:sectPr>
          <w:type w:val="continuous"/>
          <w:pgSz w:w="11910" w:h="16840"/>
          <w:pgMar w:top="260" w:right="1080" w:bottom="1320" w:left="1580" w:header="0" w:footer="1137" w:gutter="0"/>
          <w:cols w:space="720" w:num="1"/>
        </w:sectPr>
      </w:pPr>
    </w:p>
    <w:p>
      <w:pPr>
        <w:pStyle w:val="6"/>
        <w:numPr>
          <w:ilvl w:val="0"/>
          <w:numId w:val="40"/>
        </w:numPr>
        <w:tabs>
          <w:tab w:val="left" w:pos="761"/>
        </w:tabs>
        <w:spacing w:before="63" w:after="0" w:line="240" w:lineRule="auto"/>
        <w:ind w:left="760" w:right="38" w:hanging="761"/>
        <w:jc w:val="right"/>
        <w:rPr>
          <w:b/>
          <w:sz w:val="21"/>
        </w:rPr>
      </w:pPr>
      <w:r>
        <w:rPr>
          <w:b/>
          <w:spacing w:val="-2"/>
          <w:sz w:val="21"/>
        </w:rPr>
        <w:t>婴儿进行性</w:t>
      </w:r>
    </w:p>
    <w:p>
      <w:pPr>
        <w:spacing w:before="43"/>
        <w:ind w:left="0" w:right="38" w:firstLine="0"/>
        <w:jc w:val="right"/>
        <w:rPr>
          <w:b/>
          <w:sz w:val="21"/>
        </w:rPr>
      </w:pPr>
      <w:r>
        <w:rPr>
          <w:b/>
          <w:spacing w:val="-2"/>
          <w:sz w:val="21"/>
        </w:rPr>
        <w:t>脊肌萎缩症</w:t>
      </w:r>
    </w:p>
    <w:p>
      <w:pPr>
        <w:pStyle w:val="2"/>
        <w:spacing w:before="63" w:line="278" w:lineRule="auto"/>
        <w:ind w:left="194" w:right="728"/>
        <w:jc w:val="both"/>
      </w:pPr>
      <w:r>
        <w:br w:type="column"/>
      </w:r>
      <w:r>
        <w:rPr>
          <w:spacing w:val="-2"/>
        </w:rPr>
        <w:t>该病是累及脊髓前角细胞及延髓运动核的神经元退行性变性病。在出生后两年内出现的脊髓和脑干颅神经前角细胞进行性机能障碍，伴随肌肉无力和延髓机能障碍。</w:t>
      </w:r>
    </w:p>
    <w:p>
      <w:pPr>
        <w:spacing w:after="0" w:line="278" w:lineRule="auto"/>
        <w:jc w:val="both"/>
        <w:sectPr>
          <w:type w:val="continuous"/>
          <w:pgSz w:w="11910" w:h="16840"/>
          <w:pgMar w:top="260" w:right="1080" w:bottom="1320" w:left="1580" w:header="0" w:footer="1137" w:gutter="0"/>
          <w:cols w:equalWidth="0" w:num="2">
            <w:col w:w="1857" w:space="179"/>
            <w:col w:w="7214"/>
          </w:cols>
        </w:sectPr>
      </w:pPr>
    </w:p>
    <w:p>
      <w:pPr>
        <w:spacing w:before="44" w:line="278" w:lineRule="auto"/>
        <w:ind w:left="2229" w:right="732" w:firstLine="0"/>
        <w:jc w:val="left"/>
        <w:rPr>
          <w:rFonts w:hint="eastAsia" w:ascii="黑体" w:hAnsi="黑体" w:eastAsia="黑体"/>
          <w:b/>
          <w:sz w:val="21"/>
        </w:rPr>
      </w:pPr>
      <w:r>
        <w:rPr>
          <w:rFonts w:hint="eastAsia" w:ascii="黑体" w:hAnsi="黑体" w:eastAsia="黑体"/>
          <w:b/>
          <w:spacing w:val="-2"/>
          <w:sz w:val="21"/>
        </w:rPr>
        <w:t>我们承担本项疾病责任不受本合同责任免除中“遗传性疾病，先天性畸形、变形或染色体异常”的限制。</w:t>
      </w:r>
    </w:p>
    <w:p>
      <w:pPr>
        <w:pStyle w:val="2"/>
        <w:spacing w:before="5"/>
        <w:rPr>
          <w:rFonts w:ascii="黑体"/>
          <w:b/>
          <w:sz w:val="19"/>
        </w:rPr>
      </w:pPr>
    </w:p>
    <w:p>
      <w:pPr>
        <w:spacing w:after="0"/>
        <w:rPr>
          <w:rFonts w:ascii="黑体"/>
          <w:sz w:val="19"/>
        </w:rPr>
        <w:sectPr>
          <w:pgSz w:w="11910" w:h="16840"/>
          <w:pgMar w:top="1400" w:right="1080" w:bottom="1320" w:left="1580" w:header="0" w:footer="1137" w:gutter="0"/>
          <w:cols w:space="720" w:num="1"/>
        </w:sectPr>
      </w:pPr>
    </w:p>
    <w:p>
      <w:pPr>
        <w:pStyle w:val="6"/>
        <w:numPr>
          <w:ilvl w:val="0"/>
          <w:numId w:val="40"/>
        </w:numPr>
        <w:tabs>
          <w:tab w:val="left" w:pos="761"/>
        </w:tabs>
        <w:spacing w:before="64" w:after="0" w:line="240" w:lineRule="auto"/>
        <w:ind w:left="760" w:right="38" w:hanging="761"/>
        <w:jc w:val="right"/>
        <w:rPr>
          <w:b/>
          <w:sz w:val="21"/>
        </w:rPr>
      </w:pPr>
      <w:r>
        <w:rPr>
          <w:b/>
          <w:spacing w:val="-2"/>
          <w:sz w:val="21"/>
        </w:rPr>
        <w:t>多处臂丛神</w:t>
      </w:r>
    </w:p>
    <w:p>
      <w:pPr>
        <w:spacing w:before="43"/>
        <w:ind w:left="0" w:right="38" w:firstLine="0"/>
        <w:jc w:val="right"/>
        <w:rPr>
          <w:b/>
          <w:sz w:val="21"/>
        </w:rPr>
      </w:pPr>
      <w:r>
        <w:rPr>
          <w:b/>
          <w:spacing w:val="-2"/>
          <w:sz w:val="21"/>
        </w:rPr>
        <w:t>经根性撕脱</w:t>
      </w:r>
    </w:p>
    <w:p>
      <w:pPr>
        <w:pStyle w:val="2"/>
        <w:spacing w:before="64" w:line="278" w:lineRule="auto"/>
        <w:ind w:left="194" w:right="708"/>
        <w:jc w:val="both"/>
      </w:pPr>
      <w:r>
        <w:br w:type="column"/>
      </w:r>
      <w:r>
        <w:rPr>
          <w:spacing w:val="-2"/>
        </w:rPr>
        <w:t>由于疾病或意外导致至少两根臂丛神经根性撕脱，所造成的手臂感觉功能与运动功能完全永久性丧失。该病须由医院专科医生明确诊断，并且有电生理检查结果证实。</w:t>
      </w:r>
    </w:p>
    <w:p>
      <w:pPr>
        <w:spacing w:after="0" w:line="278" w:lineRule="auto"/>
        <w:jc w:val="both"/>
        <w:sectPr>
          <w:type w:val="continuous"/>
          <w:pgSz w:w="11910" w:h="16840"/>
          <w:pgMar w:top="260" w:right="1080" w:bottom="1320" w:left="1580" w:header="0" w:footer="1137" w:gutter="0"/>
          <w:cols w:equalWidth="0" w:num="2">
            <w:col w:w="1857" w:space="179"/>
            <w:col w:w="7214"/>
          </w:cols>
        </w:sectPr>
      </w:pPr>
    </w:p>
    <w:p>
      <w:pPr>
        <w:pStyle w:val="2"/>
        <w:spacing w:before="5"/>
        <w:rPr>
          <w:sz w:val="19"/>
        </w:rPr>
      </w:pPr>
    </w:p>
    <w:p>
      <w:pPr>
        <w:spacing w:after="0"/>
        <w:rPr>
          <w:sz w:val="19"/>
        </w:rPr>
        <w:sectPr>
          <w:type w:val="continuous"/>
          <w:pgSz w:w="11910" w:h="16840"/>
          <w:pgMar w:top="260" w:right="1080" w:bottom="1320" w:left="1580" w:header="0" w:footer="1137" w:gutter="0"/>
          <w:cols w:space="720" w:num="1"/>
        </w:sectPr>
      </w:pPr>
    </w:p>
    <w:p>
      <w:pPr>
        <w:pStyle w:val="6"/>
        <w:numPr>
          <w:ilvl w:val="0"/>
          <w:numId w:val="40"/>
        </w:numPr>
        <w:tabs>
          <w:tab w:val="left" w:pos="761"/>
        </w:tabs>
        <w:spacing w:before="63" w:after="0" w:line="240" w:lineRule="auto"/>
        <w:ind w:left="760" w:right="38" w:hanging="761"/>
        <w:jc w:val="right"/>
        <w:rPr>
          <w:b/>
          <w:sz w:val="21"/>
        </w:rPr>
      </w:pPr>
      <w:r>
        <w:rPr>
          <w:b/>
          <w:spacing w:val="-2"/>
          <w:sz w:val="21"/>
        </w:rPr>
        <w:t>严重甲型及</w:t>
      </w:r>
    </w:p>
    <w:p>
      <w:pPr>
        <w:spacing w:before="43"/>
        <w:ind w:left="0" w:right="38" w:firstLine="0"/>
        <w:jc w:val="right"/>
        <w:rPr>
          <w:b/>
          <w:sz w:val="21"/>
        </w:rPr>
      </w:pPr>
      <w:r>
        <w:rPr>
          <w:b/>
          <w:spacing w:val="-2"/>
          <w:sz w:val="21"/>
        </w:rPr>
        <w:t>乙型血友病</w:t>
      </w:r>
    </w:p>
    <w:p>
      <w:pPr>
        <w:spacing w:before="63" w:line="278" w:lineRule="auto"/>
        <w:ind w:left="194" w:right="708" w:firstLine="0"/>
        <w:jc w:val="left"/>
        <w:rPr>
          <w:b/>
          <w:sz w:val="21"/>
        </w:rPr>
      </w:pPr>
      <w:r>
        <w:br w:type="column"/>
      </w:r>
      <w:r>
        <w:rPr>
          <w:spacing w:val="-2"/>
          <w:sz w:val="21"/>
        </w:rPr>
        <w:t>被保险人必须是患上严重甲型血友病（缺乏Ⅷ凝血因子）或严重乙型血友病（缺乏Ⅸ凝血因子</w:t>
      </w:r>
      <w:r>
        <w:rPr>
          <w:spacing w:val="-108"/>
          <w:sz w:val="21"/>
        </w:rPr>
        <w:t>）</w:t>
      </w:r>
      <w:r>
        <w:rPr>
          <w:spacing w:val="-2"/>
          <w:sz w:val="21"/>
        </w:rPr>
        <w:t>，而凝血因子Ⅷ或凝血因子Ⅸ的活性水平少于百分之一。诊断必须由我们认可的医院的血液病专科医生确认。</w:t>
      </w:r>
      <w:r>
        <w:rPr>
          <w:b/>
          <w:spacing w:val="-2"/>
          <w:sz w:val="21"/>
        </w:rPr>
        <w:t>我们承担本项疾病责任不受本合同责任免除中“遗传性疾病，先天性畸形、变形或染色体异常”的限制。</w:t>
      </w:r>
    </w:p>
    <w:p>
      <w:pPr>
        <w:spacing w:after="0" w:line="278" w:lineRule="auto"/>
        <w:jc w:val="left"/>
        <w:rPr>
          <w:sz w:val="21"/>
        </w:rPr>
        <w:sectPr>
          <w:type w:val="continuous"/>
          <w:pgSz w:w="11910" w:h="16840"/>
          <w:pgMar w:top="260" w:right="1080" w:bottom="1320" w:left="1580" w:header="0" w:footer="1137" w:gutter="0"/>
          <w:cols w:equalWidth="0" w:num="2">
            <w:col w:w="1857" w:space="179"/>
            <w:col w:w="7214"/>
          </w:cols>
        </w:sectPr>
      </w:pPr>
    </w:p>
    <w:p>
      <w:pPr>
        <w:pStyle w:val="2"/>
        <w:spacing w:before="5"/>
        <w:rPr>
          <w:b/>
          <w:sz w:val="19"/>
        </w:rPr>
      </w:pPr>
    </w:p>
    <w:p>
      <w:pPr>
        <w:spacing w:after="0"/>
        <w:rPr>
          <w:sz w:val="19"/>
        </w:rPr>
        <w:sectPr>
          <w:type w:val="continuous"/>
          <w:pgSz w:w="11910" w:h="16840"/>
          <w:pgMar w:top="260" w:right="1080" w:bottom="1320" w:left="1580" w:header="0" w:footer="1137" w:gutter="0"/>
          <w:cols w:space="720" w:num="1"/>
        </w:sectPr>
      </w:pPr>
    </w:p>
    <w:p>
      <w:pPr>
        <w:pStyle w:val="6"/>
        <w:numPr>
          <w:ilvl w:val="0"/>
          <w:numId w:val="40"/>
        </w:numPr>
        <w:tabs>
          <w:tab w:val="left" w:pos="761"/>
        </w:tabs>
        <w:spacing w:before="64" w:after="0" w:line="278" w:lineRule="auto"/>
        <w:ind w:left="760" w:right="38" w:hanging="567"/>
        <w:jc w:val="left"/>
        <w:rPr>
          <w:b/>
          <w:sz w:val="21"/>
        </w:rPr>
      </w:pPr>
      <w:r>
        <w:rPr>
          <w:b/>
          <w:spacing w:val="-2"/>
          <w:sz w:val="21"/>
        </w:rPr>
        <w:t>艾森门格综</w:t>
      </w:r>
      <w:r>
        <w:rPr>
          <w:b/>
          <w:spacing w:val="-6"/>
          <w:sz w:val="21"/>
        </w:rPr>
        <w:t>合征</w:t>
      </w:r>
    </w:p>
    <w:p>
      <w:pPr>
        <w:pStyle w:val="2"/>
        <w:rPr>
          <w:b/>
          <w:sz w:val="20"/>
        </w:rPr>
      </w:pPr>
    </w:p>
    <w:p>
      <w:pPr>
        <w:pStyle w:val="2"/>
        <w:rPr>
          <w:b/>
          <w:sz w:val="20"/>
        </w:rPr>
      </w:pPr>
    </w:p>
    <w:p>
      <w:pPr>
        <w:pStyle w:val="2"/>
        <w:rPr>
          <w:b/>
          <w:sz w:val="20"/>
        </w:rPr>
      </w:pPr>
    </w:p>
    <w:p>
      <w:pPr>
        <w:pStyle w:val="2"/>
        <w:rPr>
          <w:b/>
          <w:sz w:val="20"/>
        </w:rPr>
      </w:pPr>
    </w:p>
    <w:p>
      <w:pPr>
        <w:pStyle w:val="2"/>
        <w:rPr>
          <w:b/>
          <w:sz w:val="20"/>
        </w:rPr>
      </w:pPr>
    </w:p>
    <w:p>
      <w:pPr>
        <w:pStyle w:val="2"/>
        <w:spacing w:before="9"/>
        <w:rPr>
          <w:b/>
        </w:rPr>
      </w:pPr>
    </w:p>
    <w:p>
      <w:pPr>
        <w:pStyle w:val="6"/>
        <w:numPr>
          <w:ilvl w:val="0"/>
          <w:numId w:val="40"/>
        </w:numPr>
        <w:tabs>
          <w:tab w:val="left" w:pos="761"/>
        </w:tabs>
        <w:spacing w:before="0" w:after="0" w:line="278" w:lineRule="auto"/>
        <w:ind w:left="760" w:right="38" w:hanging="567"/>
        <w:jc w:val="left"/>
        <w:rPr>
          <w:b/>
          <w:sz w:val="21"/>
        </w:rPr>
      </w:pPr>
      <w:r>
        <w:rPr>
          <w:b/>
          <w:spacing w:val="-2"/>
          <w:sz w:val="21"/>
        </w:rPr>
        <w:t>细菌性脑脊</w:t>
      </w:r>
      <w:r>
        <w:rPr>
          <w:b/>
          <w:spacing w:val="-4"/>
          <w:sz w:val="21"/>
        </w:rPr>
        <w:t>髓膜炎</w:t>
      </w:r>
    </w:p>
    <w:p>
      <w:pPr>
        <w:pStyle w:val="2"/>
        <w:spacing w:before="64" w:line="278" w:lineRule="auto"/>
        <w:ind w:left="194" w:right="730"/>
      </w:pPr>
      <w:r>
        <w:br w:type="column"/>
      </w:r>
      <w:r>
        <w:rPr>
          <w:spacing w:val="-2"/>
        </w:rPr>
        <w:t>因心脏病导致的严重肺动脉高压及右向左分流。诊断必须由心脏专科医生经超声心动图和心导管检查证实及需符合以下所有标准：</w:t>
      </w:r>
    </w:p>
    <w:p>
      <w:pPr>
        <w:pStyle w:val="6"/>
        <w:numPr>
          <w:ilvl w:val="0"/>
          <w:numId w:val="43"/>
        </w:numPr>
        <w:tabs>
          <w:tab w:val="left" w:pos="778"/>
        </w:tabs>
        <w:spacing w:before="0" w:after="0" w:line="269" w:lineRule="exact"/>
        <w:ind w:left="777" w:right="0" w:hanging="584"/>
        <w:jc w:val="left"/>
        <w:rPr>
          <w:sz w:val="21"/>
        </w:rPr>
      </w:pPr>
      <w:r>
        <w:rPr>
          <w:spacing w:val="-7"/>
          <w:sz w:val="21"/>
        </w:rPr>
        <w:t xml:space="preserve">平均肺动脉压高于 </w:t>
      </w:r>
      <w:r>
        <w:rPr>
          <w:spacing w:val="-2"/>
          <w:sz w:val="21"/>
        </w:rPr>
        <w:t>40mmHg；</w:t>
      </w:r>
    </w:p>
    <w:p>
      <w:pPr>
        <w:pStyle w:val="6"/>
        <w:numPr>
          <w:ilvl w:val="0"/>
          <w:numId w:val="43"/>
        </w:numPr>
        <w:tabs>
          <w:tab w:val="left" w:pos="778"/>
        </w:tabs>
        <w:spacing w:before="43" w:after="0" w:line="240" w:lineRule="auto"/>
        <w:ind w:left="777" w:right="0" w:hanging="584"/>
        <w:jc w:val="left"/>
        <w:rPr>
          <w:sz w:val="21"/>
        </w:rPr>
      </w:pPr>
      <w:r>
        <w:rPr>
          <w:spacing w:val="-8"/>
          <w:sz w:val="21"/>
        </w:rPr>
        <w:t xml:space="preserve">肺血管阻力高于 </w:t>
      </w:r>
      <w:r>
        <w:rPr>
          <w:spacing w:val="-2"/>
          <w:sz w:val="21"/>
        </w:rPr>
        <w:t>3mm/L/min（Wood</w:t>
      </w:r>
      <w:r>
        <w:rPr>
          <w:spacing w:val="-16"/>
          <w:sz w:val="21"/>
        </w:rPr>
        <w:t xml:space="preserve"> 单位</w:t>
      </w:r>
      <w:r>
        <w:rPr>
          <w:spacing w:val="-113"/>
          <w:sz w:val="21"/>
        </w:rPr>
        <w:t>）</w:t>
      </w:r>
      <w:r>
        <w:rPr>
          <w:spacing w:val="-5"/>
          <w:sz w:val="21"/>
        </w:rPr>
        <w:t>；</w:t>
      </w:r>
    </w:p>
    <w:p>
      <w:pPr>
        <w:pStyle w:val="6"/>
        <w:numPr>
          <w:ilvl w:val="0"/>
          <w:numId w:val="43"/>
        </w:numPr>
        <w:tabs>
          <w:tab w:val="left" w:pos="778"/>
        </w:tabs>
        <w:spacing w:before="43" w:after="0" w:line="240" w:lineRule="auto"/>
        <w:ind w:left="777" w:right="0" w:hanging="584"/>
        <w:jc w:val="left"/>
        <w:rPr>
          <w:sz w:val="21"/>
        </w:rPr>
      </w:pPr>
      <w:r>
        <w:rPr>
          <w:spacing w:val="-6"/>
          <w:sz w:val="21"/>
        </w:rPr>
        <w:t xml:space="preserve">正常肺微血管楔压低于 </w:t>
      </w:r>
      <w:r>
        <w:rPr>
          <w:spacing w:val="-2"/>
          <w:sz w:val="21"/>
        </w:rPr>
        <w:t>15mmHg；</w:t>
      </w:r>
    </w:p>
    <w:p>
      <w:pPr>
        <w:spacing w:before="42" w:line="278" w:lineRule="auto"/>
        <w:ind w:left="194" w:right="733" w:firstLine="0"/>
        <w:jc w:val="left"/>
        <w:rPr>
          <w:rFonts w:hint="eastAsia" w:ascii="黑体" w:hAnsi="黑体" w:eastAsia="黑体"/>
          <w:b/>
          <w:sz w:val="21"/>
        </w:rPr>
      </w:pPr>
      <w:r>
        <w:rPr>
          <w:rFonts w:hint="eastAsia" w:ascii="黑体" w:hAnsi="黑体" w:eastAsia="黑体"/>
          <w:b/>
          <w:spacing w:val="-2"/>
          <w:sz w:val="21"/>
        </w:rPr>
        <w:t>我们承担本项疾病责任不受本合同责任免除中“遗传性疾病，先天性畸形、变形或染色体异常”的限制。</w:t>
      </w:r>
    </w:p>
    <w:p>
      <w:pPr>
        <w:pStyle w:val="2"/>
        <w:spacing w:line="278" w:lineRule="auto"/>
        <w:ind w:left="194" w:right="727"/>
      </w:pPr>
      <w:r>
        <w:rPr>
          <w:spacing w:val="-2"/>
        </w:rPr>
        <w:t>指因脑膜炎双球菌感染引起脑脊髓膜化脓性病变，且导致永久性神经</w:t>
      </w:r>
      <w:r>
        <w:rPr>
          <w:spacing w:val="-4"/>
        </w:rPr>
        <w:t xml:space="preserve">损害，持续 </w:t>
      </w:r>
      <w:r>
        <w:t>180</w:t>
      </w:r>
      <w:r>
        <w:rPr>
          <w:spacing w:val="-5"/>
        </w:rPr>
        <w:t xml:space="preserve"> 天以上，并且脑脊液检查显示脑膜炎双球菌阳性。</w:t>
      </w:r>
      <w:r>
        <w:t xml:space="preserve"> </w:t>
      </w:r>
      <w:r>
        <w:rPr>
          <w:spacing w:val="-2"/>
        </w:rPr>
        <w:t>永久性神经损害是指由细菌性脑脊髓膜炎引起的耳聋、失明、动眼神经麻痹、瘫痪、脑积水、智力或性情中度以上的损害，且上述症状持</w:t>
      </w:r>
      <w:r>
        <w:rPr>
          <w:spacing w:val="-11"/>
        </w:rPr>
        <w:t xml:space="preserve">续 </w:t>
      </w:r>
      <w:r>
        <w:t>180</w:t>
      </w:r>
      <w:r>
        <w:rPr>
          <w:spacing w:val="-5"/>
        </w:rPr>
        <w:t xml:space="preserve"> 天以上仍无改善迹象。</w:t>
      </w:r>
    </w:p>
    <w:p>
      <w:pPr>
        <w:spacing w:after="0" w:line="278" w:lineRule="auto"/>
        <w:sectPr>
          <w:type w:val="continuous"/>
          <w:pgSz w:w="11910" w:h="16840"/>
          <w:pgMar w:top="260" w:right="1080" w:bottom="1320" w:left="1580" w:header="0" w:footer="1137" w:gutter="0"/>
          <w:cols w:equalWidth="0" w:num="2">
            <w:col w:w="1857" w:space="179"/>
            <w:col w:w="7214"/>
          </w:cols>
        </w:sectPr>
      </w:pPr>
    </w:p>
    <w:p>
      <w:pPr>
        <w:pStyle w:val="2"/>
        <w:spacing w:before="5"/>
        <w:rPr>
          <w:sz w:val="19"/>
        </w:rPr>
      </w:pPr>
    </w:p>
    <w:p>
      <w:pPr>
        <w:pStyle w:val="6"/>
        <w:numPr>
          <w:ilvl w:val="0"/>
          <w:numId w:val="40"/>
        </w:numPr>
        <w:tabs>
          <w:tab w:val="left" w:pos="761"/>
          <w:tab w:val="left" w:pos="2229"/>
        </w:tabs>
        <w:spacing w:before="64" w:after="0" w:line="278" w:lineRule="auto"/>
        <w:ind w:left="2229" w:right="730" w:hanging="2036"/>
        <w:jc w:val="left"/>
        <w:rPr>
          <w:sz w:val="21"/>
        </w:rPr>
      </w:pPr>
      <w:r>
        <w:rPr>
          <w:b/>
          <w:w w:val="100"/>
          <w:sz w:val="21"/>
        </w:rPr>
        <w:t>严重癫痫</w:t>
      </w:r>
      <w:r>
        <w:rPr>
          <w:b/>
          <w:sz w:val="21"/>
        </w:rPr>
        <w:tab/>
      </w:r>
      <w:r>
        <w:rPr>
          <w:w w:val="100"/>
          <w:sz w:val="21"/>
        </w:rPr>
        <w:t>本病</w:t>
      </w:r>
      <w:r>
        <w:rPr>
          <w:spacing w:val="-3"/>
          <w:w w:val="100"/>
          <w:sz w:val="21"/>
        </w:rPr>
        <w:t>的</w:t>
      </w:r>
      <w:r>
        <w:rPr>
          <w:w w:val="100"/>
          <w:sz w:val="21"/>
        </w:rPr>
        <w:t>诊</w:t>
      </w:r>
      <w:r>
        <w:rPr>
          <w:spacing w:val="-3"/>
          <w:w w:val="100"/>
          <w:sz w:val="21"/>
        </w:rPr>
        <w:t>断</w:t>
      </w:r>
      <w:r>
        <w:rPr>
          <w:spacing w:val="-1"/>
          <w:w w:val="100"/>
          <w:sz w:val="21"/>
        </w:rPr>
        <w:t>须</w:t>
      </w:r>
      <w:r>
        <w:rPr>
          <w:spacing w:val="-3"/>
          <w:w w:val="100"/>
          <w:sz w:val="21"/>
        </w:rPr>
        <w:t>由</w:t>
      </w:r>
      <w:r>
        <w:rPr>
          <w:w w:val="100"/>
          <w:sz w:val="21"/>
        </w:rPr>
        <w:t>神</w:t>
      </w:r>
      <w:r>
        <w:rPr>
          <w:spacing w:val="-3"/>
          <w:w w:val="100"/>
          <w:sz w:val="21"/>
        </w:rPr>
        <w:t>经</w:t>
      </w:r>
      <w:r>
        <w:rPr>
          <w:w w:val="100"/>
          <w:sz w:val="21"/>
        </w:rPr>
        <w:t>科</w:t>
      </w:r>
      <w:r>
        <w:rPr>
          <w:spacing w:val="-3"/>
          <w:w w:val="100"/>
          <w:sz w:val="21"/>
        </w:rPr>
        <w:t>或</w:t>
      </w:r>
      <w:r>
        <w:rPr>
          <w:w w:val="100"/>
          <w:sz w:val="21"/>
        </w:rPr>
        <w:t>儿科</w:t>
      </w:r>
      <w:r>
        <w:rPr>
          <w:spacing w:val="-2"/>
          <w:w w:val="100"/>
          <w:sz w:val="21"/>
        </w:rPr>
        <w:t>专</w:t>
      </w:r>
      <w:r>
        <w:rPr>
          <w:w w:val="100"/>
          <w:sz w:val="21"/>
        </w:rPr>
        <w:t>科</w:t>
      </w:r>
      <w:r>
        <w:rPr>
          <w:spacing w:val="-3"/>
          <w:w w:val="100"/>
          <w:sz w:val="21"/>
        </w:rPr>
        <w:t>医</w:t>
      </w:r>
      <w:r>
        <w:rPr>
          <w:w w:val="100"/>
          <w:sz w:val="21"/>
        </w:rPr>
        <w:t>生</w:t>
      </w:r>
      <w:r>
        <w:rPr>
          <w:spacing w:val="-3"/>
          <w:w w:val="100"/>
          <w:sz w:val="21"/>
        </w:rPr>
        <w:t>根</w:t>
      </w:r>
      <w:r>
        <w:rPr>
          <w:w w:val="100"/>
          <w:sz w:val="21"/>
        </w:rPr>
        <w:t>据</w:t>
      </w:r>
      <w:r>
        <w:rPr>
          <w:spacing w:val="-3"/>
          <w:w w:val="100"/>
          <w:sz w:val="21"/>
        </w:rPr>
        <w:t>典</w:t>
      </w:r>
      <w:r>
        <w:rPr>
          <w:w w:val="100"/>
          <w:sz w:val="21"/>
        </w:rPr>
        <w:t>型</w:t>
      </w:r>
      <w:r>
        <w:rPr>
          <w:spacing w:val="-3"/>
          <w:w w:val="100"/>
          <w:sz w:val="21"/>
        </w:rPr>
        <w:t>临</w:t>
      </w:r>
      <w:r>
        <w:rPr>
          <w:w w:val="100"/>
          <w:sz w:val="21"/>
        </w:rPr>
        <w:t>床症</w:t>
      </w:r>
      <w:r>
        <w:rPr>
          <w:spacing w:val="-3"/>
          <w:w w:val="100"/>
          <w:sz w:val="21"/>
        </w:rPr>
        <w:t>状</w:t>
      </w:r>
      <w:r>
        <w:rPr>
          <w:w w:val="100"/>
          <w:sz w:val="21"/>
        </w:rPr>
        <w:t>和</w:t>
      </w:r>
      <w:r>
        <w:rPr>
          <w:spacing w:val="-3"/>
          <w:w w:val="100"/>
          <w:sz w:val="21"/>
        </w:rPr>
        <w:t>脑</w:t>
      </w:r>
      <w:r>
        <w:rPr>
          <w:w w:val="100"/>
          <w:sz w:val="21"/>
        </w:rPr>
        <w:t>电图及</w:t>
      </w:r>
      <w:r>
        <w:rPr>
          <w:spacing w:val="-53"/>
          <w:sz w:val="21"/>
        </w:rPr>
        <w:t xml:space="preserve"> </w:t>
      </w:r>
      <w:r>
        <w:rPr>
          <w:w w:val="100"/>
          <w:sz w:val="21"/>
        </w:rPr>
        <w:t>MR</w:t>
      </w:r>
      <w:r>
        <w:rPr>
          <w:spacing w:val="-3"/>
          <w:w w:val="100"/>
          <w:sz w:val="21"/>
        </w:rPr>
        <w:t>I</w:t>
      </w:r>
      <w:r>
        <w:rPr>
          <w:w w:val="100"/>
          <w:sz w:val="21"/>
        </w:rPr>
        <w:t>、P</w:t>
      </w:r>
      <w:r>
        <w:rPr>
          <w:spacing w:val="-3"/>
          <w:w w:val="100"/>
          <w:sz w:val="21"/>
        </w:rPr>
        <w:t>E</w:t>
      </w:r>
      <w:r>
        <w:rPr>
          <w:spacing w:val="-1"/>
          <w:w w:val="100"/>
          <w:sz w:val="21"/>
        </w:rPr>
        <w:t>T</w:t>
      </w:r>
      <w:r>
        <w:rPr>
          <w:w w:val="100"/>
          <w:sz w:val="21"/>
        </w:rPr>
        <w:t>、</w:t>
      </w:r>
      <w:r>
        <w:rPr>
          <w:spacing w:val="-3"/>
          <w:w w:val="100"/>
          <w:sz w:val="21"/>
        </w:rPr>
        <w:t>C</w:t>
      </w:r>
      <w:r>
        <w:rPr>
          <w:w w:val="100"/>
          <w:sz w:val="21"/>
        </w:rPr>
        <w:t>T</w:t>
      </w:r>
      <w:r>
        <w:rPr>
          <w:spacing w:val="-53"/>
          <w:sz w:val="21"/>
        </w:rPr>
        <w:t xml:space="preserve"> </w:t>
      </w:r>
      <w:r>
        <w:rPr>
          <w:spacing w:val="-3"/>
          <w:w w:val="100"/>
          <w:sz w:val="21"/>
        </w:rPr>
        <w:t>等</w:t>
      </w:r>
      <w:r>
        <w:rPr>
          <w:w w:val="100"/>
          <w:sz w:val="21"/>
        </w:rPr>
        <w:t>影</w:t>
      </w:r>
      <w:r>
        <w:rPr>
          <w:spacing w:val="-3"/>
          <w:w w:val="100"/>
          <w:sz w:val="21"/>
        </w:rPr>
        <w:t>像学</w:t>
      </w:r>
      <w:r>
        <w:rPr>
          <w:w w:val="100"/>
          <w:sz w:val="21"/>
        </w:rPr>
        <w:t>检查</w:t>
      </w:r>
      <w:r>
        <w:rPr>
          <w:spacing w:val="-3"/>
          <w:w w:val="100"/>
          <w:sz w:val="21"/>
        </w:rPr>
        <w:t>做</w:t>
      </w:r>
      <w:r>
        <w:rPr>
          <w:w w:val="100"/>
          <w:sz w:val="21"/>
        </w:rPr>
        <w:t>出</w:t>
      </w:r>
      <w:r>
        <w:rPr>
          <w:spacing w:val="-3"/>
          <w:w w:val="100"/>
          <w:sz w:val="21"/>
        </w:rPr>
        <w:t>。</w:t>
      </w:r>
      <w:r>
        <w:rPr>
          <w:w w:val="100"/>
          <w:sz w:val="21"/>
        </w:rPr>
        <w:t>理</w:t>
      </w:r>
      <w:r>
        <w:rPr>
          <w:spacing w:val="-3"/>
          <w:w w:val="100"/>
          <w:sz w:val="21"/>
        </w:rPr>
        <w:t>赔</w:t>
      </w:r>
      <w:r>
        <w:rPr>
          <w:w w:val="100"/>
          <w:sz w:val="21"/>
        </w:rPr>
        <w:t>时</w:t>
      </w:r>
      <w:r>
        <w:rPr>
          <w:spacing w:val="-3"/>
          <w:w w:val="100"/>
          <w:sz w:val="21"/>
        </w:rPr>
        <w:t>必</w:t>
      </w:r>
      <w:r>
        <w:rPr>
          <w:w w:val="100"/>
          <w:sz w:val="21"/>
        </w:rPr>
        <w:t>须</w:t>
      </w:r>
      <w:r>
        <w:rPr>
          <w:spacing w:val="-3"/>
          <w:w w:val="100"/>
          <w:sz w:val="21"/>
        </w:rPr>
        <w:t>提</w:t>
      </w:r>
      <w:r>
        <w:rPr>
          <w:w w:val="100"/>
          <w:sz w:val="21"/>
        </w:rPr>
        <w:t>供</w:t>
      </w:r>
      <w:r>
        <w:rPr>
          <w:spacing w:val="-53"/>
          <w:sz w:val="21"/>
        </w:rPr>
        <w:t xml:space="preserve"> </w:t>
      </w:r>
      <w:r>
        <w:rPr>
          <w:w w:val="100"/>
          <w:sz w:val="21"/>
        </w:rPr>
        <w:t>6</w:t>
      </w:r>
      <w:r>
        <w:rPr>
          <w:spacing w:val="-52"/>
          <w:sz w:val="21"/>
        </w:rPr>
        <w:t xml:space="preserve"> </w:t>
      </w:r>
      <w:r>
        <w:rPr>
          <w:spacing w:val="-3"/>
          <w:w w:val="100"/>
          <w:sz w:val="21"/>
        </w:rPr>
        <w:t>个</w:t>
      </w:r>
      <w:r>
        <w:rPr>
          <w:w w:val="100"/>
          <w:sz w:val="21"/>
        </w:rPr>
        <w:t>月</w:t>
      </w:r>
      <w:r>
        <w:rPr>
          <w:spacing w:val="-3"/>
          <w:w w:val="100"/>
          <w:sz w:val="21"/>
        </w:rPr>
        <w:t>以</w:t>
      </w:r>
      <w:r>
        <w:rPr>
          <w:w w:val="100"/>
          <w:sz w:val="21"/>
        </w:rPr>
        <w:t>上的相关</w:t>
      </w:r>
      <w:r>
        <w:rPr>
          <w:spacing w:val="-3"/>
          <w:w w:val="100"/>
          <w:sz w:val="21"/>
        </w:rPr>
        <w:t>病</w:t>
      </w:r>
      <w:r>
        <w:rPr>
          <w:w w:val="100"/>
          <w:sz w:val="21"/>
        </w:rPr>
        <w:t>历</w:t>
      </w:r>
      <w:r>
        <w:rPr>
          <w:spacing w:val="-3"/>
          <w:w w:val="100"/>
          <w:sz w:val="21"/>
        </w:rPr>
        <w:t>记</w:t>
      </w:r>
      <w:r>
        <w:rPr>
          <w:w w:val="100"/>
          <w:sz w:val="21"/>
        </w:rPr>
        <w:t>录</w:t>
      </w:r>
      <w:r>
        <w:rPr>
          <w:spacing w:val="-3"/>
          <w:w w:val="100"/>
          <w:sz w:val="21"/>
        </w:rPr>
        <w:t>证</w:t>
      </w:r>
      <w:r>
        <w:rPr>
          <w:w w:val="100"/>
          <w:sz w:val="21"/>
        </w:rPr>
        <w:t>明</w:t>
      </w:r>
      <w:r>
        <w:rPr>
          <w:spacing w:val="-3"/>
          <w:w w:val="100"/>
          <w:sz w:val="21"/>
        </w:rPr>
        <w:t>被</w:t>
      </w:r>
      <w:r>
        <w:rPr>
          <w:w w:val="100"/>
          <w:sz w:val="21"/>
        </w:rPr>
        <w:t>保</w:t>
      </w:r>
      <w:r>
        <w:rPr>
          <w:spacing w:val="-3"/>
          <w:w w:val="100"/>
          <w:sz w:val="21"/>
        </w:rPr>
        <w:t>险</w:t>
      </w:r>
      <w:r>
        <w:rPr>
          <w:w w:val="100"/>
          <w:sz w:val="21"/>
        </w:rPr>
        <w:t>人存</w:t>
      </w:r>
      <w:r>
        <w:rPr>
          <w:spacing w:val="-3"/>
          <w:w w:val="100"/>
          <w:sz w:val="21"/>
        </w:rPr>
        <w:t>在</w:t>
      </w:r>
      <w:r>
        <w:rPr>
          <w:spacing w:val="-1"/>
          <w:w w:val="100"/>
          <w:sz w:val="21"/>
        </w:rPr>
        <w:t>经</w:t>
      </w:r>
      <w:r>
        <w:rPr>
          <w:spacing w:val="-3"/>
          <w:w w:val="100"/>
          <w:sz w:val="21"/>
        </w:rPr>
        <w:t>抗</w:t>
      </w:r>
      <w:r>
        <w:rPr>
          <w:w w:val="100"/>
          <w:sz w:val="21"/>
        </w:rPr>
        <w:t>癫</w:t>
      </w:r>
      <w:r>
        <w:rPr>
          <w:spacing w:val="-3"/>
          <w:w w:val="100"/>
          <w:sz w:val="21"/>
        </w:rPr>
        <w:t>痫</w:t>
      </w:r>
      <w:r>
        <w:rPr>
          <w:w w:val="100"/>
          <w:sz w:val="21"/>
        </w:rPr>
        <w:t>药</w:t>
      </w:r>
      <w:r>
        <w:rPr>
          <w:spacing w:val="-3"/>
          <w:w w:val="100"/>
          <w:sz w:val="21"/>
        </w:rPr>
        <w:t>物</w:t>
      </w:r>
      <w:r>
        <w:rPr>
          <w:w w:val="100"/>
          <w:sz w:val="21"/>
        </w:rPr>
        <w:t>治</w:t>
      </w:r>
      <w:r>
        <w:rPr>
          <w:spacing w:val="-3"/>
          <w:w w:val="100"/>
          <w:sz w:val="21"/>
        </w:rPr>
        <w:t>疗</w:t>
      </w:r>
      <w:r>
        <w:rPr>
          <w:w w:val="100"/>
          <w:sz w:val="21"/>
        </w:rPr>
        <w:t>无效</w:t>
      </w:r>
      <w:r>
        <w:rPr>
          <w:spacing w:val="-3"/>
          <w:w w:val="100"/>
          <w:sz w:val="21"/>
        </w:rPr>
        <w:t>而</w:t>
      </w:r>
      <w:r>
        <w:rPr>
          <w:w w:val="100"/>
          <w:sz w:val="21"/>
        </w:rPr>
        <w:t>反</w:t>
      </w:r>
      <w:r>
        <w:rPr>
          <w:spacing w:val="-3"/>
          <w:w w:val="100"/>
          <w:sz w:val="21"/>
        </w:rPr>
        <w:t>复</w:t>
      </w:r>
      <w:r>
        <w:rPr>
          <w:w w:val="100"/>
          <w:sz w:val="21"/>
        </w:rPr>
        <w:t>发作的强</w:t>
      </w:r>
      <w:r>
        <w:rPr>
          <w:spacing w:val="-3"/>
          <w:w w:val="100"/>
          <w:sz w:val="21"/>
        </w:rPr>
        <w:t>直</w:t>
      </w:r>
      <w:r>
        <w:rPr>
          <w:w w:val="100"/>
          <w:sz w:val="21"/>
        </w:rPr>
        <w:t>阵</w:t>
      </w:r>
      <w:r>
        <w:rPr>
          <w:spacing w:val="-3"/>
          <w:w w:val="100"/>
          <w:sz w:val="21"/>
        </w:rPr>
        <w:t>挛</w:t>
      </w:r>
      <w:r>
        <w:rPr>
          <w:w w:val="100"/>
          <w:sz w:val="21"/>
        </w:rPr>
        <w:t>性</w:t>
      </w:r>
      <w:r>
        <w:rPr>
          <w:spacing w:val="-3"/>
          <w:w w:val="100"/>
          <w:sz w:val="21"/>
        </w:rPr>
        <w:t>发</w:t>
      </w:r>
      <w:r>
        <w:rPr>
          <w:w w:val="100"/>
          <w:sz w:val="21"/>
        </w:rPr>
        <w:t>作</w:t>
      </w:r>
      <w:r>
        <w:rPr>
          <w:spacing w:val="-3"/>
          <w:w w:val="100"/>
          <w:sz w:val="21"/>
        </w:rPr>
        <w:t>或</w:t>
      </w:r>
      <w:r>
        <w:rPr>
          <w:spacing w:val="-1"/>
          <w:w w:val="100"/>
          <w:sz w:val="21"/>
        </w:rPr>
        <w:t>癫</w:t>
      </w:r>
      <w:r>
        <w:rPr>
          <w:spacing w:val="-3"/>
          <w:w w:val="100"/>
          <w:sz w:val="21"/>
        </w:rPr>
        <w:t>痫</w:t>
      </w:r>
      <w:r>
        <w:rPr>
          <w:w w:val="100"/>
          <w:sz w:val="21"/>
        </w:rPr>
        <w:t>大发</w:t>
      </w:r>
      <w:r>
        <w:rPr>
          <w:spacing w:val="-3"/>
          <w:w w:val="100"/>
          <w:sz w:val="21"/>
        </w:rPr>
        <w:t>作</w:t>
      </w:r>
      <w:r>
        <w:rPr>
          <w:spacing w:val="-22"/>
          <w:w w:val="100"/>
          <w:sz w:val="21"/>
        </w:rPr>
        <w:t>，</w:t>
      </w:r>
      <w:r>
        <w:rPr>
          <w:w w:val="100"/>
          <w:sz w:val="21"/>
        </w:rPr>
        <w:t>且</w:t>
      </w:r>
      <w:r>
        <w:rPr>
          <w:spacing w:val="-3"/>
          <w:w w:val="100"/>
          <w:sz w:val="21"/>
        </w:rPr>
        <w:t>已</w:t>
      </w:r>
      <w:r>
        <w:rPr>
          <w:w w:val="100"/>
          <w:sz w:val="21"/>
        </w:rPr>
        <w:t>行</w:t>
      </w:r>
      <w:r>
        <w:rPr>
          <w:spacing w:val="-3"/>
          <w:w w:val="100"/>
          <w:sz w:val="21"/>
        </w:rPr>
        <w:t>神</w:t>
      </w:r>
      <w:r>
        <w:rPr>
          <w:w w:val="100"/>
          <w:sz w:val="21"/>
        </w:rPr>
        <w:t>经</w:t>
      </w:r>
      <w:r>
        <w:rPr>
          <w:spacing w:val="-3"/>
          <w:w w:val="100"/>
          <w:sz w:val="21"/>
        </w:rPr>
        <w:t>外科</w:t>
      </w:r>
      <w:r>
        <w:rPr>
          <w:w w:val="100"/>
          <w:sz w:val="21"/>
        </w:rPr>
        <w:t>手术</w:t>
      </w:r>
      <w:r>
        <w:rPr>
          <w:spacing w:val="-3"/>
          <w:w w:val="100"/>
          <w:sz w:val="21"/>
        </w:rPr>
        <w:t>以</w:t>
      </w:r>
      <w:r>
        <w:rPr>
          <w:w w:val="100"/>
          <w:sz w:val="21"/>
        </w:rPr>
        <w:t>治</w:t>
      </w:r>
      <w:r>
        <w:rPr>
          <w:spacing w:val="-2"/>
          <w:w w:val="100"/>
          <w:sz w:val="21"/>
        </w:rPr>
        <w:t>疗</w:t>
      </w:r>
      <w:r>
        <w:rPr>
          <w:w w:val="100"/>
          <w:sz w:val="21"/>
        </w:rPr>
        <w:t>反</w:t>
      </w:r>
      <w:r>
        <w:rPr>
          <w:spacing w:val="-3"/>
          <w:w w:val="100"/>
          <w:sz w:val="21"/>
        </w:rPr>
        <w:t>复</w:t>
      </w:r>
      <w:r>
        <w:rPr>
          <w:w w:val="100"/>
          <w:sz w:val="21"/>
        </w:rPr>
        <w:t>发作的</w:t>
      </w:r>
      <w:r>
        <w:rPr>
          <w:spacing w:val="-3"/>
          <w:w w:val="100"/>
          <w:sz w:val="21"/>
        </w:rPr>
        <w:t>癫</w:t>
      </w:r>
      <w:r>
        <w:rPr>
          <w:w w:val="100"/>
          <w:sz w:val="21"/>
        </w:rPr>
        <w:t>痫。</w:t>
      </w:r>
    </w:p>
    <w:p>
      <w:pPr>
        <w:spacing w:before="0" w:line="278" w:lineRule="auto"/>
        <w:ind w:left="2229" w:right="732" w:firstLine="0"/>
        <w:jc w:val="left"/>
        <w:rPr>
          <w:rFonts w:hint="eastAsia" w:ascii="黑体" w:eastAsia="黑体"/>
          <w:b/>
          <w:sz w:val="21"/>
        </w:rPr>
      </w:pPr>
      <w:r>
        <w:rPr>
          <w:rFonts w:hint="eastAsia" w:ascii="黑体" w:eastAsia="黑体"/>
          <w:b/>
          <w:spacing w:val="-2"/>
          <w:sz w:val="21"/>
        </w:rPr>
        <w:t>发热性惊厥以及没有全身性发作的失神发作（癫痫小发作）不在本保障范围内。</w:t>
      </w:r>
    </w:p>
    <w:p>
      <w:pPr>
        <w:pStyle w:val="2"/>
        <w:spacing w:before="5"/>
        <w:rPr>
          <w:rFonts w:ascii="黑体"/>
          <w:b/>
          <w:sz w:val="19"/>
        </w:rPr>
      </w:pPr>
    </w:p>
    <w:p>
      <w:pPr>
        <w:spacing w:after="0"/>
        <w:rPr>
          <w:rFonts w:ascii="黑体"/>
          <w:sz w:val="19"/>
        </w:rPr>
        <w:sectPr>
          <w:type w:val="continuous"/>
          <w:pgSz w:w="11910" w:h="16840"/>
          <w:pgMar w:top="260" w:right="1080" w:bottom="1320" w:left="1580" w:header="0" w:footer="1137" w:gutter="0"/>
          <w:cols w:space="720" w:num="1"/>
        </w:sectPr>
      </w:pPr>
    </w:p>
    <w:p>
      <w:pPr>
        <w:pStyle w:val="6"/>
        <w:numPr>
          <w:ilvl w:val="0"/>
          <w:numId w:val="40"/>
        </w:numPr>
        <w:tabs>
          <w:tab w:val="left" w:pos="761"/>
        </w:tabs>
        <w:spacing w:before="63" w:after="0" w:line="240" w:lineRule="auto"/>
        <w:ind w:left="760" w:right="0" w:hanging="567"/>
        <w:jc w:val="left"/>
        <w:rPr>
          <w:b/>
          <w:sz w:val="21"/>
        </w:rPr>
      </w:pPr>
      <w:r>
        <w:rPr>
          <w:b/>
          <w:spacing w:val="-2"/>
          <w:sz w:val="21"/>
        </w:rPr>
        <w:t>疾病或外伤</w:t>
      </w:r>
    </w:p>
    <w:p>
      <w:pPr>
        <w:spacing w:before="43" w:line="278" w:lineRule="auto"/>
        <w:ind w:left="760" w:right="38" w:firstLine="0"/>
        <w:jc w:val="left"/>
        <w:rPr>
          <w:b/>
          <w:sz w:val="21"/>
        </w:rPr>
      </w:pPr>
      <w:r>
        <w:rPr>
          <w:b/>
          <w:spacing w:val="-2"/>
          <w:sz w:val="21"/>
        </w:rPr>
        <w:t>所致智力障</w:t>
      </w:r>
      <w:r>
        <w:rPr>
          <w:b/>
          <w:spacing w:val="-10"/>
          <w:sz w:val="21"/>
        </w:rPr>
        <w:t>碍</w:t>
      </w:r>
    </w:p>
    <w:p>
      <w:pPr>
        <w:pStyle w:val="2"/>
        <w:spacing w:before="63" w:line="278" w:lineRule="auto"/>
        <w:ind w:left="194" w:right="627"/>
      </w:pPr>
      <w:r>
        <w:br w:type="column"/>
      </w:r>
      <w:r>
        <w:rPr>
          <w:spacing w:val="-2"/>
        </w:rPr>
        <w:t>因严重头部创伤或疾病造成被保险人智力低常（智力低于常态</w:t>
      </w:r>
      <w:r>
        <w:rPr>
          <w:spacing w:val="-106"/>
        </w:rPr>
        <w:t>）</w:t>
      </w:r>
      <w:r>
        <w:rPr>
          <w:spacing w:val="-2"/>
        </w:rPr>
        <w:t xml:space="preserve">。根 </w:t>
      </w:r>
      <w:r>
        <w:rPr>
          <w:spacing w:val="-4"/>
        </w:rPr>
        <w:t>据智商</w:t>
      </w:r>
      <w:r>
        <w:rPr>
          <w:spacing w:val="18"/>
        </w:rPr>
        <w:t>（I</w:t>
      </w:r>
      <w:r>
        <w:rPr>
          <w:spacing w:val="15"/>
        </w:rPr>
        <w:t>Q</w:t>
      </w:r>
      <w:r>
        <w:rPr>
          <w:spacing w:val="-88"/>
        </w:rPr>
        <w:t>）</w:t>
      </w:r>
      <w:r>
        <w:rPr>
          <w:spacing w:val="-4"/>
        </w:rPr>
        <w:t>，智力低常分为轻度（IQ50-</w:t>
      </w:r>
      <w:r>
        <w:rPr>
          <w:spacing w:val="29"/>
        </w:rPr>
        <w:t>7</w:t>
      </w:r>
      <w:r>
        <w:rPr>
          <w:spacing w:val="32"/>
        </w:rPr>
        <w:t>0</w:t>
      </w:r>
      <w:r>
        <w:rPr>
          <w:spacing w:val="-74"/>
        </w:rPr>
        <w:t>）</w:t>
      </w:r>
      <w:r>
        <w:rPr>
          <w:spacing w:val="-4"/>
        </w:rPr>
        <w:t>、中度（IQ35-</w:t>
      </w:r>
      <w:r>
        <w:rPr>
          <w:spacing w:val="32"/>
        </w:rPr>
        <w:t>50</w:t>
      </w:r>
      <w:r>
        <w:rPr>
          <w:spacing w:val="-76"/>
        </w:rPr>
        <w:t>）</w:t>
      </w:r>
      <w:r>
        <w:rPr>
          <w:spacing w:val="-4"/>
        </w:rPr>
        <w:t>、重</w:t>
      </w:r>
      <w:r>
        <w:rPr>
          <w:spacing w:val="-2"/>
        </w:rPr>
        <w:t>度（IQ20-35）和极重度</w:t>
      </w:r>
      <w:r>
        <w:rPr>
          <w:spacing w:val="10"/>
        </w:rPr>
        <w:t>（</w:t>
      </w:r>
      <w:r>
        <w:rPr>
          <w:spacing w:val="13"/>
        </w:rPr>
        <w:t>IQ&lt;20</w:t>
      </w:r>
      <w:r>
        <w:rPr>
          <w:spacing w:val="-95"/>
        </w:rPr>
        <w:t>）</w:t>
      </w:r>
      <w:r>
        <w:rPr>
          <w:spacing w:val="-2"/>
        </w:rPr>
        <w:t>。智商的检测必须由我们认可的专职心理测验工作者进行，心理测验工作者必须持有由心理测量专业委员会资格认定书。根据被保险人年龄采用对应的智力量表如韦克斯勒智力量表（儿童智力量表或成人智力量表</w:t>
      </w:r>
      <w:r>
        <w:rPr>
          <w:spacing w:val="-106"/>
        </w:rPr>
        <w:t>）</w:t>
      </w:r>
      <w:r>
        <w:rPr>
          <w:spacing w:val="-2"/>
        </w:rPr>
        <w:t>。必须满足下列全部条件：</w:t>
      </w:r>
    </w:p>
    <w:p>
      <w:pPr>
        <w:pStyle w:val="6"/>
        <w:numPr>
          <w:ilvl w:val="0"/>
          <w:numId w:val="44"/>
        </w:numPr>
        <w:tabs>
          <w:tab w:val="left" w:pos="778"/>
        </w:tabs>
        <w:spacing w:before="0" w:after="0" w:line="278" w:lineRule="auto"/>
        <w:ind w:left="760" w:right="754" w:hanging="567"/>
        <w:jc w:val="left"/>
        <w:rPr>
          <w:sz w:val="21"/>
        </w:rPr>
      </w:pPr>
      <w:r>
        <w:rPr>
          <w:spacing w:val="-2"/>
          <w:sz w:val="21"/>
        </w:rPr>
        <w:t>造成被保险人智力低常（智力低于常态）的严重头部创伤或疾</w:t>
      </w:r>
      <w:r>
        <w:rPr>
          <w:sz w:val="21"/>
        </w:rPr>
        <w:t>病（以入院日期为准）</w:t>
      </w:r>
      <w:r>
        <w:rPr>
          <w:spacing w:val="-3"/>
          <w:sz w:val="21"/>
        </w:rPr>
        <w:t xml:space="preserve">发生在被保险人 </w:t>
      </w:r>
      <w:r>
        <w:rPr>
          <w:sz w:val="21"/>
        </w:rPr>
        <w:t>6</w:t>
      </w:r>
      <w:r>
        <w:rPr>
          <w:spacing w:val="-5"/>
          <w:sz w:val="21"/>
        </w:rPr>
        <w:t xml:space="preserve"> 周岁以后；</w:t>
      </w:r>
    </w:p>
    <w:p>
      <w:pPr>
        <w:pStyle w:val="6"/>
        <w:numPr>
          <w:ilvl w:val="0"/>
          <w:numId w:val="44"/>
        </w:numPr>
        <w:tabs>
          <w:tab w:val="left" w:pos="778"/>
        </w:tabs>
        <w:spacing w:before="0" w:after="0" w:line="278" w:lineRule="auto"/>
        <w:ind w:left="760" w:right="965" w:hanging="567"/>
        <w:jc w:val="left"/>
        <w:rPr>
          <w:sz w:val="21"/>
        </w:rPr>
      </w:pPr>
      <w:r>
        <w:rPr>
          <w:spacing w:val="-2"/>
          <w:sz w:val="21"/>
        </w:rPr>
        <w:t>专科医师确诊被保险人由于严重头部创伤或疾病造成智力低</w:t>
      </w:r>
      <w:r>
        <w:rPr>
          <w:spacing w:val="-6"/>
          <w:sz w:val="21"/>
        </w:rPr>
        <w:t>常；</w:t>
      </w:r>
    </w:p>
    <w:p>
      <w:pPr>
        <w:spacing w:after="0" w:line="278" w:lineRule="auto"/>
        <w:jc w:val="left"/>
        <w:rPr>
          <w:sz w:val="21"/>
        </w:rPr>
        <w:sectPr>
          <w:type w:val="continuous"/>
          <w:pgSz w:w="11910" w:h="16840"/>
          <w:pgMar w:top="260" w:right="1080" w:bottom="1320" w:left="1580" w:header="0" w:footer="1137" w:gutter="0"/>
          <w:cols w:equalWidth="0" w:num="2">
            <w:col w:w="1857" w:space="179"/>
            <w:col w:w="7214"/>
          </w:cols>
        </w:sectPr>
      </w:pPr>
    </w:p>
    <w:p>
      <w:pPr>
        <w:pStyle w:val="6"/>
        <w:numPr>
          <w:ilvl w:val="0"/>
          <w:numId w:val="44"/>
        </w:numPr>
        <w:tabs>
          <w:tab w:val="left" w:pos="2813"/>
        </w:tabs>
        <w:spacing w:before="44" w:after="37" w:line="278" w:lineRule="auto"/>
        <w:ind w:left="2796" w:right="754" w:hanging="567"/>
        <w:jc w:val="left"/>
        <w:rPr>
          <w:sz w:val="21"/>
        </w:rPr>
      </w:pPr>
      <w:r>
        <w:rPr>
          <w:spacing w:val="-2"/>
          <w:sz w:val="21"/>
        </w:rPr>
        <w:t>专职合格心理检测工作者适时做的心理检测证实被保险人智力低常（轻度、中度、重度或极重度</w:t>
      </w:r>
      <w:r>
        <w:rPr>
          <w:spacing w:val="-108"/>
          <w:sz w:val="21"/>
        </w:rPr>
        <w:t>）</w:t>
      </w:r>
      <w:r>
        <w:rPr>
          <w:sz w:val="21"/>
        </w:rPr>
        <w:t>；</w:t>
      </w:r>
    </w:p>
    <w:tbl>
      <w:tblPr>
        <w:tblStyle w:val="3"/>
        <w:tblW w:w="0" w:type="auto"/>
        <w:tblInd w:w="1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44"/>
        <w:gridCol w:w="1358"/>
        <w:gridCol w:w="66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7" w:hRule="atLeast"/>
        </w:trPr>
        <w:tc>
          <w:tcPr>
            <w:tcW w:w="1902" w:type="dxa"/>
            <w:gridSpan w:val="2"/>
          </w:tcPr>
          <w:p>
            <w:pPr>
              <w:pStyle w:val="7"/>
              <w:rPr>
                <w:rFonts w:ascii="Times New Roman"/>
                <w:sz w:val="20"/>
              </w:rPr>
            </w:pPr>
          </w:p>
        </w:tc>
        <w:tc>
          <w:tcPr>
            <w:tcW w:w="6624" w:type="dxa"/>
          </w:tcPr>
          <w:p>
            <w:pPr>
              <w:pStyle w:val="7"/>
              <w:spacing w:line="232" w:lineRule="exact"/>
              <w:ind w:left="183"/>
              <w:rPr>
                <w:sz w:val="21"/>
              </w:rPr>
            </w:pPr>
            <w:r>
              <w:rPr>
                <w:spacing w:val="-2"/>
                <w:sz w:val="21"/>
              </w:rPr>
              <w:t>（4）</w:t>
            </w:r>
            <w:r>
              <w:rPr>
                <w:spacing w:val="-11"/>
                <w:sz w:val="21"/>
              </w:rPr>
              <w:t xml:space="preserve"> 被保险人的智力低常自确认日起持续 </w:t>
            </w:r>
            <w:r>
              <w:rPr>
                <w:spacing w:val="-2"/>
                <w:sz w:val="21"/>
              </w:rPr>
              <w:t>180</w:t>
            </w:r>
            <w:r>
              <w:rPr>
                <w:spacing w:val="-14"/>
                <w:sz w:val="21"/>
              </w:rPr>
              <w:t xml:space="preserve"> 天以上。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544" w:type="dxa"/>
          </w:tcPr>
          <w:p>
            <w:pPr>
              <w:pStyle w:val="7"/>
              <w:spacing w:before="169"/>
              <w:ind w:left="50"/>
              <w:rPr>
                <w:sz w:val="21"/>
              </w:rPr>
            </w:pPr>
            <w:r>
              <w:rPr>
                <w:spacing w:val="-5"/>
                <w:sz w:val="21"/>
              </w:rPr>
              <w:t>97.</w:t>
            </w:r>
          </w:p>
        </w:tc>
        <w:tc>
          <w:tcPr>
            <w:tcW w:w="1358" w:type="dxa"/>
          </w:tcPr>
          <w:p>
            <w:pPr>
              <w:pStyle w:val="7"/>
              <w:spacing w:before="169"/>
              <w:ind w:left="72"/>
              <w:rPr>
                <w:b/>
                <w:sz w:val="21"/>
              </w:rPr>
            </w:pPr>
            <w:r>
              <w:rPr>
                <w:b/>
                <w:spacing w:val="-2"/>
                <w:sz w:val="21"/>
              </w:rPr>
              <w:t>严重幼年型</w:t>
            </w:r>
          </w:p>
        </w:tc>
        <w:tc>
          <w:tcPr>
            <w:tcW w:w="6624" w:type="dxa"/>
          </w:tcPr>
          <w:p>
            <w:pPr>
              <w:pStyle w:val="7"/>
              <w:spacing w:before="169"/>
              <w:ind w:left="183"/>
              <w:rPr>
                <w:sz w:val="21"/>
              </w:rPr>
            </w:pPr>
            <w:r>
              <w:rPr>
                <w:spacing w:val="-5"/>
                <w:sz w:val="21"/>
              </w:rPr>
              <w:t>指为了治疗幼年型类风湿关节炎，实际实施了膝关节或髋关节置换手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544" w:type="dxa"/>
          </w:tcPr>
          <w:p>
            <w:pPr>
              <w:pStyle w:val="7"/>
              <w:rPr>
                <w:rFonts w:ascii="Times New Roman"/>
                <w:sz w:val="20"/>
              </w:rPr>
            </w:pPr>
          </w:p>
        </w:tc>
        <w:tc>
          <w:tcPr>
            <w:tcW w:w="1358" w:type="dxa"/>
          </w:tcPr>
          <w:p>
            <w:pPr>
              <w:pStyle w:val="7"/>
              <w:spacing w:before="13"/>
              <w:ind w:left="72"/>
              <w:rPr>
                <w:b/>
                <w:sz w:val="21"/>
              </w:rPr>
            </w:pPr>
            <w:r>
              <w:rPr>
                <w:b/>
                <w:spacing w:val="-2"/>
                <w:sz w:val="21"/>
              </w:rPr>
              <w:t>类风湿性关</w:t>
            </w:r>
          </w:p>
        </w:tc>
        <w:tc>
          <w:tcPr>
            <w:tcW w:w="6624" w:type="dxa"/>
          </w:tcPr>
          <w:p>
            <w:pPr>
              <w:pStyle w:val="7"/>
              <w:spacing w:before="13"/>
              <w:ind w:left="183"/>
              <w:rPr>
                <w:sz w:val="21"/>
              </w:rPr>
            </w:pPr>
            <w:r>
              <w:rPr>
                <w:spacing w:val="-5"/>
                <w:sz w:val="21"/>
              </w:rPr>
              <w:t>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544" w:type="dxa"/>
          </w:tcPr>
          <w:p>
            <w:pPr>
              <w:pStyle w:val="7"/>
              <w:rPr>
                <w:rFonts w:ascii="Times New Roman"/>
                <w:sz w:val="20"/>
              </w:rPr>
            </w:pPr>
          </w:p>
        </w:tc>
        <w:tc>
          <w:tcPr>
            <w:tcW w:w="1358" w:type="dxa"/>
          </w:tcPr>
          <w:p>
            <w:pPr>
              <w:pStyle w:val="7"/>
              <w:spacing w:before="13"/>
              <w:ind w:left="72"/>
              <w:rPr>
                <w:b/>
                <w:sz w:val="21"/>
              </w:rPr>
            </w:pPr>
            <w:r>
              <w:rPr>
                <w:b/>
                <w:spacing w:val="-5"/>
                <w:sz w:val="21"/>
              </w:rPr>
              <w:t>节炎</w:t>
            </w:r>
          </w:p>
        </w:tc>
        <w:tc>
          <w:tcPr>
            <w:tcW w:w="6624" w:type="dxa"/>
          </w:tcPr>
          <w:p>
            <w:pPr>
              <w:pStyle w:val="7"/>
              <w:spacing w:before="13"/>
              <w:ind w:left="183"/>
              <w:rPr>
                <w:sz w:val="21"/>
              </w:rPr>
            </w:pPr>
            <w:r>
              <w:rPr>
                <w:spacing w:val="-5"/>
                <w:sz w:val="21"/>
              </w:rPr>
              <w:t>幼年型类风湿关节炎是一种儿童期发病的慢性关节炎，其特点为在高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75" w:hRule="atLeast"/>
        </w:trPr>
        <w:tc>
          <w:tcPr>
            <w:tcW w:w="544" w:type="dxa"/>
          </w:tcPr>
          <w:p>
            <w:pPr>
              <w:pStyle w:val="7"/>
              <w:rPr>
                <w:rFonts w:ascii="Times New Roman"/>
                <w:sz w:val="20"/>
              </w:rPr>
            </w:pPr>
          </w:p>
        </w:tc>
        <w:tc>
          <w:tcPr>
            <w:tcW w:w="1358" w:type="dxa"/>
          </w:tcPr>
          <w:p>
            <w:pPr>
              <w:pStyle w:val="7"/>
              <w:rPr>
                <w:rFonts w:ascii="Times New Roman"/>
                <w:sz w:val="20"/>
              </w:rPr>
            </w:pPr>
          </w:p>
        </w:tc>
        <w:tc>
          <w:tcPr>
            <w:tcW w:w="6624" w:type="dxa"/>
          </w:tcPr>
          <w:p>
            <w:pPr>
              <w:pStyle w:val="7"/>
              <w:spacing w:before="13"/>
              <w:ind w:left="183"/>
              <w:rPr>
                <w:sz w:val="21"/>
              </w:rPr>
            </w:pPr>
            <w:r>
              <w:rPr>
                <w:spacing w:val="-3"/>
                <w:sz w:val="21"/>
              </w:rPr>
              <w:t>热和系统性病征出现数月后发生关节炎。</w:t>
            </w:r>
          </w:p>
          <w:p>
            <w:pPr>
              <w:pStyle w:val="7"/>
              <w:spacing w:before="43"/>
              <w:ind w:left="183"/>
              <w:rPr>
                <w:rFonts w:hint="eastAsia" w:ascii="黑体" w:eastAsia="黑体"/>
                <w:b/>
                <w:sz w:val="21"/>
              </w:rPr>
            </w:pPr>
            <w:r>
              <w:rPr>
                <w:rFonts w:hint="eastAsia" w:ascii="黑体" w:eastAsia="黑体"/>
                <w:b/>
                <w:spacing w:val="-3"/>
                <w:sz w:val="21"/>
              </w:rPr>
              <w:t>被保险人疾病诊断时年龄必须在年满十八周岁之前。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2" w:hRule="atLeast"/>
        </w:trPr>
        <w:tc>
          <w:tcPr>
            <w:tcW w:w="544" w:type="dxa"/>
          </w:tcPr>
          <w:p>
            <w:pPr>
              <w:pStyle w:val="7"/>
              <w:spacing w:before="173"/>
              <w:ind w:left="50"/>
              <w:rPr>
                <w:sz w:val="21"/>
              </w:rPr>
            </w:pPr>
            <w:r>
              <w:rPr>
                <w:spacing w:val="-5"/>
                <w:sz w:val="21"/>
              </w:rPr>
              <w:t>98.</w:t>
            </w:r>
          </w:p>
        </w:tc>
        <w:tc>
          <w:tcPr>
            <w:tcW w:w="1358" w:type="dxa"/>
          </w:tcPr>
          <w:p>
            <w:pPr>
              <w:pStyle w:val="7"/>
              <w:spacing w:before="173"/>
              <w:ind w:left="72"/>
              <w:rPr>
                <w:b/>
                <w:sz w:val="21"/>
              </w:rPr>
            </w:pPr>
            <w:r>
              <w:rPr>
                <w:b/>
                <w:spacing w:val="-2"/>
                <w:sz w:val="21"/>
              </w:rPr>
              <w:t>湿性年龄相</w:t>
            </w:r>
          </w:p>
        </w:tc>
        <w:tc>
          <w:tcPr>
            <w:tcW w:w="6624" w:type="dxa"/>
          </w:tcPr>
          <w:p>
            <w:pPr>
              <w:pStyle w:val="7"/>
              <w:spacing w:before="173"/>
              <w:ind w:left="183"/>
              <w:rPr>
                <w:sz w:val="21"/>
              </w:rPr>
            </w:pPr>
            <w:r>
              <w:rPr>
                <w:spacing w:val="-5"/>
                <w:sz w:val="21"/>
              </w:rPr>
              <w:t>又称为新生血管性年龄相关性黄斑变性或“渗出性”年龄相关性黄斑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544" w:type="dxa"/>
          </w:tcPr>
          <w:p>
            <w:pPr>
              <w:pStyle w:val="7"/>
              <w:rPr>
                <w:rFonts w:ascii="Times New Roman"/>
                <w:sz w:val="20"/>
              </w:rPr>
            </w:pPr>
          </w:p>
        </w:tc>
        <w:tc>
          <w:tcPr>
            <w:tcW w:w="1358" w:type="dxa"/>
          </w:tcPr>
          <w:p>
            <w:pPr>
              <w:pStyle w:val="7"/>
              <w:spacing w:before="14"/>
              <w:ind w:left="72"/>
              <w:rPr>
                <w:b/>
                <w:sz w:val="21"/>
              </w:rPr>
            </w:pPr>
            <w:r>
              <w:rPr>
                <w:b/>
                <w:spacing w:val="-2"/>
                <w:sz w:val="21"/>
              </w:rPr>
              <w:t>关性黄斑变</w:t>
            </w:r>
          </w:p>
        </w:tc>
        <w:tc>
          <w:tcPr>
            <w:tcW w:w="6624" w:type="dxa"/>
          </w:tcPr>
          <w:p>
            <w:pPr>
              <w:pStyle w:val="7"/>
              <w:spacing w:before="14"/>
              <w:ind w:left="183"/>
              <w:rPr>
                <w:sz w:val="21"/>
              </w:rPr>
            </w:pPr>
            <w:r>
              <w:rPr>
                <w:spacing w:val="-4"/>
                <w:sz w:val="21"/>
              </w:rPr>
              <w:t>变性，发生脉络膜新生血管（CNV）</w:t>
            </w:r>
            <w:r>
              <w:rPr>
                <w:spacing w:val="-5"/>
                <w:sz w:val="21"/>
              </w:rPr>
              <w:t>异常生长穿透玻璃膜进入视网膜，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544" w:type="dxa"/>
          </w:tcPr>
          <w:p>
            <w:pPr>
              <w:pStyle w:val="7"/>
              <w:rPr>
                <w:rFonts w:ascii="Times New Roman"/>
                <w:sz w:val="20"/>
              </w:rPr>
            </w:pPr>
          </w:p>
        </w:tc>
        <w:tc>
          <w:tcPr>
            <w:tcW w:w="1358" w:type="dxa"/>
          </w:tcPr>
          <w:p>
            <w:pPr>
              <w:pStyle w:val="7"/>
              <w:spacing w:before="13"/>
              <w:ind w:left="72"/>
              <w:rPr>
                <w:b/>
                <w:sz w:val="21"/>
              </w:rPr>
            </w:pPr>
            <w:r>
              <w:rPr>
                <w:b/>
                <w:w w:val="100"/>
                <w:sz w:val="21"/>
              </w:rPr>
              <w:t>性</w:t>
            </w:r>
          </w:p>
        </w:tc>
        <w:tc>
          <w:tcPr>
            <w:tcW w:w="6624" w:type="dxa"/>
          </w:tcPr>
          <w:p>
            <w:pPr>
              <w:pStyle w:val="7"/>
              <w:spacing w:before="13"/>
              <w:ind w:left="183"/>
              <w:rPr>
                <w:sz w:val="21"/>
              </w:rPr>
            </w:pPr>
            <w:r>
              <w:rPr>
                <w:spacing w:val="-5"/>
                <w:sz w:val="21"/>
              </w:rPr>
              <w:t>新生血管渗漏，渗出及出血。该病必须由荧光素眼底血管造影检查提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544" w:type="dxa"/>
          </w:tcPr>
          <w:p>
            <w:pPr>
              <w:pStyle w:val="7"/>
              <w:rPr>
                <w:rFonts w:ascii="Times New Roman"/>
                <w:sz w:val="20"/>
              </w:rPr>
            </w:pPr>
          </w:p>
        </w:tc>
        <w:tc>
          <w:tcPr>
            <w:tcW w:w="1358" w:type="dxa"/>
          </w:tcPr>
          <w:p>
            <w:pPr>
              <w:pStyle w:val="7"/>
              <w:rPr>
                <w:rFonts w:ascii="Times New Roman"/>
                <w:sz w:val="20"/>
              </w:rPr>
            </w:pPr>
          </w:p>
        </w:tc>
        <w:tc>
          <w:tcPr>
            <w:tcW w:w="6624" w:type="dxa"/>
          </w:tcPr>
          <w:p>
            <w:pPr>
              <w:pStyle w:val="7"/>
              <w:spacing w:before="13"/>
              <w:ind w:left="183"/>
              <w:rPr>
                <w:sz w:val="21"/>
              </w:rPr>
            </w:pPr>
            <w:r>
              <w:rPr>
                <w:spacing w:val="-5"/>
                <w:sz w:val="21"/>
              </w:rPr>
              <w:t>示黄斑区新生血管形成，并且必须由医院的眼科专科医生确诊为湿性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5" w:hRule="atLeast"/>
        </w:trPr>
        <w:tc>
          <w:tcPr>
            <w:tcW w:w="544" w:type="dxa"/>
          </w:tcPr>
          <w:p>
            <w:pPr>
              <w:pStyle w:val="7"/>
              <w:rPr>
                <w:rFonts w:ascii="Times New Roman"/>
                <w:sz w:val="20"/>
              </w:rPr>
            </w:pPr>
          </w:p>
        </w:tc>
        <w:tc>
          <w:tcPr>
            <w:tcW w:w="1358" w:type="dxa"/>
          </w:tcPr>
          <w:p>
            <w:pPr>
              <w:pStyle w:val="7"/>
              <w:rPr>
                <w:rFonts w:ascii="Times New Roman"/>
                <w:sz w:val="20"/>
              </w:rPr>
            </w:pPr>
          </w:p>
        </w:tc>
        <w:tc>
          <w:tcPr>
            <w:tcW w:w="6624" w:type="dxa"/>
          </w:tcPr>
          <w:p>
            <w:pPr>
              <w:pStyle w:val="7"/>
              <w:spacing w:before="13"/>
              <w:ind w:left="183"/>
              <w:rPr>
                <w:sz w:val="21"/>
              </w:rPr>
            </w:pPr>
            <w:r>
              <w:rPr>
                <w:spacing w:val="-3"/>
                <w:sz w:val="21"/>
              </w:rPr>
              <w:t>年龄相关性黄斑变性。</w:t>
            </w:r>
          </w:p>
          <w:p>
            <w:pPr>
              <w:pStyle w:val="7"/>
              <w:spacing w:before="43"/>
              <w:ind w:left="183"/>
              <w:rPr>
                <w:rFonts w:hint="eastAsia" w:ascii="黑体" w:eastAsia="黑体"/>
                <w:b/>
                <w:sz w:val="21"/>
              </w:rPr>
            </w:pPr>
            <w:r>
              <w:rPr>
                <w:rFonts w:hint="eastAsia" w:ascii="黑体" w:eastAsia="黑体"/>
                <w:b/>
                <w:w w:val="95"/>
                <w:sz w:val="21"/>
              </w:rPr>
              <w:t>被保险人申请理赔</w:t>
            </w:r>
            <w:r>
              <w:rPr>
                <w:rFonts w:hint="eastAsia" w:ascii="黑体" w:eastAsia="黑体"/>
                <w:b/>
                <w:spacing w:val="6"/>
                <w:w w:val="95"/>
                <w:sz w:val="21"/>
              </w:rPr>
              <w:t>时须提供近</w:t>
            </w:r>
            <w:r>
              <w:rPr>
                <w:rFonts w:hint="eastAsia" w:ascii="黑体" w:eastAsia="黑体"/>
                <w:b/>
                <w:w w:val="95"/>
                <w:sz w:val="21"/>
              </w:rPr>
              <w:t>3</w:t>
            </w:r>
            <w:r>
              <w:rPr>
                <w:rFonts w:hint="eastAsia" w:ascii="黑体" w:eastAsia="黑体"/>
                <w:b/>
                <w:spacing w:val="52"/>
                <w:sz w:val="21"/>
              </w:rPr>
              <w:t xml:space="preserve">  </w:t>
            </w:r>
            <w:r>
              <w:rPr>
                <w:rFonts w:hint="eastAsia" w:ascii="黑体" w:eastAsia="黑体"/>
                <w:b/>
                <w:w w:val="95"/>
                <w:sz w:val="21"/>
              </w:rPr>
              <w:t>个月内视力改变显示病情恶化的相</w:t>
            </w:r>
            <w:r>
              <w:rPr>
                <w:rFonts w:hint="eastAsia" w:ascii="黑体" w:eastAsia="黑体"/>
                <w:b/>
                <w:spacing w:val="-10"/>
                <w:w w:val="95"/>
                <w:sz w:val="21"/>
              </w:rPr>
              <w:t>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2" w:hRule="atLeast"/>
        </w:trPr>
        <w:tc>
          <w:tcPr>
            <w:tcW w:w="544" w:type="dxa"/>
          </w:tcPr>
          <w:p>
            <w:pPr>
              <w:pStyle w:val="7"/>
              <w:rPr>
                <w:rFonts w:ascii="Times New Roman"/>
                <w:sz w:val="20"/>
              </w:rPr>
            </w:pPr>
          </w:p>
        </w:tc>
        <w:tc>
          <w:tcPr>
            <w:tcW w:w="1358" w:type="dxa"/>
          </w:tcPr>
          <w:p>
            <w:pPr>
              <w:pStyle w:val="7"/>
              <w:rPr>
                <w:rFonts w:ascii="Times New Roman"/>
                <w:sz w:val="20"/>
              </w:rPr>
            </w:pPr>
          </w:p>
        </w:tc>
        <w:tc>
          <w:tcPr>
            <w:tcW w:w="6624" w:type="dxa"/>
          </w:tcPr>
          <w:p>
            <w:pPr>
              <w:pStyle w:val="7"/>
              <w:spacing w:before="22"/>
              <w:ind w:left="183"/>
              <w:rPr>
                <w:rFonts w:hint="eastAsia" w:ascii="黑体" w:eastAsia="黑体"/>
                <w:b/>
                <w:sz w:val="21"/>
              </w:rPr>
            </w:pPr>
            <w:r>
              <w:rPr>
                <w:rFonts w:hint="eastAsia" w:ascii="黑体" w:eastAsia="黑体"/>
                <w:b/>
                <w:spacing w:val="-3"/>
                <w:sz w:val="21"/>
              </w:rPr>
              <w:t>检查报告、诊断证明及病历报告。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2" w:hRule="atLeast"/>
        </w:trPr>
        <w:tc>
          <w:tcPr>
            <w:tcW w:w="544" w:type="dxa"/>
          </w:tcPr>
          <w:p>
            <w:pPr>
              <w:pStyle w:val="7"/>
              <w:spacing w:before="173"/>
              <w:ind w:left="50"/>
              <w:rPr>
                <w:sz w:val="21"/>
              </w:rPr>
            </w:pPr>
            <w:r>
              <w:rPr>
                <w:spacing w:val="-5"/>
                <w:sz w:val="21"/>
              </w:rPr>
              <w:t>99.</w:t>
            </w:r>
          </w:p>
        </w:tc>
        <w:tc>
          <w:tcPr>
            <w:tcW w:w="1358" w:type="dxa"/>
          </w:tcPr>
          <w:p>
            <w:pPr>
              <w:pStyle w:val="7"/>
              <w:spacing w:before="173"/>
              <w:ind w:left="72"/>
              <w:rPr>
                <w:b/>
                <w:sz w:val="21"/>
              </w:rPr>
            </w:pPr>
            <w:r>
              <w:rPr>
                <w:b/>
                <w:spacing w:val="-2"/>
                <w:sz w:val="21"/>
              </w:rPr>
              <w:t>范可尼综合</w:t>
            </w:r>
          </w:p>
        </w:tc>
        <w:tc>
          <w:tcPr>
            <w:tcW w:w="6624" w:type="dxa"/>
          </w:tcPr>
          <w:p>
            <w:pPr>
              <w:pStyle w:val="7"/>
              <w:spacing w:before="173"/>
              <w:ind w:left="183"/>
              <w:rPr>
                <w:sz w:val="21"/>
              </w:rPr>
            </w:pPr>
            <w:r>
              <w:rPr>
                <w:spacing w:val="-16"/>
                <w:sz w:val="21"/>
              </w:rPr>
              <w:t xml:space="preserve">也称 </w:t>
            </w:r>
            <w:r>
              <w:rPr>
                <w:spacing w:val="-2"/>
                <w:sz w:val="21"/>
              </w:rPr>
              <w:t>Fanconi</w:t>
            </w:r>
            <w:r>
              <w:rPr>
                <w:spacing w:val="-10"/>
                <w:sz w:val="21"/>
              </w:rPr>
              <w:t xml:space="preserve"> 综合征，指近端肾小管的功能异常引起的一组症候群。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544" w:type="dxa"/>
          </w:tcPr>
          <w:p>
            <w:pPr>
              <w:pStyle w:val="7"/>
              <w:rPr>
                <w:rFonts w:ascii="Times New Roman"/>
                <w:sz w:val="20"/>
              </w:rPr>
            </w:pPr>
          </w:p>
        </w:tc>
        <w:tc>
          <w:tcPr>
            <w:tcW w:w="1358" w:type="dxa"/>
          </w:tcPr>
          <w:p>
            <w:pPr>
              <w:pStyle w:val="7"/>
              <w:spacing w:before="13"/>
              <w:ind w:left="72"/>
              <w:rPr>
                <w:b/>
                <w:sz w:val="21"/>
              </w:rPr>
            </w:pPr>
            <w:r>
              <w:rPr>
                <w:b/>
                <w:w w:val="100"/>
                <w:sz w:val="21"/>
              </w:rPr>
              <w:t>征</w:t>
            </w:r>
          </w:p>
        </w:tc>
        <w:tc>
          <w:tcPr>
            <w:tcW w:w="6624" w:type="dxa"/>
          </w:tcPr>
          <w:p>
            <w:pPr>
              <w:pStyle w:val="7"/>
              <w:spacing w:before="13"/>
              <w:ind w:left="183"/>
              <w:rPr>
                <w:sz w:val="21"/>
              </w:rPr>
            </w:pPr>
            <w:r>
              <w:rPr>
                <w:spacing w:val="-3"/>
                <w:sz w:val="21"/>
              </w:rPr>
              <w:t>须经专科医生诊断，且须满足下列至少三项条件：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544" w:type="dxa"/>
          </w:tcPr>
          <w:p>
            <w:pPr>
              <w:pStyle w:val="7"/>
              <w:rPr>
                <w:rFonts w:ascii="Times New Roman"/>
                <w:sz w:val="20"/>
              </w:rPr>
            </w:pPr>
          </w:p>
        </w:tc>
        <w:tc>
          <w:tcPr>
            <w:tcW w:w="1358" w:type="dxa"/>
          </w:tcPr>
          <w:p>
            <w:pPr>
              <w:pStyle w:val="7"/>
              <w:rPr>
                <w:rFonts w:ascii="Times New Roman"/>
                <w:sz w:val="20"/>
              </w:rPr>
            </w:pPr>
          </w:p>
        </w:tc>
        <w:tc>
          <w:tcPr>
            <w:tcW w:w="6624" w:type="dxa"/>
          </w:tcPr>
          <w:p>
            <w:pPr>
              <w:pStyle w:val="7"/>
              <w:spacing w:before="13"/>
              <w:ind w:left="183"/>
              <w:rPr>
                <w:sz w:val="21"/>
              </w:rPr>
            </w:pPr>
            <w:r>
              <w:rPr>
                <w:spacing w:val="-2"/>
                <w:sz w:val="21"/>
              </w:rPr>
              <w:t>（1）</w:t>
            </w:r>
            <w:r>
              <w:rPr>
                <w:spacing w:val="-9"/>
                <w:sz w:val="21"/>
              </w:rPr>
              <w:t xml:space="preserve"> 尿液检查出现肾性糖尿、全氨基酸糖尿或磷酸盐尿；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544" w:type="dxa"/>
          </w:tcPr>
          <w:p>
            <w:pPr>
              <w:pStyle w:val="7"/>
              <w:rPr>
                <w:rFonts w:ascii="Times New Roman"/>
                <w:sz w:val="20"/>
              </w:rPr>
            </w:pPr>
          </w:p>
        </w:tc>
        <w:tc>
          <w:tcPr>
            <w:tcW w:w="1358" w:type="dxa"/>
          </w:tcPr>
          <w:p>
            <w:pPr>
              <w:pStyle w:val="7"/>
              <w:rPr>
                <w:rFonts w:ascii="Times New Roman"/>
                <w:sz w:val="20"/>
              </w:rPr>
            </w:pPr>
          </w:p>
        </w:tc>
        <w:tc>
          <w:tcPr>
            <w:tcW w:w="6624" w:type="dxa"/>
          </w:tcPr>
          <w:p>
            <w:pPr>
              <w:pStyle w:val="7"/>
              <w:spacing w:before="14"/>
              <w:ind w:left="183"/>
              <w:rPr>
                <w:sz w:val="21"/>
              </w:rPr>
            </w:pPr>
            <w:r>
              <w:rPr>
                <w:spacing w:val="-2"/>
                <w:sz w:val="21"/>
              </w:rPr>
              <w:t>（2）</w:t>
            </w:r>
            <w:r>
              <w:rPr>
                <w:spacing w:val="-8"/>
                <w:sz w:val="21"/>
              </w:rPr>
              <w:t xml:space="preserve"> 血液检查出现低磷血症、低尿酸血症或近端肾小管酸中毒；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544" w:type="dxa"/>
          </w:tcPr>
          <w:p>
            <w:pPr>
              <w:pStyle w:val="7"/>
              <w:rPr>
                <w:rFonts w:ascii="Times New Roman"/>
                <w:sz w:val="20"/>
              </w:rPr>
            </w:pPr>
          </w:p>
        </w:tc>
        <w:tc>
          <w:tcPr>
            <w:tcW w:w="1358" w:type="dxa"/>
          </w:tcPr>
          <w:p>
            <w:pPr>
              <w:pStyle w:val="7"/>
              <w:rPr>
                <w:rFonts w:ascii="Times New Roman"/>
                <w:sz w:val="20"/>
              </w:rPr>
            </w:pPr>
          </w:p>
        </w:tc>
        <w:tc>
          <w:tcPr>
            <w:tcW w:w="6624" w:type="dxa"/>
          </w:tcPr>
          <w:p>
            <w:pPr>
              <w:pStyle w:val="7"/>
              <w:spacing w:before="13"/>
              <w:ind w:left="183"/>
              <w:rPr>
                <w:sz w:val="21"/>
              </w:rPr>
            </w:pPr>
            <w:r>
              <w:rPr>
                <w:spacing w:val="-2"/>
                <w:sz w:val="21"/>
              </w:rPr>
              <w:t>（3）</w:t>
            </w:r>
            <w:r>
              <w:rPr>
                <w:spacing w:val="-9"/>
                <w:sz w:val="21"/>
              </w:rPr>
              <w:t xml:space="preserve"> 出现骨质疏松、骨骼畸形或尿路结石；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544" w:type="dxa"/>
          </w:tcPr>
          <w:p>
            <w:pPr>
              <w:pStyle w:val="7"/>
              <w:rPr>
                <w:rFonts w:ascii="Times New Roman"/>
                <w:sz w:val="18"/>
              </w:rPr>
            </w:pPr>
          </w:p>
        </w:tc>
        <w:tc>
          <w:tcPr>
            <w:tcW w:w="1358" w:type="dxa"/>
          </w:tcPr>
          <w:p>
            <w:pPr>
              <w:pStyle w:val="7"/>
              <w:rPr>
                <w:rFonts w:ascii="Times New Roman"/>
                <w:sz w:val="18"/>
              </w:rPr>
            </w:pPr>
          </w:p>
        </w:tc>
        <w:tc>
          <w:tcPr>
            <w:tcW w:w="6624" w:type="dxa"/>
          </w:tcPr>
          <w:p>
            <w:pPr>
              <w:pStyle w:val="7"/>
              <w:spacing w:before="13" w:line="228" w:lineRule="exact"/>
              <w:ind w:left="183"/>
              <w:rPr>
                <w:sz w:val="21"/>
              </w:rPr>
            </w:pPr>
            <w:r>
              <w:rPr>
                <w:spacing w:val="-2"/>
                <w:sz w:val="21"/>
              </w:rPr>
              <w:t>（4）</w:t>
            </w:r>
            <w:r>
              <w:rPr>
                <w:spacing w:val="-8"/>
                <w:sz w:val="21"/>
              </w:rPr>
              <w:t xml:space="preserve"> 通过骨髓片、白细胞、直肠黏膜中的结晶分析或裂隙灯检查角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26" w:hRule="atLeast"/>
        </w:trPr>
        <w:tc>
          <w:tcPr>
            <w:tcW w:w="544" w:type="dxa"/>
          </w:tcPr>
          <w:p>
            <w:pPr>
              <w:pStyle w:val="7"/>
              <w:rPr>
                <w:rFonts w:ascii="Times New Roman"/>
                <w:sz w:val="20"/>
              </w:rPr>
            </w:pPr>
          </w:p>
        </w:tc>
        <w:tc>
          <w:tcPr>
            <w:tcW w:w="1358" w:type="dxa"/>
          </w:tcPr>
          <w:p>
            <w:pPr>
              <w:pStyle w:val="7"/>
              <w:rPr>
                <w:rFonts w:ascii="Times New Roman"/>
                <w:sz w:val="20"/>
              </w:rPr>
            </w:pPr>
          </w:p>
        </w:tc>
        <w:tc>
          <w:tcPr>
            <w:tcW w:w="6624" w:type="dxa"/>
          </w:tcPr>
          <w:p>
            <w:pPr>
              <w:pStyle w:val="7"/>
              <w:spacing w:before="64"/>
              <w:ind w:left="750"/>
              <w:rPr>
                <w:sz w:val="21"/>
              </w:rPr>
            </w:pPr>
            <w:r>
              <w:rPr>
                <w:spacing w:val="-4"/>
                <w:sz w:val="21"/>
              </w:rPr>
              <w:t>膜有胱氨酸结晶。</w:t>
            </w:r>
          </w:p>
          <w:p>
            <w:pPr>
              <w:pStyle w:val="7"/>
              <w:spacing w:before="43"/>
              <w:ind w:left="183"/>
              <w:rPr>
                <w:rFonts w:hint="eastAsia" w:ascii="黑体" w:eastAsia="黑体"/>
                <w:b/>
                <w:sz w:val="21"/>
              </w:rPr>
            </w:pPr>
            <w:r>
              <w:rPr>
                <w:rFonts w:hint="eastAsia" w:ascii="黑体" w:eastAsia="黑体"/>
                <w:b/>
                <w:spacing w:val="-3"/>
                <w:sz w:val="21"/>
              </w:rPr>
              <w:t>被保险人在三周岁之前罹患该疾病，我们不承担保险责任。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2" w:hRule="atLeast"/>
        </w:trPr>
        <w:tc>
          <w:tcPr>
            <w:tcW w:w="544" w:type="dxa"/>
          </w:tcPr>
          <w:p>
            <w:pPr>
              <w:pStyle w:val="7"/>
              <w:spacing w:before="173"/>
              <w:ind w:left="50"/>
              <w:rPr>
                <w:sz w:val="21"/>
              </w:rPr>
            </w:pPr>
            <w:r>
              <w:rPr>
                <w:spacing w:val="-4"/>
                <w:sz w:val="21"/>
              </w:rPr>
              <w:t>100.</w:t>
            </w:r>
          </w:p>
        </w:tc>
        <w:tc>
          <w:tcPr>
            <w:tcW w:w="1358" w:type="dxa"/>
          </w:tcPr>
          <w:p>
            <w:pPr>
              <w:pStyle w:val="7"/>
              <w:spacing w:before="173"/>
              <w:ind w:left="72"/>
              <w:rPr>
                <w:b/>
                <w:sz w:val="21"/>
              </w:rPr>
            </w:pPr>
            <w:r>
              <w:rPr>
                <w:b/>
                <w:spacing w:val="-2"/>
                <w:sz w:val="21"/>
              </w:rPr>
              <w:t>弥漫性血管</w:t>
            </w:r>
          </w:p>
        </w:tc>
        <w:tc>
          <w:tcPr>
            <w:tcW w:w="6624" w:type="dxa"/>
          </w:tcPr>
          <w:p>
            <w:pPr>
              <w:pStyle w:val="7"/>
              <w:spacing w:before="173"/>
              <w:ind w:left="183"/>
              <w:rPr>
                <w:sz w:val="21"/>
              </w:rPr>
            </w:pPr>
            <w:r>
              <w:rPr>
                <w:spacing w:val="-5"/>
                <w:sz w:val="21"/>
              </w:rPr>
              <w:t>指血液凝固系统和纤溶系统的过度活动导致微血管血栓形成、血小板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5" w:hRule="atLeast"/>
        </w:trPr>
        <w:tc>
          <w:tcPr>
            <w:tcW w:w="544" w:type="dxa"/>
          </w:tcPr>
          <w:p>
            <w:pPr>
              <w:pStyle w:val="7"/>
              <w:rPr>
                <w:rFonts w:ascii="Times New Roman"/>
                <w:sz w:val="20"/>
              </w:rPr>
            </w:pPr>
          </w:p>
        </w:tc>
        <w:tc>
          <w:tcPr>
            <w:tcW w:w="1358" w:type="dxa"/>
          </w:tcPr>
          <w:p>
            <w:pPr>
              <w:pStyle w:val="7"/>
              <w:spacing w:before="13"/>
              <w:ind w:left="72"/>
              <w:rPr>
                <w:b/>
                <w:sz w:val="21"/>
              </w:rPr>
            </w:pPr>
            <w:r>
              <w:rPr>
                <w:b/>
                <w:spacing w:val="-4"/>
                <w:sz w:val="21"/>
              </w:rPr>
              <w:t>内凝血</w:t>
            </w:r>
          </w:p>
        </w:tc>
        <w:tc>
          <w:tcPr>
            <w:tcW w:w="6624" w:type="dxa"/>
          </w:tcPr>
          <w:p>
            <w:pPr>
              <w:pStyle w:val="7"/>
              <w:spacing w:before="13"/>
              <w:ind w:left="183"/>
              <w:rPr>
                <w:sz w:val="21"/>
              </w:rPr>
            </w:pPr>
            <w:r>
              <w:rPr>
                <w:spacing w:val="-3"/>
                <w:sz w:val="21"/>
              </w:rPr>
              <w:t>及凝血因子耗竭和严重出血，需要输注血浆和浓缩血小板进行治疗。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2" w:hRule="atLeast"/>
        </w:trPr>
        <w:tc>
          <w:tcPr>
            <w:tcW w:w="544" w:type="dxa"/>
          </w:tcPr>
          <w:p>
            <w:pPr>
              <w:pStyle w:val="7"/>
              <w:spacing w:before="172"/>
              <w:ind w:left="50"/>
              <w:rPr>
                <w:sz w:val="21"/>
              </w:rPr>
            </w:pPr>
            <w:r>
              <w:rPr>
                <w:spacing w:val="-4"/>
                <w:sz w:val="21"/>
              </w:rPr>
              <w:t>101.</w:t>
            </w:r>
          </w:p>
        </w:tc>
        <w:tc>
          <w:tcPr>
            <w:tcW w:w="1358" w:type="dxa"/>
          </w:tcPr>
          <w:p>
            <w:pPr>
              <w:pStyle w:val="7"/>
              <w:spacing w:before="164"/>
              <w:ind w:left="72"/>
              <w:rPr>
                <w:b/>
                <w:sz w:val="22"/>
              </w:rPr>
            </w:pPr>
            <w:r>
              <w:rPr>
                <w:b/>
                <w:w w:val="95"/>
                <w:sz w:val="22"/>
              </w:rPr>
              <w:t>血管性痴</w:t>
            </w:r>
            <w:r>
              <w:rPr>
                <w:b/>
                <w:spacing w:val="-10"/>
                <w:w w:val="95"/>
                <w:sz w:val="22"/>
              </w:rPr>
              <w:t>呆</w:t>
            </w:r>
          </w:p>
        </w:tc>
        <w:tc>
          <w:tcPr>
            <w:tcW w:w="6624" w:type="dxa"/>
          </w:tcPr>
          <w:p>
            <w:pPr>
              <w:pStyle w:val="7"/>
              <w:spacing w:before="172"/>
              <w:ind w:left="183"/>
              <w:rPr>
                <w:sz w:val="21"/>
              </w:rPr>
            </w:pPr>
            <w:r>
              <w:rPr>
                <w:spacing w:val="-5"/>
                <w:sz w:val="21"/>
              </w:rPr>
              <w:t>指由缺血性卒中、出血性卒中和造成记忆、认知和行为等脑区低灌注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0" w:hRule="atLeast"/>
        </w:trPr>
        <w:tc>
          <w:tcPr>
            <w:tcW w:w="544" w:type="dxa"/>
          </w:tcPr>
          <w:p>
            <w:pPr>
              <w:pStyle w:val="7"/>
              <w:rPr>
                <w:rFonts w:ascii="Times New Roman"/>
                <w:sz w:val="20"/>
              </w:rPr>
            </w:pPr>
          </w:p>
        </w:tc>
        <w:tc>
          <w:tcPr>
            <w:tcW w:w="1358" w:type="dxa"/>
          </w:tcPr>
          <w:p>
            <w:pPr>
              <w:pStyle w:val="7"/>
              <w:rPr>
                <w:rFonts w:ascii="Times New Roman"/>
                <w:sz w:val="20"/>
              </w:rPr>
            </w:pPr>
          </w:p>
        </w:tc>
        <w:tc>
          <w:tcPr>
            <w:tcW w:w="6624" w:type="dxa"/>
          </w:tcPr>
          <w:p>
            <w:pPr>
              <w:pStyle w:val="7"/>
              <w:spacing w:before="11"/>
              <w:ind w:left="183"/>
              <w:rPr>
                <w:sz w:val="21"/>
              </w:rPr>
            </w:pPr>
            <w:r>
              <w:rPr>
                <w:spacing w:val="-5"/>
                <w:sz w:val="21"/>
              </w:rPr>
              <w:t>的脑血管疾病所致的严重认知功能障碍综合征。被保险人自主生活能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544" w:type="dxa"/>
          </w:tcPr>
          <w:p>
            <w:pPr>
              <w:pStyle w:val="7"/>
              <w:rPr>
                <w:rFonts w:ascii="Times New Roman"/>
                <w:sz w:val="20"/>
              </w:rPr>
            </w:pPr>
          </w:p>
        </w:tc>
        <w:tc>
          <w:tcPr>
            <w:tcW w:w="1358" w:type="dxa"/>
          </w:tcPr>
          <w:p>
            <w:pPr>
              <w:pStyle w:val="7"/>
              <w:rPr>
                <w:rFonts w:ascii="Times New Roman"/>
                <w:sz w:val="20"/>
              </w:rPr>
            </w:pPr>
          </w:p>
        </w:tc>
        <w:tc>
          <w:tcPr>
            <w:tcW w:w="6624" w:type="dxa"/>
          </w:tcPr>
          <w:p>
            <w:pPr>
              <w:pStyle w:val="7"/>
              <w:spacing w:before="14"/>
              <w:ind w:left="183"/>
              <w:rPr>
                <w:sz w:val="21"/>
              </w:rPr>
            </w:pPr>
            <w:r>
              <w:rPr>
                <w:spacing w:val="-5"/>
                <w:sz w:val="21"/>
              </w:rPr>
              <w:t>力完全丧失，无法独立完成六项基本日常生活活动中的三项或三项以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544" w:type="dxa"/>
          </w:tcPr>
          <w:p>
            <w:pPr>
              <w:pStyle w:val="7"/>
              <w:rPr>
                <w:rFonts w:ascii="Times New Roman"/>
                <w:sz w:val="20"/>
              </w:rPr>
            </w:pPr>
          </w:p>
        </w:tc>
        <w:tc>
          <w:tcPr>
            <w:tcW w:w="1358" w:type="dxa"/>
          </w:tcPr>
          <w:p>
            <w:pPr>
              <w:pStyle w:val="7"/>
              <w:rPr>
                <w:rFonts w:ascii="Times New Roman"/>
                <w:sz w:val="20"/>
              </w:rPr>
            </w:pPr>
          </w:p>
        </w:tc>
        <w:tc>
          <w:tcPr>
            <w:tcW w:w="6624" w:type="dxa"/>
          </w:tcPr>
          <w:p>
            <w:pPr>
              <w:pStyle w:val="7"/>
              <w:spacing w:before="13"/>
              <w:ind w:left="183"/>
              <w:rPr>
                <w:sz w:val="21"/>
              </w:rPr>
            </w:pPr>
            <w:r>
              <w:rPr>
                <w:spacing w:val="-15"/>
                <w:sz w:val="21"/>
              </w:rPr>
              <w:t>上，日常生活必须持续受到他人监护。导致痴呆的疾病必须明确诊断，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73" w:hRule="atLeast"/>
        </w:trPr>
        <w:tc>
          <w:tcPr>
            <w:tcW w:w="544" w:type="dxa"/>
          </w:tcPr>
          <w:p>
            <w:pPr>
              <w:pStyle w:val="7"/>
              <w:rPr>
                <w:rFonts w:ascii="Times New Roman"/>
                <w:sz w:val="20"/>
              </w:rPr>
            </w:pPr>
          </w:p>
        </w:tc>
        <w:tc>
          <w:tcPr>
            <w:tcW w:w="1358" w:type="dxa"/>
          </w:tcPr>
          <w:p>
            <w:pPr>
              <w:pStyle w:val="7"/>
              <w:rPr>
                <w:rFonts w:ascii="Times New Roman"/>
                <w:sz w:val="20"/>
              </w:rPr>
            </w:pPr>
          </w:p>
        </w:tc>
        <w:tc>
          <w:tcPr>
            <w:tcW w:w="6624" w:type="dxa"/>
          </w:tcPr>
          <w:p>
            <w:pPr>
              <w:pStyle w:val="7"/>
              <w:spacing w:before="13"/>
              <w:ind w:left="183"/>
              <w:rPr>
                <w:sz w:val="21"/>
              </w:rPr>
            </w:pPr>
            <w:r>
              <w:rPr>
                <w:spacing w:val="-3"/>
                <w:sz w:val="21"/>
              </w:rPr>
              <w:t>并且有完整的临床、实验室和影像学检查结果证实。</w:t>
            </w:r>
          </w:p>
          <w:p>
            <w:pPr>
              <w:pStyle w:val="7"/>
              <w:spacing w:before="43"/>
              <w:ind w:left="183"/>
              <w:rPr>
                <w:rFonts w:hint="eastAsia" w:ascii="黑体" w:eastAsia="黑体"/>
                <w:b/>
                <w:sz w:val="21"/>
              </w:rPr>
            </w:pPr>
            <w:r>
              <w:rPr>
                <w:rFonts w:hint="eastAsia" w:ascii="黑体" w:eastAsia="黑体"/>
                <w:b/>
                <w:spacing w:val="-3"/>
                <w:sz w:val="21"/>
              </w:rPr>
              <w:t>神经官能症，精神疾病及酒精中毒所致脑损害不在保障范围内。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6" w:hRule="atLeast"/>
        </w:trPr>
        <w:tc>
          <w:tcPr>
            <w:tcW w:w="544" w:type="dxa"/>
          </w:tcPr>
          <w:p>
            <w:pPr>
              <w:pStyle w:val="7"/>
              <w:spacing w:before="176"/>
              <w:ind w:left="50"/>
              <w:rPr>
                <w:sz w:val="21"/>
              </w:rPr>
            </w:pPr>
            <w:r>
              <w:rPr>
                <w:spacing w:val="-4"/>
                <w:sz w:val="21"/>
              </w:rPr>
              <w:t>102.</w:t>
            </w:r>
          </w:p>
        </w:tc>
        <w:tc>
          <w:tcPr>
            <w:tcW w:w="1358" w:type="dxa"/>
          </w:tcPr>
          <w:p>
            <w:pPr>
              <w:pStyle w:val="7"/>
              <w:spacing w:before="169"/>
              <w:ind w:left="72"/>
              <w:rPr>
                <w:b/>
                <w:sz w:val="22"/>
              </w:rPr>
            </w:pPr>
            <w:r>
              <w:rPr>
                <w:b/>
                <w:w w:val="95"/>
                <w:sz w:val="22"/>
              </w:rPr>
              <w:t>额颞叶痴</w:t>
            </w:r>
            <w:r>
              <w:rPr>
                <w:b/>
                <w:spacing w:val="-10"/>
                <w:w w:val="95"/>
                <w:sz w:val="22"/>
              </w:rPr>
              <w:t>呆</w:t>
            </w:r>
          </w:p>
        </w:tc>
        <w:tc>
          <w:tcPr>
            <w:tcW w:w="6624" w:type="dxa"/>
          </w:tcPr>
          <w:p>
            <w:pPr>
              <w:pStyle w:val="7"/>
              <w:spacing w:before="176"/>
              <w:ind w:left="183"/>
              <w:rPr>
                <w:sz w:val="21"/>
              </w:rPr>
            </w:pPr>
            <w:r>
              <w:rPr>
                <w:spacing w:val="-5"/>
                <w:sz w:val="21"/>
              </w:rPr>
              <w:t>指一组以额颞叶萎缩为特征的痴呆综合征，临床以明显的人格、行为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9" w:hRule="atLeast"/>
        </w:trPr>
        <w:tc>
          <w:tcPr>
            <w:tcW w:w="544" w:type="dxa"/>
          </w:tcPr>
          <w:p>
            <w:pPr>
              <w:pStyle w:val="7"/>
              <w:rPr>
                <w:rFonts w:ascii="Times New Roman"/>
                <w:sz w:val="20"/>
              </w:rPr>
            </w:pPr>
          </w:p>
        </w:tc>
        <w:tc>
          <w:tcPr>
            <w:tcW w:w="1358" w:type="dxa"/>
          </w:tcPr>
          <w:p>
            <w:pPr>
              <w:pStyle w:val="7"/>
              <w:rPr>
                <w:rFonts w:ascii="Times New Roman"/>
                <w:sz w:val="20"/>
              </w:rPr>
            </w:pPr>
          </w:p>
        </w:tc>
        <w:tc>
          <w:tcPr>
            <w:tcW w:w="6624" w:type="dxa"/>
          </w:tcPr>
          <w:p>
            <w:pPr>
              <w:pStyle w:val="7"/>
              <w:spacing w:before="11"/>
              <w:ind w:left="183"/>
              <w:rPr>
                <w:sz w:val="21"/>
              </w:rPr>
            </w:pPr>
            <w:r>
              <w:rPr>
                <w:spacing w:val="-5"/>
                <w:sz w:val="21"/>
              </w:rPr>
              <w:t>改变和认知障碍为特征。被保险人自主生活能力完全丧失，无法独立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544" w:type="dxa"/>
          </w:tcPr>
          <w:p>
            <w:pPr>
              <w:pStyle w:val="7"/>
              <w:rPr>
                <w:rFonts w:ascii="Times New Roman"/>
                <w:sz w:val="20"/>
              </w:rPr>
            </w:pPr>
          </w:p>
        </w:tc>
        <w:tc>
          <w:tcPr>
            <w:tcW w:w="1358" w:type="dxa"/>
          </w:tcPr>
          <w:p>
            <w:pPr>
              <w:pStyle w:val="7"/>
              <w:rPr>
                <w:rFonts w:ascii="Times New Roman"/>
                <w:sz w:val="20"/>
              </w:rPr>
            </w:pPr>
          </w:p>
        </w:tc>
        <w:tc>
          <w:tcPr>
            <w:tcW w:w="6624" w:type="dxa"/>
          </w:tcPr>
          <w:p>
            <w:pPr>
              <w:pStyle w:val="7"/>
              <w:spacing w:before="13"/>
              <w:ind w:left="183"/>
              <w:rPr>
                <w:sz w:val="21"/>
              </w:rPr>
            </w:pPr>
            <w:r>
              <w:rPr>
                <w:spacing w:val="-5"/>
                <w:sz w:val="21"/>
              </w:rPr>
              <w:t>完成六项基本日常生活活动中的三项或三项以上，日常生活必须持续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544" w:type="dxa"/>
          </w:tcPr>
          <w:p>
            <w:pPr>
              <w:pStyle w:val="7"/>
              <w:rPr>
                <w:rFonts w:ascii="Times New Roman"/>
                <w:sz w:val="20"/>
              </w:rPr>
            </w:pPr>
          </w:p>
        </w:tc>
        <w:tc>
          <w:tcPr>
            <w:tcW w:w="1358" w:type="dxa"/>
          </w:tcPr>
          <w:p>
            <w:pPr>
              <w:pStyle w:val="7"/>
              <w:rPr>
                <w:rFonts w:ascii="Times New Roman"/>
                <w:sz w:val="20"/>
              </w:rPr>
            </w:pPr>
          </w:p>
        </w:tc>
        <w:tc>
          <w:tcPr>
            <w:tcW w:w="6624" w:type="dxa"/>
          </w:tcPr>
          <w:p>
            <w:pPr>
              <w:pStyle w:val="7"/>
              <w:spacing w:before="13"/>
              <w:ind w:left="183"/>
              <w:rPr>
                <w:sz w:val="21"/>
              </w:rPr>
            </w:pPr>
            <w:r>
              <w:rPr>
                <w:spacing w:val="-3"/>
                <w:sz w:val="21"/>
              </w:rPr>
              <w:t>受到他人监护。导致痴呆的疾病必须明确诊断，并且有完整的临床、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5" w:hRule="atLeast"/>
        </w:trPr>
        <w:tc>
          <w:tcPr>
            <w:tcW w:w="544" w:type="dxa"/>
          </w:tcPr>
          <w:p>
            <w:pPr>
              <w:pStyle w:val="7"/>
              <w:rPr>
                <w:rFonts w:ascii="Times New Roman"/>
                <w:sz w:val="20"/>
              </w:rPr>
            </w:pPr>
          </w:p>
        </w:tc>
        <w:tc>
          <w:tcPr>
            <w:tcW w:w="1358" w:type="dxa"/>
          </w:tcPr>
          <w:p>
            <w:pPr>
              <w:pStyle w:val="7"/>
              <w:rPr>
                <w:rFonts w:ascii="Times New Roman"/>
                <w:sz w:val="20"/>
              </w:rPr>
            </w:pPr>
          </w:p>
        </w:tc>
        <w:tc>
          <w:tcPr>
            <w:tcW w:w="6624" w:type="dxa"/>
          </w:tcPr>
          <w:p>
            <w:pPr>
              <w:pStyle w:val="7"/>
              <w:spacing w:before="13"/>
              <w:ind w:left="183"/>
              <w:rPr>
                <w:sz w:val="21"/>
              </w:rPr>
            </w:pPr>
            <w:r>
              <w:rPr>
                <w:spacing w:val="-3"/>
                <w:sz w:val="21"/>
              </w:rPr>
              <w:t>实验室和影像学检查结果证实。</w:t>
            </w:r>
          </w:p>
          <w:p>
            <w:pPr>
              <w:pStyle w:val="7"/>
              <w:spacing w:before="44" w:line="220" w:lineRule="exact"/>
              <w:ind w:left="183"/>
              <w:rPr>
                <w:rFonts w:hint="eastAsia" w:ascii="黑体" w:eastAsia="黑体"/>
                <w:b/>
                <w:sz w:val="21"/>
              </w:rPr>
            </w:pPr>
            <w:r>
              <w:rPr>
                <w:rFonts w:hint="eastAsia" w:ascii="黑体" w:eastAsia="黑体"/>
                <w:b/>
                <w:spacing w:val="-3"/>
                <w:sz w:val="21"/>
              </w:rPr>
              <w:t>神经官能症，精神疾病及酒精中毒所致脑损害不在保障范围内。</w:t>
            </w:r>
          </w:p>
        </w:tc>
      </w:tr>
    </w:tbl>
    <w:p>
      <w:pPr>
        <w:spacing w:after="0" w:line="220" w:lineRule="exact"/>
        <w:rPr>
          <w:rFonts w:hint="eastAsia" w:ascii="黑体" w:eastAsia="黑体"/>
          <w:sz w:val="21"/>
        </w:rPr>
        <w:sectPr>
          <w:pgSz w:w="11910" w:h="16840"/>
          <w:pgMar w:top="1400" w:right="1080" w:bottom="1928" w:left="1580" w:header="0" w:footer="1137" w:gutter="0"/>
          <w:cols w:space="720" w:num="1"/>
        </w:sectPr>
      </w:pPr>
    </w:p>
    <w:tbl>
      <w:tblPr>
        <w:tblStyle w:val="3"/>
        <w:tblW w:w="0" w:type="auto"/>
        <w:tblInd w:w="1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44"/>
        <w:gridCol w:w="1358"/>
        <w:gridCol w:w="65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9" w:hRule="atLeast"/>
        </w:trPr>
        <w:tc>
          <w:tcPr>
            <w:tcW w:w="544" w:type="dxa"/>
          </w:tcPr>
          <w:p>
            <w:pPr>
              <w:pStyle w:val="7"/>
              <w:spacing w:line="234" w:lineRule="exact"/>
              <w:ind w:left="50"/>
              <w:rPr>
                <w:sz w:val="21"/>
              </w:rPr>
            </w:pPr>
            <w:r>
              <w:rPr>
                <w:spacing w:val="-4"/>
                <w:sz w:val="21"/>
              </w:rPr>
              <w:t>103.</w:t>
            </w:r>
          </w:p>
        </w:tc>
        <w:tc>
          <w:tcPr>
            <w:tcW w:w="1358" w:type="dxa"/>
          </w:tcPr>
          <w:p>
            <w:pPr>
              <w:pStyle w:val="7"/>
              <w:spacing w:line="239" w:lineRule="exact"/>
              <w:ind w:left="72"/>
              <w:rPr>
                <w:b/>
                <w:sz w:val="22"/>
              </w:rPr>
            </w:pPr>
            <w:r>
              <w:rPr>
                <w:b/>
                <w:w w:val="95"/>
                <w:sz w:val="22"/>
              </w:rPr>
              <w:t>路易体痴</w:t>
            </w:r>
            <w:r>
              <w:rPr>
                <w:b/>
                <w:spacing w:val="-10"/>
                <w:w w:val="95"/>
                <w:sz w:val="22"/>
              </w:rPr>
              <w:t>呆</w:t>
            </w:r>
          </w:p>
        </w:tc>
        <w:tc>
          <w:tcPr>
            <w:tcW w:w="6519" w:type="dxa"/>
          </w:tcPr>
          <w:p>
            <w:pPr>
              <w:pStyle w:val="7"/>
              <w:spacing w:line="234" w:lineRule="exact"/>
              <w:ind w:left="183"/>
              <w:rPr>
                <w:sz w:val="21"/>
              </w:rPr>
            </w:pPr>
            <w:r>
              <w:rPr>
                <w:spacing w:val="-5"/>
                <w:sz w:val="21"/>
              </w:rPr>
              <w:t>指一组在临床和病理表现上以波动性认知功能障碍、视幻觉和帕金森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9" w:hRule="atLeast"/>
        </w:trPr>
        <w:tc>
          <w:tcPr>
            <w:tcW w:w="544" w:type="dxa"/>
          </w:tcPr>
          <w:p>
            <w:pPr>
              <w:pStyle w:val="7"/>
              <w:rPr>
                <w:rFonts w:ascii="Times New Roman"/>
                <w:sz w:val="20"/>
              </w:rPr>
            </w:pPr>
          </w:p>
        </w:tc>
        <w:tc>
          <w:tcPr>
            <w:tcW w:w="1358" w:type="dxa"/>
          </w:tcPr>
          <w:p>
            <w:pPr>
              <w:pStyle w:val="7"/>
              <w:rPr>
                <w:rFonts w:ascii="Times New Roman"/>
                <w:sz w:val="20"/>
              </w:rPr>
            </w:pPr>
          </w:p>
        </w:tc>
        <w:tc>
          <w:tcPr>
            <w:tcW w:w="6519" w:type="dxa"/>
          </w:tcPr>
          <w:p>
            <w:pPr>
              <w:pStyle w:val="7"/>
              <w:spacing w:before="7"/>
              <w:ind w:left="183"/>
              <w:rPr>
                <w:sz w:val="21"/>
              </w:rPr>
            </w:pPr>
            <w:r>
              <w:rPr>
                <w:spacing w:val="-5"/>
                <w:sz w:val="21"/>
              </w:rPr>
              <w:t>综合征为临床特点，以路易体为病理特征的神经变性疾病。被保险人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544" w:type="dxa"/>
          </w:tcPr>
          <w:p>
            <w:pPr>
              <w:pStyle w:val="7"/>
              <w:rPr>
                <w:rFonts w:ascii="Times New Roman"/>
                <w:sz w:val="20"/>
              </w:rPr>
            </w:pPr>
          </w:p>
        </w:tc>
        <w:tc>
          <w:tcPr>
            <w:tcW w:w="1358" w:type="dxa"/>
          </w:tcPr>
          <w:p>
            <w:pPr>
              <w:pStyle w:val="7"/>
              <w:rPr>
                <w:rFonts w:ascii="Times New Roman"/>
                <w:sz w:val="20"/>
              </w:rPr>
            </w:pPr>
          </w:p>
        </w:tc>
        <w:tc>
          <w:tcPr>
            <w:tcW w:w="6519" w:type="dxa"/>
          </w:tcPr>
          <w:p>
            <w:pPr>
              <w:pStyle w:val="7"/>
              <w:spacing w:before="9"/>
              <w:ind w:left="183"/>
              <w:rPr>
                <w:sz w:val="21"/>
              </w:rPr>
            </w:pPr>
            <w:r>
              <w:rPr>
                <w:spacing w:val="-5"/>
                <w:sz w:val="21"/>
              </w:rPr>
              <w:t>自主生活能力完全丧失，无法独立完成六项基本日常生活活动中的三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544" w:type="dxa"/>
          </w:tcPr>
          <w:p>
            <w:pPr>
              <w:pStyle w:val="7"/>
              <w:rPr>
                <w:rFonts w:ascii="Times New Roman"/>
                <w:sz w:val="20"/>
              </w:rPr>
            </w:pPr>
          </w:p>
        </w:tc>
        <w:tc>
          <w:tcPr>
            <w:tcW w:w="1358" w:type="dxa"/>
          </w:tcPr>
          <w:p>
            <w:pPr>
              <w:pStyle w:val="7"/>
              <w:rPr>
                <w:rFonts w:ascii="Times New Roman"/>
                <w:sz w:val="20"/>
              </w:rPr>
            </w:pPr>
          </w:p>
        </w:tc>
        <w:tc>
          <w:tcPr>
            <w:tcW w:w="6519" w:type="dxa"/>
          </w:tcPr>
          <w:p>
            <w:pPr>
              <w:pStyle w:val="7"/>
              <w:spacing w:before="9"/>
              <w:ind w:left="183"/>
              <w:rPr>
                <w:sz w:val="21"/>
              </w:rPr>
            </w:pPr>
            <w:r>
              <w:rPr>
                <w:spacing w:val="-5"/>
                <w:sz w:val="21"/>
              </w:rPr>
              <w:t>项或三项以上，日常生活必须持续受到他人监护。导致痴呆的疾病必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73" w:hRule="atLeast"/>
        </w:trPr>
        <w:tc>
          <w:tcPr>
            <w:tcW w:w="544" w:type="dxa"/>
          </w:tcPr>
          <w:p>
            <w:pPr>
              <w:pStyle w:val="7"/>
              <w:rPr>
                <w:rFonts w:ascii="Times New Roman"/>
                <w:sz w:val="20"/>
              </w:rPr>
            </w:pPr>
          </w:p>
        </w:tc>
        <w:tc>
          <w:tcPr>
            <w:tcW w:w="1358" w:type="dxa"/>
          </w:tcPr>
          <w:p>
            <w:pPr>
              <w:pStyle w:val="7"/>
              <w:rPr>
                <w:rFonts w:ascii="Times New Roman"/>
                <w:sz w:val="20"/>
              </w:rPr>
            </w:pPr>
          </w:p>
        </w:tc>
        <w:tc>
          <w:tcPr>
            <w:tcW w:w="6519" w:type="dxa"/>
          </w:tcPr>
          <w:p>
            <w:pPr>
              <w:pStyle w:val="7"/>
              <w:spacing w:before="9"/>
              <w:ind w:left="183"/>
              <w:rPr>
                <w:sz w:val="21"/>
              </w:rPr>
            </w:pPr>
            <w:r>
              <w:rPr>
                <w:spacing w:val="-3"/>
                <w:sz w:val="21"/>
              </w:rPr>
              <w:t>须明确诊断，并且有完整的临床、实验室和影像学检查结果证实。</w:t>
            </w:r>
          </w:p>
          <w:p>
            <w:pPr>
              <w:pStyle w:val="7"/>
              <w:spacing w:before="43"/>
              <w:ind w:left="183"/>
              <w:rPr>
                <w:rFonts w:hint="eastAsia" w:ascii="黑体" w:eastAsia="黑体"/>
                <w:b/>
                <w:sz w:val="21"/>
              </w:rPr>
            </w:pPr>
            <w:r>
              <w:rPr>
                <w:rFonts w:hint="eastAsia" w:ascii="黑体" w:eastAsia="黑体"/>
                <w:b/>
                <w:spacing w:val="-3"/>
                <w:sz w:val="21"/>
              </w:rPr>
              <w:t>神经官能症，精神疾病及酒精中毒所致脑损害不在保障范围内。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788" w:hRule="atLeast"/>
        </w:trPr>
        <w:tc>
          <w:tcPr>
            <w:tcW w:w="544" w:type="dxa"/>
          </w:tcPr>
          <w:p>
            <w:pPr>
              <w:pStyle w:val="7"/>
              <w:spacing w:before="172"/>
              <w:ind w:left="50"/>
              <w:rPr>
                <w:sz w:val="21"/>
              </w:rPr>
            </w:pPr>
            <w:r>
              <w:rPr>
                <w:spacing w:val="-4"/>
                <w:sz w:val="21"/>
              </w:rPr>
              <w:t>104.</w:t>
            </w:r>
          </w:p>
        </w:tc>
        <w:tc>
          <w:tcPr>
            <w:tcW w:w="1358" w:type="dxa"/>
          </w:tcPr>
          <w:p>
            <w:pPr>
              <w:pStyle w:val="7"/>
              <w:spacing w:before="137" w:line="310" w:lineRule="atLeast"/>
              <w:ind w:left="72" w:right="179"/>
              <w:rPr>
                <w:b/>
                <w:sz w:val="22"/>
              </w:rPr>
            </w:pPr>
            <w:r>
              <w:rPr>
                <w:b/>
                <w:spacing w:val="-2"/>
                <w:sz w:val="22"/>
              </w:rPr>
              <w:t>亚急性硬化</w:t>
            </w:r>
            <w:r>
              <w:rPr>
                <w:b/>
                <w:spacing w:val="-4"/>
                <w:sz w:val="22"/>
              </w:rPr>
              <w:t>性全脑炎</w:t>
            </w:r>
          </w:p>
        </w:tc>
        <w:tc>
          <w:tcPr>
            <w:tcW w:w="6519" w:type="dxa"/>
          </w:tcPr>
          <w:p>
            <w:pPr>
              <w:pStyle w:val="7"/>
              <w:spacing w:before="131" w:line="310" w:lineRule="atLeast"/>
              <w:ind w:left="183" w:right="49"/>
              <w:rPr>
                <w:sz w:val="21"/>
              </w:rPr>
            </w:pPr>
            <w:r>
              <w:rPr>
                <w:spacing w:val="-2"/>
                <w:sz w:val="21"/>
              </w:rPr>
              <w:t>指一种以大脑白质和灰质损害为主的全脑炎。本病的发生是由于缺损型麻疹病毒慢性持续感染所致的一种罕见的致命性中枢神经系统退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9" w:hRule="atLeast"/>
        </w:trPr>
        <w:tc>
          <w:tcPr>
            <w:tcW w:w="544" w:type="dxa"/>
          </w:tcPr>
          <w:p>
            <w:pPr>
              <w:pStyle w:val="7"/>
              <w:rPr>
                <w:rFonts w:ascii="Times New Roman"/>
                <w:sz w:val="20"/>
              </w:rPr>
            </w:pPr>
          </w:p>
        </w:tc>
        <w:tc>
          <w:tcPr>
            <w:tcW w:w="1358" w:type="dxa"/>
          </w:tcPr>
          <w:p>
            <w:pPr>
              <w:pStyle w:val="7"/>
              <w:rPr>
                <w:rFonts w:ascii="Times New Roman"/>
                <w:sz w:val="20"/>
              </w:rPr>
            </w:pPr>
          </w:p>
        </w:tc>
        <w:tc>
          <w:tcPr>
            <w:tcW w:w="6519" w:type="dxa"/>
          </w:tcPr>
          <w:p>
            <w:pPr>
              <w:pStyle w:val="7"/>
              <w:spacing w:before="7"/>
              <w:ind w:left="183"/>
              <w:rPr>
                <w:sz w:val="21"/>
              </w:rPr>
            </w:pPr>
            <w:r>
              <w:rPr>
                <w:spacing w:val="-5"/>
                <w:sz w:val="21"/>
              </w:rPr>
              <w:t>变性疾病。早期以炎症性病变为主，晚期主要为神经元坏死和胶质增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544" w:type="dxa"/>
          </w:tcPr>
          <w:p>
            <w:pPr>
              <w:pStyle w:val="7"/>
              <w:rPr>
                <w:rFonts w:ascii="Times New Roman"/>
                <w:sz w:val="20"/>
              </w:rPr>
            </w:pPr>
          </w:p>
        </w:tc>
        <w:tc>
          <w:tcPr>
            <w:tcW w:w="1358" w:type="dxa"/>
          </w:tcPr>
          <w:p>
            <w:pPr>
              <w:pStyle w:val="7"/>
              <w:rPr>
                <w:rFonts w:ascii="Times New Roman"/>
                <w:sz w:val="20"/>
              </w:rPr>
            </w:pPr>
          </w:p>
        </w:tc>
        <w:tc>
          <w:tcPr>
            <w:tcW w:w="6519" w:type="dxa"/>
          </w:tcPr>
          <w:p>
            <w:pPr>
              <w:pStyle w:val="7"/>
              <w:spacing w:before="9"/>
              <w:ind w:left="183"/>
              <w:rPr>
                <w:sz w:val="21"/>
              </w:rPr>
            </w:pPr>
            <w:r>
              <w:rPr>
                <w:spacing w:val="-5"/>
                <w:sz w:val="21"/>
              </w:rPr>
              <w:t xml:space="preserve">生，核内包涵体是本病的特征性改变之一。疾病确诊 </w:t>
            </w:r>
            <w:r>
              <w:rPr>
                <w:spacing w:val="-2"/>
                <w:sz w:val="21"/>
              </w:rPr>
              <w:t>180</w:t>
            </w:r>
            <w:r>
              <w:rPr>
                <w:spacing w:val="-14"/>
                <w:sz w:val="21"/>
              </w:rPr>
              <w:t xml:space="preserve"> 天后，仍遗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544" w:type="dxa"/>
          </w:tcPr>
          <w:p>
            <w:pPr>
              <w:pStyle w:val="7"/>
              <w:rPr>
                <w:rFonts w:ascii="Times New Roman"/>
                <w:sz w:val="20"/>
              </w:rPr>
            </w:pPr>
          </w:p>
        </w:tc>
        <w:tc>
          <w:tcPr>
            <w:tcW w:w="1358" w:type="dxa"/>
          </w:tcPr>
          <w:p>
            <w:pPr>
              <w:pStyle w:val="7"/>
              <w:rPr>
                <w:rFonts w:ascii="Times New Roman"/>
                <w:sz w:val="20"/>
              </w:rPr>
            </w:pPr>
          </w:p>
        </w:tc>
        <w:tc>
          <w:tcPr>
            <w:tcW w:w="6519" w:type="dxa"/>
          </w:tcPr>
          <w:p>
            <w:pPr>
              <w:pStyle w:val="7"/>
              <w:spacing w:before="10"/>
              <w:ind w:left="183"/>
              <w:rPr>
                <w:sz w:val="21"/>
              </w:rPr>
            </w:pPr>
            <w:r>
              <w:rPr>
                <w:spacing w:val="-3"/>
                <w:sz w:val="21"/>
              </w:rPr>
              <w:t>留下列一种或一种以上障碍：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544" w:type="dxa"/>
          </w:tcPr>
          <w:p>
            <w:pPr>
              <w:pStyle w:val="7"/>
              <w:rPr>
                <w:rFonts w:ascii="Times New Roman"/>
                <w:sz w:val="20"/>
              </w:rPr>
            </w:pPr>
          </w:p>
        </w:tc>
        <w:tc>
          <w:tcPr>
            <w:tcW w:w="1358" w:type="dxa"/>
          </w:tcPr>
          <w:p>
            <w:pPr>
              <w:pStyle w:val="7"/>
              <w:rPr>
                <w:rFonts w:ascii="Times New Roman"/>
                <w:sz w:val="20"/>
              </w:rPr>
            </w:pPr>
          </w:p>
        </w:tc>
        <w:tc>
          <w:tcPr>
            <w:tcW w:w="6519" w:type="dxa"/>
          </w:tcPr>
          <w:p>
            <w:pPr>
              <w:pStyle w:val="7"/>
              <w:spacing w:before="9"/>
              <w:ind w:left="183"/>
              <w:rPr>
                <w:sz w:val="21"/>
              </w:rPr>
            </w:pPr>
            <w:r>
              <w:rPr>
                <w:spacing w:val="-2"/>
                <w:sz w:val="21"/>
              </w:rPr>
              <w:t>（1）</w:t>
            </w:r>
            <w:r>
              <w:rPr>
                <w:spacing w:val="-9"/>
                <w:sz w:val="21"/>
              </w:rPr>
              <w:t xml:space="preserve"> 一肢或一肢以上肢体机能完全丧失；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544" w:type="dxa"/>
          </w:tcPr>
          <w:p>
            <w:pPr>
              <w:pStyle w:val="7"/>
              <w:rPr>
                <w:rFonts w:ascii="Times New Roman"/>
                <w:sz w:val="20"/>
              </w:rPr>
            </w:pPr>
          </w:p>
        </w:tc>
        <w:tc>
          <w:tcPr>
            <w:tcW w:w="1358" w:type="dxa"/>
          </w:tcPr>
          <w:p>
            <w:pPr>
              <w:pStyle w:val="7"/>
              <w:rPr>
                <w:rFonts w:ascii="Times New Roman"/>
                <w:sz w:val="20"/>
              </w:rPr>
            </w:pPr>
          </w:p>
        </w:tc>
        <w:tc>
          <w:tcPr>
            <w:tcW w:w="6519" w:type="dxa"/>
          </w:tcPr>
          <w:p>
            <w:pPr>
              <w:pStyle w:val="7"/>
              <w:spacing w:before="9"/>
              <w:ind w:left="183"/>
              <w:rPr>
                <w:sz w:val="21"/>
              </w:rPr>
            </w:pPr>
            <w:r>
              <w:rPr>
                <w:spacing w:val="-2"/>
                <w:sz w:val="21"/>
              </w:rPr>
              <w:t>（2）</w:t>
            </w:r>
            <w:r>
              <w:rPr>
                <w:spacing w:val="-9"/>
                <w:sz w:val="21"/>
              </w:rPr>
              <w:t xml:space="preserve"> 语言能力或咀嚼吞咽能力完全丧失；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544" w:type="dxa"/>
          </w:tcPr>
          <w:p>
            <w:pPr>
              <w:pStyle w:val="7"/>
              <w:rPr>
                <w:rFonts w:ascii="Times New Roman"/>
                <w:sz w:val="18"/>
              </w:rPr>
            </w:pPr>
          </w:p>
        </w:tc>
        <w:tc>
          <w:tcPr>
            <w:tcW w:w="1358" w:type="dxa"/>
          </w:tcPr>
          <w:p>
            <w:pPr>
              <w:pStyle w:val="7"/>
              <w:rPr>
                <w:rFonts w:ascii="Times New Roman"/>
                <w:sz w:val="18"/>
              </w:rPr>
            </w:pPr>
          </w:p>
        </w:tc>
        <w:tc>
          <w:tcPr>
            <w:tcW w:w="6519" w:type="dxa"/>
          </w:tcPr>
          <w:p>
            <w:pPr>
              <w:pStyle w:val="7"/>
              <w:spacing w:before="9" w:line="232" w:lineRule="exact"/>
              <w:ind w:left="183"/>
              <w:rPr>
                <w:sz w:val="21"/>
              </w:rPr>
            </w:pPr>
            <w:r>
              <w:rPr>
                <w:spacing w:val="-2"/>
                <w:sz w:val="21"/>
              </w:rPr>
              <w:t>（3）</w:t>
            </w:r>
            <w:r>
              <w:rPr>
                <w:spacing w:val="-8"/>
                <w:sz w:val="21"/>
              </w:rPr>
              <w:t xml:space="preserve"> 自主生活能力完全丧失，无法独立完成六项基本日常生活活动</w:t>
            </w:r>
          </w:p>
        </w:tc>
      </w:tr>
    </w:tbl>
    <w:p>
      <w:pPr>
        <w:pStyle w:val="2"/>
        <w:spacing w:before="66"/>
        <w:ind w:left="2796"/>
      </w:pPr>
      <w:r>
        <w:rPr>
          <w:spacing w:val="-3"/>
        </w:rPr>
        <w:t>中的三项或三项以上。</w:t>
      </w:r>
    </w:p>
    <w:p>
      <w:pPr>
        <w:pStyle w:val="2"/>
        <w:spacing w:before="4"/>
        <w:rPr>
          <w:sz w:val="22"/>
        </w:rPr>
      </w:pPr>
    </w:p>
    <w:p>
      <w:pPr>
        <w:spacing w:after="0"/>
        <w:rPr>
          <w:sz w:val="22"/>
        </w:rPr>
        <w:sectPr>
          <w:type w:val="continuous"/>
          <w:pgSz w:w="11910" w:h="16840"/>
          <w:pgMar w:top="1480" w:right="1080" w:bottom="1320" w:left="1580" w:header="0" w:footer="1137" w:gutter="0"/>
          <w:cols w:space="720" w:num="1"/>
        </w:sectPr>
      </w:pPr>
    </w:p>
    <w:p>
      <w:pPr>
        <w:spacing w:before="62"/>
        <w:ind w:left="194" w:right="0" w:firstLine="0"/>
        <w:jc w:val="left"/>
        <w:rPr>
          <w:b/>
          <w:sz w:val="22"/>
        </w:rPr>
      </w:pPr>
      <w:r>
        <w:rPr>
          <w:sz w:val="21"/>
        </w:rPr>
        <w:t>105.</w:t>
      </w:r>
      <w:r>
        <w:rPr>
          <w:spacing w:val="29"/>
          <w:sz w:val="21"/>
        </w:rPr>
        <w:t xml:space="preserve"> </w:t>
      </w:r>
      <w:r>
        <w:rPr>
          <w:b/>
          <w:sz w:val="22"/>
        </w:rPr>
        <w:t>进行性风</w:t>
      </w:r>
      <w:r>
        <w:rPr>
          <w:b/>
          <w:spacing w:val="-10"/>
          <w:sz w:val="22"/>
        </w:rPr>
        <w:t>疹</w:t>
      </w:r>
    </w:p>
    <w:p>
      <w:pPr>
        <w:spacing w:before="30"/>
        <w:ind w:left="760" w:right="0" w:firstLine="0"/>
        <w:jc w:val="left"/>
        <w:rPr>
          <w:b/>
          <w:sz w:val="22"/>
        </w:rPr>
      </w:pPr>
      <w:r>
        <w:rPr>
          <w:b/>
          <w:w w:val="95"/>
          <w:sz w:val="22"/>
        </w:rPr>
        <w:t>性全脑</w:t>
      </w:r>
      <w:r>
        <w:rPr>
          <w:b/>
          <w:spacing w:val="-10"/>
          <w:w w:val="95"/>
          <w:sz w:val="22"/>
        </w:rPr>
        <w:t>炎</w:t>
      </w:r>
    </w:p>
    <w:p>
      <w:pPr>
        <w:pStyle w:val="2"/>
        <w:spacing w:before="69" w:line="278" w:lineRule="auto"/>
        <w:ind w:left="194" w:right="730"/>
      </w:pPr>
      <w:r>
        <w:br w:type="column"/>
      </w:r>
      <w:r>
        <w:rPr>
          <w:spacing w:val="-6"/>
        </w:rPr>
        <w:t xml:space="preserve">指由风疹病毒感染引起的儿童和青少年的慢性脑炎。疾病确诊 </w:t>
      </w:r>
      <w:r>
        <w:t>180</w:t>
      </w:r>
      <w:r>
        <w:rPr>
          <w:spacing w:val="-14"/>
        </w:rPr>
        <w:t xml:space="preserve"> 天</w:t>
      </w:r>
      <w:r>
        <w:rPr>
          <w:spacing w:val="-2"/>
        </w:rPr>
        <w:t>后，仍遗留下列一种或一种以上障碍：</w:t>
      </w:r>
    </w:p>
    <w:p>
      <w:pPr>
        <w:pStyle w:val="6"/>
        <w:numPr>
          <w:ilvl w:val="0"/>
          <w:numId w:val="45"/>
        </w:numPr>
        <w:tabs>
          <w:tab w:val="left" w:pos="778"/>
        </w:tabs>
        <w:spacing w:before="0" w:after="0" w:line="269" w:lineRule="exact"/>
        <w:ind w:left="777" w:right="0" w:hanging="584"/>
        <w:jc w:val="left"/>
        <w:rPr>
          <w:sz w:val="21"/>
        </w:rPr>
      </w:pPr>
      <w:r>
        <w:rPr>
          <w:spacing w:val="-3"/>
          <w:sz w:val="21"/>
        </w:rPr>
        <w:t>一肢或一肢以上肢体机能完全丧失；</w:t>
      </w:r>
    </w:p>
    <w:p>
      <w:pPr>
        <w:pStyle w:val="6"/>
        <w:numPr>
          <w:ilvl w:val="0"/>
          <w:numId w:val="45"/>
        </w:numPr>
        <w:tabs>
          <w:tab w:val="left" w:pos="778"/>
        </w:tabs>
        <w:spacing w:before="43" w:after="0" w:line="240" w:lineRule="auto"/>
        <w:ind w:left="777" w:right="0" w:hanging="584"/>
        <w:jc w:val="left"/>
        <w:rPr>
          <w:sz w:val="21"/>
        </w:rPr>
      </w:pPr>
      <w:r>
        <w:rPr>
          <w:spacing w:val="-3"/>
          <w:sz w:val="21"/>
        </w:rPr>
        <w:t>语言能力或咀嚼吞咽能力完全丧失；</w:t>
      </w:r>
    </w:p>
    <w:p>
      <w:pPr>
        <w:pStyle w:val="6"/>
        <w:numPr>
          <w:ilvl w:val="0"/>
          <w:numId w:val="45"/>
        </w:numPr>
        <w:tabs>
          <w:tab w:val="left" w:pos="778"/>
        </w:tabs>
        <w:spacing w:before="43" w:after="0" w:line="278" w:lineRule="auto"/>
        <w:ind w:left="760" w:right="754" w:hanging="567"/>
        <w:jc w:val="left"/>
        <w:rPr>
          <w:sz w:val="21"/>
        </w:rPr>
      </w:pPr>
      <w:r>
        <w:rPr>
          <w:spacing w:val="-2"/>
          <w:sz w:val="21"/>
        </w:rPr>
        <w:t>自主生活能力完全丧失，无法独立完成六项基本日常生活活动中的三项或三项以上。</w:t>
      </w:r>
    </w:p>
    <w:p>
      <w:pPr>
        <w:spacing w:after="0" w:line="278" w:lineRule="auto"/>
        <w:jc w:val="left"/>
        <w:rPr>
          <w:sz w:val="21"/>
        </w:rPr>
        <w:sectPr>
          <w:type w:val="continuous"/>
          <w:pgSz w:w="11910" w:h="16840"/>
          <w:pgMar w:top="260" w:right="1080" w:bottom="1320" w:left="1580" w:header="0" w:footer="1137" w:gutter="0"/>
          <w:cols w:equalWidth="0" w:num="2">
            <w:col w:w="1905" w:space="131"/>
            <w:col w:w="7214"/>
          </w:cols>
        </w:sectPr>
      </w:pPr>
    </w:p>
    <w:p>
      <w:pPr>
        <w:pStyle w:val="2"/>
        <w:spacing w:before="10"/>
        <w:rPr>
          <w:sz w:val="26"/>
        </w:rPr>
      </w:pPr>
    </w:p>
    <w:tbl>
      <w:tblPr>
        <w:tblStyle w:val="3"/>
        <w:tblW w:w="0" w:type="auto"/>
        <w:tblInd w:w="1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44"/>
        <w:gridCol w:w="1358"/>
        <w:gridCol w:w="65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8" w:hRule="atLeast"/>
        </w:trPr>
        <w:tc>
          <w:tcPr>
            <w:tcW w:w="544" w:type="dxa"/>
          </w:tcPr>
          <w:p>
            <w:pPr>
              <w:pStyle w:val="7"/>
              <w:spacing w:line="238" w:lineRule="exact"/>
              <w:ind w:left="50"/>
              <w:rPr>
                <w:sz w:val="21"/>
              </w:rPr>
            </w:pPr>
            <w:r>
              <w:rPr>
                <w:spacing w:val="-4"/>
                <w:sz w:val="21"/>
              </w:rPr>
              <w:t>106.</w:t>
            </w:r>
          </w:p>
        </w:tc>
        <w:tc>
          <w:tcPr>
            <w:tcW w:w="1358" w:type="dxa"/>
          </w:tcPr>
          <w:p>
            <w:pPr>
              <w:pStyle w:val="7"/>
              <w:spacing w:line="243" w:lineRule="exact"/>
              <w:ind w:left="72"/>
              <w:rPr>
                <w:b/>
                <w:sz w:val="22"/>
              </w:rPr>
            </w:pPr>
            <w:r>
              <w:rPr>
                <w:b/>
                <w:w w:val="95"/>
                <w:sz w:val="22"/>
              </w:rPr>
              <w:t>心脏粘液</w:t>
            </w:r>
            <w:r>
              <w:rPr>
                <w:b/>
                <w:spacing w:val="-10"/>
                <w:w w:val="95"/>
                <w:sz w:val="22"/>
              </w:rPr>
              <w:t>瘤</w:t>
            </w:r>
          </w:p>
        </w:tc>
        <w:tc>
          <w:tcPr>
            <w:tcW w:w="6538" w:type="dxa"/>
          </w:tcPr>
          <w:p>
            <w:pPr>
              <w:pStyle w:val="7"/>
              <w:spacing w:line="238" w:lineRule="exact"/>
              <w:ind w:left="183"/>
              <w:rPr>
                <w:sz w:val="21"/>
              </w:rPr>
            </w:pPr>
            <w:r>
              <w:rPr>
                <w:spacing w:val="-3"/>
                <w:sz w:val="21"/>
              </w:rPr>
              <w:t>指为了治疗心脏粘液瘤，实际实施了开胸开心心脏粘液瘤切除手术。</w:t>
            </w:r>
          </w:p>
          <w:p>
            <w:pPr>
              <w:pStyle w:val="7"/>
              <w:spacing w:before="43"/>
              <w:ind w:left="183"/>
              <w:rPr>
                <w:rFonts w:hint="eastAsia" w:ascii="黑体" w:eastAsia="黑体"/>
                <w:b/>
                <w:sz w:val="21"/>
              </w:rPr>
            </w:pPr>
            <w:r>
              <w:rPr>
                <w:rFonts w:hint="eastAsia" w:ascii="黑体" w:eastAsia="黑体"/>
                <w:b/>
                <w:spacing w:val="-3"/>
                <w:sz w:val="21"/>
              </w:rPr>
              <w:t>经导管介入手术治疗不在保障范围内。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8" w:hRule="atLeast"/>
        </w:trPr>
        <w:tc>
          <w:tcPr>
            <w:tcW w:w="544" w:type="dxa"/>
          </w:tcPr>
          <w:p>
            <w:pPr>
              <w:pStyle w:val="7"/>
              <w:spacing w:before="176"/>
              <w:ind w:left="50"/>
              <w:rPr>
                <w:sz w:val="21"/>
              </w:rPr>
            </w:pPr>
            <w:r>
              <w:rPr>
                <w:spacing w:val="-4"/>
                <w:sz w:val="21"/>
              </w:rPr>
              <w:t>107.</w:t>
            </w:r>
          </w:p>
        </w:tc>
        <w:tc>
          <w:tcPr>
            <w:tcW w:w="1358" w:type="dxa"/>
          </w:tcPr>
          <w:p>
            <w:pPr>
              <w:pStyle w:val="7"/>
              <w:spacing w:before="140" w:line="310" w:lineRule="atLeast"/>
              <w:ind w:left="72" w:right="179"/>
              <w:rPr>
                <w:b/>
                <w:sz w:val="22"/>
              </w:rPr>
            </w:pPr>
            <w:r>
              <w:rPr>
                <w:b/>
                <w:spacing w:val="-2"/>
                <w:sz w:val="22"/>
              </w:rPr>
              <w:t>严重肺结节</w:t>
            </w:r>
            <w:r>
              <w:rPr>
                <w:b/>
                <w:spacing w:val="-10"/>
                <w:sz w:val="22"/>
              </w:rPr>
              <w:t>病</w:t>
            </w:r>
          </w:p>
        </w:tc>
        <w:tc>
          <w:tcPr>
            <w:tcW w:w="6538" w:type="dxa"/>
          </w:tcPr>
          <w:p>
            <w:pPr>
              <w:pStyle w:val="7"/>
              <w:spacing w:before="135" w:line="310" w:lineRule="atLeast"/>
              <w:ind w:left="183" w:right="67"/>
              <w:rPr>
                <w:sz w:val="21"/>
              </w:rPr>
            </w:pPr>
            <w:r>
              <w:rPr>
                <w:spacing w:val="-2"/>
                <w:sz w:val="21"/>
              </w:rPr>
              <w:t>结节病是一种原因未明的慢性肉芽肿病，可侵犯全身多个器官，以肺</w:t>
            </w:r>
            <w:r>
              <w:rPr>
                <w:spacing w:val="-5"/>
                <w:sz w:val="21"/>
              </w:rPr>
              <w:t>和淋巴结受累最为常见。严重肺结节病表现为肺的广泛纤维化导致慢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9" w:hRule="atLeast"/>
        </w:trPr>
        <w:tc>
          <w:tcPr>
            <w:tcW w:w="544" w:type="dxa"/>
          </w:tcPr>
          <w:p>
            <w:pPr>
              <w:pStyle w:val="7"/>
              <w:rPr>
                <w:rFonts w:ascii="Times New Roman"/>
                <w:sz w:val="20"/>
              </w:rPr>
            </w:pPr>
          </w:p>
        </w:tc>
        <w:tc>
          <w:tcPr>
            <w:tcW w:w="1358" w:type="dxa"/>
          </w:tcPr>
          <w:p>
            <w:pPr>
              <w:pStyle w:val="7"/>
              <w:rPr>
                <w:rFonts w:ascii="Times New Roman"/>
                <w:sz w:val="20"/>
              </w:rPr>
            </w:pPr>
          </w:p>
        </w:tc>
        <w:tc>
          <w:tcPr>
            <w:tcW w:w="6538" w:type="dxa"/>
          </w:tcPr>
          <w:p>
            <w:pPr>
              <w:pStyle w:val="7"/>
              <w:spacing w:before="11"/>
              <w:ind w:left="183"/>
              <w:rPr>
                <w:sz w:val="21"/>
              </w:rPr>
            </w:pPr>
            <w:r>
              <w:rPr>
                <w:spacing w:val="-3"/>
                <w:sz w:val="21"/>
              </w:rPr>
              <w:t>性呼吸功能衰竭。必须满足下列所有条件：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544" w:type="dxa"/>
          </w:tcPr>
          <w:p>
            <w:pPr>
              <w:pStyle w:val="7"/>
              <w:rPr>
                <w:rFonts w:ascii="Times New Roman"/>
                <w:sz w:val="20"/>
              </w:rPr>
            </w:pPr>
          </w:p>
        </w:tc>
        <w:tc>
          <w:tcPr>
            <w:tcW w:w="1358" w:type="dxa"/>
          </w:tcPr>
          <w:p>
            <w:pPr>
              <w:pStyle w:val="7"/>
              <w:rPr>
                <w:rFonts w:ascii="Times New Roman"/>
                <w:sz w:val="20"/>
              </w:rPr>
            </w:pPr>
          </w:p>
        </w:tc>
        <w:tc>
          <w:tcPr>
            <w:tcW w:w="6538" w:type="dxa"/>
          </w:tcPr>
          <w:p>
            <w:pPr>
              <w:pStyle w:val="7"/>
              <w:spacing w:before="13"/>
              <w:ind w:left="183"/>
              <w:rPr>
                <w:sz w:val="21"/>
              </w:rPr>
            </w:pPr>
            <w:r>
              <w:rPr>
                <w:spacing w:val="-2"/>
                <w:sz w:val="21"/>
              </w:rPr>
              <w:t>（1）</w:t>
            </w:r>
            <w:r>
              <w:rPr>
                <w:spacing w:val="-17"/>
                <w:sz w:val="21"/>
              </w:rPr>
              <w:t xml:space="preserve"> 肺结节病的 </w:t>
            </w:r>
            <w:r>
              <w:rPr>
                <w:spacing w:val="-2"/>
                <w:sz w:val="21"/>
              </w:rPr>
              <w:t>X</w:t>
            </w:r>
            <w:r>
              <w:rPr>
                <w:spacing w:val="-18"/>
                <w:sz w:val="21"/>
              </w:rPr>
              <w:t xml:space="preserve"> 线分期为 </w:t>
            </w:r>
            <w:r>
              <w:rPr>
                <w:spacing w:val="-2"/>
                <w:sz w:val="21"/>
              </w:rPr>
              <w:t>IV</w:t>
            </w:r>
            <w:r>
              <w:rPr>
                <w:spacing w:val="-10"/>
                <w:sz w:val="21"/>
              </w:rPr>
              <w:t xml:space="preserve"> 期，即广泛肺纤维化；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544" w:type="dxa"/>
          </w:tcPr>
          <w:p>
            <w:pPr>
              <w:pStyle w:val="7"/>
              <w:rPr>
                <w:rFonts w:ascii="Times New Roman"/>
                <w:sz w:val="20"/>
              </w:rPr>
            </w:pPr>
          </w:p>
        </w:tc>
        <w:tc>
          <w:tcPr>
            <w:tcW w:w="1358" w:type="dxa"/>
          </w:tcPr>
          <w:p>
            <w:pPr>
              <w:pStyle w:val="7"/>
              <w:rPr>
                <w:rFonts w:ascii="Times New Roman"/>
                <w:sz w:val="20"/>
              </w:rPr>
            </w:pPr>
          </w:p>
        </w:tc>
        <w:tc>
          <w:tcPr>
            <w:tcW w:w="6538" w:type="dxa"/>
          </w:tcPr>
          <w:p>
            <w:pPr>
              <w:pStyle w:val="7"/>
              <w:spacing w:before="13"/>
              <w:ind w:left="183"/>
              <w:rPr>
                <w:sz w:val="21"/>
              </w:rPr>
            </w:pPr>
            <w:r>
              <w:rPr>
                <w:spacing w:val="-2"/>
                <w:sz w:val="21"/>
              </w:rPr>
              <w:t>（2）</w:t>
            </w:r>
            <w:r>
              <w:rPr>
                <w:spacing w:val="-10"/>
                <w:sz w:val="21"/>
              </w:rPr>
              <w:t xml:space="preserve"> 永久不可逆性的慢性呼吸功能衰竭，临床持续 </w:t>
            </w:r>
            <w:r>
              <w:rPr>
                <w:spacing w:val="-2"/>
                <w:sz w:val="21"/>
              </w:rPr>
              <w:t>180</w:t>
            </w:r>
            <w:r>
              <w:rPr>
                <w:spacing w:val="-11"/>
                <w:sz w:val="21"/>
              </w:rPr>
              <w:t xml:space="preserve"> 天动脉血氧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5" w:hRule="atLeast"/>
        </w:trPr>
        <w:tc>
          <w:tcPr>
            <w:tcW w:w="544" w:type="dxa"/>
          </w:tcPr>
          <w:p>
            <w:pPr>
              <w:pStyle w:val="7"/>
              <w:rPr>
                <w:rFonts w:ascii="Times New Roman"/>
                <w:sz w:val="20"/>
              </w:rPr>
            </w:pPr>
          </w:p>
        </w:tc>
        <w:tc>
          <w:tcPr>
            <w:tcW w:w="1358" w:type="dxa"/>
          </w:tcPr>
          <w:p>
            <w:pPr>
              <w:pStyle w:val="7"/>
              <w:rPr>
                <w:rFonts w:ascii="Times New Roman"/>
                <w:sz w:val="20"/>
              </w:rPr>
            </w:pPr>
          </w:p>
        </w:tc>
        <w:tc>
          <w:tcPr>
            <w:tcW w:w="6538" w:type="dxa"/>
          </w:tcPr>
          <w:p>
            <w:pPr>
              <w:pStyle w:val="7"/>
              <w:spacing w:before="13"/>
              <w:ind w:left="750"/>
              <w:rPr>
                <w:sz w:val="21"/>
              </w:rPr>
            </w:pPr>
            <w:r>
              <w:rPr>
                <w:spacing w:val="-2"/>
                <w:position w:val="1"/>
                <w:sz w:val="21"/>
              </w:rPr>
              <w:t>分压（PaO</w:t>
            </w:r>
            <w:r>
              <w:rPr>
                <w:spacing w:val="-2"/>
                <w:sz w:val="11"/>
              </w:rPr>
              <w:t>2</w:t>
            </w:r>
            <w:r>
              <w:rPr>
                <w:spacing w:val="-2"/>
                <w:position w:val="1"/>
                <w:sz w:val="21"/>
              </w:rPr>
              <w:t>）&lt;50mmHg</w:t>
            </w:r>
            <w:r>
              <w:rPr>
                <w:spacing w:val="-7"/>
                <w:position w:val="1"/>
                <w:sz w:val="21"/>
              </w:rPr>
              <w:t xml:space="preserve"> 和动脉血氧饱和度</w:t>
            </w:r>
            <w:r>
              <w:rPr>
                <w:spacing w:val="-2"/>
                <w:position w:val="1"/>
                <w:sz w:val="21"/>
              </w:rPr>
              <w:t>（SaO</w:t>
            </w:r>
            <w:r>
              <w:rPr>
                <w:spacing w:val="-2"/>
                <w:sz w:val="11"/>
              </w:rPr>
              <w:t>2</w:t>
            </w:r>
            <w:r>
              <w:rPr>
                <w:spacing w:val="-2"/>
                <w:position w:val="1"/>
                <w:sz w:val="21"/>
              </w:rPr>
              <w:t>）&lt;80</w:t>
            </w:r>
            <w:r>
              <w:rPr>
                <w:spacing w:val="-6"/>
                <w:position w:val="1"/>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4" w:hRule="atLeast"/>
        </w:trPr>
        <w:tc>
          <w:tcPr>
            <w:tcW w:w="544" w:type="dxa"/>
          </w:tcPr>
          <w:p>
            <w:pPr>
              <w:pStyle w:val="7"/>
              <w:spacing w:before="172"/>
              <w:ind w:left="50"/>
              <w:rPr>
                <w:sz w:val="21"/>
              </w:rPr>
            </w:pPr>
            <w:r>
              <w:rPr>
                <w:spacing w:val="-4"/>
                <w:sz w:val="21"/>
              </w:rPr>
              <w:t>108.</w:t>
            </w:r>
          </w:p>
        </w:tc>
        <w:tc>
          <w:tcPr>
            <w:tcW w:w="1358" w:type="dxa"/>
          </w:tcPr>
          <w:p>
            <w:pPr>
              <w:pStyle w:val="7"/>
              <w:spacing w:before="136" w:line="310" w:lineRule="atLeast"/>
              <w:ind w:left="72" w:right="179"/>
              <w:rPr>
                <w:b/>
                <w:sz w:val="22"/>
              </w:rPr>
            </w:pPr>
            <w:r>
              <w:rPr>
                <w:b/>
                <w:spacing w:val="-2"/>
                <w:sz w:val="22"/>
              </w:rPr>
              <w:t>肾上腺脑白</w:t>
            </w:r>
            <w:r>
              <w:rPr>
                <w:b/>
                <w:w w:val="95"/>
                <w:sz w:val="22"/>
              </w:rPr>
              <w:t>质营养不</w:t>
            </w:r>
            <w:r>
              <w:rPr>
                <w:b/>
                <w:spacing w:val="-10"/>
                <w:w w:val="95"/>
                <w:sz w:val="22"/>
              </w:rPr>
              <w:t>良</w:t>
            </w:r>
          </w:p>
        </w:tc>
        <w:tc>
          <w:tcPr>
            <w:tcW w:w="6538" w:type="dxa"/>
          </w:tcPr>
          <w:p>
            <w:pPr>
              <w:pStyle w:val="7"/>
              <w:spacing w:before="131" w:line="310" w:lineRule="atLeast"/>
              <w:ind w:left="183" w:right="68"/>
              <w:rPr>
                <w:sz w:val="21"/>
              </w:rPr>
            </w:pPr>
            <w:r>
              <w:rPr>
                <w:spacing w:val="-2"/>
                <w:sz w:val="21"/>
              </w:rPr>
              <w:t>指一种最常见的过氧化物酶体病，主要累及肾上腺和脑白质，主要表</w:t>
            </w:r>
            <w:r>
              <w:rPr>
                <w:spacing w:val="-4"/>
                <w:sz w:val="21"/>
              </w:rPr>
              <w:t>现为进行性的精神运动障碍，视力及听力下降和（或）</w:t>
            </w:r>
            <w:r>
              <w:rPr>
                <w:spacing w:val="-5"/>
                <w:sz w:val="21"/>
              </w:rPr>
              <w:t>肾上腺皮质功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9" w:hRule="atLeast"/>
        </w:trPr>
        <w:tc>
          <w:tcPr>
            <w:tcW w:w="544" w:type="dxa"/>
          </w:tcPr>
          <w:p>
            <w:pPr>
              <w:pStyle w:val="7"/>
              <w:rPr>
                <w:rFonts w:ascii="Times New Roman"/>
                <w:sz w:val="20"/>
              </w:rPr>
            </w:pPr>
          </w:p>
        </w:tc>
        <w:tc>
          <w:tcPr>
            <w:tcW w:w="1358" w:type="dxa"/>
          </w:tcPr>
          <w:p>
            <w:pPr>
              <w:pStyle w:val="7"/>
              <w:rPr>
                <w:rFonts w:ascii="Times New Roman"/>
                <w:sz w:val="20"/>
              </w:rPr>
            </w:pPr>
          </w:p>
        </w:tc>
        <w:tc>
          <w:tcPr>
            <w:tcW w:w="6538" w:type="dxa"/>
          </w:tcPr>
          <w:p>
            <w:pPr>
              <w:pStyle w:val="7"/>
              <w:spacing w:before="11"/>
              <w:ind w:left="183"/>
              <w:rPr>
                <w:sz w:val="21"/>
              </w:rPr>
            </w:pPr>
            <w:r>
              <w:rPr>
                <w:spacing w:val="-3"/>
                <w:sz w:val="21"/>
              </w:rPr>
              <w:t>能低下等。须经专科医生诊断，且已经造成自主生活能力完全丧失，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544" w:type="dxa"/>
          </w:tcPr>
          <w:p>
            <w:pPr>
              <w:pStyle w:val="7"/>
              <w:rPr>
                <w:rFonts w:ascii="Times New Roman"/>
                <w:sz w:val="20"/>
              </w:rPr>
            </w:pPr>
          </w:p>
        </w:tc>
        <w:tc>
          <w:tcPr>
            <w:tcW w:w="1358" w:type="dxa"/>
          </w:tcPr>
          <w:p>
            <w:pPr>
              <w:pStyle w:val="7"/>
              <w:rPr>
                <w:rFonts w:ascii="Times New Roman"/>
                <w:sz w:val="20"/>
              </w:rPr>
            </w:pPr>
          </w:p>
        </w:tc>
        <w:tc>
          <w:tcPr>
            <w:tcW w:w="6538" w:type="dxa"/>
          </w:tcPr>
          <w:p>
            <w:pPr>
              <w:pStyle w:val="7"/>
              <w:spacing w:before="13"/>
              <w:ind w:left="183"/>
              <w:rPr>
                <w:sz w:val="21"/>
              </w:rPr>
            </w:pPr>
            <w:r>
              <w:rPr>
                <w:spacing w:val="-5"/>
                <w:sz w:val="21"/>
              </w:rPr>
              <w:t>无法独立完成六项基本日常生活活动中的三项或三项以上，持续至少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73" w:hRule="atLeast"/>
        </w:trPr>
        <w:tc>
          <w:tcPr>
            <w:tcW w:w="544" w:type="dxa"/>
          </w:tcPr>
          <w:p>
            <w:pPr>
              <w:pStyle w:val="7"/>
              <w:rPr>
                <w:rFonts w:ascii="Times New Roman"/>
                <w:sz w:val="20"/>
              </w:rPr>
            </w:pPr>
          </w:p>
        </w:tc>
        <w:tc>
          <w:tcPr>
            <w:tcW w:w="1358" w:type="dxa"/>
          </w:tcPr>
          <w:p>
            <w:pPr>
              <w:pStyle w:val="7"/>
              <w:rPr>
                <w:rFonts w:ascii="Times New Roman"/>
                <w:sz w:val="20"/>
              </w:rPr>
            </w:pPr>
          </w:p>
        </w:tc>
        <w:tc>
          <w:tcPr>
            <w:tcW w:w="6538" w:type="dxa"/>
          </w:tcPr>
          <w:p>
            <w:pPr>
              <w:pStyle w:val="7"/>
              <w:spacing w:before="13"/>
              <w:ind w:left="183"/>
              <w:rPr>
                <w:sz w:val="21"/>
              </w:rPr>
            </w:pPr>
            <w:r>
              <w:rPr>
                <w:spacing w:val="-2"/>
                <w:sz w:val="21"/>
              </w:rPr>
              <w:t>180</w:t>
            </w:r>
            <w:r>
              <w:rPr>
                <w:spacing w:val="-20"/>
                <w:sz w:val="21"/>
              </w:rPr>
              <w:t xml:space="preserve"> 天。</w:t>
            </w:r>
          </w:p>
          <w:p>
            <w:pPr>
              <w:pStyle w:val="7"/>
              <w:spacing w:before="43"/>
              <w:ind w:left="183"/>
              <w:rPr>
                <w:rFonts w:hint="eastAsia" w:ascii="黑体" w:eastAsia="黑体"/>
                <w:b/>
                <w:sz w:val="21"/>
              </w:rPr>
            </w:pPr>
            <w:r>
              <w:rPr>
                <w:rFonts w:hint="eastAsia" w:ascii="黑体" w:eastAsia="黑体"/>
                <w:b/>
                <w:spacing w:val="-3"/>
                <w:sz w:val="21"/>
              </w:rPr>
              <w:t>保险人在三周岁之前罹患该疾病，我们不承担保险责任。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7" w:hRule="atLeast"/>
        </w:trPr>
        <w:tc>
          <w:tcPr>
            <w:tcW w:w="544" w:type="dxa"/>
          </w:tcPr>
          <w:p>
            <w:pPr>
              <w:pStyle w:val="7"/>
              <w:spacing w:before="176"/>
              <w:ind w:left="50"/>
              <w:rPr>
                <w:sz w:val="21"/>
              </w:rPr>
            </w:pPr>
            <w:r>
              <w:rPr>
                <w:spacing w:val="-4"/>
                <w:sz w:val="21"/>
              </w:rPr>
              <w:t>109.</w:t>
            </w:r>
          </w:p>
        </w:tc>
        <w:tc>
          <w:tcPr>
            <w:tcW w:w="1358" w:type="dxa"/>
          </w:tcPr>
          <w:p>
            <w:pPr>
              <w:pStyle w:val="7"/>
              <w:spacing w:before="169"/>
              <w:ind w:left="72"/>
              <w:rPr>
                <w:b/>
                <w:sz w:val="22"/>
              </w:rPr>
            </w:pPr>
            <w:r>
              <w:rPr>
                <w:b/>
                <w:w w:val="95"/>
                <w:sz w:val="22"/>
              </w:rPr>
              <w:t>严重胃肠</w:t>
            </w:r>
            <w:r>
              <w:rPr>
                <w:b/>
                <w:spacing w:val="-10"/>
                <w:w w:val="95"/>
                <w:sz w:val="22"/>
              </w:rPr>
              <w:t>炎</w:t>
            </w:r>
          </w:p>
        </w:tc>
        <w:tc>
          <w:tcPr>
            <w:tcW w:w="6538" w:type="dxa"/>
          </w:tcPr>
          <w:p>
            <w:pPr>
              <w:pStyle w:val="7"/>
              <w:spacing w:before="176"/>
              <w:ind w:left="183"/>
              <w:rPr>
                <w:sz w:val="21"/>
              </w:rPr>
            </w:pPr>
            <w:r>
              <w:rPr>
                <w:spacing w:val="-5"/>
                <w:sz w:val="21"/>
              </w:rPr>
              <w:t>指以严重的腹泻、便血和肠段坏死为特征的胃肠道严重感染，被保险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0" w:hRule="atLeast"/>
        </w:trPr>
        <w:tc>
          <w:tcPr>
            <w:tcW w:w="544" w:type="dxa"/>
          </w:tcPr>
          <w:p>
            <w:pPr>
              <w:pStyle w:val="7"/>
              <w:rPr>
                <w:rFonts w:ascii="Times New Roman"/>
                <w:sz w:val="20"/>
              </w:rPr>
            </w:pPr>
          </w:p>
        </w:tc>
        <w:tc>
          <w:tcPr>
            <w:tcW w:w="1358" w:type="dxa"/>
          </w:tcPr>
          <w:p>
            <w:pPr>
              <w:pStyle w:val="7"/>
              <w:rPr>
                <w:rFonts w:ascii="Times New Roman"/>
                <w:sz w:val="20"/>
              </w:rPr>
            </w:pPr>
          </w:p>
        </w:tc>
        <w:tc>
          <w:tcPr>
            <w:tcW w:w="6538" w:type="dxa"/>
          </w:tcPr>
          <w:p>
            <w:pPr>
              <w:pStyle w:val="7"/>
              <w:spacing w:before="11"/>
              <w:ind w:left="183"/>
              <w:rPr>
                <w:sz w:val="21"/>
              </w:rPr>
            </w:pPr>
            <w:r>
              <w:rPr>
                <w:spacing w:val="-5"/>
                <w:sz w:val="21"/>
              </w:rPr>
              <w:t>人已实施了大肠或小肠的一处或多处手术切除，且经病理检查证实存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544" w:type="dxa"/>
          </w:tcPr>
          <w:p>
            <w:pPr>
              <w:pStyle w:val="7"/>
              <w:rPr>
                <w:rFonts w:ascii="Times New Roman"/>
                <w:sz w:val="18"/>
              </w:rPr>
            </w:pPr>
          </w:p>
        </w:tc>
        <w:tc>
          <w:tcPr>
            <w:tcW w:w="1358" w:type="dxa"/>
          </w:tcPr>
          <w:p>
            <w:pPr>
              <w:pStyle w:val="7"/>
              <w:rPr>
                <w:rFonts w:ascii="Times New Roman"/>
                <w:sz w:val="18"/>
              </w:rPr>
            </w:pPr>
          </w:p>
        </w:tc>
        <w:tc>
          <w:tcPr>
            <w:tcW w:w="6538" w:type="dxa"/>
          </w:tcPr>
          <w:p>
            <w:pPr>
              <w:pStyle w:val="7"/>
              <w:spacing w:before="13" w:line="228" w:lineRule="exact"/>
              <w:ind w:left="183"/>
              <w:rPr>
                <w:sz w:val="21"/>
              </w:rPr>
            </w:pPr>
            <w:r>
              <w:rPr>
                <w:spacing w:val="-3"/>
                <w:sz w:val="21"/>
              </w:rPr>
              <w:t>在严重感染和坏死。</w:t>
            </w:r>
          </w:p>
        </w:tc>
      </w:tr>
    </w:tbl>
    <w:p>
      <w:pPr>
        <w:spacing w:after="0" w:line="228" w:lineRule="exact"/>
        <w:rPr>
          <w:sz w:val="21"/>
        </w:rPr>
        <w:sectPr>
          <w:type w:val="continuous"/>
          <w:pgSz w:w="11910" w:h="16840"/>
          <w:pgMar w:top="260" w:right="1080" w:bottom="1320" w:left="1580" w:header="0" w:footer="1137" w:gutter="0"/>
          <w:cols w:space="720" w:num="1"/>
        </w:sectPr>
      </w:pPr>
    </w:p>
    <w:p>
      <w:pPr>
        <w:spacing w:before="37" w:line="266" w:lineRule="auto"/>
        <w:ind w:left="760" w:right="38" w:hanging="567"/>
        <w:jc w:val="left"/>
        <w:rPr>
          <w:b/>
          <w:sz w:val="22"/>
        </w:rPr>
      </w:pPr>
      <w:r>
        <w:rPr>
          <w:sz w:val="21"/>
        </w:rPr>
        <w:t xml:space="preserve">110. </w:t>
      </w:r>
      <w:r>
        <w:rPr>
          <w:b/>
          <w:sz w:val="22"/>
        </w:rPr>
        <w:t>严重巨细胞</w:t>
      </w:r>
      <w:r>
        <w:rPr>
          <w:b/>
          <w:spacing w:val="-4"/>
          <w:sz w:val="22"/>
        </w:rPr>
        <w:t>动脉炎</w:t>
      </w:r>
    </w:p>
    <w:p>
      <w:pPr>
        <w:pStyle w:val="2"/>
        <w:spacing w:before="44" w:line="278" w:lineRule="auto"/>
        <w:ind w:left="194" w:right="730"/>
        <w:jc w:val="both"/>
      </w:pPr>
      <w:r>
        <w:br w:type="column"/>
      </w:r>
      <w:r>
        <w:rPr>
          <w:spacing w:val="-2"/>
        </w:rPr>
        <w:t>巨细胞动脉炎又称颅动脉炎、颞动脉炎、肉芽肿性动脉炎，须经本公司认可医院的专科医师明确诊断，并造成永久不可逆性的单个肢体功能障碍或单眼失明。单眼失明指单眼视力永久不可逆性丧失，患眼须满足下列至少一项条件：</w:t>
      </w:r>
    </w:p>
    <w:p>
      <w:pPr>
        <w:pStyle w:val="6"/>
        <w:numPr>
          <w:ilvl w:val="0"/>
          <w:numId w:val="46"/>
        </w:numPr>
        <w:tabs>
          <w:tab w:val="left" w:pos="778"/>
        </w:tabs>
        <w:spacing w:before="0" w:after="0" w:line="278" w:lineRule="auto"/>
        <w:ind w:left="760" w:right="730" w:hanging="567"/>
        <w:jc w:val="left"/>
        <w:rPr>
          <w:sz w:val="21"/>
        </w:rPr>
      </w:pPr>
      <w:r>
        <w:rPr>
          <w:spacing w:val="-6"/>
          <w:sz w:val="21"/>
        </w:rPr>
        <w:t xml:space="preserve">矫正视力低于 </w:t>
      </w:r>
      <w:r>
        <w:rPr>
          <w:spacing w:val="-2"/>
          <w:sz w:val="21"/>
        </w:rPr>
        <w:t>0.02（采用国际标准视力表，如果使用其他视力表应进行换算</w:t>
      </w:r>
      <w:r>
        <w:rPr>
          <w:spacing w:val="-108"/>
          <w:sz w:val="21"/>
        </w:rPr>
        <w:t>）</w:t>
      </w:r>
      <w:r>
        <w:rPr>
          <w:sz w:val="21"/>
        </w:rPr>
        <w:t>；</w:t>
      </w:r>
    </w:p>
    <w:p>
      <w:pPr>
        <w:pStyle w:val="6"/>
        <w:numPr>
          <w:ilvl w:val="0"/>
          <w:numId w:val="46"/>
        </w:numPr>
        <w:tabs>
          <w:tab w:val="left" w:pos="778"/>
        </w:tabs>
        <w:spacing w:before="0" w:after="0" w:line="269" w:lineRule="exact"/>
        <w:ind w:left="777" w:right="0" w:hanging="584"/>
        <w:jc w:val="left"/>
        <w:rPr>
          <w:sz w:val="21"/>
        </w:rPr>
      </w:pPr>
      <w:r>
        <w:rPr>
          <w:spacing w:val="-1"/>
          <w:sz w:val="21"/>
        </w:rPr>
        <w:t xml:space="preserve">视野半径小于 </w:t>
      </w:r>
      <w:r>
        <w:rPr>
          <w:sz w:val="21"/>
        </w:rPr>
        <w:t>5</w:t>
      </w:r>
      <w:r>
        <w:rPr>
          <w:spacing w:val="-5"/>
          <w:sz w:val="21"/>
        </w:rPr>
        <w:t xml:space="preserve"> 度;</w:t>
      </w:r>
    </w:p>
    <w:p>
      <w:pPr>
        <w:pStyle w:val="6"/>
        <w:numPr>
          <w:ilvl w:val="0"/>
          <w:numId w:val="46"/>
        </w:numPr>
        <w:tabs>
          <w:tab w:val="left" w:pos="778"/>
        </w:tabs>
        <w:spacing w:before="43" w:after="0" w:line="240" w:lineRule="auto"/>
        <w:ind w:left="777" w:right="0" w:hanging="584"/>
        <w:jc w:val="left"/>
        <w:rPr>
          <w:sz w:val="21"/>
        </w:rPr>
      </w:pPr>
      <w:r>
        <w:rPr>
          <w:spacing w:val="-4"/>
          <w:sz w:val="21"/>
        </w:rPr>
        <w:t>眼球缺失或摘除。</w:t>
      </w:r>
    </w:p>
    <w:p>
      <w:pPr>
        <w:spacing w:after="0" w:line="240" w:lineRule="auto"/>
        <w:jc w:val="left"/>
        <w:rPr>
          <w:sz w:val="21"/>
        </w:rPr>
        <w:sectPr>
          <w:pgSz w:w="11910" w:h="16840"/>
          <w:pgMar w:top="1400" w:right="1080" w:bottom="1320" w:left="1580" w:header="0" w:footer="1137" w:gutter="0"/>
          <w:cols w:equalWidth="0" w:num="2">
            <w:col w:w="1905" w:space="131"/>
            <w:col w:w="7214"/>
          </w:cols>
        </w:sectPr>
      </w:pPr>
    </w:p>
    <w:p>
      <w:pPr>
        <w:pStyle w:val="2"/>
        <w:spacing w:before="10"/>
        <w:rPr>
          <w:sz w:val="22"/>
        </w:rPr>
      </w:pPr>
    </w:p>
    <w:p>
      <w:pPr>
        <w:pStyle w:val="2"/>
        <w:spacing w:before="63"/>
        <w:ind w:left="218"/>
      </w:pPr>
      <w:r>
        <w:rPr>
          <w:spacing w:val="6"/>
        </w:rPr>
        <w:t>六十九条 保障利益表</w:t>
      </w:r>
    </w:p>
    <w:p>
      <w:pPr>
        <w:pStyle w:val="2"/>
        <w:spacing w:before="12"/>
        <w:rPr>
          <w:sz w:val="25"/>
        </w:rPr>
      </w:pPr>
    </w:p>
    <w:tbl>
      <w:tblPr>
        <w:tblStyle w:val="3"/>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928"/>
        <w:gridCol w:w="35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4928" w:type="dxa"/>
            <w:shd w:val="clear" w:color="auto" w:fill="ECECEC"/>
          </w:tcPr>
          <w:p>
            <w:pPr>
              <w:pStyle w:val="7"/>
              <w:spacing w:before="44"/>
              <w:ind w:left="107"/>
              <w:rPr>
                <w:sz w:val="21"/>
              </w:rPr>
            </w:pPr>
            <w:r>
              <w:rPr>
                <w:spacing w:val="-4"/>
                <w:sz w:val="21"/>
              </w:rPr>
              <w:t>保障利益</w:t>
            </w:r>
          </w:p>
        </w:tc>
        <w:tc>
          <w:tcPr>
            <w:tcW w:w="3557" w:type="dxa"/>
            <w:shd w:val="clear" w:color="auto" w:fill="ECECEC"/>
          </w:tcPr>
          <w:p>
            <w:pPr>
              <w:pStyle w:val="7"/>
              <w:spacing w:before="44"/>
              <w:ind w:left="310" w:right="298"/>
              <w:jc w:val="center"/>
              <w:rPr>
                <w:sz w:val="21"/>
              </w:rPr>
            </w:pPr>
            <w:r>
              <w:rPr>
                <w:spacing w:val="-2"/>
                <w:sz w:val="21"/>
              </w:rPr>
              <w:t>金额（人民币：元</w:t>
            </w:r>
            <w:r>
              <w:rPr>
                <w:spacing w:val="-10"/>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4928" w:type="dxa"/>
          </w:tcPr>
          <w:p>
            <w:pPr>
              <w:pStyle w:val="7"/>
              <w:spacing w:before="22"/>
              <w:ind w:left="107"/>
              <w:rPr>
                <w:sz w:val="21"/>
              </w:rPr>
            </w:pPr>
            <w:r>
              <w:rPr>
                <w:spacing w:val="-3"/>
                <w:sz w:val="21"/>
              </w:rPr>
              <w:t>总年度累计给付限额</w:t>
            </w:r>
          </w:p>
        </w:tc>
        <w:tc>
          <w:tcPr>
            <w:tcW w:w="3557" w:type="dxa"/>
          </w:tcPr>
          <w:p>
            <w:pPr>
              <w:pStyle w:val="7"/>
              <w:spacing w:before="22"/>
              <w:ind w:left="310" w:right="298"/>
              <w:jc w:val="center"/>
              <w:rPr>
                <w:sz w:val="21"/>
              </w:rPr>
            </w:pPr>
            <w:r>
              <w:rPr>
                <w:spacing w:val="-2"/>
                <w:sz w:val="21"/>
              </w:rPr>
              <w:t>4,000,000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4928" w:type="dxa"/>
          </w:tcPr>
          <w:p>
            <w:pPr>
              <w:pStyle w:val="7"/>
              <w:spacing w:before="22"/>
              <w:ind w:left="107"/>
              <w:rPr>
                <w:sz w:val="21"/>
              </w:rPr>
            </w:pPr>
            <w:r>
              <w:rPr>
                <w:spacing w:val="-3"/>
                <w:sz w:val="21"/>
              </w:rPr>
              <w:t>一般医疗保险金年度累计给付限额</w:t>
            </w:r>
          </w:p>
        </w:tc>
        <w:tc>
          <w:tcPr>
            <w:tcW w:w="3557" w:type="dxa"/>
          </w:tcPr>
          <w:p>
            <w:pPr>
              <w:pStyle w:val="7"/>
              <w:spacing w:before="22"/>
              <w:ind w:left="310" w:right="298"/>
              <w:jc w:val="center"/>
              <w:rPr>
                <w:sz w:val="21"/>
              </w:rPr>
            </w:pPr>
            <w:r>
              <w:rPr>
                <w:spacing w:val="-2"/>
                <w:sz w:val="21"/>
              </w:rPr>
              <w:t>2,000,000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4928" w:type="dxa"/>
          </w:tcPr>
          <w:p>
            <w:pPr>
              <w:pStyle w:val="7"/>
              <w:spacing w:before="22"/>
              <w:ind w:left="107"/>
              <w:rPr>
                <w:sz w:val="21"/>
              </w:rPr>
            </w:pPr>
            <w:r>
              <w:rPr>
                <w:spacing w:val="-2"/>
                <w:sz w:val="21"/>
              </w:rPr>
              <w:t>一般医疗保险金免赔额（每个保证续保期间</w:t>
            </w:r>
            <w:r>
              <w:rPr>
                <w:spacing w:val="-10"/>
                <w:sz w:val="21"/>
              </w:rPr>
              <w:t>）</w:t>
            </w:r>
          </w:p>
        </w:tc>
        <w:tc>
          <w:tcPr>
            <w:tcW w:w="3557" w:type="dxa"/>
          </w:tcPr>
          <w:p>
            <w:pPr>
              <w:pStyle w:val="7"/>
              <w:spacing w:before="22"/>
              <w:ind w:left="307" w:right="298"/>
              <w:jc w:val="center"/>
              <w:rPr>
                <w:sz w:val="21"/>
              </w:rPr>
            </w:pPr>
            <w:r>
              <w:rPr>
                <w:spacing w:val="-2"/>
                <w:sz w:val="21"/>
              </w:rPr>
              <w:t>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4928" w:type="dxa"/>
          </w:tcPr>
          <w:p>
            <w:pPr>
              <w:pStyle w:val="7"/>
              <w:spacing w:before="22"/>
              <w:ind w:left="107"/>
              <w:rPr>
                <w:sz w:val="21"/>
              </w:rPr>
            </w:pPr>
            <w:r>
              <w:rPr>
                <w:spacing w:val="-3"/>
                <w:sz w:val="21"/>
              </w:rPr>
              <w:t>重大疾病医疗保险金年度累计给付限额</w:t>
            </w:r>
          </w:p>
        </w:tc>
        <w:tc>
          <w:tcPr>
            <w:tcW w:w="3557" w:type="dxa"/>
          </w:tcPr>
          <w:p>
            <w:pPr>
              <w:pStyle w:val="7"/>
              <w:spacing w:before="22"/>
              <w:ind w:left="310" w:right="298"/>
              <w:jc w:val="center"/>
              <w:rPr>
                <w:sz w:val="21"/>
              </w:rPr>
            </w:pPr>
            <w:r>
              <w:rPr>
                <w:spacing w:val="-2"/>
                <w:sz w:val="21"/>
              </w:rPr>
              <w:t>2,000,000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4928" w:type="dxa"/>
          </w:tcPr>
          <w:p>
            <w:pPr>
              <w:pStyle w:val="7"/>
              <w:spacing w:before="22"/>
              <w:ind w:left="107"/>
              <w:rPr>
                <w:sz w:val="21"/>
              </w:rPr>
            </w:pPr>
            <w:r>
              <w:rPr>
                <w:spacing w:val="-3"/>
                <w:sz w:val="21"/>
              </w:rPr>
              <w:t>质子重离子医疗保险金年度累计给付限额</w:t>
            </w:r>
          </w:p>
        </w:tc>
        <w:tc>
          <w:tcPr>
            <w:tcW w:w="3557" w:type="dxa"/>
          </w:tcPr>
          <w:p>
            <w:pPr>
              <w:pStyle w:val="7"/>
              <w:spacing w:before="22"/>
              <w:ind w:left="310" w:right="298"/>
              <w:jc w:val="center"/>
              <w:rPr>
                <w:sz w:val="21"/>
              </w:rPr>
            </w:pPr>
            <w:r>
              <w:rPr>
                <w:spacing w:val="-2"/>
                <w:sz w:val="21"/>
              </w:rPr>
              <w:t>1,000,000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4928" w:type="dxa"/>
          </w:tcPr>
          <w:p>
            <w:pPr>
              <w:pStyle w:val="7"/>
              <w:spacing w:before="25"/>
              <w:ind w:left="107"/>
              <w:rPr>
                <w:sz w:val="21"/>
              </w:rPr>
            </w:pPr>
            <w:r>
              <w:rPr>
                <w:spacing w:val="-3"/>
                <w:sz w:val="21"/>
              </w:rPr>
              <w:t>重大疾病住院津贴日额</w:t>
            </w:r>
          </w:p>
        </w:tc>
        <w:tc>
          <w:tcPr>
            <w:tcW w:w="3557" w:type="dxa"/>
          </w:tcPr>
          <w:p>
            <w:pPr>
              <w:pStyle w:val="7"/>
              <w:spacing w:before="25"/>
              <w:ind w:left="307" w:right="298"/>
              <w:jc w:val="center"/>
              <w:rPr>
                <w:sz w:val="21"/>
              </w:rPr>
            </w:pPr>
            <w:r>
              <w:rPr>
                <w:spacing w:val="-5"/>
                <w:sz w:val="21"/>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4928" w:type="dxa"/>
            <w:vMerge w:val="restart"/>
          </w:tcPr>
          <w:p>
            <w:pPr>
              <w:pStyle w:val="7"/>
              <w:rPr>
                <w:sz w:val="20"/>
              </w:rPr>
            </w:pPr>
          </w:p>
          <w:p>
            <w:pPr>
              <w:pStyle w:val="7"/>
              <w:spacing w:before="5"/>
              <w:rPr>
                <w:sz w:val="19"/>
              </w:rPr>
            </w:pPr>
          </w:p>
          <w:p>
            <w:pPr>
              <w:pStyle w:val="7"/>
              <w:ind w:left="107"/>
              <w:rPr>
                <w:sz w:val="21"/>
              </w:rPr>
            </w:pPr>
            <w:r>
              <w:rPr>
                <w:spacing w:val="-4"/>
                <w:sz w:val="21"/>
              </w:rPr>
              <w:t>健康管理服务</w:t>
            </w:r>
          </w:p>
        </w:tc>
        <w:tc>
          <w:tcPr>
            <w:tcW w:w="3557" w:type="dxa"/>
          </w:tcPr>
          <w:p>
            <w:pPr>
              <w:pStyle w:val="7"/>
              <w:spacing w:before="22"/>
              <w:ind w:left="308" w:right="298"/>
              <w:jc w:val="center"/>
              <w:rPr>
                <w:sz w:val="21"/>
              </w:rPr>
            </w:pPr>
            <w:r>
              <w:rPr>
                <w:spacing w:val="-3"/>
                <w:sz w:val="21"/>
              </w:rPr>
              <w:t>重大疾病绿色通道服务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4928" w:type="dxa"/>
            <w:vMerge w:val="continue"/>
            <w:tcBorders>
              <w:top w:val="nil"/>
            </w:tcBorders>
          </w:tcPr>
          <w:p>
            <w:pPr>
              <w:rPr>
                <w:sz w:val="2"/>
                <w:szCs w:val="2"/>
              </w:rPr>
            </w:pPr>
          </w:p>
        </w:tc>
        <w:tc>
          <w:tcPr>
            <w:tcW w:w="3557" w:type="dxa"/>
          </w:tcPr>
          <w:p>
            <w:pPr>
              <w:pStyle w:val="7"/>
              <w:spacing w:before="22"/>
              <w:ind w:left="308" w:right="298"/>
              <w:jc w:val="center"/>
              <w:rPr>
                <w:sz w:val="21"/>
              </w:rPr>
            </w:pPr>
            <w:r>
              <w:rPr>
                <w:spacing w:val="-3"/>
                <w:sz w:val="21"/>
              </w:rPr>
              <w:t>恶性肿瘤多学科会诊服务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4928" w:type="dxa"/>
            <w:vMerge w:val="continue"/>
            <w:tcBorders>
              <w:top w:val="nil"/>
            </w:tcBorders>
          </w:tcPr>
          <w:p>
            <w:pPr>
              <w:rPr>
                <w:sz w:val="2"/>
                <w:szCs w:val="2"/>
              </w:rPr>
            </w:pPr>
          </w:p>
        </w:tc>
        <w:tc>
          <w:tcPr>
            <w:tcW w:w="3557" w:type="dxa"/>
          </w:tcPr>
          <w:p>
            <w:pPr>
              <w:pStyle w:val="7"/>
              <w:spacing w:before="22"/>
              <w:ind w:left="305" w:right="298"/>
              <w:jc w:val="center"/>
              <w:rPr>
                <w:sz w:val="21"/>
              </w:rPr>
            </w:pPr>
            <w:r>
              <w:rPr>
                <w:spacing w:val="-4"/>
                <w:sz w:val="21"/>
              </w:rPr>
              <w:t>住院垫付服务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4928" w:type="dxa"/>
            <w:vMerge w:val="continue"/>
            <w:tcBorders>
              <w:top w:val="nil"/>
            </w:tcBorders>
          </w:tcPr>
          <w:p>
            <w:pPr>
              <w:rPr>
                <w:sz w:val="2"/>
                <w:szCs w:val="2"/>
              </w:rPr>
            </w:pPr>
          </w:p>
        </w:tc>
        <w:tc>
          <w:tcPr>
            <w:tcW w:w="3557" w:type="dxa"/>
          </w:tcPr>
          <w:p>
            <w:pPr>
              <w:pStyle w:val="7"/>
              <w:spacing w:before="23"/>
              <w:ind w:left="310" w:right="298"/>
              <w:jc w:val="center"/>
              <w:rPr>
                <w:sz w:val="21"/>
              </w:rPr>
            </w:pPr>
            <w:r>
              <w:rPr>
                <w:spacing w:val="-3"/>
                <w:sz w:val="21"/>
              </w:rPr>
              <w:t>恶性肿瘤特药及罕见病药品服务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4928" w:type="dxa"/>
          </w:tcPr>
          <w:p>
            <w:pPr>
              <w:pStyle w:val="7"/>
              <w:spacing w:before="22"/>
              <w:ind w:left="107"/>
              <w:rPr>
                <w:sz w:val="21"/>
              </w:rPr>
            </w:pPr>
            <w:r>
              <w:rPr>
                <w:spacing w:val="-3"/>
                <w:sz w:val="21"/>
              </w:rPr>
              <w:t>质子重离子医疗费用赔付比例</w:t>
            </w:r>
          </w:p>
        </w:tc>
        <w:tc>
          <w:tcPr>
            <w:tcW w:w="3557" w:type="dxa"/>
          </w:tcPr>
          <w:p>
            <w:pPr>
              <w:pStyle w:val="7"/>
              <w:spacing w:before="22"/>
              <w:ind w:left="307" w:right="298"/>
              <w:jc w:val="center"/>
              <w:rPr>
                <w:sz w:val="21"/>
              </w:rPr>
            </w:pPr>
            <w:r>
              <w:rPr>
                <w:spacing w:val="-4"/>
                <w:sz w:val="21"/>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4928" w:type="dxa"/>
          </w:tcPr>
          <w:p>
            <w:pPr>
              <w:pStyle w:val="7"/>
              <w:spacing w:before="1"/>
              <w:rPr>
                <w:sz w:val="14"/>
              </w:rPr>
            </w:pPr>
          </w:p>
          <w:p>
            <w:pPr>
              <w:pStyle w:val="7"/>
              <w:ind w:left="107"/>
              <w:rPr>
                <w:sz w:val="21"/>
              </w:rPr>
            </w:pPr>
            <w:r>
              <w:rPr>
                <w:spacing w:val="-3"/>
                <w:sz w:val="21"/>
              </w:rPr>
              <w:t>其他医疗费用赔付比例</w:t>
            </w:r>
          </w:p>
        </w:tc>
        <w:tc>
          <w:tcPr>
            <w:tcW w:w="3557" w:type="dxa"/>
          </w:tcPr>
          <w:p>
            <w:pPr>
              <w:pStyle w:val="7"/>
              <w:spacing w:before="25"/>
              <w:ind w:left="107"/>
              <w:rPr>
                <w:sz w:val="21"/>
              </w:rPr>
            </w:pPr>
            <w:r>
              <w:rPr>
                <w:spacing w:val="-4"/>
                <w:sz w:val="21"/>
              </w:rPr>
              <w:t>100%（</w:t>
            </w:r>
            <w:r>
              <w:rPr>
                <w:spacing w:val="-5"/>
                <w:sz w:val="21"/>
              </w:rPr>
              <w:t>若投保时有基本医疗保险，但</w:t>
            </w:r>
          </w:p>
          <w:p>
            <w:pPr>
              <w:pStyle w:val="7"/>
              <w:spacing w:before="43"/>
              <w:ind w:left="122"/>
              <w:rPr>
                <w:sz w:val="21"/>
              </w:rPr>
            </w:pPr>
            <w:r>
              <w:rPr>
                <w:spacing w:val="-5"/>
                <w:sz w:val="21"/>
              </w:rPr>
              <w:t xml:space="preserve">就诊时未使用，则赔付比例为 </w:t>
            </w:r>
            <w:r>
              <w:rPr>
                <w:spacing w:val="-4"/>
                <w:sz w:val="21"/>
              </w:rPr>
              <w:t>60%）</w:t>
            </w:r>
          </w:p>
        </w:tc>
      </w:tr>
    </w:tbl>
    <w:p>
      <w:pPr>
        <w:pStyle w:val="2"/>
        <w:rPr>
          <w:sz w:val="20"/>
        </w:rPr>
      </w:pPr>
    </w:p>
    <w:p>
      <w:pPr>
        <w:pStyle w:val="2"/>
        <w:spacing w:before="2"/>
        <w:rPr>
          <w:sz w:val="26"/>
        </w:rPr>
      </w:pPr>
    </w:p>
    <w:p>
      <w:pPr>
        <w:spacing w:before="64"/>
        <w:ind w:left="0" w:right="756" w:firstLine="0"/>
        <w:jc w:val="right"/>
        <w:rPr>
          <w:b/>
          <w:sz w:val="21"/>
        </w:rPr>
      </w:pPr>
      <w:r>
        <w:rPr>
          <w:b/>
          <w:w w:val="95"/>
          <w:sz w:val="21"/>
        </w:rPr>
        <w:t>&lt;本页结束</w:t>
      </w:r>
      <w:r>
        <w:rPr>
          <w:b/>
          <w:spacing w:val="-10"/>
          <w:w w:val="95"/>
          <w:sz w:val="21"/>
        </w:rPr>
        <w:t>&gt;</w:t>
      </w:r>
    </w:p>
    <w:sectPr>
      <w:type w:val="continuous"/>
      <w:pgSz w:w="11910" w:h="16840"/>
      <w:pgMar w:top="260" w:right="1080" w:bottom="1320" w:left="1580" w:header="0" w:footer="1137"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幼圆">
    <w:panose1 w:val="02010509060101010101"/>
    <w:charset w:val="86"/>
    <w:family w:val="modern"/>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MS PGothic">
    <w:panose1 w:val="020B0600070205080204"/>
    <w:charset w:val="80"/>
    <w:family w:val="swiss"/>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pict>
        <v:shape id="docshape1" o:spid="_x0000_s2049" o:spt="202" type="#_x0000_t202" style="position:absolute;left:0pt;margin-left:88.9pt;margin-top:774.05pt;height:10.05pt;width:90.1pt;mso-position-horizontal-relative:page;mso-position-vertical-relative:page;z-index:-251656192;mso-width-relative:page;mso-height-relative:page;" filled="f" stroked="f" coordsize="21600,21600">
          <v:path/>
          <v:fill on="f" focussize="0,0"/>
          <v:stroke on="f" joinstyle="miter"/>
          <v:imagedata o:title=""/>
          <o:lock v:ext="edit"/>
          <v:textbox inset="0mm,0mm,0mm,0mm">
            <w:txbxContent>
              <w:p>
                <w:pPr>
                  <w:spacing w:before="0" w:line="197" w:lineRule="exact"/>
                  <w:ind w:left="20" w:right="0" w:firstLine="0"/>
                  <w:jc w:val="left"/>
                  <w:rPr>
                    <w:sz w:val="16"/>
                  </w:rPr>
                </w:pPr>
                <w:r>
                  <w:rPr>
                    <w:spacing w:val="-3"/>
                    <w:sz w:val="16"/>
                  </w:rPr>
                  <w:t>瑞华医保加个人医疗保险</w:t>
                </w:r>
              </w:p>
            </w:txbxContent>
          </v:textbox>
        </v:shape>
      </w:pict>
    </w:r>
    <w:r>
      <w:pict>
        <v:shape id="docshape2" o:spid="_x0000_s2050" o:spt="202" type="#_x0000_t202" style="position:absolute;left:0pt;margin-left:491.35pt;margin-top:774.25pt;height:11pt;width:16.15pt;mso-position-horizontal-relative:page;mso-position-vertical-relative:page;z-index:-251656192;mso-width-relative:page;mso-height-relative:page;" filled="f" stroked="f" coordsize="21600,21600">
          <v:path/>
          <v:fill on="f" focussize="0,0"/>
          <v:stroke on="f" joinstyle="miter"/>
          <v:imagedata o:title=""/>
          <o:lock v:ext="edit"/>
          <v:textbox inset="0mm,0mm,0mm,0mm">
            <w:txbxContent>
              <w:p>
                <w:pPr>
                  <w:spacing w:before="0" w:line="218" w:lineRule="exact"/>
                  <w:ind w:left="60" w:right="0" w:firstLine="0"/>
                  <w:jc w:val="left"/>
                  <w:rPr>
                    <w:sz w:val="18"/>
                  </w:rPr>
                </w:pPr>
                <w:r>
                  <w:rPr>
                    <w:spacing w:val="-5"/>
                    <w:sz w:val="18"/>
                  </w:rPr>
                  <w:fldChar w:fldCharType="begin"/>
                </w:r>
                <w:r>
                  <w:rPr>
                    <w:spacing w:val="-5"/>
                    <w:sz w:val="18"/>
                  </w:rPr>
                  <w:instrText xml:space="preserve"> PAGE </w:instrText>
                </w:r>
                <w:r>
                  <w:rPr>
                    <w:spacing w:val="-5"/>
                    <w:sz w:val="18"/>
                  </w:rPr>
                  <w:fldChar w:fldCharType="separate"/>
                </w:r>
                <w:r>
                  <w:rPr>
                    <w:spacing w:val="-5"/>
                    <w:sz w:val="18"/>
                  </w:rPr>
                  <w:t>10</w:t>
                </w:r>
                <w:r>
                  <w:rPr>
                    <w:spacing w:val="-5"/>
                    <w:sz w:val="18"/>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3A4B87"/>
    <w:multiLevelType w:val="multilevel"/>
    <w:tmpl w:val="813A4B87"/>
    <w:lvl w:ilvl="0" w:tentative="0">
      <w:start w:val="1"/>
      <w:numFmt w:val="decimal"/>
      <w:lvlText w:val="（%1）"/>
      <w:lvlJc w:val="left"/>
      <w:pPr>
        <w:ind w:left="728" w:hanging="584"/>
        <w:jc w:val="left"/>
      </w:pPr>
      <w:rPr>
        <w:rFonts w:hint="default" w:ascii="幼圆" w:hAnsi="幼圆" w:eastAsia="幼圆" w:cs="幼圆"/>
        <w:b w:val="0"/>
        <w:bCs w:val="0"/>
        <w:i w:val="0"/>
        <w:iCs w:val="0"/>
        <w:w w:val="100"/>
        <w:sz w:val="21"/>
        <w:szCs w:val="21"/>
        <w:lang w:val="en-US" w:eastAsia="zh-CN" w:bidi="ar-SA"/>
      </w:rPr>
    </w:lvl>
    <w:lvl w:ilvl="1" w:tentative="0">
      <w:start w:val="2"/>
      <w:numFmt w:val="decimal"/>
      <w:lvlText w:val="（%2）"/>
      <w:lvlJc w:val="left"/>
      <w:pPr>
        <w:ind w:left="2796" w:hanging="567"/>
        <w:jc w:val="left"/>
      </w:pPr>
      <w:rPr>
        <w:rFonts w:hint="default" w:ascii="幼圆" w:hAnsi="幼圆" w:eastAsia="幼圆" w:cs="幼圆"/>
        <w:b w:val="0"/>
        <w:bCs w:val="0"/>
        <w:i w:val="0"/>
        <w:iCs w:val="0"/>
        <w:w w:val="100"/>
        <w:sz w:val="21"/>
        <w:szCs w:val="21"/>
        <w:lang w:val="en-US" w:eastAsia="zh-CN" w:bidi="ar-SA"/>
      </w:rPr>
    </w:lvl>
    <w:lvl w:ilvl="2" w:tentative="0">
      <w:start w:val="0"/>
      <w:numFmt w:val="bullet"/>
      <w:lvlText w:val="•"/>
      <w:lvlJc w:val="left"/>
      <w:pPr>
        <w:ind w:left="3286" w:hanging="567"/>
      </w:pPr>
      <w:rPr>
        <w:rFonts w:hint="default"/>
        <w:lang w:val="en-US" w:eastAsia="zh-CN" w:bidi="ar-SA"/>
      </w:rPr>
    </w:lvl>
    <w:lvl w:ilvl="3" w:tentative="0">
      <w:start w:val="0"/>
      <w:numFmt w:val="bullet"/>
      <w:lvlText w:val="•"/>
      <w:lvlJc w:val="left"/>
      <w:pPr>
        <w:ind w:left="3773" w:hanging="567"/>
      </w:pPr>
      <w:rPr>
        <w:rFonts w:hint="default"/>
        <w:lang w:val="en-US" w:eastAsia="zh-CN" w:bidi="ar-SA"/>
      </w:rPr>
    </w:lvl>
    <w:lvl w:ilvl="4" w:tentative="0">
      <w:start w:val="0"/>
      <w:numFmt w:val="bullet"/>
      <w:lvlText w:val="•"/>
      <w:lvlJc w:val="left"/>
      <w:pPr>
        <w:ind w:left="4259" w:hanging="567"/>
      </w:pPr>
      <w:rPr>
        <w:rFonts w:hint="default"/>
        <w:lang w:val="en-US" w:eastAsia="zh-CN" w:bidi="ar-SA"/>
      </w:rPr>
    </w:lvl>
    <w:lvl w:ilvl="5" w:tentative="0">
      <w:start w:val="0"/>
      <w:numFmt w:val="bullet"/>
      <w:lvlText w:val="•"/>
      <w:lvlJc w:val="left"/>
      <w:pPr>
        <w:ind w:left="4746" w:hanging="567"/>
      </w:pPr>
      <w:rPr>
        <w:rFonts w:hint="default"/>
        <w:lang w:val="en-US" w:eastAsia="zh-CN" w:bidi="ar-SA"/>
      </w:rPr>
    </w:lvl>
    <w:lvl w:ilvl="6" w:tentative="0">
      <w:start w:val="0"/>
      <w:numFmt w:val="bullet"/>
      <w:lvlText w:val="•"/>
      <w:lvlJc w:val="left"/>
      <w:pPr>
        <w:ind w:left="5232" w:hanging="567"/>
      </w:pPr>
      <w:rPr>
        <w:rFonts w:hint="default"/>
        <w:lang w:val="en-US" w:eastAsia="zh-CN" w:bidi="ar-SA"/>
      </w:rPr>
    </w:lvl>
    <w:lvl w:ilvl="7" w:tentative="0">
      <w:start w:val="0"/>
      <w:numFmt w:val="bullet"/>
      <w:lvlText w:val="•"/>
      <w:lvlJc w:val="left"/>
      <w:pPr>
        <w:ind w:left="5719" w:hanging="567"/>
      </w:pPr>
      <w:rPr>
        <w:rFonts w:hint="default"/>
        <w:lang w:val="en-US" w:eastAsia="zh-CN" w:bidi="ar-SA"/>
      </w:rPr>
    </w:lvl>
    <w:lvl w:ilvl="8" w:tentative="0">
      <w:start w:val="0"/>
      <w:numFmt w:val="bullet"/>
      <w:lvlText w:val="•"/>
      <w:lvlJc w:val="left"/>
      <w:pPr>
        <w:ind w:left="6205" w:hanging="567"/>
      </w:pPr>
      <w:rPr>
        <w:rFonts w:hint="default"/>
        <w:lang w:val="en-US" w:eastAsia="zh-CN" w:bidi="ar-SA"/>
      </w:rPr>
    </w:lvl>
  </w:abstractNum>
  <w:abstractNum w:abstractNumId="1">
    <w:nsid w:val="845B5372"/>
    <w:multiLevelType w:val="multilevel"/>
    <w:tmpl w:val="845B5372"/>
    <w:lvl w:ilvl="0" w:tentative="0">
      <w:start w:val="1"/>
      <w:numFmt w:val="decimal"/>
      <w:lvlText w:val="（%1）"/>
      <w:lvlJc w:val="left"/>
      <w:pPr>
        <w:ind w:left="777" w:hanging="584"/>
        <w:jc w:val="left"/>
      </w:pPr>
      <w:rPr>
        <w:rFonts w:hint="default" w:ascii="幼圆" w:hAnsi="幼圆" w:eastAsia="幼圆" w:cs="幼圆"/>
        <w:b w:val="0"/>
        <w:bCs w:val="0"/>
        <w:i w:val="0"/>
        <w:iCs w:val="0"/>
        <w:w w:val="100"/>
        <w:sz w:val="21"/>
        <w:szCs w:val="21"/>
        <w:lang w:val="en-US" w:eastAsia="zh-CN" w:bidi="ar-SA"/>
      </w:rPr>
    </w:lvl>
    <w:lvl w:ilvl="1" w:tentative="0">
      <w:start w:val="0"/>
      <w:numFmt w:val="bullet"/>
      <w:lvlText w:val="•"/>
      <w:lvlJc w:val="left"/>
      <w:pPr>
        <w:ind w:left="1423" w:hanging="584"/>
      </w:pPr>
      <w:rPr>
        <w:rFonts w:hint="default"/>
        <w:lang w:val="en-US" w:eastAsia="zh-CN" w:bidi="ar-SA"/>
      </w:rPr>
    </w:lvl>
    <w:lvl w:ilvl="2" w:tentative="0">
      <w:start w:val="0"/>
      <w:numFmt w:val="bullet"/>
      <w:lvlText w:val="•"/>
      <w:lvlJc w:val="left"/>
      <w:pPr>
        <w:ind w:left="2066" w:hanging="584"/>
      </w:pPr>
      <w:rPr>
        <w:rFonts w:hint="default"/>
        <w:lang w:val="en-US" w:eastAsia="zh-CN" w:bidi="ar-SA"/>
      </w:rPr>
    </w:lvl>
    <w:lvl w:ilvl="3" w:tentative="0">
      <w:start w:val="0"/>
      <w:numFmt w:val="bullet"/>
      <w:lvlText w:val="•"/>
      <w:lvlJc w:val="left"/>
      <w:pPr>
        <w:ind w:left="2709" w:hanging="584"/>
      </w:pPr>
      <w:rPr>
        <w:rFonts w:hint="default"/>
        <w:lang w:val="en-US" w:eastAsia="zh-CN" w:bidi="ar-SA"/>
      </w:rPr>
    </w:lvl>
    <w:lvl w:ilvl="4" w:tentative="0">
      <w:start w:val="0"/>
      <w:numFmt w:val="bullet"/>
      <w:lvlText w:val="•"/>
      <w:lvlJc w:val="left"/>
      <w:pPr>
        <w:ind w:left="3352" w:hanging="584"/>
      </w:pPr>
      <w:rPr>
        <w:rFonts w:hint="default"/>
        <w:lang w:val="en-US" w:eastAsia="zh-CN" w:bidi="ar-SA"/>
      </w:rPr>
    </w:lvl>
    <w:lvl w:ilvl="5" w:tentative="0">
      <w:start w:val="0"/>
      <w:numFmt w:val="bullet"/>
      <w:lvlText w:val="•"/>
      <w:lvlJc w:val="left"/>
      <w:pPr>
        <w:ind w:left="3995" w:hanging="584"/>
      </w:pPr>
      <w:rPr>
        <w:rFonts w:hint="default"/>
        <w:lang w:val="en-US" w:eastAsia="zh-CN" w:bidi="ar-SA"/>
      </w:rPr>
    </w:lvl>
    <w:lvl w:ilvl="6" w:tentative="0">
      <w:start w:val="0"/>
      <w:numFmt w:val="bullet"/>
      <w:lvlText w:val="•"/>
      <w:lvlJc w:val="left"/>
      <w:pPr>
        <w:ind w:left="4638" w:hanging="584"/>
      </w:pPr>
      <w:rPr>
        <w:rFonts w:hint="default"/>
        <w:lang w:val="en-US" w:eastAsia="zh-CN" w:bidi="ar-SA"/>
      </w:rPr>
    </w:lvl>
    <w:lvl w:ilvl="7" w:tentative="0">
      <w:start w:val="0"/>
      <w:numFmt w:val="bullet"/>
      <w:lvlText w:val="•"/>
      <w:lvlJc w:val="left"/>
      <w:pPr>
        <w:ind w:left="5281" w:hanging="584"/>
      </w:pPr>
      <w:rPr>
        <w:rFonts w:hint="default"/>
        <w:lang w:val="en-US" w:eastAsia="zh-CN" w:bidi="ar-SA"/>
      </w:rPr>
    </w:lvl>
    <w:lvl w:ilvl="8" w:tentative="0">
      <w:start w:val="0"/>
      <w:numFmt w:val="bullet"/>
      <w:lvlText w:val="•"/>
      <w:lvlJc w:val="left"/>
      <w:pPr>
        <w:ind w:left="5924" w:hanging="584"/>
      </w:pPr>
      <w:rPr>
        <w:rFonts w:hint="default"/>
        <w:lang w:val="en-US" w:eastAsia="zh-CN" w:bidi="ar-SA"/>
      </w:rPr>
    </w:lvl>
  </w:abstractNum>
  <w:abstractNum w:abstractNumId="2">
    <w:nsid w:val="8461FADE"/>
    <w:multiLevelType w:val="multilevel"/>
    <w:tmpl w:val="8461FADE"/>
    <w:lvl w:ilvl="0" w:tentative="0">
      <w:start w:val="42"/>
      <w:numFmt w:val="decimal"/>
      <w:lvlText w:val="%1."/>
      <w:lvlJc w:val="left"/>
      <w:pPr>
        <w:ind w:left="2229" w:hanging="567"/>
        <w:jc w:val="left"/>
      </w:pPr>
      <w:rPr>
        <w:rFonts w:hint="default" w:ascii="幼圆" w:hAnsi="幼圆" w:eastAsia="幼圆" w:cs="幼圆"/>
        <w:b w:val="0"/>
        <w:bCs w:val="0"/>
        <w:i w:val="0"/>
        <w:iCs w:val="0"/>
        <w:w w:val="100"/>
        <w:sz w:val="21"/>
        <w:szCs w:val="21"/>
        <w:lang w:val="en-US" w:eastAsia="zh-CN" w:bidi="ar-SA"/>
      </w:rPr>
    </w:lvl>
    <w:lvl w:ilvl="1" w:tentative="0">
      <w:start w:val="0"/>
      <w:numFmt w:val="bullet"/>
      <w:lvlText w:val="•"/>
      <w:lvlJc w:val="left"/>
      <w:pPr>
        <w:ind w:left="2922" w:hanging="567"/>
      </w:pPr>
      <w:rPr>
        <w:rFonts w:hint="default"/>
        <w:lang w:val="en-US" w:eastAsia="zh-CN" w:bidi="ar-SA"/>
      </w:rPr>
    </w:lvl>
    <w:lvl w:ilvl="2" w:tentative="0">
      <w:start w:val="0"/>
      <w:numFmt w:val="bullet"/>
      <w:lvlText w:val="•"/>
      <w:lvlJc w:val="left"/>
      <w:pPr>
        <w:ind w:left="3625" w:hanging="567"/>
      </w:pPr>
      <w:rPr>
        <w:rFonts w:hint="default"/>
        <w:lang w:val="en-US" w:eastAsia="zh-CN" w:bidi="ar-SA"/>
      </w:rPr>
    </w:lvl>
    <w:lvl w:ilvl="3" w:tentative="0">
      <w:start w:val="0"/>
      <w:numFmt w:val="bullet"/>
      <w:lvlText w:val="•"/>
      <w:lvlJc w:val="left"/>
      <w:pPr>
        <w:ind w:left="4327" w:hanging="567"/>
      </w:pPr>
      <w:rPr>
        <w:rFonts w:hint="default"/>
        <w:lang w:val="en-US" w:eastAsia="zh-CN" w:bidi="ar-SA"/>
      </w:rPr>
    </w:lvl>
    <w:lvl w:ilvl="4" w:tentative="0">
      <w:start w:val="0"/>
      <w:numFmt w:val="bullet"/>
      <w:lvlText w:val="•"/>
      <w:lvlJc w:val="left"/>
      <w:pPr>
        <w:ind w:left="5030" w:hanging="567"/>
      </w:pPr>
      <w:rPr>
        <w:rFonts w:hint="default"/>
        <w:lang w:val="en-US" w:eastAsia="zh-CN" w:bidi="ar-SA"/>
      </w:rPr>
    </w:lvl>
    <w:lvl w:ilvl="5" w:tentative="0">
      <w:start w:val="0"/>
      <w:numFmt w:val="bullet"/>
      <w:lvlText w:val="•"/>
      <w:lvlJc w:val="left"/>
      <w:pPr>
        <w:ind w:left="5733" w:hanging="567"/>
      </w:pPr>
      <w:rPr>
        <w:rFonts w:hint="default"/>
        <w:lang w:val="en-US" w:eastAsia="zh-CN" w:bidi="ar-SA"/>
      </w:rPr>
    </w:lvl>
    <w:lvl w:ilvl="6" w:tentative="0">
      <w:start w:val="0"/>
      <w:numFmt w:val="bullet"/>
      <w:lvlText w:val="•"/>
      <w:lvlJc w:val="left"/>
      <w:pPr>
        <w:ind w:left="6435" w:hanging="567"/>
      </w:pPr>
      <w:rPr>
        <w:rFonts w:hint="default"/>
        <w:lang w:val="en-US" w:eastAsia="zh-CN" w:bidi="ar-SA"/>
      </w:rPr>
    </w:lvl>
    <w:lvl w:ilvl="7" w:tentative="0">
      <w:start w:val="0"/>
      <w:numFmt w:val="bullet"/>
      <w:lvlText w:val="•"/>
      <w:lvlJc w:val="left"/>
      <w:pPr>
        <w:ind w:left="7138" w:hanging="567"/>
      </w:pPr>
      <w:rPr>
        <w:rFonts w:hint="default"/>
        <w:lang w:val="en-US" w:eastAsia="zh-CN" w:bidi="ar-SA"/>
      </w:rPr>
    </w:lvl>
    <w:lvl w:ilvl="8" w:tentative="0">
      <w:start w:val="0"/>
      <w:numFmt w:val="bullet"/>
      <w:lvlText w:val="•"/>
      <w:lvlJc w:val="left"/>
      <w:pPr>
        <w:ind w:left="7841" w:hanging="567"/>
      </w:pPr>
      <w:rPr>
        <w:rFonts w:hint="default"/>
        <w:lang w:val="en-US" w:eastAsia="zh-CN" w:bidi="ar-SA"/>
      </w:rPr>
    </w:lvl>
  </w:abstractNum>
  <w:abstractNum w:abstractNumId="3">
    <w:nsid w:val="91995D4F"/>
    <w:multiLevelType w:val="multilevel"/>
    <w:tmpl w:val="91995D4F"/>
    <w:lvl w:ilvl="0" w:tentative="0">
      <w:start w:val="1"/>
      <w:numFmt w:val="decimal"/>
      <w:lvlText w:val="（%1）"/>
      <w:lvlJc w:val="left"/>
      <w:pPr>
        <w:ind w:left="777" w:hanging="584"/>
        <w:jc w:val="left"/>
      </w:pPr>
      <w:rPr>
        <w:rFonts w:hint="default" w:ascii="幼圆" w:hAnsi="幼圆" w:eastAsia="幼圆" w:cs="幼圆"/>
        <w:b w:val="0"/>
        <w:bCs w:val="0"/>
        <w:i w:val="0"/>
        <w:iCs w:val="0"/>
        <w:w w:val="100"/>
        <w:sz w:val="21"/>
        <w:szCs w:val="21"/>
        <w:lang w:val="en-US" w:eastAsia="zh-CN" w:bidi="ar-SA"/>
      </w:rPr>
    </w:lvl>
    <w:lvl w:ilvl="1" w:tentative="0">
      <w:start w:val="0"/>
      <w:numFmt w:val="bullet"/>
      <w:lvlText w:val="•"/>
      <w:lvlJc w:val="left"/>
      <w:pPr>
        <w:ind w:left="1423" w:hanging="584"/>
      </w:pPr>
      <w:rPr>
        <w:rFonts w:hint="default"/>
        <w:lang w:val="en-US" w:eastAsia="zh-CN" w:bidi="ar-SA"/>
      </w:rPr>
    </w:lvl>
    <w:lvl w:ilvl="2" w:tentative="0">
      <w:start w:val="0"/>
      <w:numFmt w:val="bullet"/>
      <w:lvlText w:val="•"/>
      <w:lvlJc w:val="left"/>
      <w:pPr>
        <w:ind w:left="2066" w:hanging="584"/>
      </w:pPr>
      <w:rPr>
        <w:rFonts w:hint="default"/>
        <w:lang w:val="en-US" w:eastAsia="zh-CN" w:bidi="ar-SA"/>
      </w:rPr>
    </w:lvl>
    <w:lvl w:ilvl="3" w:tentative="0">
      <w:start w:val="0"/>
      <w:numFmt w:val="bullet"/>
      <w:lvlText w:val="•"/>
      <w:lvlJc w:val="left"/>
      <w:pPr>
        <w:ind w:left="2709" w:hanging="584"/>
      </w:pPr>
      <w:rPr>
        <w:rFonts w:hint="default"/>
        <w:lang w:val="en-US" w:eastAsia="zh-CN" w:bidi="ar-SA"/>
      </w:rPr>
    </w:lvl>
    <w:lvl w:ilvl="4" w:tentative="0">
      <w:start w:val="0"/>
      <w:numFmt w:val="bullet"/>
      <w:lvlText w:val="•"/>
      <w:lvlJc w:val="left"/>
      <w:pPr>
        <w:ind w:left="3352" w:hanging="584"/>
      </w:pPr>
      <w:rPr>
        <w:rFonts w:hint="default"/>
        <w:lang w:val="en-US" w:eastAsia="zh-CN" w:bidi="ar-SA"/>
      </w:rPr>
    </w:lvl>
    <w:lvl w:ilvl="5" w:tentative="0">
      <w:start w:val="0"/>
      <w:numFmt w:val="bullet"/>
      <w:lvlText w:val="•"/>
      <w:lvlJc w:val="left"/>
      <w:pPr>
        <w:ind w:left="3995" w:hanging="584"/>
      </w:pPr>
      <w:rPr>
        <w:rFonts w:hint="default"/>
        <w:lang w:val="en-US" w:eastAsia="zh-CN" w:bidi="ar-SA"/>
      </w:rPr>
    </w:lvl>
    <w:lvl w:ilvl="6" w:tentative="0">
      <w:start w:val="0"/>
      <w:numFmt w:val="bullet"/>
      <w:lvlText w:val="•"/>
      <w:lvlJc w:val="left"/>
      <w:pPr>
        <w:ind w:left="4638" w:hanging="584"/>
      </w:pPr>
      <w:rPr>
        <w:rFonts w:hint="default"/>
        <w:lang w:val="en-US" w:eastAsia="zh-CN" w:bidi="ar-SA"/>
      </w:rPr>
    </w:lvl>
    <w:lvl w:ilvl="7" w:tentative="0">
      <w:start w:val="0"/>
      <w:numFmt w:val="bullet"/>
      <w:lvlText w:val="•"/>
      <w:lvlJc w:val="left"/>
      <w:pPr>
        <w:ind w:left="5281" w:hanging="584"/>
      </w:pPr>
      <w:rPr>
        <w:rFonts w:hint="default"/>
        <w:lang w:val="en-US" w:eastAsia="zh-CN" w:bidi="ar-SA"/>
      </w:rPr>
    </w:lvl>
    <w:lvl w:ilvl="8" w:tentative="0">
      <w:start w:val="0"/>
      <w:numFmt w:val="bullet"/>
      <w:lvlText w:val="•"/>
      <w:lvlJc w:val="left"/>
      <w:pPr>
        <w:ind w:left="5924" w:hanging="584"/>
      </w:pPr>
      <w:rPr>
        <w:rFonts w:hint="default"/>
        <w:lang w:val="en-US" w:eastAsia="zh-CN" w:bidi="ar-SA"/>
      </w:rPr>
    </w:lvl>
  </w:abstractNum>
  <w:abstractNum w:abstractNumId="4">
    <w:nsid w:val="9239341B"/>
    <w:multiLevelType w:val="multilevel"/>
    <w:tmpl w:val="9239341B"/>
    <w:lvl w:ilvl="0" w:tentative="0">
      <w:start w:val="1"/>
      <w:numFmt w:val="decimal"/>
      <w:lvlText w:val="（%1）"/>
      <w:lvlJc w:val="left"/>
      <w:pPr>
        <w:ind w:left="747" w:hanging="529"/>
        <w:jc w:val="left"/>
      </w:pPr>
      <w:rPr>
        <w:rFonts w:hint="default" w:ascii="幼圆" w:hAnsi="幼圆" w:eastAsia="幼圆" w:cs="幼圆"/>
        <w:b w:val="0"/>
        <w:bCs w:val="0"/>
        <w:i w:val="0"/>
        <w:iCs w:val="0"/>
        <w:spacing w:val="-3"/>
        <w:w w:val="100"/>
        <w:sz w:val="19"/>
        <w:szCs w:val="19"/>
        <w:lang w:val="en-US" w:eastAsia="zh-CN" w:bidi="ar-SA"/>
      </w:rPr>
    </w:lvl>
    <w:lvl w:ilvl="1" w:tentative="0">
      <w:start w:val="0"/>
      <w:numFmt w:val="bullet"/>
      <w:lvlText w:val="•"/>
      <w:lvlJc w:val="left"/>
      <w:pPr>
        <w:ind w:left="1590" w:hanging="529"/>
      </w:pPr>
      <w:rPr>
        <w:rFonts w:hint="default"/>
        <w:lang w:val="en-US" w:eastAsia="zh-CN" w:bidi="ar-SA"/>
      </w:rPr>
    </w:lvl>
    <w:lvl w:ilvl="2" w:tentative="0">
      <w:start w:val="0"/>
      <w:numFmt w:val="bullet"/>
      <w:lvlText w:val="•"/>
      <w:lvlJc w:val="left"/>
      <w:pPr>
        <w:ind w:left="2441" w:hanging="529"/>
      </w:pPr>
      <w:rPr>
        <w:rFonts w:hint="default"/>
        <w:lang w:val="en-US" w:eastAsia="zh-CN" w:bidi="ar-SA"/>
      </w:rPr>
    </w:lvl>
    <w:lvl w:ilvl="3" w:tentative="0">
      <w:start w:val="0"/>
      <w:numFmt w:val="bullet"/>
      <w:lvlText w:val="•"/>
      <w:lvlJc w:val="left"/>
      <w:pPr>
        <w:ind w:left="3291" w:hanging="529"/>
      </w:pPr>
      <w:rPr>
        <w:rFonts w:hint="default"/>
        <w:lang w:val="en-US" w:eastAsia="zh-CN" w:bidi="ar-SA"/>
      </w:rPr>
    </w:lvl>
    <w:lvl w:ilvl="4" w:tentative="0">
      <w:start w:val="0"/>
      <w:numFmt w:val="bullet"/>
      <w:lvlText w:val="•"/>
      <w:lvlJc w:val="left"/>
      <w:pPr>
        <w:ind w:left="4142" w:hanging="529"/>
      </w:pPr>
      <w:rPr>
        <w:rFonts w:hint="default"/>
        <w:lang w:val="en-US" w:eastAsia="zh-CN" w:bidi="ar-SA"/>
      </w:rPr>
    </w:lvl>
    <w:lvl w:ilvl="5" w:tentative="0">
      <w:start w:val="0"/>
      <w:numFmt w:val="bullet"/>
      <w:lvlText w:val="•"/>
      <w:lvlJc w:val="left"/>
      <w:pPr>
        <w:ind w:left="4993" w:hanging="529"/>
      </w:pPr>
      <w:rPr>
        <w:rFonts w:hint="default"/>
        <w:lang w:val="en-US" w:eastAsia="zh-CN" w:bidi="ar-SA"/>
      </w:rPr>
    </w:lvl>
    <w:lvl w:ilvl="6" w:tentative="0">
      <w:start w:val="0"/>
      <w:numFmt w:val="bullet"/>
      <w:lvlText w:val="•"/>
      <w:lvlJc w:val="left"/>
      <w:pPr>
        <w:ind w:left="5843" w:hanging="529"/>
      </w:pPr>
      <w:rPr>
        <w:rFonts w:hint="default"/>
        <w:lang w:val="en-US" w:eastAsia="zh-CN" w:bidi="ar-SA"/>
      </w:rPr>
    </w:lvl>
    <w:lvl w:ilvl="7" w:tentative="0">
      <w:start w:val="0"/>
      <w:numFmt w:val="bullet"/>
      <w:lvlText w:val="•"/>
      <w:lvlJc w:val="left"/>
      <w:pPr>
        <w:ind w:left="6694" w:hanging="529"/>
      </w:pPr>
      <w:rPr>
        <w:rFonts w:hint="default"/>
        <w:lang w:val="en-US" w:eastAsia="zh-CN" w:bidi="ar-SA"/>
      </w:rPr>
    </w:lvl>
    <w:lvl w:ilvl="8" w:tentative="0">
      <w:start w:val="0"/>
      <w:numFmt w:val="bullet"/>
      <w:lvlText w:val="•"/>
      <w:lvlJc w:val="left"/>
      <w:pPr>
        <w:ind w:left="7545" w:hanging="529"/>
      </w:pPr>
      <w:rPr>
        <w:rFonts w:hint="default"/>
        <w:lang w:val="en-US" w:eastAsia="zh-CN" w:bidi="ar-SA"/>
      </w:rPr>
    </w:lvl>
  </w:abstractNum>
  <w:abstractNum w:abstractNumId="5">
    <w:nsid w:val="9288B902"/>
    <w:multiLevelType w:val="multilevel"/>
    <w:tmpl w:val="9288B902"/>
    <w:lvl w:ilvl="0" w:tentative="0">
      <w:start w:val="1"/>
      <w:numFmt w:val="decimal"/>
      <w:lvlText w:val="（%1）"/>
      <w:lvlJc w:val="left"/>
      <w:pPr>
        <w:ind w:left="788" w:hanging="584"/>
        <w:jc w:val="left"/>
      </w:pPr>
      <w:rPr>
        <w:rFonts w:hint="default" w:ascii="幼圆" w:hAnsi="幼圆" w:eastAsia="幼圆" w:cs="幼圆"/>
        <w:b w:val="0"/>
        <w:bCs w:val="0"/>
        <w:i w:val="0"/>
        <w:iCs w:val="0"/>
        <w:w w:val="100"/>
        <w:sz w:val="21"/>
        <w:szCs w:val="21"/>
        <w:lang w:val="en-US" w:eastAsia="zh-CN" w:bidi="ar-SA"/>
      </w:rPr>
    </w:lvl>
    <w:lvl w:ilvl="1" w:tentative="0">
      <w:start w:val="0"/>
      <w:numFmt w:val="bullet"/>
      <w:lvlText w:val="•"/>
      <w:lvlJc w:val="left"/>
      <w:pPr>
        <w:ind w:left="1360" w:hanging="584"/>
      </w:pPr>
      <w:rPr>
        <w:rFonts w:hint="default"/>
        <w:lang w:val="en-US" w:eastAsia="zh-CN" w:bidi="ar-SA"/>
      </w:rPr>
    </w:lvl>
    <w:lvl w:ilvl="2" w:tentative="0">
      <w:start w:val="0"/>
      <w:numFmt w:val="bullet"/>
      <w:lvlText w:val="•"/>
      <w:lvlJc w:val="left"/>
      <w:pPr>
        <w:ind w:left="1941" w:hanging="584"/>
      </w:pPr>
      <w:rPr>
        <w:rFonts w:hint="default"/>
        <w:lang w:val="en-US" w:eastAsia="zh-CN" w:bidi="ar-SA"/>
      </w:rPr>
    </w:lvl>
    <w:lvl w:ilvl="3" w:tentative="0">
      <w:start w:val="0"/>
      <w:numFmt w:val="bullet"/>
      <w:lvlText w:val="•"/>
      <w:lvlJc w:val="left"/>
      <w:pPr>
        <w:ind w:left="2521" w:hanging="584"/>
      </w:pPr>
      <w:rPr>
        <w:rFonts w:hint="default"/>
        <w:lang w:val="en-US" w:eastAsia="zh-CN" w:bidi="ar-SA"/>
      </w:rPr>
    </w:lvl>
    <w:lvl w:ilvl="4" w:tentative="0">
      <w:start w:val="0"/>
      <w:numFmt w:val="bullet"/>
      <w:lvlText w:val="•"/>
      <w:lvlJc w:val="left"/>
      <w:pPr>
        <w:ind w:left="3102" w:hanging="584"/>
      </w:pPr>
      <w:rPr>
        <w:rFonts w:hint="default"/>
        <w:lang w:val="en-US" w:eastAsia="zh-CN" w:bidi="ar-SA"/>
      </w:rPr>
    </w:lvl>
    <w:lvl w:ilvl="5" w:tentative="0">
      <w:start w:val="0"/>
      <w:numFmt w:val="bullet"/>
      <w:lvlText w:val="•"/>
      <w:lvlJc w:val="left"/>
      <w:pPr>
        <w:ind w:left="3682" w:hanging="584"/>
      </w:pPr>
      <w:rPr>
        <w:rFonts w:hint="default"/>
        <w:lang w:val="en-US" w:eastAsia="zh-CN" w:bidi="ar-SA"/>
      </w:rPr>
    </w:lvl>
    <w:lvl w:ilvl="6" w:tentative="0">
      <w:start w:val="0"/>
      <w:numFmt w:val="bullet"/>
      <w:lvlText w:val="•"/>
      <w:lvlJc w:val="left"/>
      <w:pPr>
        <w:ind w:left="4263" w:hanging="584"/>
      </w:pPr>
      <w:rPr>
        <w:rFonts w:hint="default"/>
        <w:lang w:val="en-US" w:eastAsia="zh-CN" w:bidi="ar-SA"/>
      </w:rPr>
    </w:lvl>
    <w:lvl w:ilvl="7" w:tentative="0">
      <w:start w:val="0"/>
      <w:numFmt w:val="bullet"/>
      <w:lvlText w:val="•"/>
      <w:lvlJc w:val="left"/>
      <w:pPr>
        <w:ind w:left="4843" w:hanging="584"/>
      </w:pPr>
      <w:rPr>
        <w:rFonts w:hint="default"/>
        <w:lang w:val="en-US" w:eastAsia="zh-CN" w:bidi="ar-SA"/>
      </w:rPr>
    </w:lvl>
    <w:lvl w:ilvl="8" w:tentative="0">
      <w:start w:val="0"/>
      <w:numFmt w:val="bullet"/>
      <w:lvlText w:val="•"/>
      <w:lvlJc w:val="left"/>
      <w:pPr>
        <w:ind w:left="5424" w:hanging="584"/>
      </w:pPr>
      <w:rPr>
        <w:rFonts w:hint="default"/>
        <w:lang w:val="en-US" w:eastAsia="zh-CN" w:bidi="ar-SA"/>
      </w:rPr>
    </w:lvl>
  </w:abstractNum>
  <w:abstractNum w:abstractNumId="6">
    <w:nsid w:val="9C8AC8EF"/>
    <w:multiLevelType w:val="multilevel"/>
    <w:tmpl w:val="9C8AC8EF"/>
    <w:lvl w:ilvl="0" w:tentative="0">
      <w:start w:val="1"/>
      <w:numFmt w:val="decimal"/>
      <w:lvlText w:val="（%1）"/>
      <w:lvlJc w:val="left"/>
      <w:pPr>
        <w:ind w:left="777" w:hanging="584"/>
        <w:jc w:val="left"/>
      </w:pPr>
      <w:rPr>
        <w:rFonts w:hint="default" w:ascii="幼圆" w:hAnsi="幼圆" w:eastAsia="幼圆" w:cs="幼圆"/>
        <w:b w:val="0"/>
        <w:bCs w:val="0"/>
        <w:i w:val="0"/>
        <w:iCs w:val="0"/>
        <w:w w:val="100"/>
        <w:sz w:val="21"/>
        <w:szCs w:val="21"/>
        <w:lang w:val="en-US" w:eastAsia="zh-CN" w:bidi="ar-SA"/>
      </w:rPr>
    </w:lvl>
    <w:lvl w:ilvl="1" w:tentative="0">
      <w:start w:val="0"/>
      <w:numFmt w:val="bullet"/>
      <w:lvlText w:val="•"/>
      <w:lvlJc w:val="left"/>
      <w:pPr>
        <w:ind w:left="1423" w:hanging="584"/>
      </w:pPr>
      <w:rPr>
        <w:rFonts w:hint="default"/>
        <w:lang w:val="en-US" w:eastAsia="zh-CN" w:bidi="ar-SA"/>
      </w:rPr>
    </w:lvl>
    <w:lvl w:ilvl="2" w:tentative="0">
      <w:start w:val="0"/>
      <w:numFmt w:val="bullet"/>
      <w:lvlText w:val="•"/>
      <w:lvlJc w:val="left"/>
      <w:pPr>
        <w:ind w:left="2066" w:hanging="584"/>
      </w:pPr>
      <w:rPr>
        <w:rFonts w:hint="default"/>
        <w:lang w:val="en-US" w:eastAsia="zh-CN" w:bidi="ar-SA"/>
      </w:rPr>
    </w:lvl>
    <w:lvl w:ilvl="3" w:tentative="0">
      <w:start w:val="0"/>
      <w:numFmt w:val="bullet"/>
      <w:lvlText w:val="•"/>
      <w:lvlJc w:val="left"/>
      <w:pPr>
        <w:ind w:left="2709" w:hanging="584"/>
      </w:pPr>
      <w:rPr>
        <w:rFonts w:hint="default"/>
        <w:lang w:val="en-US" w:eastAsia="zh-CN" w:bidi="ar-SA"/>
      </w:rPr>
    </w:lvl>
    <w:lvl w:ilvl="4" w:tentative="0">
      <w:start w:val="0"/>
      <w:numFmt w:val="bullet"/>
      <w:lvlText w:val="•"/>
      <w:lvlJc w:val="left"/>
      <w:pPr>
        <w:ind w:left="3352" w:hanging="584"/>
      </w:pPr>
      <w:rPr>
        <w:rFonts w:hint="default"/>
        <w:lang w:val="en-US" w:eastAsia="zh-CN" w:bidi="ar-SA"/>
      </w:rPr>
    </w:lvl>
    <w:lvl w:ilvl="5" w:tentative="0">
      <w:start w:val="0"/>
      <w:numFmt w:val="bullet"/>
      <w:lvlText w:val="•"/>
      <w:lvlJc w:val="left"/>
      <w:pPr>
        <w:ind w:left="3995" w:hanging="584"/>
      </w:pPr>
      <w:rPr>
        <w:rFonts w:hint="default"/>
        <w:lang w:val="en-US" w:eastAsia="zh-CN" w:bidi="ar-SA"/>
      </w:rPr>
    </w:lvl>
    <w:lvl w:ilvl="6" w:tentative="0">
      <w:start w:val="0"/>
      <w:numFmt w:val="bullet"/>
      <w:lvlText w:val="•"/>
      <w:lvlJc w:val="left"/>
      <w:pPr>
        <w:ind w:left="4638" w:hanging="584"/>
      </w:pPr>
      <w:rPr>
        <w:rFonts w:hint="default"/>
        <w:lang w:val="en-US" w:eastAsia="zh-CN" w:bidi="ar-SA"/>
      </w:rPr>
    </w:lvl>
    <w:lvl w:ilvl="7" w:tentative="0">
      <w:start w:val="0"/>
      <w:numFmt w:val="bullet"/>
      <w:lvlText w:val="•"/>
      <w:lvlJc w:val="left"/>
      <w:pPr>
        <w:ind w:left="5281" w:hanging="584"/>
      </w:pPr>
      <w:rPr>
        <w:rFonts w:hint="default"/>
        <w:lang w:val="en-US" w:eastAsia="zh-CN" w:bidi="ar-SA"/>
      </w:rPr>
    </w:lvl>
    <w:lvl w:ilvl="8" w:tentative="0">
      <w:start w:val="0"/>
      <w:numFmt w:val="bullet"/>
      <w:lvlText w:val="•"/>
      <w:lvlJc w:val="left"/>
      <w:pPr>
        <w:ind w:left="5924" w:hanging="584"/>
      </w:pPr>
      <w:rPr>
        <w:rFonts w:hint="default"/>
        <w:lang w:val="en-US" w:eastAsia="zh-CN" w:bidi="ar-SA"/>
      </w:rPr>
    </w:lvl>
  </w:abstractNum>
  <w:abstractNum w:abstractNumId="7">
    <w:nsid w:val="B0F1ACD9"/>
    <w:multiLevelType w:val="multilevel"/>
    <w:tmpl w:val="B0F1ACD9"/>
    <w:lvl w:ilvl="0" w:tentative="0">
      <w:start w:val="1"/>
      <w:numFmt w:val="decimal"/>
      <w:lvlText w:val="（%1）"/>
      <w:lvlJc w:val="left"/>
      <w:pPr>
        <w:ind w:left="777" w:hanging="584"/>
        <w:jc w:val="left"/>
      </w:pPr>
      <w:rPr>
        <w:rFonts w:hint="default" w:ascii="幼圆" w:hAnsi="幼圆" w:eastAsia="幼圆" w:cs="幼圆"/>
        <w:b w:val="0"/>
        <w:bCs w:val="0"/>
        <w:i w:val="0"/>
        <w:iCs w:val="0"/>
        <w:w w:val="100"/>
        <w:sz w:val="21"/>
        <w:szCs w:val="21"/>
        <w:lang w:val="en-US" w:eastAsia="zh-CN" w:bidi="ar-SA"/>
      </w:rPr>
    </w:lvl>
    <w:lvl w:ilvl="1" w:tentative="0">
      <w:start w:val="0"/>
      <w:numFmt w:val="bullet"/>
      <w:lvlText w:val="•"/>
      <w:lvlJc w:val="left"/>
      <w:pPr>
        <w:ind w:left="1423" w:hanging="584"/>
      </w:pPr>
      <w:rPr>
        <w:rFonts w:hint="default"/>
        <w:lang w:val="en-US" w:eastAsia="zh-CN" w:bidi="ar-SA"/>
      </w:rPr>
    </w:lvl>
    <w:lvl w:ilvl="2" w:tentative="0">
      <w:start w:val="0"/>
      <w:numFmt w:val="bullet"/>
      <w:lvlText w:val="•"/>
      <w:lvlJc w:val="left"/>
      <w:pPr>
        <w:ind w:left="2066" w:hanging="584"/>
      </w:pPr>
      <w:rPr>
        <w:rFonts w:hint="default"/>
        <w:lang w:val="en-US" w:eastAsia="zh-CN" w:bidi="ar-SA"/>
      </w:rPr>
    </w:lvl>
    <w:lvl w:ilvl="3" w:tentative="0">
      <w:start w:val="0"/>
      <w:numFmt w:val="bullet"/>
      <w:lvlText w:val="•"/>
      <w:lvlJc w:val="left"/>
      <w:pPr>
        <w:ind w:left="2709" w:hanging="584"/>
      </w:pPr>
      <w:rPr>
        <w:rFonts w:hint="default"/>
        <w:lang w:val="en-US" w:eastAsia="zh-CN" w:bidi="ar-SA"/>
      </w:rPr>
    </w:lvl>
    <w:lvl w:ilvl="4" w:tentative="0">
      <w:start w:val="0"/>
      <w:numFmt w:val="bullet"/>
      <w:lvlText w:val="•"/>
      <w:lvlJc w:val="left"/>
      <w:pPr>
        <w:ind w:left="3352" w:hanging="584"/>
      </w:pPr>
      <w:rPr>
        <w:rFonts w:hint="default"/>
        <w:lang w:val="en-US" w:eastAsia="zh-CN" w:bidi="ar-SA"/>
      </w:rPr>
    </w:lvl>
    <w:lvl w:ilvl="5" w:tentative="0">
      <w:start w:val="0"/>
      <w:numFmt w:val="bullet"/>
      <w:lvlText w:val="•"/>
      <w:lvlJc w:val="left"/>
      <w:pPr>
        <w:ind w:left="3995" w:hanging="584"/>
      </w:pPr>
      <w:rPr>
        <w:rFonts w:hint="default"/>
        <w:lang w:val="en-US" w:eastAsia="zh-CN" w:bidi="ar-SA"/>
      </w:rPr>
    </w:lvl>
    <w:lvl w:ilvl="6" w:tentative="0">
      <w:start w:val="0"/>
      <w:numFmt w:val="bullet"/>
      <w:lvlText w:val="•"/>
      <w:lvlJc w:val="left"/>
      <w:pPr>
        <w:ind w:left="4638" w:hanging="584"/>
      </w:pPr>
      <w:rPr>
        <w:rFonts w:hint="default"/>
        <w:lang w:val="en-US" w:eastAsia="zh-CN" w:bidi="ar-SA"/>
      </w:rPr>
    </w:lvl>
    <w:lvl w:ilvl="7" w:tentative="0">
      <w:start w:val="0"/>
      <w:numFmt w:val="bullet"/>
      <w:lvlText w:val="•"/>
      <w:lvlJc w:val="left"/>
      <w:pPr>
        <w:ind w:left="5281" w:hanging="584"/>
      </w:pPr>
      <w:rPr>
        <w:rFonts w:hint="default"/>
        <w:lang w:val="en-US" w:eastAsia="zh-CN" w:bidi="ar-SA"/>
      </w:rPr>
    </w:lvl>
    <w:lvl w:ilvl="8" w:tentative="0">
      <w:start w:val="0"/>
      <w:numFmt w:val="bullet"/>
      <w:lvlText w:val="•"/>
      <w:lvlJc w:val="left"/>
      <w:pPr>
        <w:ind w:left="5924" w:hanging="584"/>
      </w:pPr>
      <w:rPr>
        <w:rFonts w:hint="default"/>
        <w:lang w:val="en-US" w:eastAsia="zh-CN" w:bidi="ar-SA"/>
      </w:rPr>
    </w:lvl>
  </w:abstractNum>
  <w:abstractNum w:abstractNumId="8">
    <w:nsid w:val="B5E306ED"/>
    <w:multiLevelType w:val="multilevel"/>
    <w:tmpl w:val="B5E306ED"/>
    <w:lvl w:ilvl="0" w:tentative="0">
      <w:start w:val="1"/>
      <w:numFmt w:val="decimal"/>
      <w:lvlText w:val="%1)"/>
      <w:lvlJc w:val="left"/>
      <w:pPr>
        <w:ind w:left="638" w:hanging="420"/>
        <w:jc w:val="left"/>
      </w:pPr>
      <w:rPr>
        <w:rFonts w:hint="default" w:ascii="幼圆" w:hAnsi="幼圆" w:eastAsia="幼圆" w:cs="幼圆"/>
        <w:b w:val="0"/>
        <w:bCs w:val="0"/>
        <w:i w:val="0"/>
        <w:iCs w:val="0"/>
        <w:w w:val="100"/>
        <w:sz w:val="21"/>
        <w:szCs w:val="21"/>
        <w:lang w:val="en-US" w:eastAsia="zh-CN" w:bidi="ar-SA"/>
      </w:rPr>
    </w:lvl>
    <w:lvl w:ilvl="1" w:tentative="0">
      <w:start w:val="0"/>
      <w:numFmt w:val="bullet"/>
      <w:lvlText w:val="•"/>
      <w:lvlJc w:val="left"/>
      <w:pPr>
        <w:ind w:left="1500" w:hanging="420"/>
      </w:pPr>
      <w:rPr>
        <w:rFonts w:hint="default"/>
        <w:lang w:val="en-US" w:eastAsia="zh-CN" w:bidi="ar-SA"/>
      </w:rPr>
    </w:lvl>
    <w:lvl w:ilvl="2" w:tentative="0">
      <w:start w:val="0"/>
      <w:numFmt w:val="bullet"/>
      <w:lvlText w:val="•"/>
      <w:lvlJc w:val="left"/>
      <w:pPr>
        <w:ind w:left="2361" w:hanging="420"/>
      </w:pPr>
      <w:rPr>
        <w:rFonts w:hint="default"/>
        <w:lang w:val="en-US" w:eastAsia="zh-CN" w:bidi="ar-SA"/>
      </w:rPr>
    </w:lvl>
    <w:lvl w:ilvl="3" w:tentative="0">
      <w:start w:val="0"/>
      <w:numFmt w:val="bullet"/>
      <w:lvlText w:val="•"/>
      <w:lvlJc w:val="left"/>
      <w:pPr>
        <w:ind w:left="3221" w:hanging="420"/>
      </w:pPr>
      <w:rPr>
        <w:rFonts w:hint="default"/>
        <w:lang w:val="en-US" w:eastAsia="zh-CN" w:bidi="ar-SA"/>
      </w:rPr>
    </w:lvl>
    <w:lvl w:ilvl="4" w:tentative="0">
      <w:start w:val="0"/>
      <w:numFmt w:val="bullet"/>
      <w:lvlText w:val="•"/>
      <w:lvlJc w:val="left"/>
      <w:pPr>
        <w:ind w:left="4082" w:hanging="420"/>
      </w:pPr>
      <w:rPr>
        <w:rFonts w:hint="default"/>
        <w:lang w:val="en-US" w:eastAsia="zh-CN" w:bidi="ar-SA"/>
      </w:rPr>
    </w:lvl>
    <w:lvl w:ilvl="5" w:tentative="0">
      <w:start w:val="0"/>
      <w:numFmt w:val="bullet"/>
      <w:lvlText w:val="•"/>
      <w:lvlJc w:val="left"/>
      <w:pPr>
        <w:ind w:left="4943" w:hanging="420"/>
      </w:pPr>
      <w:rPr>
        <w:rFonts w:hint="default"/>
        <w:lang w:val="en-US" w:eastAsia="zh-CN" w:bidi="ar-SA"/>
      </w:rPr>
    </w:lvl>
    <w:lvl w:ilvl="6" w:tentative="0">
      <w:start w:val="0"/>
      <w:numFmt w:val="bullet"/>
      <w:lvlText w:val="•"/>
      <w:lvlJc w:val="left"/>
      <w:pPr>
        <w:ind w:left="5803" w:hanging="420"/>
      </w:pPr>
      <w:rPr>
        <w:rFonts w:hint="default"/>
        <w:lang w:val="en-US" w:eastAsia="zh-CN" w:bidi="ar-SA"/>
      </w:rPr>
    </w:lvl>
    <w:lvl w:ilvl="7" w:tentative="0">
      <w:start w:val="0"/>
      <w:numFmt w:val="bullet"/>
      <w:lvlText w:val="•"/>
      <w:lvlJc w:val="left"/>
      <w:pPr>
        <w:ind w:left="6664" w:hanging="420"/>
      </w:pPr>
      <w:rPr>
        <w:rFonts w:hint="default"/>
        <w:lang w:val="en-US" w:eastAsia="zh-CN" w:bidi="ar-SA"/>
      </w:rPr>
    </w:lvl>
    <w:lvl w:ilvl="8" w:tentative="0">
      <w:start w:val="0"/>
      <w:numFmt w:val="bullet"/>
      <w:lvlText w:val="•"/>
      <w:lvlJc w:val="left"/>
      <w:pPr>
        <w:ind w:left="7525" w:hanging="420"/>
      </w:pPr>
      <w:rPr>
        <w:rFonts w:hint="default"/>
        <w:lang w:val="en-US" w:eastAsia="zh-CN" w:bidi="ar-SA"/>
      </w:rPr>
    </w:lvl>
  </w:abstractNum>
  <w:abstractNum w:abstractNumId="9">
    <w:nsid w:val="B8CEF35B"/>
    <w:multiLevelType w:val="multilevel"/>
    <w:tmpl w:val="B8CEF35B"/>
    <w:lvl w:ilvl="0" w:tentative="0">
      <w:start w:val="1"/>
      <w:numFmt w:val="decimal"/>
      <w:lvlText w:val="（%1）"/>
      <w:lvlJc w:val="left"/>
      <w:pPr>
        <w:ind w:left="777" w:hanging="584"/>
        <w:jc w:val="left"/>
      </w:pPr>
      <w:rPr>
        <w:rFonts w:hint="default" w:ascii="幼圆" w:hAnsi="幼圆" w:eastAsia="幼圆" w:cs="幼圆"/>
        <w:b w:val="0"/>
        <w:bCs w:val="0"/>
        <w:i w:val="0"/>
        <w:iCs w:val="0"/>
        <w:w w:val="100"/>
        <w:sz w:val="21"/>
        <w:szCs w:val="21"/>
        <w:lang w:val="en-US" w:eastAsia="zh-CN" w:bidi="ar-SA"/>
      </w:rPr>
    </w:lvl>
    <w:lvl w:ilvl="1" w:tentative="0">
      <w:start w:val="0"/>
      <w:numFmt w:val="bullet"/>
      <w:lvlText w:val="•"/>
      <w:lvlJc w:val="left"/>
      <w:pPr>
        <w:ind w:left="1423" w:hanging="584"/>
      </w:pPr>
      <w:rPr>
        <w:rFonts w:hint="default"/>
        <w:lang w:val="en-US" w:eastAsia="zh-CN" w:bidi="ar-SA"/>
      </w:rPr>
    </w:lvl>
    <w:lvl w:ilvl="2" w:tentative="0">
      <w:start w:val="0"/>
      <w:numFmt w:val="bullet"/>
      <w:lvlText w:val="•"/>
      <w:lvlJc w:val="left"/>
      <w:pPr>
        <w:ind w:left="2066" w:hanging="584"/>
      </w:pPr>
      <w:rPr>
        <w:rFonts w:hint="default"/>
        <w:lang w:val="en-US" w:eastAsia="zh-CN" w:bidi="ar-SA"/>
      </w:rPr>
    </w:lvl>
    <w:lvl w:ilvl="3" w:tentative="0">
      <w:start w:val="0"/>
      <w:numFmt w:val="bullet"/>
      <w:lvlText w:val="•"/>
      <w:lvlJc w:val="left"/>
      <w:pPr>
        <w:ind w:left="2709" w:hanging="584"/>
      </w:pPr>
      <w:rPr>
        <w:rFonts w:hint="default"/>
        <w:lang w:val="en-US" w:eastAsia="zh-CN" w:bidi="ar-SA"/>
      </w:rPr>
    </w:lvl>
    <w:lvl w:ilvl="4" w:tentative="0">
      <w:start w:val="0"/>
      <w:numFmt w:val="bullet"/>
      <w:lvlText w:val="•"/>
      <w:lvlJc w:val="left"/>
      <w:pPr>
        <w:ind w:left="3352" w:hanging="584"/>
      </w:pPr>
      <w:rPr>
        <w:rFonts w:hint="default"/>
        <w:lang w:val="en-US" w:eastAsia="zh-CN" w:bidi="ar-SA"/>
      </w:rPr>
    </w:lvl>
    <w:lvl w:ilvl="5" w:tentative="0">
      <w:start w:val="0"/>
      <w:numFmt w:val="bullet"/>
      <w:lvlText w:val="•"/>
      <w:lvlJc w:val="left"/>
      <w:pPr>
        <w:ind w:left="3995" w:hanging="584"/>
      </w:pPr>
      <w:rPr>
        <w:rFonts w:hint="default"/>
        <w:lang w:val="en-US" w:eastAsia="zh-CN" w:bidi="ar-SA"/>
      </w:rPr>
    </w:lvl>
    <w:lvl w:ilvl="6" w:tentative="0">
      <w:start w:val="0"/>
      <w:numFmt w:val="bullet"/>
      <w:lvlText w:val="•"/>
      <w:lvlJc w:val="left"/>
      <w:pPr>
        <w:ind w:left="4638" w:hanging="584"/>
      </w:pPr>
      <w:rPr>
        <w:rFonts w:hint="default"/>
        <w:lang w:val="en-US" w:eastAsia="zh-CN" w:bidi="ar-SA"/>
      </w:rPr>
    </w:lvl>
    <w:lvl w:ilvl="7" w:tentative="0">
      <w:start w:val="0"/>
      <w:numFmt w:val="bullet"/>
      <w:lvlText w:val="•"/>
      <w:lvlJc w:val="left"/>
      <w:pPr>
        <w:ind w:left="5281" w:hanging="584"/>
      </w:pPr>
      <w:rPr>
        <w:rFonts w:hint="default"/>
        <w:lang w:val="en-US" w:eastAsia="zh-CN" w:bidi="ar-SA"/>
      </w:rPr>
    </w:lvl>
    <w:lvl w:ilvl="8" w:tentative="0">
      <w:start w:val="0"/>
      <w:numFmt w:val="bullet"/>
      <w:lvlText w:val="•"/>
      <w:lvlJc w:val="left"/>
      <w:pPr>
        <w:ind w:left="5924" w:hanging="584"/>
      </w:pPr>
      <w:rPr>
        <w:rFonts w:hint="default"/>
        <w:lang w:val="en-US" w:eastAsia="zh-CN" w:bidi="ar-SA"/>
      </w:rPr>
    </w:lvl>
  </w:abstractNum>
  <w:abstractNum w:abstractNumId="10">
    <w:nsid w:val="BB64CFA9"/>
    <w:multiLevelType w:val="multilevel"/>
    <w:tmpl w:val="BB64CFA9"/>
    <w:lvl w:ilvl="0" w:tentative="0">
      <w:start w:val="1"/>
      <w:numFmt w:val="decimal"/>
      <w:lvlText w:val="（%1）"/>
      <w:lvlJc w:val="left"/>
      <w:pPr>
        <w:ind w:left="743" w:hanging="567"/>
        <w:jc w:val="left"/>
      </w:pPr>
      <w:rPr>
        <w:rFonts w:hint="default" w:ascii="幼圆" w:hAnsi="幼圆" w:eastAsia="幼圆" w:cs="幼圆"/>
        <w:b w:val="0"/>
        <w:bCs w:val="0"/>
        <w:i w:val="0"/>
        <w:iCs w:val="0"/>
        <w:w w:val="100"/>
        <w:sz w:val="21"/>
        <w:szCs w:val="21"/>
        <w:lang w:val="en-US" w:eastAsia="zh-CN" w:bidi="ar-SA"/>
      </w:rPr>
    </w:lvl>
    <w:lvl w:ilvl="1" w:tentative="0">
      <w:start w:val="0"/>
      <w:numFmt w:val="bullet"/>
      <w:lvlText w:val="•"/>
      <w:lvlJc w:val="left"/>
      <w:pPr>
        <w:ind w:left="1385" w:hanging="567"/>
      </w:pPr>
      <w:rPr>
        <w:rFonts w:hint="default"/>
        <w:lang w:val="en-US" w:eastAsia="zh-CN" w:bidi="ar-SA"/>
      </w:rPr>
    </w:lvl>
    <w:lvl w:ilvl="2" w:tentative="0">
      <w:start w:val="0"/>
      <w:numFmt w:val="bullet"/>
      <w:lvlText w:val="•"/>
      <w:lvlJc w:val="left"/>
      <w:pPr>
        <w:ind w:left="2030" w:hanging="567"/>
      </w:pPr>
      <w:rPr>
        <w:rFonts w:hint="default"/>
        <w:lang w:val="en-US" w:eastAsia="zh-CN" w:bidi="ar-SA"/>
      </w:rPr>
    </w:lvl>
    <w:lvl w:ilvl="3" w:tentative="0">
      <w:start w:val="0"/>
      <w:numFmt w:val="bullet"/>
      <w:lvlText w:val="•"/>
      <w:lvlJc w:val="left"/>
      <w:pPr>
        <w:ind w:left="2675" w:hanging="567"/>
      </w:pPr>
      <w:rPr>
        <w:rFonts w:hint="default"/>
        <w:lang w:val="en-US" w:eastAsia="zh-CN" w:bidi="ar-SA"/>
      </w:rPr>
    </w:lvl>
    <w:lvl w:ilvl="4" w:tentative="0">
      <w:start w:val="0"/>
      <w:numFmt w:val="bullet"/>
      <w:lvlText w:val="•"/>
      <w:lvlJc w:val="left"/>
      <w:pPr>
        <w:ind w:left="3321" w:hanging="567"/>
      </w:pPr>
      <w:rPr>
        <w:rFonts w:hint="default"/>
        <w:lang w:val="en-US" w:eastAsia="zh-CN" w:bidi="ar-SA"/>
      </w:rPr>
    </w:lvl>
    <w:lvl w:ilvl="5" w:tentative="0">
      <w:start w:val="0"/>
      <w:numFmt w:val="bullet"/>
      <w:lvlText w:val="•"/>
      <w:lvlJc w:val="left"/>
      <w:pPr>
        <w:ind w:left="3966" w:hanging="567"/>
      </w:pPr>
      <w:rPr>
        <w:rFonts w:hint="default"/>
        <w:lang w:val="en-US" w:eastAsia="zh-CN" w:bidi="ar-SA"/>
      </w:rPr>
    </w:lvl>
    <w:lvl w:ilvl="6" w:tentative="0">
      <w:start w:val="0"/>
      <w:numFmt w:val="bullet"/>
      <w:lvlText w:val="•"/>
      <w:lvlJc w:val="left"/>
      <w:pPr>
        <w:ind w:left="4611" w:hanging="567"/>
      </w:pPr>
      <w:rPr>
        <w:rFonts w:hint="default"/>
        <w:lang w:val="en-US" w:eastAsia="zh-CN" w:bidi="ar-SA"/>
      </w:rPr>
    </w:lvl>
    <w:lvl w:ilvl="7" w:tentative="0">
      <w:start w:val="0"/>
      <w:numFmt w:val="bullet"/>
      <w:lvlText w:val="•"/>
      <w:lvlJc w:val="left"/>
      <w:pPr>
        <w:ind w:left="5257" w:hanging="567"/>
      </w:pPr>
      <w:rPr>
        <w:rFonts w:hint="default"/>
        <w:lang w:val="en-US" w:eastAsia="zh-CN" w:bidi="ar-SA"/>
      </w:rPr>
    </w:lvl>
    <w:lvl w:ilvl="8" w:tentative="0">
      <w:start w:val="0"/>
      <w:numFmt w:val="bullet"/>
      <w:lvlText w:val="•"/>
      <w:lvlJc w:val="left"/>
      <w:pPr>
        <w:ind w:left="5902" w:hanging="567"/>
      </w:pPr>
      <w:rPr>
        <w:rFonts w:hint="default"/>
        <w:lang w:val="en-US" w:eastAsia="zh-CN" w:bidi="ar-SA"/>
      </w:rPr>
    </w:lvl>
  </w:abstractNum>
  <w:abstractNum w:abstractNumId="11">
    <w:nsid w:val="BE923771"/>
    <w:multiLevelType w:val="multilevel"/>
    <w:tmpl w:val="BE923771"/>
    <w:lvl w:ilvl="0" w:tentative="0">
      <w:start w:val="1"/>
      <w:numFmt w:val="decimal"/>
      <w:lvlText w:val="（%1）"/>
      <w:lvlJc w:val="left"/>
      <w:pPr>
        <w:ind w:left="777" w:hanging="584"/>
        <w:jc w:val="left"/>
      </w:pPr>
      <w:rPr>
        <w:rFonts w:hint="default" w:ascii="幼圆" w:hAnsi="幼圆" w:eastAsia="幼圆" w:cs="幼圆"/>
        <w:b w:val="0"/>
        <w:bCs w:val="0"/>
        <w:i w:val="0"/>
        <w:iCs w:val="0"/>
        <w:w w:val="100"/>
        <w:sz w:val="21"/>
        <w:szCs w:val="21"/>
        <w:lang w:val="en-US" w:eastAsia="zh-CN" w:bidi="ar-SA"/>
      </w:rPr>
    </w:lvl>
    <w:lvl w:ilvl="1" w:tentative="0">
      <w:start w:val="0"/>
      <w:numFmt w:val="bullet"/>
      <w:lvlText w:val="•"/>
      <w:lvlJc w:val="left"/>
      <w:pPr>
        <w:ind w:left="1423" w:hanging="584"/>
      </w:pPr>
      <w:rPr>
        <w:rFonts w:hint="default"/>
        <w:lang w:val="en-US" w:eastAsia="zh-CN" w:bidi="ar-SA"/>
      </w:rPr>
    </w:lvl>
    <w:lvl w:ilvl="2" w:tentative="0">
      <w:start w:val="0"/>
      <w:numFmt w:val="bullet"/>
      <w:lvlText w:val="•"/>
      <w:lvlJc w:val="left"/>
      <w:pPr>
        <w:ind w:left="2066" w:hanging="584"/>
      </w:pPr>
      <w:rPr>
        <w:rFonts w:hint="default"/>
        <w:lang w:val="en-US" w:eastAsia="zh-CN" w:bidi="ar-SA"/>
      </w:rPr>
    </w:lvl>
    <w:lvl w:ilvl="3" w:tentative="0">
      <w:start w:val="0"/>
      <w:numFmt w:val="bullet"/>
      <w:lvlText w:val="•"/>
      <w:lvlJc w:val="left"/>
      <w:pPr>
        <w:ind w:left="2709" w:hanging="584"/>
      </w:pPr>
      <w:rPr>
        <w:rFonts w:hint="default"/>
        <w:lang w:val="en-US" w:eastAsia="zh-CN" w:bidi="ar-SA"/>
      </w:rPr>
    </w:lvl>
    <w:lvl w:ilvl="4" w:tentative="0">
      <w:start w:val="0"/>
      <w:numFmt w:val="bullet"/>
      <w:lvlText w:val="•"/>
      <w:lvlJc w:val="left"/>
      <w:pPr>
        <w:ind w:left="3352" w:hanging="584"/>
      </w:pPr>
      <w:rPr>
        <w:rFonts w:hint="default"/>
        <w:lang w:val="en-US" w:eastAsia="zh-CN" w:bidi="ar-SA"/>
      </w:rPr>
    </w:lvl>
    <w:lvl w:ilvl="5" w:tentative="0">
      <w:start w:val="0"/>
      <w:numFmt w:val="bullet"/>
      <w:lvlText w:val="•"/>
      <w:lvlJc w:val="left"/>
      <w:pPr>
        <w:ind w:left="3995" w:hanging="584"/>
      </w:pPr>
      <w:rPr>
        <w:rFonts w:hint="default"/>
        <w:lang w:val="en-US" w:eastAsia="zh-CN" w:bidi="ar-SA"/>
      </w:rPr>
    </w:lvl>
    <w:lvl w:ilvl="6" w:tentative="0">
      <w:start w:val="0"/>
      <w:numFmt w:val="bullet"/>
      <w:lvlText w:val="•"/>
      <w:lvlJc w:val="left"/>
      <w:pPr>
        <w:ind w:left="4638" w:hanging="584"/>
      </w:pPr>
      <w:rPr>
        <w:rFonts w:hint="default"/>
        <w:lang w:val="en-US" w:eastAsia="zh-CN" w:bidi="ar-SA"/>
      </w:rPr>
    </w:lvl>
    <w:lvl w:ilvl="7" w:tentative="0">
      <w:start w:val="0"/>
      <w:numFmt w:val="bullet"/>
      <w:lvlText w:val="•"/>
      <w:lvlJc w:val="left"/>
      <w:pPr>
        <w:ind w:left="5281" w:hanging="584"/>
      </w:pPr>
      <w:rPr>
        <w:rFonts w:hint="default"/>
        <w:lang w:val="en-US" w:eastAsia="zh-CN" w:bidi="ar-SA"/>
      </w:rPr>
    </w:lvl>
    <w:lvl w:ilvl="8" w:tentative="0">
      <w:start w:val="0"/>
      <w:numFmt w:val="bullet"/>
      <w:lvlText w:val="•"/>
      <w:lvlJc w:val="left"/>
      <w:pPr>
        <w:ind w:left="5924" w:hanging="584"/>
      </w:pPr>
      <w:rPr>
        <w:rFonts w:hint="default"/>
        <w:lang w:val="en-US" w:eastAsia="zh-CN" w:bidi="ar-SA"/>
      </w:rPr>
    </w:lvl>
  </w:abstractNum>
  <w:abstractNum w:abstractNumId="12">
    <w:nsid w:val="BF205925"/>
    <w:multiLevelType w:val="multilevel"/>
    <w:tmpl w:val="BF205925"/>
    <w:lvl w:ilvl="0" w:tentative="0">
      <w:start w:val="1"/>
      <w:numFmt w:val="decimal"/>
      <w:lvlText w:val="%1."/>
      <w:lvlJc w:val="left"/>
      <w:pPr>
        <w:ind w:left="578" w:hanging="360"/>
        <w:jc w:val="left"/>
      </w:pPr>
      <w:rPr>
        <w:rFonts w:hint="default" w:ascii="幼圆" w:hAnsi="幼圆" w:eastAsia="幼圆" w:cs="幼圆"/>
        <w:b w:val="0"/>
        <w:bCs w:val="0"/>
        <w:i w:val="0"/>
        <w:iCs w:val="0"/>
        <w:w w:val="100"/>
        <w:sz w:val="21"/>
        <w:szCs w:val="21"/>
        <w:lang w:val="en-US" w:eastAsia="zh-CN" w:bidi="ar-SA"/>
      </w:rPr>
    </w:lvl>
    <w:lvl w:ilvl="1" w:tentative="0">
      <w:start w:val="0"/>
      <w:numFmt w:val="bullet"/>
      <w:lvlText w:val="•"/>
      <w:lvlJc w:val="left"/>
      <w:pPr>
        <w:ind w:left="1446" w:hanging="360"/>
      </w:pPr>
      <w:rPr>
        <w:rFonts w:hint="default"/>
        <w:lang w:val="en-US" w:eastAsia="zh-CN" w:bidi="ar-SA"/>
      </w:rPr>
    </w:lvl>
    <w:lvl w:ilvl="2" w:tentative="0">
      <w:start w:val="0"/>
      <w:numFmt w:val="bullet"/>
      <w:lvlText w:val="•"/>
      <w:lvlJc w:val="left"/>
      <w:pPr>
        <w:ind w:left="2313" w:hanging="360"/>
      </w:pPr>
      <w:rPr>
        <w:rFonts w:hint="default"/>
        <w:lang w:val="en-US" w:eastAsia="zh-CN" w:bidi="ar-SA"/>
      </w:rPr>
    </w:lvl>
    <w:lvl w:ilvl="3" w:tentative="0">
      <w:start w:val="0"/>
      <w:numFmt w:val="bullet"/>
      <w:lvlText w:val="•"/>
      <w:lvlJc w:val="left"/>
      <w:pPr>
        <w:ind w:left="3179" w:hanging="360"/>
      </w:pPr>
      <w:rPr>
        <w:rFonts w:hint="default"/>
        <w:lang w:val="en-US" w:eastAsia="zh-CN" w:bidi="ar-SA"/>
      </w:rPr>
    </w:lvl>
    <w:lvl w:ilvl="4" w:tentative="0">
      <w:start w:val="0"/>
      <w:numFmt w:val="bullet"/>
      <w:lvlText w:val="•"/>
      <w:lvlJc w:val="left"/>
      <w:pPr>
        <w:ind w:left="4046" w:hanging="360"/>
      </w:pPr>
      <w:rPr>
        <w:rFonts w:hint="default"/>
        <w:lang w:val="en-US" w:eastAsia="zh-CN" w:bidi="ar-SA"/>
      </w:rPr>
    </w:lvl>
    <w:lvl w:ilvl="5" w:tentative="0">
      <w:start w:val="0"/>
      <w:numFmt w:val="bullet"/>
      <w:lvlText w:val="•"/>
      <w:lvlJc w:val="left"/>
      <w:pPr>
        <w:ind w:left="4913" w:hanging="360"/>
      </w:pPr>
      <w:rPr>
        <w:rFonts w:hint="default"/>
        <w:lang w:val="en-US" w:eastAsia="zh-CN" w:bidi="ar-SA"/>
      </w:rPr>
    </w:lvl>
    <w:lvl w:ilvl="6" w:tentative="0">
      <w:start w:val="0"/>
      <w:numFmt w:val="bullet"/>
      <w:lvlText w:val="•"/>
      <w:lvlJc w:val="left"/>
      <w:pPr>
        <w:ind w:left="5779" w:hanging="360"/>
      </w:pPr>
      <w:rPr>
        <w:rFonts w:hint="default"/>
        <w:lang w:val="en-US" w:eastAsia="zh-CN" w:bidi="ar-SA"/>
      </w:rPr>
    </w:lvl>
    <w:lvl w:ilvl="7" w:tentative="0">
      <w:start w:val="0"/>
      <w:numFmt w:val="bullet"/>
      <w:lvlText w:val="•"/>
      <w:lvlJc w:val="left"/>
      <w:pPr>
        <w:ind w:left="6646" w:hanging="360"/>
      </w:pPr>
      <w:rPr>
        <w:rFonts w:hint="default"/>
        <w:lang w:val="en-US" w:eastAsia="zh-CN" w:bidi="ar-SA"/>
      </w:rPr>
    </w:lvl>
    <w:lvl w:ilvl="8" w:tentative="0">
      <w:start w:val="0"/>
      <w:numFmt w:val="bullet"/>
      <w:lvlText w:val="•"/>
      <w:lvlJc w:val="left"/>
      <w:pPr>
        <w:ind w:left="7513" w:hanging="360"/>
      </w:pPr>
      <w:rPr>
        <w:rFonts w:hint="default"/>
        <w:lang w:val="en-US" w:eastAsia="zh-CN" w:bidi="ar-SA"/>
      </w:rPr>
    </w:lvl>
  </w:abstractNum>
  <w:abstractNum w:abstractNumId="13">
    <w:nsid w:val="C8879AEF"/>
    <w:multiLevelType w:val="multilevel"/>
    <w:tmpl w:val="C8879AEF"/>
    <w:lvl w:ilvl="0" w:tentative="0">
      <w:start w:val="1"/>
      <w:numFmt w:val="decimal"/>
      <w:lvlText w:val="（%1）"/>
      <w:lvlJc w:val="left"/>
      <w:pPr>
        <w:ind w:left="747" w:hanging="529"/>
        <w:jc w:val="left"/>
      </w:pPr>
      <w:rPr>
        <w:rFonts w:hint="default" w:ascii="幼圆" w:hAnsi="幼圆" w:eastAsia="幼圆" w:cs="幼圆"/>
        <w:b w:val="0"/>
        <w:bCs w:val="0"/>
        <w:i w:val="0"/>
        <w:iCs w:val="0"/>
        <w:spacing w:val="-3"/>
        <w:w w:val="100"/>
        <w:sz w:val="19"/>
        <w:szCs w:val="19"/>
        <w:lang w:val="en-US" w:eastAsia="zh-CN" w:bidi="ar-SA"/>
      </w:rPr>
    </w:lvl>
    <w:lvl w:ilvl="1" w:tentative="0">
      <w:start w:val="0"/>
      <w:numFmt w:val="bullet"/>
      <w:lvlText w:val="•"/>
      <w:lvlJc w:val="left"/>
      <w:pPr>
        <w:ind w:left="1590" w:hanging="529"/>
      </w:pPr>
      <w:rPr>
        <w:rFonts w:hint="default"/>
        <w:lang w:val="en-US" w:eastAsia="zh-CN" w:bidi="ar-SA"/>
      </w:rPr>
    </w:lvl>
    <w:lvl w:ilvl="2" w:tentative="0">
      <w:start w:val="0"/>
      <w:numFmt w:val="bullet"/>
      <w:lvlText w:val="•"/>
      <w:lvlJc w:val="left"/>
      <w:pPr>
        <w:ind w:left="2441" w:hanging="529"/>
      </w:pPr>
      <w:rPr>
        <w:rFonts w:hint="default"/>
        <w:lang w:val="en-US" w:eastAsia="zh-CN" w:bidi="ar-SA"/>
      </w:rPr>
    </w:lvl>
    <w:lvl w:ilvl="3" w:tentative="0">
      <w:start w:val="0"/>
      <w:numFmt w:val="bullet"/>
      <w:lvlText w:val="•"/>
      <w:lvlJc w:val="left"/>
      <w:pPr>
        <w:ind w:left="3291" w:hanging="529"/>
      </w:pPr>
      <w:rPr>
        <w:rFonts w:hint="default"/>
        <w:lang w:val="en-US" w:eastAsia="zh-CN" w:bidi="ar-SA"/>
      </w:rPr>
    </w:lvl>
    <w:lvl w:ilvl="4" w:tentative="0">
      <w:start w:val="0"/>
      <w:numFmt w:val="bullet"/>
      <w:lvlText w:val="•"/>
      <w:lvlJc w:val="left"/>
      <w:pPr>
        <w:ind w:left="4142" w:hanging="529"/>
      </w:pPr>
      <w:rPr>
        <w:rFonts w:hint="default"/>
        <w:lang w:val="en-US" w:eastAsia="zh-CN" w:bidi="ar-SA"/>
      </w:rPr>
    </w:lvl>
    <w:lvl w:ilvl="5" w:tentative="0">
      <w:start w:val="0"/>
      <w:numFmt w:val="bullet"/>
      <w:lvlText w:val="•"/>
      <w:lvlJc w:val="left"/>
      <w:pPr>
        <w:ind w:left="4993" w:hanging="529"/>
      </w:pPr>
      <w:rPr>
        <w:rFonts w:hint="default"/>
        <w:lang w:val="en-US" w:eastAsia="zh-CN" w:bidi="ar-SA"/>
      </w:rPr>
    </w:lvl>
    <w:lvl w:ilvl="6" w:tentative="0">
      <w:start w:val="0"/>
      <w:numFmt w:val="bullet"/>
      <w:lvlText w:val="•"/>
      <w:lvlJc w:val="left"/>
      <w:pPr>
        <w:ind w:left="5843" w:hanging="529"/>
      </w:pPr>
      <w:rPr>
        <w:rFonts w:hint="default"/>
        <w:lang w:val="en-US" w:eastAsia="zh-CN" w:bidi="ar-SA"/>
      </w:rPr>
    </w:lvl>
    <w:lvl w:ilvl="7" w:tentative="0">
      <w:start w:val="0"/>
      <w:numFmt w:val="bullet"/>
      <w:lvlText w:val="•"/>
      <w:lvlJc w:val="left"/>
      <w:pPr>
        <w:ind w:left="6694" w:hanging="529"/>
      </w:pPr>
      <w:rPr>
        <w:rFonts w:hint="default"/>
        <w:lang w:val="en-US" w:eastAsia="zh-CN" w:bidi="ar-SA"/>
      </w:rPr>
    </w:lvl>
    <w:lvl w:ilvl="8" w:tentative="0">
      <w:start w:val="0"/>
      <w:numFmt w:val="bullet"/>
      <w:lvlText w:val="•"/>
      <w:lvlJc w:val="left"/>
      <w:pPr>
        <w:ind w:left="7545" w:hanging="529"/>
      </w:pPr>
      <w:rPr>
        <w:rFonts w:hint="default"/>
        <w:lang w:val="en-US" w:eastAsia="zh-CN" w:bidi="ar-SA"/>
      </w:rPr>
    </w:lvl>
  </w:abstractNum>
  <w:abstractNum w:abstractNumId="14">
    <w:nsid w:val="CF092B84"/>
    <w:multiLevelType w:val="multilevel"/>
    <w:tmpl w:val="CF092B84"/>
    <w:lvl w:ilvl="0" w:tentative="0">
      <w:start w:val="1"/>
      <w:numFmt w:val="decimal"/>
      <w:lvlText w:val="%1."/>
      <w:lvlJc w:val="left"/>
      <w:pPr>
        <w:ind w:left="578" w:hanging="360"/>
        <w:jc w:val="left"/>
      </w:pPr>
      <w:rPr>
        <w:rFonts w:hint="default" w:ascii="幼圆" w:hAnsi="幼圆" w:eastAsia="幼圆" w:cs="幼圆"/>
        <w:b w:val="0"/>
        <w:bCs w:val="0"/>
        <w:i w:val="0"/>
        <w:iCs w:val="0"/>
        <w:w w:val="100"/>
        <w:sz w:val="21"/>
        <w:szCs w:val="21"/>
        <w:lang w:val="en-US" w:eastAsia="zh-CN" w:bidi="ar-SA"/>
      </w:rPr>
    </w:lvl>
    <w:lvl w:ilvl="1" w:tentative="0">
      <w:start w:val="0"/>
      <w:numFmt w:val="bullet"/>
      <w:lvlText w:val="•"/>
      <w:lvlJc w:val="left"/>
      <w:pPr>
        <w:ind w:left="1446" w:hanging="360"/>
      </w:pPr>
      <w:rPr>
        <w:rFonts w:hint="default"/>
        <w:lang w:val="en-US" w:eastAsia="zh-CN" w:bidi="ar-SA"/>
      </w:rPr>
    </w:lvl>
    <w:lvl w:ilvl="2" w:tentative="0">
      <w:start w:val="0"/>
      <w:numFmt w:val="bullet"/>
      <w:lvlText w:val="•"/>
      <w:lvlJc w:val="left"/>
      <w:pPr>
        <w:ind w:left="2313" w:hanging="360"/>
      </w:pPr>
      <w:rPr>
        <w:rFonts w:hint="default"/>
        <w:lang w:val="en-US" w:eastAsia="zh-CN" w:bidi="ar-SA"/>
      </w:rPr>
    </w:lvl>
    <w:lvl w:ilvl="3" w:tentative="0">
      <w:start w:val="0"/>
      <w:numFmt w:val="bullet"/>
      <w:lvlText w:val="•"/>
      <w:lvlJc w:val="left"/>
      <w:pPr>
        <w:ind w:left="3179" w:hanging="360"/>
      </w:pPr>
      <w:rPr>
        <w:rFonts w:hint="default"/>
        <w:lang w:val="en-US" w:eastAsia="zh-CN" w:bidi="ar-SA"/>
      </w:rPr>
    </w:lvl>
    <w:lvl w:ilvl="4" w:tentative="0">
      <w:start w:val="0"/>
      <w:numFmt w:val="bullet"/>
      <w:lvlText w:val="•"/>
      <w:lvlJc w:val="left"/>
      <w:pPr>
        <w:ind w:left="4046" w:hanging="360"/>
      </w:pPr>
      <w:rPr>
        <w:rFonts w:hint="default"/>
        <w:lang w:val="en-US" w:eastAsia="zh-CN" w:bidi="ar-SA"/>
      </w:rPr>
    </w:lvl>
    <w:lvl w:ilvl="5" w:tentative="0">
      <w:start w:val="0"/>
      <w:numFmt w:val="bullet"/>
      <w:lvlText w:val="•"/>
      <w:lvlJc w:val="left"/>
      <w:pPr>
        <w:ind w:left="4913" w:hanging="360"/>
      </w:pPr>
      <w:rPr>
        <w:rFonts w:hint="default"/>
        <w:lang w:val="en-US" w:eastAsia="zh-CN" w:bidi="ar-SA"/>
      </w:rPr>
    </w:lvl>
    <w:lvl w:ilvl="6" w:tentative="0">
      <w:start w:val="0"/>
      <w:numFmt w:val="bullet"/>
      <w:lvlText w:val="•"/>
      <w:lvlJc w:val="left"/>
      <w:pPr>
        <w:ind w:left="5779" w:hanging="360"/>
      </w:pPr>
      <w:rPr>
        <w:rFonts w:hint="default"/>
        <w:lang w:val="en-US" w:eastAsia="zh-CN" w:bidi="ar-SA"/>
      </w:rPr>
    </w:lvl>
    <w:lvl w:ilvl="7" w:tentative="0">
      <w:start w:val="0"/>
      <w:numFmt w:val="bullet"/>
      <w:lvlText w:val="•"/>
      <w:lvlJc w:val="left"/>
      <w:pPr>
        <w:ind w:left="6646" w:hanging="360"/>
      </w:pPr>
      <w:rPr>
        <w:rFonts w:hint="default"/>
        <w:lang w:val="en-US" w:eastAsia="zh-CN" w:bidi="ar-SA"/>
      </w:rPr>
    </w:lvl>
    <w:lvl w:ilvl="8" w:tentative="0">
      <w:start w:val="0"/>
      <w:numFmt w:val="bullet"/>
      <w:lvlText w:val="•"/>
      <w:lvlJc w:val="left"/>
      <w:pPr>
        <w:ind w:left="7513" w:hanging="360"/>
      </w:pPr>
      <w:rPr>
        <w:rFonts w:hint="default"/>
        <w:lang w:val="en-US" w:eastAsia="zh-CN" w:bidi="ar-SA"/>
      </w:rPr>
    </w:lvl>
  </w:abstractNum>
  <w:abstractNum w:abstractNumId="15">
    <w:nsid w:val="D7F9FE59"/>
    <w:multiLevelType w:val="multilevel"/>
    <w:tmpl w:val="D7F9FE59"/>
    <w:lvl w:ilvl="0" w:tentative="0">
      <w:start w:val="1"/>
      <w:numFmt w:val="decimal"/>
      <w:lvlText w:val="%1."/>
      <w:lvlJc w:val="left"/>
      <w:pPr>
        <w:ind w:left="2229" w:hanging="567"/>
        <w:jc w:val="left"/>
      </w:pPr>
      <w:rPr>
        <w:rFonts w:hint="default" w:ascii="幼圆" w:hAnsi="幼圆" w:eastAsia="幼圆" w:cs="幼圆"/>
        <w:b w:val="0"/>
        <w:bCs w:val="0"/>
        <w:i w:val="0"/>
        <w:iCs w:val="0"/>
        <w:w w:val="100"/>
        <w:sz w:val="21"/>
        <w:szCs w:val="21"/>
        <w:lang w:val="en-US" w:eastAsia="zh-CN" w:bidi="ar-SA"/>
      </w:rPr>
    </w:lvl>
    <w:lvl w:ilvl="1" w:tentative="0">
      <w:start w:val="1"/>
      <w:numFmt w:val="decimal"/>
      <w:lvlText w:val="（%2）"/>
      <w:lvlJc w:val="left"/>
      <w:pPr>
        <w:ind w:left="2813" w:hanging="584"/>
        <w:jc w:val="left"/>
      </w:pPr>
      <w:rPr>
        <w:rFonts w:hint="default"/>
        <w:w w:val="100"/>
        <w:lang w:val="en-US" w:eastAsia="zh-CN" w:bidi="ar-SA"/>
      </w:rPr>
    </w:lvl>
    <w:lvl w:ilvl="2" w:tentative="0">
      <w:start w:val="0"/>
      <w:numFmt w:val="bullet"/>
      <w:lvlText w:val="•"/>
      <w:lvlJc w:val="left"/>
      <w:pPr>
        <w:ind w:left="3534" w:hanging="584"/>
      </w:pPr>
      <w:rPr>
        <w:rFonts w:hint="default"/>
        <w:lang w:val="en-US" w:eastAsia="zh-CN" w:bidi="ar-SA"/>
      </w:rPr>
    </w:lvl>
    <w:lvl w:ilvl="3" w:tentative="0">
      <w:start w:val="0"/>
      <w:numFmt w:val="bullet"/>
      <w:lvlText w:val="•"/>
      <w:lvlJc w:val="left"/>
      <w:pPr>
        <w:ind w:left="4248" w:hanging="584"/>
      </w:pPr>
      <w:rPr>
        <w:rFonts w:hint="default"/>
        <w:lang w:val="en-US" w:eastAsia="zh-CN" w:bidi="ar-SA"/>
      </w:rPr>
    </w:lvl>
    <w:lvl w:ilvl="4" w:tentative="0">
      <w:start w:val="0"/>
      <w:numFmt w:val="bullet"/>
      <w:lvlText w:val="•"/>
      <w:lvlJc w:val="left"/>
      <w:pPr>
        <w:ind w:left="4962" w:hanging="584"/>
      </w:pPr>
      <w:rPr>
        <w:rFonts w:hint="default"/>
        <w:lang w:val="en-US" w:eastAsia="zh-CN" w:bidi="ar-SA"/>
      </w:rPr>
    </w:lvl>
    <w:lvl w:ilvl="5" w:tentative="0">
      <w:start w:val="0"/>
      <w:numFmt w:val="bullet"/>
      <w:lvlText w:val="•"/>
      <w:lvlJc w:val="left"/>
      <w:pPr>
        <w:ind w:left="5676" w:hanging="584"/>
      </w:pPr>
      <w:rPr>
        <w:rFonts w:hint="default"/>
        <w:lang w:val="en-US" w:eastAsia="zh-CN" w:bidi="ar-SA"/>
      </w:rPr>
    </w:lvl>
    <w:lvl w:ilvl="6" w:tentative="0">
      <w:start w:val="0"/>
      <w:numFmt w:val="bullet"/>
      <w:lvlText w:val="•"/>
      <w:lvlJc w:val="left"/>
      <w:pPr>
        <w:ind w:left="6390" w:hanging="584"/>
      </w:pPr>
      <w:rPr>
        <w:rFonts w:hint="default"/>
        <w:lang w:val="en-US" w:eastAsia="zh-CN" w:bidi="ar-SA"/>
      </w:rPr>
    </w:lvl>
    <w:lvl w:ilvl="7" w:tentative="0">
      <w:start w:val="0"/>
      <w:numFmt w:val="bullet"/>
      <w:lvlText w:val="•"/>
      <w:lvlJc w:val="left"/>
      <w:pPr>
        <w:ind w:left="7104" w:hanging="584"/>
      </w:pPr>
      <w:rPr>
        <w:rFonts w:hint="default"/>
        <w:lang w:val="en-US" w:eastAsia="zh-CN" w:bidi="ar-SA"/>
      </w:rPr>
    </w:lvl>
    <w:lvl w:ilvl="8" w:tentative="0">
      <w:start w:val="0"/>
      <w:numFmt w:val="bullet"/>
      <w:lvlText w:val="•"/>
      <w:lvlJc w:val="left"/>
      <w:pPr>
        <w:ind w:left="7818" w:hanging="584"/>
      </w:pPr>
      <w:rPr>
        <w:rFonts w:hint="default"/>
        <w:lang w:val="en-US" w:eastAsia="zh-CN" w:bidi="ar-SA"/>
      </w:rPr>
    </w:lvl>
  </w:abstractNum>
  <w:abstractNum w:abstractNumId="16">
    <w:nsid w:val="DCBA6B53"/>
    <w:multiLevelType w:val="multilevel"/>
    <w:tmpl w:val="DCBA6B53"/>
    <w:lvl w:ilvl="0" w:tentative="0">
      <w:start w:val="1"/>
      <w:numFmt w:val="decimal"/>
      <w:lvlText w:val="（%1）"/>
      <w:lvlJc w:val="left"/>
      <w:pPr>
        <w:ind w:left="218" w:hanging="529"/>
        <w:jc w:val="left"/>
      </w:pPr>
      <w:rPr>
        <w:rFonts w:hint="default" w:ascii="幼圆" w:hAnsi="幼圆" w:eastAsia="幼圆" w:cs="幼圆"/>
        <w:b w:val="0"/>
        <w:bCs w:val="0"/>
        <w:i w:val="0"/>
        <w:iCs w:val="0"/>
        <w:spacing w:val="-8"/>
        <w:w w:val="100"/>
        <w:sz w:val="19"/>
        <w:szCs w:val="19"/>
        <w:lang w:val="en-US" w:eastAsia="zh-CN" w:bidi="ar-SA"/>
      </w:rPr>
    </w:lvl>
    <w:lvl w:ilvl="1" w:tentative="0">
      <w:start w:val="0"/>
      <w:numFmt w:val="bullet"/>
      <w:lvlText w:val="•"/>
      <w:lvlJc w:val="left"/>
      <w:pPr>
        <w:ind w:left="1122" w:hanging="529"/>
      </w:pPr>
      <w:rPr>
        <w:rFonts w:hint="default"/>
        <w:lang w:val="en-US" w:eastAsia="zh-CN" w:bidi="ar-SA"/>
      </w:rPr>
    </w:lvl>
    <w:lvl w:ilvl="2" w:tentative="0">
      <w:start w:val="0"/>
      <w:numFmt w:val="bullet"/>
      <w:lvlText w:val="•"/>
      <w:lvlJc w:val="left"/>
      <w:pPr>
        <w:ind w:left="2025" w:hanging="529"/>
      </w:pPr>
      <w:rPr>
        <w:rFonts w:hint="default"/>
        <w:lang w:val="en-US" w:eastAsia="zh-CN" w:bidi="ar-SA"/>
      </w:rPr>
    </w:lvl>
    <w:lvl w:ilvl="3" w:tentative="0">
      <w:start w:val="0"/>
      <w:numFmt w:val="bullet"/>
      <w:lvlText w:val="•"/>
      <w:lvlJc w:val="left"/>
      <w:pPr>
        <w:ind w:left="2927" w:hanging="529"/>
      </w:pPr>
      <w:rPr>
        <w:rFonts w:hint="default"/>
        <w:lang w:val="en-US" w:eastAsia="zh-CN" w:bidi="ar-SA"/>
      </w:rPr>
    </w:lvl>
    <w:lvl w:ilvl="4" w:tentative="0">
      <w:start w:val="0"/>
      <w:numFmt w:val="bullet"/>
      <w:lvlText w:val="•"/>
      <w:lvlJc w:val="left"/>
      <w:pPr>
        <w:ind w:left="3830" w:hanging="529"/>
      </w:pPr>
      <w:rPr>
        <w:rFonts w:hint="default"/>
        <w:lang w:val="en-US" w:eastAsia="zh-CN" w:bidi="ar-SA"/>
      </w:rPr>
    </w:lvl>
    <w:lvl w:ilvl="5" w:tentative="0">
      <w:start w:val="0"/>
      <w:numFmt w:val="bullet"/>
      <w:lvlText w:val="•"/>
      <w:lvlJc w:val="left"/>
      <w:pPr>
        <w:ind w:left="4733" w:hanging="529"/>
      </w:pPr>
      <w:rPr>
        <w:rFonts w:hint="default"/>
        <w:lang w:val="en-US" w:eastAsia="zh-CN" w:bidi="ar-SA"/>
      </w:rPr>
    </w:lvl>
    <w:lvl w:ilvl="6" w:tentative="0">
      <w:start w:val="0"/>
      <w:numFmt w:val="bullet"/>
      <w:lvlText w:val="•"/>
      <w:lvlJc w:val="left"/>
      <w:pPr>
        <w:ind w:left="5635" w:hanging="529"/>
      </w:pPr>
      <w:rPr>
        <w:rFonts w:hint="default"/>
        <w:lang w:val="en-US" w:eastAsia="zh-CN" w:bidi="ar-SA"/>
      </w:rPr>
    </w:lvl>
    <w:lvl w:ilvl="7" w:tentative="0">
      <w:start w:val="0"/>
      <w:numFmt w:val="bullet"/>
      <w:lvlText w:val="•"/>
      <w:lvlJc w:val="left"/>
      <w:pPr>
        <w:ind w:left="6538" w:hanging="529"/>
      </w:pPr>
      <w:rPr>
        <w:rFonts w:hint="default"/>
        <w:lang w:val="en-US" w:eastAsia="zh-CN" w:bidi="ar-SA"/>
      </w:rPr>
    </w:lvl>
    <w:lvl w:ilvl="8" w:tentative="0">
      <w:start w:val="0"/>
      <w:numFmt w:val="bullet"/>
      <w:lvlText w:val="•"/>
      <w:lvlJc w:val="left"/>
      <w:pPr>
        <w:ind w:left="7441" w:hanging="529"/>
      </w:pPr>
      <w:rPr>
        <w:rFonts w:hint="default"/>
        <w:lang w:val="en-US" w:eastAsia="zh-CN" w:bidi="ar-SA"/>
      </w:rPr>
    </w:lvl>
  </w:abstractNum>
  <w:abstractNum w:abstractNumId="17">
    <w:nsid w:val="E093A4B0"/>
    <w:multiLevelType w:val="multilevel"/>
    <w:tmpl w:val="E093A4B0"/>
    <w:lvl w:ilvl="0" w:tentative="0">
      <w:start w:val="1"/>
      <w:numFmt w:val="decimal"/>
      <w:lvlText w:val="（%1）"/>
      <w:lvlJc w:val="left"/>
      <w:pPr>
        <w:ind w:left="760" w:hanging="567"/>
        <w:jc w:val="left"/>
      </w:pPr>
      <w:rPr>
        <w:rFonts w:hint="default" w:ascii="幼圆" w:hAnsi="幼圆" w:eastAsia="幼圆" w:cs="幼圆"/>
        <w:b w:val="0"/>
        <w:bCs w:val="0"/>
        <w:i w:val="0"/>
        <w:iCs w:val="0"/>
        <w:w w:val="100"/>
        <w:sz w:val="21"/>
        <w:szCs w:val="21"/>
        <w:lang w:val="en-US" w:eastAsia="zh-CN" w:bidi="ar-SA"/>
      </w:rPr>
    </w:lvl>
    <w:lvl w:ilvl="1" w:tentative="0">
      <w:start w:val="1"/>
      <w:numFmt w:val="decimal"/>
      <w:lvlText w:val="（%2）"/>
      <w:lvlJc w:val="left"/>
      <w:pPr>
        <w:ind w:left="2796" w:hanging="567"/>
        <w:jc w:val="left"/>
      </w:pPr>
      <w:rPr>
        <w:rFonts w:hint="default" w:ascii="幼圆" w:hAnsi="幼圆" w:eastAsia="幼圆" w:cs="幼圆"/>
        <w:b w:val="0"/>
        <w:bCs w:val="0"/>
        <w:i w:val="0"/>
        <w:iCs w:val="0"/>
        <w:w w:val="100"/>
        <w:sz w:val="21"/>
        <w:szCs w:val="21"/>
        <w:lang w:val="en-US" w:eastAsia="zh-CN" w:bidi="ar-SA"/>
      </w:rPr>
    </w:lvl>
    <w:lvl w:ilvl="2" w:tentative="0">
      <w:start w:val="0"/>
      <w:numFmt w:val="bullet"/>
      <w:lvlText w:val="•"/>
      <w:lvlJc w:val="left"/>
      <w:pPr>
        <w:ind w:left="3290" w:hanging="567"/>
      </w:pPr>
      <w:rPr>
        <w:rFonts w:hint="default"/>
        <w:lang w:val="en-US" w:eastAsia="zh-CN" w:bidi="ar-SA"/>
      </w:rPr>
    </w:lvl>
    <w:lvl w:ilvl="3" w:tentative="0">
      <w:start w:val="0"/>
      <w:numFmt w:val="bullet"/>
      <w:lvlText w:val="•"/>
      <w:lvlJc w:val="left"/>
      <w:pPr>
        <w:ind w:left="3780" w:hanging="567"/>
      </w:pPr>
      <w:rPr>
        <w:rFonts w:hint="default"/>
        <w:lang w:val="en-US" w:eastAsia="zh-CN" w:bidi="ar-SA"/>
      </w:rPr>
    </w:lvl>
    <w:lvl w:ilvl="4" w:tentative="0">
      <w:start w:val="0"/>
      <w:numFmt w:val="bullet"/>
      <w:lvlText w:val="•"/>
      <w:lvlJc w:val="left"/>
      <w:pPr>
        <w:ind w:left="4270" w:hanging="567"/>
      </w:pPr>
      <w:rPr>
        <w:rFonts w:hint="default"/>
        <w:lang w:val="en-US" w:eastAsia="zh-CN" w:bidi="ar-SA"/>
      </w:rPr>
    </w:lvl>
    <w:lvl w:ilvl="5" w:tentative="0">
      <w:start w:val="0"/>
      <w:numFmt w:val="bullet"/>
      <w:lvlText w:val="•"/>
      <w:lvlJc w:val="left"/>
      <w:pPr>
        <w:ind w:left="4760" w:hanging="567"/>
      </w:pPr>
      <w:rPr>
        <w:rFonts w:hint="default"/>
        <w:lang w:val="en-US" w:eastAsia="zh-CN" w:bidi="ar-SA"/>
      </w:rPr>
    </w:lvl>
    <w:lvl w:ilvl="6" w:tentative="0">
      <w:start w:val="0"/>
      <w:numFmt w:val="bullet"/>
      <w:lvlText w:val="•"/>
      <w:lvlJc w:val="left"/>
      <w:pPr>
        <w:ind w:left="5250" w:hanging="567"/>
      </w:pPr>
      <w:rPr>
        <w:rFonts w:hint="default"/>
        <w:lang w:val="en-US" w:eastAsia="zh-CN" w:bidi="ar-SA"/>
      </w:rPr>
    </w:lvl>
    <w:lvl w:ilvl="7" w:tentative="0">
      <w:start w:val="0"/>
      <w:numFmt w:val="bullet"/>
      <w:lvlText w:val="•"/>
      <w:lvlJc w:val="left"/>
      <w:pPr>
        <w:ind w:left="5740" w:hanging="567"/>
      </w:pPr>
      <w:rPr>
        <w:rFonts w:hint="default"/>
        <w:lang w:val="en-US" w:eastAsia="zh-CN" w:bidi="ar-SA"/>
      </w:rPr>
    </w:lvl>
    <w:lvl w:ilvl="8" w:tentative="0">
      <w:start w:val="0"/>
      <w:numFmt w:val="bullet"/>
      <w:lvlText w:val="•"/>
      <w:lvlJc w:val="left"/>
      <w:pPr>
        <w:ind w:left="6230" w:hanging="567"/>
      </w:pPr>
      <w:rPr>
        <w:rFonts w:hint="default"/>
        <w:lang w:val="en-US" w:eastAsia="zh-CN" w:bidi="ar-SA"/>
      </w:rPr>
    </w:lvl>
  </w:abstractNum>
  <w:abstractNum w:abstractNumId="18">
    <w:nsid w:val="F4B5D9F5"/>
    <w:multiLevelType w:val="multilevel"/>
    <w:tmpl w:val="F4B5D9F5"/>
    <w:lvl w:ilvl="0" w:tentative="0">
      <w:start w:val="1"/>
      <w:numFmt w:val="decimal"/>
      <w:lvlText w:val="（%1）"/>
      <w:lvlJc w:val="left"/>
      <w:pPr>
        <w:ind w:left="747" w:hanging="529"/>
        <w:jc w:val="left"/>
      </w:pPr>
      <w:rPr>
        <w:rFonts w:hint="default" w:ascii="幼圆" w:hAnsi="幼圆" w:eastAsia="幼圆" w:cs="幼圆"/>
        <w:b w:val="0"/>
        <w:bCs w:val="0"/>
        <w:i w:val="0"/>
        <w:iCs w:val="0"/>
        <w:spacing w:val="-3"/>
        <w:w w:val="100"/>
        <w:sz w:val="19"/>
        <w:szCs w:val="19"/>
        <w:lang w:val="en-US" w:eastAsia="zh-CN" w:bidi="ar-SA"/>
      </w:rPr>
    </w:lvl>
    <w:lvl w:ilvl="1" w:tentative="0">
      <w:start w:val="0"/>
      <w:numFmt w:val="bullet"/>
      <w:lvlText w:val="•"/>
      <w:lvlJc w:val="left"/>
      <w:pPr>
        <w:ind w:left="1590" w:hanging="529"/>
      </w:pPr>
      <w:rPr>
        <w:rFonts w:hint="default"/>
        <w:lang w:val="en-US" w:eastAsia="zh-CN" w:bidi="ar-SA"/>
      </w:rPr>
    </w:lvl>
    <w:lvl w:ilvl="2" w:tentative="0">
      <w:start w:val="0"/>
      <w:numFmt w:val="bullet"/>
      <w:lvlText w:val="•"/>
      <w:lvlJc w:val="left"/>
      <w:pPr>
        <w:ind w:left="2441" w:hanging="529"/>
      </w:pPr>
      <w:rPr>
        <w:rFonts w:hint="default"/>
        <w:lang w:val="en-US" w:eastAsia="zh-CN" w:bidi="ar-SA"/>
      </w:rPr>
    </w:lvl>
    <w:lvl w:ilvl="3" w:tentative="0">
      <w:start w:val="0"/>
      <w:numFmt w:val="bullet"/>
      <w:lvlText w:val="•"/>
      <w:lvlJc w:val="left"/>
      <w:pPr>
        <w:ind w:left="3291" w:hanging="529"/>
      </w:pPr>
      <w:rPr>
        <w:rFonts w:hint="default"/>
        <w:lang w:val="en-US" w:eastAsia="zh-CN" w:bidi="ar-SA"/>
      </w:rPr>
    </w:lvl>
    <w:lvl w:ilvl="4" w:tentative="0">
      <w:start w:val="0"/>
      <w:numFmt w:val="bullet"/>
      <w:lvlText w:val="•"/>
      <w:lvlJc w:val="left"/>
      <w:pPr>
        <w:ind w:left="4142" w:hanging="529"/>
      </w:pPr>
      <w:rPr>
        <w:rFonts w:hint="default"/>
        <w:lang w:val="en-US" w:eastAsia="zh-CN" w:bidi="ar-SA"/>
      </w:rPr>
    </w:lvl>
    <w:lvl w:ilvl="5" w:tentative="0">
      <w:start w:val="0"/>
      <w:numFmt w:val="bullet"/>
      <w:lvlText w:val="•"/>
      <w:lvlJc w:val="left"/>
      <w:pPr>
        <w:ind w:left="4993" w:hanging="529"/>
      </w:pPr>
      <w:rPr>
        <w:rFonts w:hint="default"/>
        <w:lang w:val="en-US" w:eastAsia="zh-CN" w:bidi="ar-SA"/>
      </w:rPr>
    </w:lvl>
    <w:lvl w:ilvl="6" w:tentative="0">
      <w:start w:val="0"/>
      <w:numFmt w:val="bullet"/>
      <w:lvlText w:val="•"/>
      <w:lvlJc w:val="left"/>
      <w:pPr>
        <w:ind w:left="5843" w:hanging="529"/>
      </w:pPr>
      <w:rPr>
        <w:rFonts w:hint="default"/>
        <w:lang w:val="en-US" w:eastAsia="zh-CN" w:bidi="ar-SA"/>
      </w:rPr>
    </w:lvl>
    <w:lvl w:ilvl="7" w:tentative="0">
      <w:start w:val="0"/>
      <w:numFmt w:val="bullet"/>
      <w:lvlText w:val="•"/>
      <w:lvlJc w:val="left"/>
      <w:pPr>
        <w:ind w:left="6694" w:hanging="529"/>
      </w:pPr>
      <w:rPr>
        <w:rFonts w:hint="default"/>
        <w:lang w:val="en-US" w:eastAsia="zh-CN" w:bidi="ar-SA"/>
      </w:rPr>
    </w:lvl>
    <w:lvl w:ilvl="8" w:tentative="0">
      <w:start w:val="0"/>
      <w:numFmt w:val="bullet"/>
      <w:lvlText w:val="•"/>
      <w:lvlJc w:val="left"/>
      <w:pPr>
        <w:ind w:left="7545" w:hanging="529"/>
      </w:pPr>
      <w:rPr>
        <w:rFonts w:hint="default"/>
        <w:lang w:val="en-US" w:eastAsia="zh-CN" w:bidi="ar-SA"/>
      </w:rPr>
    </w:lvl>
  </w:abstractNum>
  <w:abstractNum w:abstractNumId="19">
    <w:nsid w:val="F7735DC9"/>
    <w:multiLevelType w:val="multilevel"/>
    <w:tmpl w:val="F7735DC9"/>
    <w:lvl w:ilvl="0" w:tentative="0">
      <w:start w:val="1"/>
      <w:numFmt w:val="decimal"/>
      <w:lvlText w:val="（%1）"/>
      <w:lvlJc w:val="left"/>
      <w:pPr>
        <w:ind w:left="689" w:hanging="584"/>
        <w:jc w:val="left"/>
      </w:pPr>
      <w:rPr>
        <w:rFonts w:hint="default" w:ascii="幼圆" w:hAnsi="幼圆" w:eastAsia="幼圆" w:cs="幼圆"/>
        <w:b w:val="0"/>
        <w:bCs w:val="0"/>
        <w:i w:val="0"/>
        <w:iCs w:val="0"/>
        <w:w w:val="100"/>
        <w:sz w:val="21"/>
        <w:szCs w:val="21"/>
        <w:lang w:val="en-US" w:eastAsia="zh-CN" w:bidi="ar-SA"/>
      </w:rPr>
    </w:lvl>
    <w:lvl w:ilvl="1" w:tentative="0">
      <w:start w:val="0"/>
      <w:numFmt w:val="bullet"/>
      <w:lvlText w:val="•"/>
      <w:lvlJc w:val="left"/>
      <w:pPr>
        <w:ind w:left="1266" w:hanging="584"/>
      </w:pPr>
      <w:rPr>
        <w:rFonts w:hint="default"/>
        <w:lang w:val="en-US" w:eastAsia="zh-CN" w:bidi="ar-SA"/>
      </w:rPr>
    </w:lvl>
    <w:lvl w:ilvl="2" w:tentative="0">
      <w:start w:val="0"/>
      <w:numFmt w:val="bullet"/>
      <w:lvlText w:val="•"/>
      <w:lvlJc w:val="left"/>
      <w:pPr>
        <w:ind w:left="1853" w:hanging="584"/>
      </w:pPr>
      <w:rPr>
        <w:rFonts w:hint="default"/>
        <w:lang w:val="en-US" w:eastAsia="zh-CN" w:bidi="ar-SA"/>
      </w:rPr>
    </w:lvl>
    <w:lvl w:ilvl="3" w:tentative="0">
      <w:start w:val="0"/>
      <w:numFmt w:val="bullet"/>
      <w:lvlText w:val="•"/>
      <w:lvlJc w:val="left"/>
      <w:pPr>
        <w:ind w:left="2440" w:hanging="584"/>
      </w:pPr>
      <w:rPr>
        <w:rFonts w:hint="default"/>
        <w:lang w:val="en-US" w:eastAsia="zh-CN" w:bidi="ar-SA"/>
      </w:rPr>
    </w:lvl>
    <w:lvl w:ilvl="4" w:tentative="0">
      <w:start w:val="0"/>
      <w:numFmt w:val="bullet"/>
      <w:lvlText w:val="•"/>
      <w:lvlJc w:val="left"/>
      <w:pPr>
        <w:ind w:left="3026" w:hanging="584"/>
      </w:pPr>
      <w:rPr>
        <w:rFonts w:hint="default"/>
        <w:lang w:val="en-US" w:eastAsia="zh-CN" w:bidi="ar-SA"/>
      </w:rPr>
    </w:lvl>
    <w:lvl w:ilvl="5" w:tentative="0">
      <w:start w:val="0"/>
      <w:numFmt w:val="bullet"/>
      <w:lvlText w:val="•"/>
      <w:lvlJc w:val="left"/>
      <w:pPr>
        <w:ind w:left="3613" w:hanging="584"/>
      </w:pPr>
      <w:rPr>
        <w:rFonts w:hint="default"/>
        <w:lang w:val="en-US" w:eastAsia="zh-CN" w:bidi="ar-SA"/>
      </w:rPr>
    </w:lvl>
    <w:lvl w:ilvl="6" w:tentative="0">
      <w:start w:val="0"/>
      <w:numFmt w:val="bullet"/>
      <w:lvlText w:val="•"/>
      <w:lvlJc w:val="left"/>
      <w:pPr>
        <w:ind w:left="4200" w:hanging="584"/>
      </w:pPr>
      <w:rPr>
        <w:rFonts w:hint="default"/>
        <w:lang w:val="en-US" w:eastAsia="zh-CN" w:bidi="ar-SA"/>
      </w:rPr>
    </w:lvl>
    <w:lvl w:ilvl="7" w:tentative="0">
      <w:start w:val="0"/>
      <w:numFmt w:val="bullet"/>
      <w:lvlText w:val="•"/>
      <w:lvlJc w:val="left"/>
      <w:pPr>
        <w:ind w:left="4786" w:hanging="584"/>
      </w:pPr>
      <w:rPr>
        <w:rFonts w:hint="default"/>
        <w:lang w:val="en-US" w:eastAsia="zh-CN" w:bidi="ar-SA"/>
      </w:rPr>
    </w:lvl>
    <w:lvl w:ilvl="8" w:tentative="0">
      <w:start w:val="0"/>
      <w:numFmt w:val="bullet"/>
      <w:lvlText w:val="•"/>
      <w:lvlJc w:val="left"/>
      <w:pPr>
        <w:ind w:left="5373" w:hanging="584"/>
      </w:pPr>
      <w:rPr>
        <w:rFonts w:hint="default"/>
        <w:lang w:val="en-US" w:eastAsia="zh-CN" w:bidi="ar-SA"/>
      </w:rPr>
    </w:lvl>
  </w:abstractNum>
  <w:abstractNum w:abstractNumId="20">
    <w:nsid w:val="0053208E"/>
    <w:multiLevelType w:val="multilevel"/>
    <w:tmpl w:val="0053208E"/>
    <w:lvl w:ilvl="0" w:tentative="0">
      <w:start w:val="0"/>
      <w:numFmt w:val="bullet"/>
      <w:lvlText w:val=""/>
      <w:lvlJc w:val="left"/>
      <w:pPr>
        <w:ind w:left="1058" w:hanging="420"/>
      </w:pPr>
      <w:rPr>
        <w:rFonts w:hint="default" w:ascii="Wingdings" w:hAnsi="Wingdings" w:eastAsia="Wingdings" w:cs="Wingdings"/>
        <w:b w:val="0"/>
        <w:bCs w:val="0"/>
        <w:i w:val="0"/>
        <w:iCs w:val="0"/>
        <w:w w:val="100"/>
        <w:sz w:val="21"/>
        <w:szCs w:val="21"/>
        <w:lang w:val="en-US" w:eastAsia="zh-CN" w:bidi="ar-SA"/>
      </w:rPr>
    </w:lvl>
    <w:lvl w:ilvl="1" w:tentative="0">
      <w:start w:val="0"/>
      <w:numFmt w:val="bullet"/>
      <w:lvlText w:val="•"/>
      <w:lvlJc w:val="left"/>
      <w:pPr>
        <w:ind w:left="1878" w:hanging="420"/>
      </w:pPr>
      <w:rPr>
        <w:rFonts w:hint="default"/>
        <w:lang w:val="en-US" w:eastAsia="zh-CN" w:bidi="ar-SA"/>
      </w:rPr>
    </w:lvl>
    <w:lvl w:ilvl="2" w:tentative="0">
      <w:start w:val="0"/>
      <w:numFmt w:val="bullet"/>
      <w:lvlText w:val="•"/>
      <w:lvlJc w:val="left"/>
      <w:pPr>
        <w:ind w:left="2697" w:hanging="420"/>
      </w:pPr>
      <w:rPr>
        <w:rFonts w:hint="default"/>
        <w:lang w:val="en-US" w:eastAsia="zh-CN" w:bidi="ar-SA"/>
      </w:rPr>
    </w:lvl>
    <w:lvl w:ilvl="3" w:tentative="0">
      <w:start w:val="0"/>
      <w:numFmt w:val="bullet"/>
      <w:lvlText w:val="•"/>
      <w:lvlJc w:val="left"/>
      <w:pPr>
        <w:ind w:left="3515" w:hanging="420"/>
      </w:pPr>
      <w:rPr>
        <w:rFonts w:hint="default"/>
        <w:lang w:val="en-US" w:eastAsia="zh-CN" w:bidi="ar-SA"/>
      </w:rPr>
    </w:lvl>
    <w:lvl w:ilvl="4" w:tentative="0">
      <w:start w:val="0"/>
      <w:numFmt w:val="bullet"/>
      <w:lvlText w:val="•"/>
      <w:lvlJc w:val="left"/>
      <w:pPr>
        <w:ind w:left="4334" w:hanging="420"/>
      </w:pPr>
      <w:rPr>
        <w:rFonts w:hint="default"/>
        <w:lang w:val="en-US" w:eastAsia="zh-CN" w:bidi="ar-SA"/>
      </w:rPr>
    </w:lvl>
    <w:lvl w:ilvl="5" w:tentative="0">
      <w:start w:val="0"/>
      <w:numFmt w:val="bullet"/>
      <w:lvlText w:val="•"/>
      <w:lvlJc w:val="left"/>
      <w:pPr>
        <w:ind w:left="5153" w:hanging="420"/>
      </w:pPr>
      <w:rPr>
        <w:rFonts w:hint="default"/>
        <w:lang w:val="en-US" w:eastAsia="zh-CN" w:bidi="ar-SA"/>
      </w:rPr>
    </w:lvl>
    <w:lvl w:ilvl="6" w:tentative="0">
      <w:start w:val="0"/>
      <w:numFmt w:val="bullet"/>
      <w:lvlText w:val="•"/>
      <w:lvlJc w:val="left"/>
      <w:pPr>
        <w:ind w:left="5971" w:hanging="420"/>
      </w:pPr>
      <w:rPr>
        <w:rFonts w:hint="default"/>
        <w:lang w:val="en-US" w:eastAsia="zh-CN" w:bidi="ar-SA"/>
      </w:rPr>
    </w:lvl>
    <w:lvl w:ilvl="7" w:tentative="0">
      <w:start w:val="0"/>
      <w:numFmt w:val="bullet"/>
      <w:lvlText w:val="•"/>
      <w:lvlJc w:val="left"/>
      <w:pPr>
        <w:ind w:left="6790" w:hanging="420"/>
      </w:pPr>
      <w:rPr>
        <w:rFonts w:hint="default"/>
        <w:lang w:val="en-US" w:eastAsia="zh-CN" w:bidi="ar-SA"/>
      </w:rPr>
    </w:lvl>
    <w:lvl w:ilvl="8" w:tentative="0">
      <w:start w:val="0"/>
      <w:numFmt w:val="bullet"/>
      <w:lvlText w:val="•"/>
      <w:lvlJc w:val="left"/>
      <w:pPr>
        <w:ind w:left="7609" w:hanging="420"/>
      </w:pPr>
      <w:rPr>
        <w:rFonts w:hint="default"/>
        <w:lang w:val="en-US" w:eastAsia="zh-CN" w:bidi="ar-SA"/>
      </w:rPr>
    </w:lvl>
  </w:abstractNum>
  <w:abstractNum w:abstractNumId="21">
    <w:nsid w:val="0248C179"/>
    <w:multiLevelType w:val="multilevel"/>
    <w:tmpl w:val="0248C179"/>
    <w:lvl w:ilvl="0" w:tentative="0">
      <w:start w:val="1"/>
      <w:numFmt w:val="decimal"/>
      <w:lvlText w:val="（%1）"/>
      <w:lvlJc w:val="left"/>
      <w:pPr>
        <w:ind w:left="801" w:hanging="584"/>
        <w:jc w:val="left"/>
      </w:pPr>
      <w:rPr>
        <w:rFonts w:hint="default" w:ascii="幼圆" w:hAnsi="幼圆" w:eastAsia="幼圆" w:cs="幼圆"/>
        <w:b w:val="0"/>
        <w:bCs w:val="0"/>
        <w:i w:val="0"/>
        <w:iCs w:val="0"/>
        <w:spacing w:val="-1"/>
        <w:w w:val="100"/>
        <w:sz w:val="21"/>
        <w:szCs w:val="21"/>
        <w:lang w:val="en-US" w:eastAsia="zh-CN" w:bidi="ar-SA"/>
      </w:rPr>
    </w:lvl>
    <w:lvl w:ilvl="1" w:tentative="0">
      <w:start w:val="0"/>
      <w:numFmt w:val="bullet"/>
      <w:lvlText w:val="•"/>
      <w:lvlJc w:val="left"/>
      <w:pPr>
        <w:ind w:left="1644" w:hanging="584"/>
      </w:pPr>
      <w:rPr>
        <w:rFonts w:hint="default"/>
        <w:lang w:val="en-US" w:eastAsia="zh-CN" w:bidi="ar-SA"/>
      </w:rPr>
    </w:lvl>
    <w:lvl w:ilvl="2" w:tentative="0">
      <w:start w:val="0"/>
      <w:numFmt w:val="bullet"/>
      <w:lvlText w:val="•"/>
      <w:lvlJc w:val="left"/>
      <w:pPr>
        <w:ind w:left="2489" w:hanging="584"/>
      </w:pPr>
      <w:rPr>
        <w:rFonts w:hint="default"/>
        <w:lang w:val="en-US" w:eastAsia="zh-CN" w:bidi="ar-SA"/>
      </w:rPr>
    </w:lvl>
    <w:lvl w:ilvl="3" w:tentative="0">
      <w:start w:val="0"/>
      <w:numFmt w:val="bullet"/>
      <w:lvlText w:val="•"/>
      <w:lvlJc w:val="left"/>
      <w:pPr>
        <w:ind w:left="3333" w:hanging="584"/>
      </w:pPr>
      <w:rPr>
        <w:rFonts w:hint="default"/>
        <w:lang w:val="en-US" w:eastAsia="zh-CN" w:bidi="ar-SA"/>
      </w:rPr>
    </w:lvl>
    <w:lvl w:ilvl="4" w:tentative="0">
      <w:start w:val="0"/>
      <w:numFmt w:val="bullet"/>
      <w:lvlText w:val="•"/>
      <w:lvlJc w:val="left"/>
      <w:pPr>
        <w:ind w:left="4178" w:hanging="584"/>
      </w:pPr>
      <w:rPr>
        <w:rFonts w:hint="default"/>
        <w:lang w:val="en-US" w:eastAsia="zh-CN" w:bidi="ar-SA"/>
      </w:rPr>
    </w:lvl>
    <w:lvl w:ilvl="5" w:tentative="0">
      <w:start w:val="0"/>
      <w:numFmt w:val="bullet"/>
      <w:lvlText w:val="•"/>
      <w:lvlJc w:val="left"/>
      <w:pPr>
        <w:ind w:left="5023" w:hanging="584"/>
      </w:pPr>
      <w:rPr>
        <w:rFonts w:hint="default"/>
        <w:lang w:val="en-US" w:eastAsia="zh-CN" w:bidi="ar-SA"/>
      </w:rPr>
    </w:lvl>
    <w:lvl w:ilvl="6" w:tentative="0">
      <w:start w:val="0"/>
      <w:numFmt w:val="bullet"/>
      <w:lvlText w:val="•"/>
      <w:lvlJc w:val="left"/>
      <w:pPr>
        <w:ind w:left="5867" w:hanging="584"/>
      </w:pPr>
      <w:rPr>
        <w:rFonts w:hint="default"/>
        <w:lang w:val="en-US" w:eastAsia="zh-CN" w:bidi="ar-SA"/>
      </w:rPr>
    </w:lvl>
    <w:lvl w:ilvl="7" w:tentative="0">
      <w:start w:val="0"/>
      <w:numFmt w:val="bullet"/>
      <w:lvlText w:val="•"/>
      <w:lvlJc w:val="left"/>
      <w:pPr>
        <w:ind w:left="6712" w:hanging="584"/>
      </w:pPr>
      <w:rPr>
        <w:rFonts w:hint="default"/>
        <w:lang w:val="en-US" w:eastAsia="zh-CN" w:bidi="ar-SA"/>
      </w:rPr>
    </w:lvl>
    <w:lvl w:ilvl="8" w:tentative="0">
      <w:start w:val="0"/>
      <w:numFmt w:val="bullet"/>
      <w:lvlText w:val="•"/>
      <w:lvlJc w:val="left"/>
      <w:pPr>
        <w:ind w:left="7557" w:hanging="584"/>
      </w:pPr>
      <w:rPr>
        <w:rFonts w:hint="default"/>
        <w:lang w:val="en-US" w:eastAsia="zh-CN" w:bidi="ar-SA"/>
      </w:rPr>
    </w:lvl>
  </w:abstractNum>
  <w:abstractNum w:abstractNumId="22">
    <w:nsid w:val="03D62ECE"/>
    <w:multiLevelType w:val="multilevel"/>
    <w:tmpl w:val="03D62ECE"/>
    <w:lvl w:ilvl="0" w:tentative="0">
      <w:start w:val="1"/>
      <w:numFmt w:val="decimal"/>
      <w:lvlText w:val="%1."/>
      <w:lvlJc w:val="left"/>
      <w:pPr>
        <w:ind w:left="578" w:hanging="360"/>
        <w:jc w:val="left"/>
      </w:pPr>
      <w:rPr>
        <w:rFonts w:hint="default"/>
        <w:w w:val="100"/>
        <w:lang w:val="en-US" w:eastAsia="zh-CN" w:bidi="ar-SA"/>
      </w:rPr>
    </w:lvl>
    <w:lvl w:ilvl="1" w:tentative="0">
      <w:start w:val="0"/>
      <w:numFmt w:val="bullet"/>
      <w:lvlText w:val="•"/>
      <w:lvlJc w:val="left"/>
      <w:pPr>
        <w:ind w:left="1446" w:hanging="360"/>
      </w:pPr>
      <w:rPr>
        <w:rFonts w:hint="default"/>
        <w:lang w:val="en-US" w:eastAsia="zh-CN" w:bidi="ar-SA"/>
      </w:rPr>
    </w:lvl>
    <w:lvl w:ilvl="2" w:tentative="0">
      <w:start w:val="0"/>
      <w:numFmt w:val="bullet"/>
      <w:lvlText w:val="•"/>
      <w:lvlJc w:val="left"/>
      <w:pPr>
        <w:ind w:left="2313" w:hanging="360"/>
      </w:pPr>
      <w:rPr>
        <w:rFonts w:hint="default"/>
        <w:lang w:val="en-US" w:eastAsia="zh-CN" w:bidi="ar-SA"/>
      </w:rPr>
    </w:lvl>
    <w:lvl w:ilvl="3" w:tentative="0">
      <w:start w:val="0"/>
      <w:numFmt w:val="bullet"/>
      <w:lvlText w:val="•"/>
      <w:lvlJc w:val="left"/>
      <w:pPr>
        <w:ind w:left="3179" w:hanging="360"/>
      </w:pPr>
      <w:rPr>
        <w:rFonts w:hint="default"/>
        <w:lang w:val="en-US" w:eastAsia="zh-CN" w:bidi="ar-SA"/>
      </w:rPr>
    </w:lvl>
    <w:lvl w:ilvl="4" w:tentative="0">
      <w:start w:val="0"/>
      <w:numFmt w:val="bullet"/>
      <w:lvlText w:val="•"/>
      <w:lvlJc w:val="left"/>
      <w:pPr>
        <w:ind w:left="4046" w:hanging="360"/>
      </w:pPr>
      <w:rPr>
        <w:rFonts w:hint="default"/>
        <w:lang w:val="en-US" w:eastAsia="zh-CN" w:bidi="ar-SA"/>
      </w:rPr>
    </w:lvl>
    <w:lvl w:ilvl="5" w:tentative="0">
      <w:start w:val="0"/>
      <w:numFmt w:val="bullet"/>
      <w:lvlText w:val="•"/>
      <w:lvlJc w:val="left"/>
      <w:pPr>
        <w:ind w:left="4913" w:hanging="360"/>
      </w:pPr>
      <w:rPr>
        <w:rFonts w:hint="default"/>
        <w:lang w:val="en-US" w:eastAsia="zh-CN" w:bidi="ar-SA"/>
      </w:rPr>
    </w:lvl>
    <w:lvl w:ilvl="6" w:tentative="0">
      <w:start w:val="0"/>
      <w:numFmt w:val="bullet"/>
      <w:lvlText w:val="•"/>
      <w:lvlJc w:val="left"/>
      <w:pPr>
        <w:ind w:left="5779" w:hanging="360"/>
      </w:pPr>
      <w:rPr>
        <w:rFonts w:hint="default"/>
        <w:lang w:val="en-US" w:eastAsia="zh-CN" w:bidi="ar-SA"/>
      </w:rPr>
    </w:lvl>
    <w:lvl w:ilvl="7" w:tentative="0">
      <w:start w:val="0"/>
      <w:numFmt w:val="bullet"/>
      <w:lvlText w:val="•"/>
      <w:lvlJc w:val="left"/>
      <w:pPr>
        <w:ind w:left="6646" w:hanging="360"/>
      </w:pPr>
      <w:rPr>
        <w:rFonts w:hint="default"/>
        <w:lang w:val="en-US" w:eastAsia="zh-CN" w:bidi="ar-SA"/>
      </w:rPr>
    </w:lvl>
    <w:lvl w:ilvl="8" w:tentative="0">
      <w:start w:val="0"/>
      <w:numFmt w:val="bullet"/>
      <w:lvlText w:val="•"/>
      <w:lvlJc w:val="left"/>
      <w:pPr>
        <w:ind w:left="7513" w:hanging="360"/>
      </w:pPr>
      <w:rPr>
        <w:rFonts w:hint="default"/>
        <w:lang w:val="en-US" w:eastAsia="zh-CN" w:bidi="ar-SA"/>
      </w:rPr>
    </w:lvl>
  </w:abstractNum>
  <w:abstractNum w:abstractNumId="23">
    <w:nsid w:val="0E640482"/>
    <w:multiLevelType w:val="multilevel"/>
    <w:tmpl w:val="0E640482"/>
    <w:lvl w:ilvl="0" w:tentative="0">
      <w:start w:val="1"/>
      <w:numFmt w:val="decimal"/>
      <w:lvlText w:val="（%1）"/>
      <w:lvlJc w:val="left"/>
      <w:pPr>
        <w:ind w:left="2813" w:hanging="584"/>
        <w:jc w:val="left"/>
      </w:pPr>
      <w:rPr>
        <w:rFonts w:hint="default" w:ascii="幼圆" w:hAnsi="幼圆" w:eastAsia="幼圆" w:cs="幼圆"/>
        <w:b w:val="0"/>
        <w:bCs w:val="0"/>
        <w:i w:val="0"/>
        <w:iCs w:val="0"/>
        <w:w w:val="100"/>
        <w:sz w:val="21"/>
        <w:szCs w:val="21"/>
        <w:lang w:val="en-US" w:eastAsia="zh-CN" w:bidi="ar-SA"/>
      </w:rPr>
    </w:lvl>
    <w:lvl w:ilvl="1" w:tentative="0">
      <w:start w:val="0"/>
      <w:numFmt w:val="bullet"/>
      <w:lvlText w:val="•"/>
      <w:lvlJc w:val="left"/>
      <w:pPr>
        <w:ind w:left="3462" w:hanging="584"/>
      </w:pPr>
      <w:rPr>
        <w:rFonts w:hint="default"/>
        <w:lang w:val="en-US" w:eastAsia="zh-CN" w:bidi="ar-SA"/>
      </w:rPr>
    </w:lvl>
    <w:lvl w:ilvl="2" w:tentative="0">
      <w:start w:val="0"/>
      <w:numFmt w:val="bullet"/>
      <w:lvlText w:val="•"/>
      <w:lvlJc w:val="left"/>
      <w:pPr>
        <w:ind w:left="4105" w:hanging="584"/>
      </w:pPr>
      <w:rPr>
        <w:rFonts w:hint="default"/>
        <w:lang w:val="en-US" w:eastAsia="zh-CN" w:bidi="ar-SA"/>
      </w:rPr>
    </w:lvl>
    <w:lvl w:ilvl="3" w:tentative="0">
      <w:start w:val="0"/>
      <w:numFmt w:val="bullet"/>
      <w:lvlText w:val="•"/>
      <w:lvlJc w:val="left"/>
      <w:pPr>
        <w:ind w:left="4747" w:hanging="584"/>
      </w:pPr>
      <w:rPr>
        <w:rFonts w:hint="default"/>
        <w:lang w:val="en-US" w:eastAsia="zh-CN" w:bidi="ar-SA"/>
      </w:rPr>
    </w:lvl>
    <w:lvl w:ilvl="4" w:tentative="0">
      <w:start w:val="0"/>
      <w:numFmt w:val="bullet"/>
      <w:lvlText w:val="•"/>
      <w:lvlJc w:val="left"/>
      <w:pPr>
        <w:ind w:left="5390" w:hanging="584"/>
      </w:pPr>
      <w:rPr>
        <w:rFonts w:hint="default"/>
        <w:lang w:val="en-US" w:eastAsia="zh-CN" w:bidi="ar-SA"/>
      </w:rPr>
    </w:lvl>
    <w:lvl w:ilvl="5" w:tentative="0">
      <w:start w:val="0"/>
      <w:numFmt w:val="bullet"/>
      <w:lvlText w:val="•"/>
      <w:lvlJc w:val="left"/>
      <w:pPr>
        <w:ind w:left="6033" w:hanging="584"/>
      </w:pPr>
      <w:rPr>
        <w:rFonts w:hint="default"/>
        <w:lang w:val="en-US" w:eastAsia="zh-CN" w:bidi="ar-SA"/>
      </w:rPr>
    </w:lvl>
    <w:lvl w:ilvl="6" w:tentative="0">
      <w:start w:val="0"/>
      <w:numFmt w:val="bullet"/>
      <w:lvlText w:val="•"/>
      <w:lvlJc w:val="left"/>
      <w:pPr>
        <w:ind w:left="6675" w:hanging="584"/>
      </w:pPr>
      <w:rPr>
        <w:rFonts w:hint="default"/>
        <w:lang w:val="en-US" w:eastAsia="zh-CN" w:bidi="ar-SA"/>
      </w:rPr>
    </w:lvl>
    <w:lvl w:ilvl="7" w:tentative="0">
      <w:start w:val="0"/>
      <w:numFmt w:val="bullet"/>
      <w:lvlText w:val="•"/>
      <w:lvlJc w:val="left"/>
      <w:pPr>
        <w:ind w:left="7318" w:hanging="584"/>
      </w:pPr>
      <w:rPr>
        <w:rFonts w:hint="default"/>
        <w:lang w:val="en-US" w:eastAsia="zh-CN" w:bidi="ar-SA"/>
      </w:rPr>
    </w:lvl>
    <w:lvl w:ilvl="8" w:tentative="0">
      <w:start w:val="0"/>
      <w:numFmt w:val="bullet"/>
      <w:lvlText w:val="•"/>
      <w:lvlJc w:val="left"/>
      <w:pPr>
        <w:ind w:left="7961" w:hanging="584"/>
      </w:pPr>
      <w:rPr>
        <w:rFonts w:hint="default"/>
        <w:lang w:val="en-US" w:eastAsia="zh-CN" w:bidi="ar-SA"/>
      </w:rPr>
    </w:lvl>
  </w:abstractNum>
  <w:abstractNum w:abstractNumId="24">
    <w:nsid w:val="1ACDE60F"/>
    <w:multiLevelType w:val="multilevel"/>
    <w:tmpl w:val="1ACDE60F"/>
    <w:lvl w:ilvl="0" w:tentative="0">
      <w:start w:val="1"/>
      <w:numFmt w:val="decimal"/>
      <w:lvlText w:val="（%1）"/>
      <w:lvlJc w:val="left"/>
      <w:pPr>
        <w:ind w:left="760" w:hanging="584"/>
        <w:jc w:val="left"/>
      </w:pPr>
      <w:rPr>
        <w:rFonts w:hint="default" w:ascii="幼圆" w:hAnsi="幼圆" w:eastAsia="幼圆" w:cs="幼圆"/>
        <w:b w:val="0"/>
        <w:bCs w:val="0"/>
        <w:i w:val="0"/>
        <w:iCs w:val="0"/>
        <w:w w:val="100"/>
        <w:sz w:val="21"/>
        <w:szCs w:val="21"/>
        <w:lang w:val="en-US" w:eastAsia="zh-CN" w:bidi="ar-SA"/>
      </w:rPr>
    </w:lvl>
    <w:lvl w:ilvl="1" w:tentative="0">
      <w:start w:val="0"/>
      <w:numFmt w:val="bullet"/>
      <w:lvlText w:val="•"/>
      <w:lvlJc w:val="left"/>
      <w:pPr>
        <w:ind w:left="1405" w:hanging="584"/>
      </w:pPr>
      <w:rPr>
        <w:rFonts w:hint="default"/>
        <w:lang w:val="en-US" w:eastAsia="zh-CN" w:bidi="ar-SA"/>
      </w:rPr>
    </w:lvl>
    <w:lvl w:ilvl="2" w:tentative="0">
      <w:start w:val="0"/>
      <w:numFmt w:val="bullet"/>
      <w:lvlText w:val="•"/>
      <w:lvlJc w:val="left"/>
      <w:pPr>
        <w:ind w:left="2050" w:hanging="584"/>
      </w:pPr>
      <w:rPr>
        <w:rFonts w:hint="default"/>
        <w:lang w:val="en-US" w:eastAsia="zh-CN" w:bidi="ar-SA"/>
      </w:rPr>
    </w:lvl>
    <w:lvl w:ilvl="3" w:tentative="0">
      <w:start w:val="0"/>
      <w:numFmt w:val="bullet"/>
      <w:lvlText w:val="•"/>
      <w:lvlJc w:val="left"/>
      <w:pPr>
        <w:ind w:left="2695" w:hanging="584"/>
      </w:pPr>
      <w:rPr>
        <w:rFonts w:hint="default"/>
        <w:lang w:val="en-US" w:eastAsia="zh-CN" w:bidi="ar-SA"/>
      </w:rPr>
    </w:lvl>
    <w:lvl w:ilvl="4" w:tentative="0">
      <w:start w:val="0"/>
      <w:numFmt w:val="bullet"/>
      <w:lvlText w:val="•"/>
      <w:lvlJc w:val="left"/>
      <w:pPr>
        <w:ind w:left="3340" w:hanging="584"/>
      </w:pPr>
      <w:rPr>
        <w:rFonts w:hint="default"/>
        <w:lang w:val="en-US" w:eastAsia="zh-CN" w:bidi="ar-SA"/>
      </w:rPr>
    </w:lvl>
    <w:lvl w:ilvl="5" w:tentative="0">
      <w:start w:val="0"/>
      <w:numFmt w:val="bullet"/>
      <w:lvlText w:val="•"/>
      <w:lvlJc w:val="left"/>
      <w:pPr>
        <w:ind w:left="3985" w:hanging="584"/>
      </w:pPr>
      <w:rPr>
        <w:rFonts w:hint="default"/>
        <w:lang w:val="en-US" w:eastAsia="zh-CN" w:bidi="ar-SA"/>
      </w:rPr>
    </w:lvl>
    <w:lvl w:ilvl="6" w:tentative="0">
      <w:start w:val="0"/>
      <w:numFmt w:val="bullet"/>
      <w:lvlText w:val="•"/>
      <w:lvlJc w:val="left"/>
      <w:pPr>
        <w:ind w:left="4630" w:hanging="584"/>
      </w:pPr>
      <w:rPr>
        <w:rFonts w:hint="default"/>
        <w:lang w:val="en-US" w:eastAsia="zh-CN" w:bidi="ar-SA"/>
      </w:rPr>
    </w:lvl>
    <w:lvl w:ilvl="7" w:tentative="0">
      <w:start w:val="0"/>
      <w:numFmt w:val="bullet"/>
      <w:lvlText w:val="•"/>
      <w:lvlJc w:val="left"/>
      <w:pPr>
        <w:ind w:left="5275" w:hanging="584"/>
      </w:pPr>
      <w:rPr>
        <w:rFonts w:hint="default"/>
        <w:lang w:val="en-US" w:eastAsia="zh-CN" w:bidi="ar-SA"/>
      </w:rPr>
    </w:lvl>
    <w:lvl w:ilvl="8" w:tentative="0">
      <w:start w:val="0"/>
      <w:numFmt w:val="bullet"/>
      <w:lvlText w:val="•"/>
      <w:lvlJc w:val="left"/>
      <w:pPr>
        <w:ind w:left="5920" w:hanging="584"/>
      </w:pPr>
      <w:rPr>
        <w:rFonts w:hint="default"/>
        <w:lang w:val="en-US" w:eastAsia="zh-CN" w:bidi="ar-SA"/>
      </w:rPr>
    </w:lvl>
  </w:abstractNum>
  <w:abstractNum w:abstractNumId="25">
    <w:nsid w:val="243FCF68"/>
    <w:multiLevelType w:val="multilevel"/>
    <w:tmpl w:val="243FCF68"/>
    <w:lvl w:ilvl="0" w:tentative="0">
      <w:start w:val="1"/>
      <w:numFmt w:val="decimal"/>
      <w:lvlText w:val="（%1）"/>
      <w:lvlJc w:val="left"/>
      <w:pPr>
        <w:ind w:left="689" w:hanging="584"/>
        <w:jc w:val="left"/>
      </w:pPr>
      <w:rPr>
        <w:rFonts w:hint="default" w:ascii="幼圆" w:hAnsi="幼圆" w:eastAsia="幼圆" w:cs="幼圆"/>
        <w:b w:val="0"/>
        <w:bCs w:val="0"/>
        <w:i w:val="0"/>
        <w:iCs w:val="0"/>
        <w:w w:val="100"/>
        <w:position w:val="1"/>
        <w:sz w:val="21"/>
        <w:szCs w:val="21"/>
        <w:lang w:val="en-US" w:eastAsia="zh-CN" w:bidi="ar-SA"/>
      </w:rPr>
    </w:lvl>
    <w:lvl w:ilvl="1" w:tentative="0">
      <w:start w:val="0"/>
      <w:numFmt w:val="bullet"/>
      <w:lvlText w:val="•"/>
      <w:lvlJc w:val="left"/>
      <w:pPr>
        <w:ind w:left="1266" w:hanging="584"/>
      </w:pPr>
      <w:rPr>
        <w:rFonts w:hint="default"/>
        <w:lang w:val="en-US" w:eastAsia="zh-CN" w:bidi="ar-SA"/>
      </w:rPr>
    </w:lvl>
    <w:lvl w:ilvl="2" w:tentative="0">
      <w:start w:val="0"/>
      <w:numFmt w:val="bullet"/>
      <w:lvlText w:val="•"/>
      <w:lvlJc w:val="left"/>
      <w:pPr>
        <w:ind w:left="1853" w:hanging="584"/>
      </w:pPr>
      <w:rPr>
        <w:rFonts w:hint="default"/>
        <w:lang w:val="en-US" w:eastAsia="zh-CN" w:bidi="ar-SA"/>
      </w:rPr>
    </w:lvl>
    <w:lvl w:ilvl="3" w:tentative="0">
      <w:start w:val="0"/>
      <w:numFmt w:val="bullet"/>
      <w:lvlText w:val="•"/>
      <w:lvlJc w:val="left"/>
      <w:pPr>
        <w:ind w:left="2440" w:hanging="584"/>
      </w:pPr>
      <w:rPr>
        <w:rFonts w:hint="default"/>
        <w:lang w:val="en-US" w:eastAsia="zh-CN" w:bidi="ar-SA"/>
      </w:rPr>
    </w:lvl>
    <w:lvl w:ilvl="4" w:tentative="0">
      <w:start w:val="0"/>
      <w:numFmt w:val="bullet"/>
      <w:lvlText w:val="•"/>
      <w:lvlJc w:val="left"/>
      <w:pPr>
        <w:ind w:left="3026" w:hanging="584"/>
      </w:pPr>
      <w:rPr>
        <w:rFonts w:hint="default"/>
        <w:lang w:val="en-US" w:eastAsia="zh-CN" w:bidi="ar-SA"/>
      </w:rPr>
    </w:lvl>
    <w:lvl w:ilvl="5" w:tentative="0">
      <w:start w:val="0"/>
      <w:numFmt w:val="bullet"/>
      <w:lvlText w:val="•"/>
      <w:lvlJc w:val="left"/>
      <w:pPr>
        <w:ind w:left="3613" w:hanging="584"/>
      </w:pPr>
      <w:rPr>
        <w:rFonts w:hint="default"/>
        <w:lang w:val="en-US" w:eastAsia="zh-CN" w:bidi="ar-SA"/>
      </w:rPr>
    </w:lvl>
    <w:lvl w:ilvl="6" w:tentative="0">
      <w:start w:val="0"/>
      <w:numFmt w:val="bullet"/>
      <w:lvlText w:val="•"/>
      <w:lvlJc w:val="left"/>
      <w:pPr>
        <w:ind w:left="4200" w:hanging="584"/>
      </w:pPr>
      <w:rPr>
        <w:rFonts w:hint="default"/>
        <w:lang w:val="en-US" w:eastAsia="zh-CN" w:bidi="ar-SA"/>
      </w:rPr>
    </w:lvl>
    <w:lvl w:ilvl="7" w:tentative="0">
      <w:start w:val="0"/>
      <w:numFmt w:val="bullet"/>
      <w:lvlText w:val="•"/>
      <w:lvlJc w:val="left"/>
      <w:pPr>
        <w:ind w:left="4786" w:hanging="584"/>
      </w:pPr>
      <w:rPr>
        <w:rFonts w:hint="default"/>
        <w:lang w:val="en-US" w:eastAsia="zh-CN" w:bidi="ar-SA"/>
      </w:rPr>
    </w:lvl>
    <w:lvl w:ilvl="8" w:tentative="0">
      <w:start w:val="0"/>
      <w:numFmt w:val="bullet"/>
      <w:lvlText w:val="•"/>
      <w:lvlJc w:val="left"/>
      <w:pPr>
        <w:ind w:left="5373" w:hanging="584"/>
      </w:pPr>
      <w:rPr>
        <w:rFonts w:hint="default"/>
        <w:lang w:val="en-US" w:eastAsia="zh-CN" w:bidi="ar-SA"/>
      </w:rPr>
    </w:lvl>
  </w:abstractNum>
  <w:abstractNum w:abstractNumId="26">
    <w:nsid w:val="2470EC97"/>
    <w:multiLevelType w:val="multilevel"/>
    <w:tmpl w:val="2470EC97"/>
    <w:lvl w:ilvl="0" w:tentative="0">
      <w:start w:val="1"/>
      <w:numFmt w:val="decimal"/>
      <w:lvlText w:val="（%1）"/>
      <w:lvlJc w:val="left"/>
      <w:pPr>
        <w:ind w:left="747" w:hanging="529"/>
        <w:jc w:val="left"/>
      </w:pPr>
      <w:rPr>
        <w:rFonts w:hint="default" w:ascii="幼圆" w:hAnsi="幼圆" w:eastAsia="幼圆" w:cs="幼圆"/>
        <w:b w:val="0"/>
        <w:bCs w:val="0"/>
        <w:i w:val="0"/>
        <w:iCs w:val="0"/>
        <w:spacing w:val="-3"/>
        <w:w w:val="100"/>
        <w:sz w:val="19"/>
        <w:szCs w:val="19"/>
        <w:lang w:val="en-US" w:eastAsia="zh-CN" w:bidi="ar-SA"/>
      </w:rPr>
    </w:lvl>
    <w:lvl w:ilvl="1" w:tentative="0">
      <w:start w:val="0"/>
      <w:numFmt w:val="bullet"/>
      <w:lvlText w:val="•"/>
      <w:lvlJc w:val="left"/>
      <w:pPr>
        <w:ind w:left="1590" w:hanging="529"/>
      </w:pPr>
      <w:rPr>
        <w:rFonts w:hint="default"/>
        <w:lang w:val="en-US" w:eastAsia="zh-CN" w:bidi="ar-SA"/>
      </w:rPr>
    </w:lvl>
    <w:lvl w:ilvl="2" w:tentative="0">
      <w:start w:val="0"/>
      <w:numFmt w:val="bullet"/>
      <w:lvlText w:val="•"/>
      <w:lvlJc w:val="left"/>
      <w:pPr>
        <w:ind w:left="2441" w:hanging="529"/>
      </w:pPr>
      <w:rPr>
        <w:rFonts w:hint="default"/>
        <w:lang w:val="en-US" w:eastAsia="zh-CN" w:bidi="ar-SA"/>
      </w:rPr>
    </w:lvl>
    <w:lvl w:ilvl="3" w:tentative="0">
      <w:start w:val="0"/>
      <w:numFmt w:val="bullet"/>
      <w:lvlText w:val="•"/>
      <w:lvlJc w:val="left"/>
      <w:pPr>
        <w:ind w:left="3291" w:hanging="529"/>
      </w:pPr>
      <w:rPr>
        <w:rFonts w:hint="default"/>
        <w:lang w:val="en-US" w:eastAsia="zh-CN" w:bidi="ar-SA"/>
      </w:rPr>
    </w:lvl>
    <w:lvl w:ilvl="4" w:tentative="0">
      <w:start w:val="0"/>
      <w:numFmt w:val="bullet"/>
      <w:lvlText w:val="•"/>
      <w:lvlJc w:val="left"/>
      <w:pPr>
        <w:ind w:left="4142" w:hanging="529"/>
      </w:pPr>
      <w:rPr>
        <w:rFonts w:hint="default"/>
        <w:lang w:val="en-US" w:eastAsia="zh-CN" w:bidi="ar-SA"/>
      </w:rPr>
    </w:lvl>
    <w:lvl w:ilvl="5" w:tentative="0">
      <w:start w:val="0"/>
      <w:numFmt w:val="bullet"/>
      <w:lvlText w:val="•"/>
      <w:lvlJc w:val="left"/>
      <w:pPr>
        <w:ind w:left="4993" w:hanging="529"/>
      </w:pPr>
      <w:rPr>
        <w:rFonts w:hint="default"/>
        <w:lang w:val="en-US" w:eastAsia="zh-CN" w:bidi="ar-SA"/>
      </w:rPr>
    </w:lvl>
    <w:lvl w:ilvl="6" w:tentative="0">
      <w:start w:val="0"/>
      <w:numFmt w:val="bullet"/>
      <w:lvlText w:val="•"/>
      <w:lvlJc w:val="left"/>
      <w:pPr>
        <w:ind w:left="5843" w:hanging="529"/>
      </w:pPr>
      <w:rPr>
        <w:rFonts w:hint="default"/>
        <w:lang w:val="en-US" w:eastAsia="zh-CN" w:bidi="ar-SA"/>
      </w:rPr>
    </w:lvl>
    <w:lvl w:ilvl="7" w:tentative="0">
      <w:start w:val="0"/>
      <w:numFmt w:val="bullet"/>
      <w:lvlText w:val="•"/>
      <w:lvlJc w:val="left"/>
      <w:pPr>
        <w:ind w:left="6694" w:hanging="529"/>
      </w:pPr>
      <w:rPr>
        <w:rFonts w:hint="default"/>
        <w:lang w:val="en-US" w:eastAsia="zh-CN" w:bidi="ar-SA"/>
      </w:rPr>
    </w:lvl>
    <w:lvl w:ilvl="8" w:tentative="0">
      <w:start w:val="0"/>
      <w:numFmt w:val="bullet"/>
      <w:lvlText w:val="•"/>
      <w:lvlJc w:val="left"/>
      <w:pPr>
        <w:ind w:left="7545" w:hanging="529"/>
      </w:pPr>
      <w:rPr>
        <w:rFonts w:hint="default"/>
        <w:lang w:val="en-US" w:eastAsia="zh-CN" w:bidi="ar-SA"/>
      </w:rPr>
    </w:lvl>
  </w:abstractNum>
  <w:abstractNum w:abstractNumId="27">
    <w:nsid w:val="25B654F3"/>
    <w:multiLevelType w:val="multilevel"/>
    <w:tmpl w:val="25B654F3"/>
    <w:lvl w:ilvl="0" w:tentative="0">
      <w:start w:val="1"/>
      <w:numFmt w:val="decimal"/>
      <w:lvlText w:val="%1."/>
      <w:lvlJc w:val="left"/>
      <w:pPr>
        <w:ind w:left="218" w:hanging="317"/>
        <w:jc w:val="left"/>
      </w:pPr>
      <w:rPr>
        <w:rFonts w:hint="default" w:ascii="幼圆" w:hAnsi="幼圆" w:eastAsia="幼圆" w:cs="幼圆"/>
        <w:b w:val="0"/>
        <w:bCs w:val="0"/>
        <w:i w:val="0"/>
        <w:iCs w:val="0"/>
        <w:w w:val="100"/>
        <w:sz w:val="21"/>
        <w:szCs w:val="21"/>
        <w:lang w:val="en-US" w:eastAsia="zh-CN" w:bidi="ar-SA"/>
      </w:rPr>
    </w:lvl>
    <w:lvl w:ilvl="1" w:tentative="0">
      <w:start w:val="0"/>
      <w:numFmt w:val="bullet"/>
      <w:lvlText w:val="•"/>
      <w:lvlJc w:val="left"/>
      <w:pPr>
        <w:ind w:left="1122" w:hanging="317"/>
      </w:pPr>
      <w:rPr>
        <w:rFonts w:hint="default"/>
        <w:lang w:val="en-US" w:eastAsia="zh-CN" w:bidi="ar-SA"/>
      </w:rPr>
    </w:lvl>
    <w:lvl w:ilvl="2" w:tentative="0">
      <w:start w:val="0"/>
      <w:numFmt w:val="bullet"/>
      <w:lvlText w:val="•"/>
      <w:lvlJc w:val="left"/>
      <w:pPr>
        <w:ind w:left="2025" w:hanging="317"/>
      </w:pPr>
      <w:rPr>
        <w:rFonts w:hint="default"/>
        <w:lang w:val="en-US" w:eastAsia="zh-CN" w:bidi="ar-SA"/>
      </w:rPr>
    </w:lvl>
    <w:lvl w:ilvl="3" w:tentative="0">
      <w:start w:val="0"/>
      <w:numFmt w:val="bullet"/>
      <w:lvlText w:val="•"/>
      <w:lvlJc w:val="left"/>
      <w:pPr>
        <w:ind w:left="2927" w:hanging="317"/>
      </w:pPr>
      <w:rPr>
        <w:rFonts w:hint="default"/>
        <w:lang w:val="en-US" w:eastAsia="zh-CN" w:bidi="ar-SA"/>
      </w:rPr>
    </w:lvl>
    <w:lvl w:ilvl="4" w:tentative="0">
      <w:start w:val="0"/>
      <w:numFmt w:val="bullet"/>
      <w:lvlText w:val="•"/>
      <w:lvlJc w:val="left"/>
      <w:pPr>
        <w:ind w:left="3830" w:hanging="317"/>
      </w:pPr>
      <w:rPr>
        <w:rFonts w:hint="default"/>
        <w:lang w:val="en-US" w:eastAsia="zh-CN" w:bidi="ar-SA"/>
      </w:rPr>
    </w:lvl>
    <w:lvl w:ilvl="5" w:tentative="0">
      <w:start w:val="0"/>
      <w:numFmt w:val="bullet"/>
      <w:lvlText w:val="•"/>
      <w:lvlJc w:val="left"/>
      <w:pPr>
        <w:ind w:left="4733" w:hanging="317"/>
      </w:pPr>
      <w:rPr>
        <w:rFonts w:hint="default"/>
        <w:lang w:val="en-US" w:eastAsia="zh-CN" w:bidi="ar-SA"/>
      </w:rPr>
    </w:lvl>
    <w:lvl w:ilvl="6" w:tentative="0">
      <w:start w:val="0"/>
      <w:numFmt w:val="bullet"/>
      <w:lvlText w:val="•"/>
      <w:lvlJc w:val="left"/>
      <w:pPr>
        <w:ind w:left="5635" w:hanging="317"/>
      </w:pPr>
      <w:rPr>
        <w:rFonts w:hint="default"/>
        <w:lang w:val="en-US" w:eastAsia="zh-CN" w:bidi="ar-SA"/>
      </w:rPr>
    </w:lvl>
    <w:lvl w:ilvl="7" w:tentative="0">
      <w:start w:val="0"/>
      <w:numFmt w:val="bullet"/>
      <w:lvlText w:val="•"/>
      <w:lvlJc w:val="left"/>
      <w:pPr>
        <w:ind w:left="6538" w:hanging="317"/>
      </w:pPr>
      <w:rPr>
        <w:rFonts w:hint="default"/>
        <w:lang w:val="en-US" w:eastAsia="zh-CN" w:bidi="ar-SA"/>
      </w:rPr>
    </w:lvl>
    <w:lvl w:ilvl="8" w:tentative="0">
      <w:start w:val="0"/>
      <w:numFmt w:val="bullet"/>
      <w:lvlText w:val="•"/>
      <w:lvlJc w:val="left"/>
      <w:pPr>
        <w:ind w:left="7441" w:hanging="317"/>
      </w:pPr>
      <w:rPr>
        <w:rFonts w:hint="default"/>
        <w:lang w:val="en-US" w:eastAsia="zh-CN" w:bidi="ar-SA"/>
      </w:rPr>
    </w:lvl>
  </w:abstractNum>
  <w:abstractNum w:abstractNumId="28">
    <w:nsid w:val="2A8F537B"/>
    <w:multiLevelType w:val="multilevel"/>
    <w:tmpl w:val="2A8F537B"/>
    <w:lvl w:ilvl="0" w:tentative="0">
      <w:start w:val="1"/>
      <w:numFmt w:val="decimal"/>
      <w:lvlText w:val="（%1）"/>
      <w:lvlJc w:val="left"/>
      <w:pPr>
        <w:ind w:left="747" w:hanging="529"/>
        <w:jc w:val="left"/>
      </w:pPr>
      <w:rPr>
        <w:rFonts w:hint="default" w:ascii="幼圆" w:hAnsi="幼圆" w:eastAsia="幼圆" w:cs="幼圆"/>
        <w:b w:val="0"/>
        <w:bCs w:val="0"/>
        <w:i w:val="0"/>
        <w:iCs w:val="0"/>
        <w:spacing w:val="-3"/>
        <w:w w:val="100"/>
        <w:sz w:val="19"/>
        <w:szCs w:val="19"/>
        <w:lang w:val="en-US" w:eastAsia="zh-CN" w:bidi="ar-SA"/>
      </w:rPr>
    </w:lvl>
    <w:lvl w:ilvl="1" w:tentative="0">
      <w:start w:val="0"/>
      <w:numFmt w:val="bullet"/>
      <w:lvlText w:val="•"/>
      <w:lvlJc w:val="left"/>
      <w:pPr>
        <w:ind w:left="1590" w:hanging="529"/>
      </w:pPr>
      <w:rPr>
        <w:rFonts w:hint="default"/>
        <w:lang w:val="en-US" w:eastAsia="zh-CN" w:bidi="ar-SA"/>
      </w:rPr>
    </w:lvl>
    <w:lvl w:ilvl="2" w:tentative="0">
      <w:start w:val="0"/>
      <w:numFmt w:val="bullet"/>
      <w:lvlText w:val="•"/>
      <w:lvlJc w:val="left"/>
      <w:pPr>
        <w:ind w:left="2441" w:hanging="529"/>
      </w:pPr>
      <w:rPr>
        <w:rFonts w:hint="default"/>
        <w:lang w:val="en-US" w:eastAsia="zh-CN" w:bidi="ar-SA"/>
      </w:rPr>
    </w:lvl>
    <w:lvl w:ilvl="3" w:tentative="0">
      <w:start w:val="0"/>
      <w:numFmt w:val="bullet"/>
      <w:lvlText w:val="•"/>
      <w:lvlJc w:val="left"/>
      <w:pPr>
        <w:ind w:left="3291" w:hanging="529"/>
      </w:pPr>
      <w:rPr>
        <w:rFonts w:hint="default"/>
        <w:lang w:val="en-US" w:eastAsia="zh-CN" w:bidi="ar-SA"/>
      </w:rPr>
    </w:lvl>
    <w:lvl w:ilvl="4" w:tentative="0">
      <w:start w:val="0"/>
      <w:numFmt w:val="bullet"/>
      <w:lvlText w:val="•"/>
      <w:lvlJc w:val="left"/>
      <w:pPr>
        <w:ind w:left="4142" w:hanging="529"/>
      </w:pPr>
      <w:rPr>
        <w:rFonts w:hint="default"/>
        <w:lang w:val="en-US" w:eastAsia="zh-CN" w:bidi="ar-SA"/>
      </w:rPr>
    </w:lvl>
    <w:lvl w:ilvl="5" w:tentative="0">
      <w:start w:val="0"/>
      <w:numFmt w:val="bullet"/>
      <w:lvlText w:val="•"/>
      <w:lvlJc w:val="left"/>
      <w:pPr>
        <w:ind w:left="4993" w:hanging="529"/>
      </w:pPr>
      <w:rPr>
        <w:rFonts w:hint="default"/>
        <w:lang w:val="en-US" w:eastAsia="zh-CN" w:bidi="ar-SA"/>
      </w:rPr>
    </w:lvl>
    <w:lvl w:ilvl="6" w:tentative="0">
      <w:start w:val="0"/>
      <w:numFmt w:val="bullet"/>
      <w:lvlText w:val="•"/>
      <w:lvlJc w:val="left"/>
      <w:pPr>
        <w:ind w:left="5843" w:hanging="529"/>
      </w:pPr>
      <w:rPr>
        <w:rFonts w:hint="default"/>
        <w:lang w:val="en-US" w:eastAsia="zh-CN" w:bidi="ar-SA"/>
      </w:rPr>
    </w:lvl>
    <w:lvl w:ilvl="7" w:tentative="0">
      <w:start w:val="0"/>
      <w:numFmt w:val="bullet"/>
      <w:lvlText w:val="•"/>
      <w:lvlJc w:val="left"/>
      <w:pPr>
        <w:ind w:left="6694" w:hanging="529"/>
      </w:pPr>
      <w:rPr>
        <w:rFonts w:hint="default"/>
        <w:lang w:val="en-US" w:eastAsia="zh-CN" w:bidi="ar-SA"/>
      </w:rPr>
    </w:lvl>
    <w:lvl w:ilvl="8" w:tentative="0">
      <w:start w:val="0"/>
      <w:numFmt w:val="bullet"/>
      <w:lvlText w:val="•"/>
      <w:lvlJc w:val="left"/>
      <w:pPr>
        <w:ind w:left="7545" w:hanging="529"/>
      </w:pPr>
      <w:rPr>
        <w:rFonts w:hint="default"/>
        <w:lang w:val="en-US" w:eastAsia="zh-CN" w:bidi="ar-SA"/>
      </w:rPr>
    </w:lvl>
  </w:abstractNum>
  <w:abstractNum w:abstractNumId="29">
    <w:nsid w:val="30FC5B15"/>
    <w:multiLevelType w:val="multilevel"/>
    <w:tmpl w:val="30FC5B15"/>
    <w:lvl w:ilvl="0" w:tentative="0">
      <w:start w:val="1"/>
      <w:numFmt w:val="decimal"/>
      <w:lvlText w:val="（%1）"/>
      <w:lvlJc w:val="left"/>
      <w:pPr>
        <w:ind w:left="760" w:hanging="567"/>
        <w:jc w:val="left"/>
      </w:pPr>
      <w:rPr>
        <w:rFonts w:hint="default" w:ascii="幼圆" w:hAnsi="幼圆" w:eastAsia="幼圆" w:cs="幼圆"/>
        <w:b w:val="0"/>
        <w:bCs w:val="0"/>
        <w:i w:val="0"/>
        <w:iCs w:val="0"/>
        <w:w w:val="100"/>
        <w:sz w:val="21"/>
        <w:szCs w:val="21"/>
        <w:lang w:val="en-US" w:eastAsia="zh-CN" w:bidi="ar-SA"/>
      </w:rPr>
    </w:lvl>
    <w:lvl w:ilvl="1" w:tentative="0">
      <w:start w:val="2"/>
      <w:numFmt w:val="decimal"/>
      <w:lvlText w:val="（%2）"/>
      <w:lvlJc w:val="left"/>
      <w:pPr>
        <w:ind w:left="2796" w:hanging="567"/>
        <w:jc w:val="left"/>
      </w:pPr>
      <w:rPr>
        <w:rFonts w:hint="default" w:ascii="幼圆" w:hAnsi="幼圆" w:eastAsia="幼圆" w:cs="幼圆"/>
        <w:b w:val="0"/>
        <w:bCs w:val="0"/>
        <w:i w:val="0"/>
        <w:iCs w:val="0"/>
        <w:w w:val="100"/>
        <w:sz w:val="21"/>
        <w:szCs w:val="21"/>
        <w:lang w:val="en-US" w:eastAsia="zh-CN" w:bidi="ar-SA"/>
      </w:rPr>
    </w:lvl>
    <w:lvl w:ilvl="2" w:tentative="0">
      <w:start w:val="0"/>
      <w:numFmt w:val="bullet"/>
      <w:lvlText w:val="•"/>
      <w:lvlJc w:val="left"/>
      <w:pPr>
        <w:ind w:left="3290" w:hanging="567"/>
      </w:pPr>
      <w:rPr>
        <w:rFonts w:hint="default"/>
        <w:lang w:val="en-US" w:eastAsia="zh-CN" w:bidi="ar-SA"/>
      </w:rPr>
    </w:lvl>
    <w:lvl w:ilvl="3" w:tentative="0">
      <w:start w:val="0"/>
      <w:numFmt w:val="bullet"/>
      <w:lvlText w:val="•"/>
      <w:lvlJc w:val="left"/>
      <w:pPr>
        <w:ind w:left="3780" w:hanging="567"/>
      </w:pPr>
      <w:rPr>
        <w:rFonts w:hint="default"/>
        <w:lang w:val="en-US" w:eastAsia="zh-CN" w:bidi="ar-SA"/>
      </w:rPr>
    </w:lvl>
    <w:lvl w:ilvl="4" w:tentative="0">
      <w:start w:val="0"/>
      <w:numFmt w:val="bullet"/>
      <w:lvlText w:val="•"/>
      <w:lvlJc w:val="left"/>
      <w:pPr>
        <w:ind w:left="4270" w:hanging="567"/>
      </w:pPr>
      <w:rPr>
        <w:rFonts w:hint="default"/>
        <w:lang w:val="en-US" w:eastAsia="zh-CN" w:bidi="ar-SA"/>
      </w:rPr>
    </w:lvl>
    <w:lvl w:ilvl="5" w:tentative="0">
      <w:start w:val="0"/>
      <w:numFmt w:val="bullet"/>
      <w:lvlText w:val="•"/>
      <w:lvlJc w:val="left"/>
      <w:pPr>
        <w:ind w:left="4760" w:hanging="567"/>
      </w:pPr>
      <w:rPr>
        <w:rFonts w:hint="default"/>
        <w:lang w:val="en-US" w:eastAsia="zh-CN" w:bidi="ar-SA"/>
      </w:rPr>
    </w:lvl>
    <w:lvl w:ilvl="6" w:tentative="0">
      <w:start w:val="0"/>
      <w:numFmt w:val="bullet"/>
      <w:lvlText w:val="•"/>
      <w:lvlJc w:val="left"/>
      <w:pPr>
        <w:ind w:left="5250" w:hanging="567"/>
      </w:pPr>
      <w:rPr>
        <w:rFonts w:hint="default"/>
        <w:lang w:val="en-US" w:eastAsia="zh-CN" w:bidi="ar-SA"/>
      </w:rPr>
    </w:lvl>
    <w:lvl w:ilvl="7" w:tentative="0">
      <w:start w:val="0"/>
      <w:numFmt w:val="bullet"/>
      <w:lvlText w:val="•"/>
      <w:lvlJc w:val="left"/>
      <w:pPr>
        <w:ind w:left="5740" w:hanging="567"/>
      </w:pPr>
      <w:rPr>
        <w:rFonts w:hint="default"/>
        <w:lang w:val="en-US" w:eastAsia="zh-CN" w:bidi="ar-SA"/>
      </w:rPr>
    </w:lvl>
    <w:lvl w:ilvl="8" w:tentative="0">
      <w:start w:val="0"/>
      <w:numFmt w:val="bullet"/>
      <w:lvlText w:val="•"/>
      <w:lvlJc w:val="left"/>
      <w:pPr>
        <w:ind w:left="6230" w:hanging="567"/>
      </w:pPr>
      <w:rPr>
        <w:rFonts w:hint="default"/>
        <w:lang w:val="en-US" w:eastAsia="zh-CN" w:bidi="ar-SA"/>
      </w:rPr>
    </w:lvl>
  </w:abstractNum>
  <w:abstractNum w:abstractNumId="30">
    <w:nsid w:val="39A0D9AC"/>
    <w:multiLevelType w:val="multilevel"/>
    <w:tmpl w:val="39A0D9AC"/>
    <w:lvl w:ilvl="0" w:tentative="0">
      <w:start w:val="1"/>
      <w:numFmt w:val="decimal"/>
      <w:lvlText w:val="（%1）"/>
      <w:lvlJc w:val="left"/>
      <w:pPr>
        <w:ind w:left="777" w:hanging="584"/>
        <w:jc w:val="left"/>
      </w:pPr>
      <w:rPr>
        <w:rFonts w:hint="default" w:ascii="幼圆" w:hAnsi="幼圆" w:eastAsia="幼圆" w:cs="幼圆"/>
        <w:b w:val="0"/>
        <w:bCs w:val="0"/>
        <w:i w:val="0"/>
        <w:iCs w:val="0"/>
        <w:w w:val="100"/>
        <w:sz w:val="21"/>
        <w:szCs w:val="21"/>
        <w:lang w:val="en-US" w:eastAsia="zh-CN" w:bidi="ar-SA"/>
      </w:rPr>
    </w:lvl>
    <w:lvl w:ilvl="1" w:tentative="0">
      <w:start w:val="0"/>
      <w:numFmt w:val="bullet"/>
      <w:lvlText w:val="•"/>
      <w:lvlJc w:val="left"/>
      <w:pPr>
        <w:ind w:left="2800" w:hanging="584"/>
      </w:pPr>
      <w:rPr>
        <w:rFonts w:hint="default"/>
        <w:lang w:val="en-US" w:eastAsia="zh-CN" w:bidi="ar-SA"/>
      </w:rPr>
    </w:lvl>
    <w:lvl w:ilvl="2" w:tentative="0">
      <w:start w:val="0"/>
      <w:numFmt w:val="bullet"/>
      <w:lvlText w:val="•"/>
      <w:lvlJc w:val="left"/>
      <w:pPr>
        <w:ind w:left="3290" w:hanging="584"/>
      </w:pPr>
      <w:rPr>
        <w:rFonts w:hint="default"/>
        <w:lang w:val="en-US" w:eastAsia="zh-CN" w:bidi="ar-SA"/>
      </w:rPr>
    </w:lvl>
    <w:lvl w:ilvl="3" w:tentative="0">
      <w:start w:val="0"/>
      <w:numFmt w:val="bullet"/>
      <w:lvlText w:val="•"/>
      <w:lvlJc w:val="left"/>
      <w:pPr>
        <w:ind w:left="3780" w:hanging="584"/>
      </w:pPr>
      <w:rPr>
        <w:rFonts w:hint="default"/>
        <w:lang w:val="en-US" w:eastAsia="zh-CN" w:bidi="ar-SA"/>
      </w:rPr>
    </w:lvl>
    <w:lvl w:ilvl="4" w:tentative="0">
      <w:start w:val="0"/>
      <w:numFmt w:val="bullet"/>
      <w:lvlText w:val="•"/>
      <w:lvlJc w:val="left"/>
      <w:pPr>
        <w:ind w:left="4270" w:hanging="584"/>
      </w:pPr>
      <w:rPr>
        <w:rFonts w:hint="default"/>
        <w:lang w:val="en-US" w:eastAsia="zh-CN" w:bidi="ar-SA"/>
      </w:rPr>
    </w:lvl>
    <w:lvl w:ilvl="5" w:tentative="0">
      <w:start w:val="0"/>
      <w:numFmt w:val="bullet"/>
      <w:lvlText w:val="•"/>
      <w:lvlJc w:val="left"/>
      <w:pPr>
        <w:ind w:left="4760" w:hanging="584"/>
      </w:pPr>
      <w:rPr>
        <w:rFonts w:hint="default"/>
        <w:lang w:val="en-US" w:eastAsia="zh-CN" w:bidi="ar-SA"/>
      </w:rPr>
    </w:lvl>
    <w:lvl w:ilvl="6" w:tentative="0">
      <w:start w:val="0"/>
      <w:numFmt w:val="bullet"/>
      <w:lvlText w:val="•"/>
      <w:lvlJc w:val="left"/>
      <w:pPr>
        <w:ind w:left="5250" w:hanging="584"/>
      </w:pPr>
      <w:rPr>
        <w:rFonts w:hint="default"/>
        <w:lang w:val="en-US" w:eastAsia="zh-CN" w:bidi="ar-SA"/>
      </w:rPr>
    </w:lvl>
    <w:lvl w:ilvl="7" w:tentative="0">
      <w:start w:val="0"/>
      <w:numFmt w:val="bullet"/>
      <w:lvlText w:val="•"/>
      <w:lvlJc w:val="left"/>
      <w:pPr>
        <w:ind w:left="5740" w:hanging="584"/>
      </w:pPr>
      <w:rPr>
        <w:rFonts w:hint="default"/>
        <w:lang w:val="en-US" w:eastAsia="zh-CN" w:bidi="ar-SA"/>
      </w:rPr>
    </w:lvl>
    <w:lvl w:ilvl="8" w:tentative="0">
      <w:start w:val="0"/>
      <w:numFmt w:val="bullet"/>
      <w:lvlText w:val="•"/>
      <w:lvlJc w:val="left"/>
      <w:pPr>
        <w:ind w:left="6230" w:hanging="584"/>
      </w:pPr>
      <w:rPr>
        <w:rFonts w:hint="default"/>
        <w:lang w:val="en-US" w:eastAsia="zh-CN" w:bidi="ar-SA"/>
      </w:rPr>
    </w:lvl>
  </w:abstractNum>
  <w:abstractNum w:abstractNumId="31">
    <w:nsid w:val="46A08BB8"/>
    <w:multiLevelType w:val="multilevel"/>
    <w:tmpl w:val="46A08BB8"/>
    <w:lvl w:ilvl="0" w:tentative="0">
      <w:start w:val="1"/>
      <w:numFmt w:val="decimal"/>
      <w:lvlText w:val="（%1）"/>
      <w:lvlJc w:val="left"/>
      <w:pPr>
        <w:ind w:left="777" w:hanging="584"/>
        <w:jc w:val="left"/>
      </w:pPr>
      <w:rPr>
        <w:rFonts w:hint="default" w:ascii="幼圆" w:hAnsi="幼圆" w:eastAsia="幼圆" w:cs="幼圆"/>
        <w:b w:val="0"/>
        <w:bCs w:val="0"/>
        <w:i w:val="0"/>
        <w:iCs w:val="0"/>
        <w:w w:val="100"/>
        <w:sz w:val="21"/>
        <w:szCs w:val="21"/>
        <w:lang w:val="en-US" w:eastAsia="zh-CN" w:bidi="ar-SA"/>
      </w:rPr>
    </w:lvl>
    <w:lvl w:ilvl="1" w:tentative="0">
      <w:start w:val="0"/>
      <w:numFmt w:val="bullet"/>
      <w:lvlText w:val="•"/>
      <w:lvlJc w:val="left"/>
      <w:pPr>
        <w:ind w:left="1423" w:hanging="584"/>
      </w:pPr>
      <w:rPr>
        <w:rFonts w:hint="default"/>
        <w:lang w:val="en-US" w:eastAsia="zh-CN" w:bidi="ar-SA"/>
      </w:rPr>
    </w:lvl>
    <w:lvl w:ilvl="2" w:tentative="0">
      <w:start w:val="0"/>
      <w:numFmt w:val="bullet"/>
      <w:lvlText w:val="•"/>
      <w:lvlJc w:val="left"/>
      <w:pPr>
        <w:ind w:left="2066" w:hanging="584"/>
      </w:pPr>
      <w:rPr>
        <w:rFonts w:hint="default"/>
        <w:lang w:val="en-US" w:eastAsia="zh-CN" w:bidi="ar-SA"/>
      </w:rPr>
    </w:lvl>
    <w:lvl w:ilvl="3" w:tentative="0">
      <w:start w:val="0"/>
      <w:numFmt w:val="bullet"/>
      <w:lvlText w:val="•"/>
      <w:lvlJc w:val="left"/>
      <w:pPr>
        <w:ind w:left="2709" w:hanging="584"/>
      </w:pPr>
      <w:rPr>
        <w:rFonts w:hint="default"/>
        <w:lang w:val="en-US" w:eastAsia="zh-CN" w:bidi="ar-SA"/>
      </w:rPr>
    </w:lvl>
    <w:lvl w:ilvl="4" w:tentative="0">
      <w:start w:val="0"/>
      <w:numFmt w:val="bullet"/>
      <w:lvlText w:val="•"/>
      <w:lvlJc w:val="left"/>
      <w:pPr>
        <w:ind w:left="3352" w:hanging="584"/>
      </w:pPr>
      <w:rPr>
        <w:rFonts w:hint="default"/>
        <w:lang w:val="en-US" w:eastAsia="zh-CN" w:bidi="ar-SA"/>
      </w:rPr>
    </w:lvl>
    <w:lvl w:ilvl="5" w:tentative="0">
      <w:start w:val="0"/>
      <w:numFmt w:val="bullet"/>
      <w:lvlText w:val="•"/>
      <w:lvlJc w:val="left"/>
      <w:pPr>
        <w:ind w:left="3995" w:hanging="584"/>
      </w:pPr>
      <w:rPr>
        <w:rFonts w:hint="default"/>
        <w:lang w:val="en-US" w:eastAsia="zh-CN" w:bidi="ar-SA"/>
      </w:rPr>
    </w:lvl>
    <w:lvl w:ilvl="6" w:tentative="0">
      <w:start w:val="0"/>
      <w:numFmt w:val="bullet"/>
      <w:lvlText w:val="•"/>
      <w:lvlJc w:val="left"/>
      <w:pPr>
        <w:ind w:left="4638" w:hanging="584"/>
      </w:pPr>
      <w:rPr>
        <w:rFonts w:hint="default"/>
        <w:lang w:val="en-US" w:eastAsia="zh-CN" w:bidi="ar-SA"/>
      </w:rPr>
    </w:lvl>
    <w:lvl w:ilvl="7" w:tentative="0">
      <w:start w:val="0"/>
      <w:numFmt w:val="bullet"/>
      <w:lvlText w:val="•"/>
      <w:lvlJc w:val="left"/>
      <w:pPr>
        <w:ind w:left="5281" w:hanging="584"/>
      </w:pPr>
      <w:rPr>
        <w:rFonts w:hint="default"/>
        <w:lang w:val="en-US" w:eastAsia="zh-CN" w:bidi="ar-SA"/>
      </w:rPr>
    </w:lvl>
    <w:lvl w:ilvl="8" w:tentative="0">
      <w:start w:val="0"/>
      <w:numFmt w:val="bullet"/>
      <w:lvlText w:val="•"/>
      <w:lvlJc w:val="left"/>
      <w:pPr>
        <w:ind w:left="5924" w:hanging="584"/>
      </w:pPr>
      <w:rPr>
        <w:rFonts w:hint="default"/>
        <w:lang w:val="en-US" w:eastAsia="zh-CN" w:bidi="ar-SA"/>
      </w:rPr>
    </w:lvl>
  </w:abstractNum>
  <w:abstractNum w:abstractNumId="32">
    <w:nsid w:val="4C1BAE26"/>
    <w:multiLevelType w:val="multilevel"/>
    <w:tmpl w:val="4C1BAE26"/>
    <w:lvl w:ilvl="0" w:tentative="0">
      <w:start w:val="1"/>
      <w:numFmt w:val="decimal"/>
      <w:lvlText w:val="（%1）"/>
      <w:lvlJc w:val="left"/>
      <w:pPr>
        <w:ind w:left="777" w:hanging="584"/>
        <w:jc w:val="left"/>
      </w:pPr>
      <w:rPr>
        <w:rFonts w:hint="default" w:ascii="幼圆" w:hAnsi="幼圆" w:eastAsia="幼圆" w:cs="幼圆"/>
        <w:b w:val="0"/>
        <w:bCs w:val="0"/>
        <w:i w:val="0"/>
        <w:iCs w:val="0"/>
        <w:w w:val="100"/>
        <w:sz w:val="21"/>
        <w:szCs w:val="21"/>
        <w:lang w:val="en-US" w:eastAsia="zh-CN" w:bidi="ar-SA"/>
      </w:rPr>
    </w:lvl>
    <w:lvl w:ilvl="1" w:tentative="0">
      <w:start w:val="0"/>
      <w:numFmt w:val="bullet"/>
      <w:lvlText w:val="•"/>
      <w:lvlJc w:val="left"/>
      <w:pPr>
        <w:ind w:left="1423" w:hanging="584"/>
      </w:pPr>
      <w:rPr>
        <w:rFonts w:hint="default"/>
        <w:lang w:val="en-US" w:eastAsia="zh-CN" w:bidi="ar-SA"/>
      </w:rPr>
    </w:lvl>
    <w:lvl w:ilvl="2" w:tentative="0">
      <w:start w:val="0"/>
      <w:numFmt w:val="bullet"/>
      <w:lvlText w:val="•"/>
      <w:lvlJc w:val="left"/>
      <w:pPr>
        <w:ind w:left="2066" w:hanging="584"/>
      </w:pPr>
      <w:rPr>
        <w:rFonts w:hint="default"/>
        <w:lang w:val="en-US" w:eastAsia="zh-CN" w:bidi="ar-SA"/>
      </w:rPr>
    </w:lvl>
    <w:lvl w:ilvl="3" w:tentative="0">
      <w:start w:val="0"/>
      <w:numFmt w:val="bullet"/>
      <w:lvlText w:val="•"/>
      <w:lvlJc w:val="left"/>
      <w:pPr>
        <w:ind w:left="2709" w:hanging="584"/>
      </w:pPr>
      <w:rPr>
        <w:rFonts w:hint="default"/>
        <w:lang w:val="en-US" w:eastAsia="zh-CN" w:bidi="ar-SA"/>
      </w:rPr>
    </w:lvl>
    <w:lvl w:ilvl="4" w:tentative="0">
      <w:start w:val="0"/>
      <w:numFmt w:val="bullet"/>
      <w:lvlText w:val="•"/>
      <w:lvlJc w:val="left"/>
      <w:pPr>
        <w:ind w:left="3352" w:hanging="584"/>
      </w:pPr>
      <w:rPr>
        <w:rFonts w:hint="default"/>
        <w:lang w:val="en-US" w:eastAsia="zh-CN" w:bidi="ar-SA"/>
      </w:rPr>
    </w:lvl>
    <w:lvl w:ilvl="5" w:tentative="0">
      <w:start w:val="0"/>
      <w:numFmt w:val="bullet"/>
      <w:lvlText w:val="•"/>
      <w:lvlJc w:val="left"/>
      <w:pPr>
        <w:ind w:left="3995" w:hanging="584"/>
      </w:pPr>
      <w:rPr>
        <w:rFonts w:hint="default"/>
        <w:lang w:val="en-US" w:eastAsia="zh-CN" w:bidi="ar-SA"/>
      </w:rPr>
    </w:lvl>
    <w:lvl w:ilvl="6" w:tentative="0">
      <w:start w:val="0"/>
      <w:numFmt w:val="bullet"/>
      <w:lvlText w:val="•"/>
      <w:lvlJc w:val="left"/>
      <w:pPr>
        <w:ind w:left="4638" w:hanging="584"/>
      </w:pPr>
      <w:rPr>
        <w:rFonts w:hint="default"/>
        <w:lang w:val="en-US" w:eastAsia="zh-CN" w:bidi="ar-SA"/>
      </w:rPr>
    </w:lvl>
    <w:lvl w:ilvl="7" w:tentative="0">
      <w:start w:val="0"/>
      <w:numFmt w:val="bullet"/>
      <w:lvlText w:val="•"/>
      <w:lvlJc w:val="left"/>
      <w:pPr>
        <w:ind w:left="5281" w:hanging="584"/>
      </w:pPr>
      <w:rPr>
        <w:rFonts w:hint="default"/>
        <w:lang w:val="en-US" w:eastAsia="zh-CN" w:bidi="ar-SA"/>
      </w:rPr>
    </w:lvl>
    <w:lvl w:ilvl="8" w:tentative="0">
      <w:start w:val="0"/>
      <w:numFmt w:val="bullet"/>
      <w:lvlText w:val="•"/>
      <w:lvlJc w:val="left"/>
      <w:pPr>
        <w:ind w:left="5924" w:hanging="584"/>
      </w:pPr>
      <w:rPr>
        <w:rFonts w:hint="default"/>
        <w:lang w:val="en-US" w:eastAsia="zh-CN" w:bidi="ar-SA"/>
      </w:rPr>
    </w:lvl>
  </w:abstractNum>
  <w:abstractNum w:abstractNumId="33">
    <w:nsid w:val="4D4DC07F"/>
    <w:multiLevelType w:val="multilevel"/>
    <w:tmpl w:val="4D4DC07F"/>
    <w:lvl w:ilvl="0" w:tentative="0">
      <w:start w:val="1"/>
      <w:numFmt w:val="decimal"/>
      <w:lvlText w:val="（%1）"/>
      <w:lvlJc w:val="left"/>
      <w:pPr>
        <w:ind w:left="747" w:hanging="529"/>
        <w:jc w:val="left"/>
      </w:pPr>
      <w:rPr>
        <w:rFonts w:hint="default" w:ascii="幼圆" w:hAnsi="幼圆" w:eastAsia="幼圆" w:cs="幼圆"/>
        <w:b w:val="0"/>
        <w:bCs w:val="0"/>
        <w:i w:val="0"/>
        <w:iCs w:val="0"/>
        <w:spacing w:val="-3"/>
        <w:w w:val="100"/>
        <w:sz w:val="19"/>
        <w:szCs w:val="19"/>
        <w:lang w:val="en-US" w:eastAsia="zh-CN" w:bidi="ar-SA"/>
      </w:rPr>
    </w:lvl>
    <w:lvl w:ilvl="1" w:tentative="0">
      <w:start w:val="0"/>
      <w:numFmt w:val="bullet"/>
      <w:lvlText w:val="•"/>
      <w:lvlJc w:val="left"/>
      <w:pPr>
        <w:ind w:left="1590" w:hanging="529"/>
      </w:pPr>
      <w:rPr>
        <w:rFonts w:hint="default"/>
        <w:lang w:val="en-US" w:eastAsia="zh-CN" w:bidi="ar-SA"/>
      </w:rPr>
    </w:lvl>
    <w:lvl w:ilvl="2" w:tentative="0">
      <w:start w:val="0"/>
      <w:numFmt w:val="bullet"/>
      <w:lvlText w:val="•"/>
      <w:lvlJc w:val="left"/>
      <w:pPr>
        <w:ind w:left="2441" w:hanging="529"/>
      </w:pPr>
      <w:rPr>
        <w:rFonts w:hint="default"/>
        <w:lang w:val="en-US" w:eastAsia="zh-CN" w:bidi="ar-SA"/>
      </w:rPr>
    </w:lvl>
    <w:lvl w:ilvl="3" w:tentative="0">
      <w:start w:val="0"/>
      <w:numFmt w:val="bullet"/>
      <w:lvlText w:val="•"/>
      <w:lvlJc w:val="left"/>
      <w:pPr>
        <w:ind w:left="3291" w:hanging="529"/>
      </w:pPr>
      <w:rPr>
        <w:rFonts w:hint="default"/>
        <w:lang w:val="en-US" w:eastAsia="zh-CN" w:bidi="ar-SA"/>
      </w:rPr>
    </w:lvl>
    <w:lvl w:ilvl="4" w:tentative="0">
      <w:start w:val="0"/>
      <w:numFmt w:val="bullet"/>
      <w:lvlText w:val="•"/>
      <w:lvlJc w:val="left"/>
      <w:pPr>
        <w:ind w:left="4142" w:hanging="529"/>
      </w:pPr>
      <w:rPr>
        <w:rFonts w:hint="default"/>
        <w:lang w:val="en-US" w:eastAsia="zh-CN" w:bidi="ar-SA"/>
      </w:rPr>
    </w:lvl>
    <w:lvl w:ilvl="5" w:tentative="0">
      <w:start w:val="0"/>
      <w:numFmt w:val="bullet"/>
      <w:lvlText w:val="•"/>
      <w:lvlJc w:val="left"/>
      <w:pPr>
        <w:ind w:left="4993" w:hanging="529"/>
      </w:pPr>
      <w:rPr>
        <w:rFonts w:hint="default"/>
        <w:lang w:val="en-US" w:eastAsia="zh-CN" w:bidi="ar-SA"/>
      </w:rPr>
    </w:lvl>
    <w:lvl w:ilvl="6" w:tentative="0">
      <w:start w:val="0"/>
      <w:numFmt w:val="bullet"/>
      <w:lvlText w:val="•"/>
      <w:lvlJc w:val="left"/>
      <w:pPr>
        <w:ind w:left="5843" w:hanging="529"/>
      </w:pPr>
      <w:rPr>
        <w:rFonts w:hint="default"/>
        <w:lang w:val="en-US" w:eastAsia="zh-CN" w:bidi="ar-SA"/>
      </w:rPr>
    </w:lvl>
    <w:lvl w:ilvl="7" w:tentative="0">
      <w:start w:val="0"/>
      <w:numFmt w:val="bullet"/>
      <w:lvlText w:val="•"/>
      <w:lvlJc w:val="left"/>
      <w:pPr>
        <w:ind w:left="6694" w:hanging="529"/>
      </w:pPr>
      <w:rPr>
        <w:rFonts w:hint="default"/>
        <w:lang w:val="en-US" w:eastAsia="zh-CN" w:bidi="ar-SA"/>
      </w:rPr>
    </w:lvl>
    <w:lvl w:ilvl="8" w:tentative="0">
      <w:start w:val="0"/>
      <w:numFmt w:val="bullet"/>
      <w:lvlText w:val="•"/>
      <w:lvlJc w:val="left"/>
      <w:pPr>
        <w:ind w:left="7545" w:hanging="529"/>
      </w:pPr>
      <w:rPr>
        <w:rFonts w:hint="default"/>
        <w:lang w:val="en-US" w:eastAsia="zh-CN" w:bidi="ar-SA"/>
      </w:rPr>
    </w:lvl>
  </w:abstractNum>
  <w:abstractNum w:abstractNumId="34">
    <w:nsid w:val="4D94DA66"/>
    <w:multiLevelType w:val="multilevel"/>
    <w:tmpl w:val="4D94DA66"/>
    <w:lvl w:ilvl="0" w:tentative="0">
      <w:start w:val="1"/>
      <w:numFmt w:val="decimal"/>
      <w:lvlText w:val="（%1）"/>
      <w:lvlJc w:val="left"/>
      <w:pPr>
        <w:ind w:left="689" w:hanging="584"/>
        <w:jc w:val="left"/>
      </w:pPr>
      <w:rPr>
        <w:rFonts w:hint="default" w:ascii="幼圆" w:hAnsi="幼圆" w:eastAsia="幼圆" w:cs="幼圆"/>
        <w:b w:val="0"/>
        <w:bCs w:val="0"/>
        <w:i w:val="0"/>
        <w:iCs w:val="0"/>
        <w:w w:val="100"/>
        <w:sz w:val="21"/>
        <w:szCs w:val="21"/>
        <w:lang w:val="en-US" w:eastAsia="zh-CN" w:bidi="ar-SA"/>
      </w:rPr>
    </w:lvl>
    <w:lvl w:ilvl="1" w:tentative="0">
      <w:start w:val="0"/>
      <w:numFmt w:val="bullet"/>
      <w:lvlText w:val="•"/>
      <w:lvlJc w:val="left"/>
      <w:pPr>
        <w:ind w:left="1266" w:hanging="584"/>
      </w:pPr>
      <w:rPr>
        <w:rFonts w:hint="default"/>
        <w:lang w:val="en-US" w:eastAsia="zh-CN" w:bidi="ar-SA"/>
      </w:rPr>
    </w:lvl>
    <w:lvl w:ilvl="2" w:tentative="0">
      <w:start w:val="0"/>
      <w:numFmt w:val="bullet"/>
      <w:lvlText w:val="•"/>
      <w:lvlJc w:val="left"/>
      <w:pPr>
        <w:ind w:left="1853" w:hanging="584"/>
      </w:pPr>
      <w:rPr>
        <w:rFonts w:hint="default"/>
        <w:lang w:val="en-US" w:eastAsia="zh-CN" w:bidi="ar-SA"/>
      </w:rPr>
    </w:lvl>
    <w:lvl w:ilvl="3" w:tentative="0">
      <w:start w:val="0"/>
      <w:numFmt w:val="bullet"/>
      <w:lvlText w:val="•"/>
      <w:lvlJc w:val="left"/>
      <w:pPr>
        <w:ind w:left="2440" w:hanging="584"/>
      </w:pPr>
      <w:rPr>
        <w:rFonts w:hint="default"/>
        <w:lang w:val="en-US" w:eastAsia="zh-CN" w:bidi="ar-SA"/>
      </w:rPr>
    </w:lvl>
    <w:lvl w:ilvl="4" w:tentative="0">
      <w:start w:val="0"/>
      <w:numFmt w:val="bullet"/>
      <w:lvlText w:val="•"/>
      <w:lvlJc w:val="left"/>
      <w:pPr>
        <w:ind w:left="3026" w:hanging="584"/>
      </w:pPr>
      <w:rPr>
        <w:rFonts w:hint="default"/>
        <w:lang w:val="en-US" w:eastAsia="zh-CN" w:bidi="ar-SA"/>
      </w:rPr>
    </w:lvl>
    <w:lvl w:ilvl="5" w:tentative="0">
      <w:start w:val="0"/>
      <w:numFmt w:val="bullet"/>
      <w:lvlText w:val="•"/>
      <w:lvlJc w:val="left"/>
      <w:pPr>
        <w:ind w:left="3613" w:hanging="584"/>
      </w:pPr>
      <w:rPr>
        <w:rFonts w:hint="default"/>
        <w:lang w:val="en-US" w:eastAsia="zh-CN" w:bidi="ar-SA"/>
      </w:rPr>
    </w:lvl>
    <w:lvl w:ilvl="6" w:tentative="0">
      <w:start w:val="0"/>
      <w:numFmt w:val="bullet"/>
      <w:lvlText w:val="•"/>
      <w:lvlJc w:val="left"/>
      <w:pPr>
        <w:ind w:left="4200" w:hanging="584"/>
      </w:pPr>
      <w:rPr>
        <w:rFonts w:hint="default"/>
        <w:lang w:val="en-US" w:eastAsia="zh-CN" w:bidi="ar-SA"/>
      </w:rPr>
    </w:lvl>
    <w:lvl w:ilvl="7" w:tentative="0">
      <w:start w:val="0"/>
      <w:numFmt w:val="bullet"/>
      <w:lvlText w:val="•"/>
      <w:lvlJc w:val="left"/>
      <w:pPr>
        <w:ind w:left="4786" w:hanging="584"/>
      </w:pPr>
      <w:rPr>
        <w:rFonts w:hint="default"/>
        <w:lang w:val="en-US" w:eastAsia="zh-CN" w:bidi="ar-SA"/>
      </w:rPr>
    </w:lvl>
    <w:lvl w:ilvl="8" w:tentative="0">
      <w:start w:val="0"/>
      <w:numFmt w:val="bullet"/>
      <w:lvlText w:val="•"/>
      <w:lvlJc w:val="left"/>
      <w:pPr>
        <w:ind w:left="5373" w:hanging="584"/>
      </w:pPr>
      <w:rPr>
        <w:rFonts w:hint="default"/>
        <w:lang w:val="en-US" w:eastAsia="zh-CN" w:bidi="ar-SA"/>
      </w:rPr>
    </w:lvl>
  </w:abstractNum>
  <w:abstractNum w:abstractNumId="35">
    <w:nsid w:val="58765686"/>
    <w:multiLevelType w:val="multilevel"/>
    <w:tmpl w:val="58765686"/>
    <w:lvl w:ilvl="0" w:tentative="0">
      <w:start w:val="1"/>
      <w:numFmt w:val="decimal"/>
      <w:lvlText w:val="（%1）"/>
      <w:lvlJc w:val="left"/>
      <w:pPr>
        <w:ind w:left="743" w:hanging="584"/>
        <w:jc w:val="left"/>
      </w:pPr>
      <w:rPr>
        <w:rFonts w:hint="default" w:ascii="幼圆" w:hAnsi="幼圆" w:eastAsia="幼圆" w:cs="幼圆"/>
        <w:b w:val="0"/>
        <w:bCs w:val="0"/>
        <w:i w:val="0"/>
        <w:iCs w:val="0"/>
        <w:w w:val="100"/>
        <w:sz w:val="21"/>
        <w:szCs w:val="21"/>
        <w:lang w:val="en-US" w:eastAsia="zh-CN" w:bidi="ar-SA"/>
      </w:rPr>
    </w:lvl>
    <w:lvl w:ilvl="1" w:tentative="0">
      <w:start w:val="0"/>
      <w:numFmt w:val="bullet"/>
      <w:lvlText w:val="•"/>
      <w:lvlJc w:val="left"/>
      <w:pPr>
        <w:ind w:left="1385" w:hanging="584"/>
      </w:pPr>
      <w:rPr>
        <w:rFonts w:hint="default"/>
        <w:lang w:val="en-US" w:eastAsia="zh-CN" w:bidi="ar-SA"/>
      </w:rPr>
    </w:lvl>
    <w:lvl w:ilvl="2" w:tentative="0">
      <w:start w:val="0"/>
      <w:numFmt w:val="bullet"/>
      <w:lvlText w:val="•"/>
      <w:lvlJc w:val="left"/>
      <w:pPr>
        <w:ind w:left="2030" w:hanging="584"/>
      </w:pPr>
      <w:rPr>
        <w:rFonts w:hint="default"/>
        <w:lang w:val="en-US" w:eastAsia="zh-CN" w:bidi="ar-SA"/>
      </w:rPr>
    </w:lvl>
    <w:lvl w:ilvl="3" w:tentative="0">
      <w:start w:val="0"/>
      <w:numFmt w:val="bullet"/>
      <w:lvlText w:val="•"/>
      <w:lvlJc w:val="left"/>
      <w:pPr>
        <w:ind w:left="2675" w:hanging="584"/>
      </w:pPr>
      <w:rPr>
        <w:rFonts w:hint="default"/>
        <w:lang w:val="en-US" w:eastAsia="zh-CN" w:bidi="ar-SA"/>
      </w:rPr>
    </w:lvl>
    <w:lvl w:ilvl="4" w:tentative="0">
      <w:start w:val="0"/>
      <w:numFmt w:val="bullet"/>
      <w:lvlText w:val="•"/>
      <w:lvlJc w:val="left"/>
      <w:pPr>
        <w:ind w:left="3321" w:hanging="584"/>
      </w:pPr>
      <w:rPr>
        <w:rFonts w:hint="default"/>
        <w:lang w:val="en-US" w:eastAsia="zh-CN" w:bidi="ar-SA"/>
      </w:rPr>
    </w:lvl>
    <w:lvl w:ilvl="5" w:tentative="0">
      <w:start w:val="0"/>
      <w:numFmt w:val="bullet"/>
      <w:lvlText w:val="•"/>
      <w:lvlJc w:val="left"/>
      <w:pPr>
        <w:ind w:left="3966" w:hanging="584"/>
      </w:pPr>
      <w:rPr>
        <w:rFonts w:hint="default"/>
        <w:lang w:val="en-US" w:eastAsia="zh-CN" w:bidi="ar-SA"/>
      </w:rPr>
    </w:lvl>
    <w:lvl w:ilvl="6" w:tentative="0">
      <w:start w:val="0"/>
      <w:numFmt w:val="bullet"/>
      <w:lvlText w:val="•"/>
      <w:lvlJc w:val="left"/>
      <w:pPr>
        <w:ind w:left="4611" w:hanging="584"/>
      </w:pPr>
      <w:rPr>
        <w:rFonts w:hint="default"/>
        <w:lang w:val="en-US" w:eastAsia="zh-CN" w:bidi="ar-SA"/>
      </w:rPr>
    </w:lvl>
    <w:lvl w:ilvl="7" w:tentative="0">
      <w:start w:val="0"/>
      <w:numFmt w:val="bullet"/>
      <w:lvlText w:val="•"/>
      <w:lvlJc w:val="left"/>
      <w:pPr>
        <w:ind w:left="5257" w:hanging="584"/>
      </w:pPr>
      <w:rPr>
        <w:rFonts w:hint="default"/>
        <w:lang w:val="en-US" w:eastAsia="zh-CN" w:bidi="ar-SA"/>
      </w:rPr>
    </w:lvl>
    <w:lvl w:ilvl="8" w:tentative="0">
      <w:start w:val="0"/>
      <w:numFmt w:val="bullet"/>
      <w:lvlText w:val="•"/>
      <w:lvlJc w:val="left"/>
      <w:pPr>
        <w:ind w:left="5902" w:hanging="584"/>
      </w:pPr>
      <w:rPr>
        <w:rFonts w:hint="default"/>
        <w:lang w:val="en-US" w:eastAsia="zh-CN" w:bidi="ar-SA"/>
      </w:rPr>
    </w:lvl>
  </w:abstractNum>
  <w:abstractNum w:abstractNumId="36">
    <w:nsid w:val="59ADCABA"/>
    <w:multiLevelType w:val="multilevel"/>
    <w:tmpl w:val="59ADCABA"/>
    <w:lvl w:ilvl="0" w:tentative="0">
      <w:start w:val="1"/>
      <w:numFmt w:val="decimal"/>
      <w:lvlText w:val="%1)"/>
      <w:lvlJc w:val="left"/>
      <w:pPr>
        <w:ind w:left="638" w:hanging="420"/>
        <w:jc w:val="left"/>
      </w:pPr>
      <w:rPr>
        <w:rFonts w:hint="default" w:ascii="幼圆" w:hAnsi="幼圆" w:eastAsia="幼圆" w:cs="幼圆"/>
        <w:b w:val="0"/>
        <w:bCs w:val="0"/>
        <w:i w:val="0"/>
        <w:iCs w:val="0"/>
        <w:w w:val="100"/>
        <w:sz w:val="21"/>
        <w:szCs w:val="21"/>
        <w:lang w:val="en-US" w:eastAsia="zh-CN" w:bidi="ar-SA"/>
      </w:rPr>
    </w:lvl>
    <w:lvl w:ilvl="1" w:tentative="0">
      <w:start w:val="0"/>
      <w:numFmt w:val="bullet"/>
      <w:lvlText w:val="•"/>
      <w:lvlJc w:val="left"/>
      <w:pPr>
        <w:ind w:left="1500" w:hanging="420"/>
      </w:pPr>
      <w:rPr>
        <w:rFonts w:hint="default"/>
        <w:lang w:val="en-US" w:eastAsia="zh-CN" w:bidi="ar-SA"/>
      </w:rPr>
    </w:lvl>
    <w:lvl w:ilvl="2" w:tentative="0">
      <w:start w:val="0"/>
      <w:numFmt w:val="bullet"/>
      <w:lvlText w:val="•"/>
      <w:lvlJc w:val="left"/>
      <w:pPr>
        <w:ind w:left="2361" w:hanging="420"/>
      </w:pPr>
      <w:rPr>
        <w:rFonts w:hint="default"/>
        <w:lang w:val="en-US" w:eastAsia="zh-CN" w:bidi="ar-SA"/>
      </w:rPr>
    </w:lvl>
    <w:lvl w:ilvl="3" w:tentative="0">
      <w:start w:val="0"/>
      <w:numFmt w:val="bullet"/>
      <w:lvlText w:val="•"/>
      <w:lvlJc w:val="left"/>
      <w:pPr>
        <w:ind w:left="3221" w:hanging="420"/>
      </w:pPr>
      <w:rPr>
        <w:rFonts w:hint="default"/>
        <w:lang w:val="en-US" w:eastAsia="zh-CN" w:bidi="ar-SA"/>
      </w:rPr>
    </w:lvl>
    <w:lvl w:ilvl="4" w:tentative="0">
      <w:start w:val="0"/>
      <w:numFmt w:val="bullet"/>
      <w:lvlText w:val="•"/>
      <w:lvlJc w:val="left"/>
      <w:pPr>
        <w:ind w:left="4082" w:hanging="420"/>
      </w:pPr>
      <w:rPr>
        <w:rFonts w:hint="default"/>
        <w:lang w:val="en-US" w:eastAsia="zh-CN" w:bidi="ar-SA"/>
      </w:rPr>
    </w:lvl>
    <w:lvl w:ilvl="5" w:tentative="0">
      <w:start w:val="0"/>
      <w:numFmt w:val="bullet"/>
      <w:lvlText w:val="•"/>
      <w:lvlJc w:val="left"/>
      <w:pPr>
        <w:ind w:left="4943" w:hanging="420"/>
      </w:pPr>
      <w:rPr>
        <w:rFonts w:hint="default"/>
        <w:lang w:val="en-US" w:eastAsia="zh-CN" w:bidi="ar-SA"/>
      </w:rPr>
    </w:lvl>
    <w:lvl w:ilvl="6" w:tentative="0">
      <w:start w:val="0"/>
      <w:numFmt w:val="bullet"/>
      <w:lvlText w:val="•"/>
      <w:lvlJc w:val="left"/>
      <w:pPr>
        <w:ind w:left="5803" w:hanging="420"/>
      </w:pPr>
      <w:rPr>
        <w:rFonts w:hint="default"/>
        <w:lang w:val="en-US" w:eastAsia="zh-CN" w:bidi="ar-SA"/>
      </w:rPr>
    </w:lvl>
    <w:lvl w:ilvl="7" w:tentative="0">
      <w:start w:val="0"/>
      <w:numFmt w:val="bullet"/>
      <w:lvlText w:val="•"/>
      <w:lvlJc w:val="left"/>
      <w:pPr>
        <w:ind w:left="6664" w:hanging="420"/>
      </w:pPr>
      <w:rPr>
        <w:rFonts w:hint="default"/>
        <w:lang w:val="en-US" w:eastAsia="zh-CN" w:bidi="ar-SA"/>
      </w:rPr>
    </w:lvl>
    <w:lvl w:ilvl="8" w:tentative="0">
      <w:start w:val="0"/>
      <w:numFmt w:val="bullet"/>
      <w:lvlText w:val="•"/>
      <w:lvlJc w:val="left"/>
      <w:pPr>
        <w:ind w:left="7525" w:hanging="420"/>
      </w:pPr>
      <w:rPr>
        <w:rFonts w:hint="default"/>
        <w:lang w:val="en-US" w:eastAsia="zh-CN" w:bidi="ar-SA"/>
      </w:rPr>
    </w:lvl>
  </w:abstractNum>
  <w:abstractNum w:abstractNumId="37">
    <w:nsid w:val="5A241D34"/>
    <w:multiLevelType w:val="multilevel"/>
    <w:tmpl w:val="5A241D34"/>
    <w:lvl w:ilvl="0" w:tentative="0">
      <w:start w:val="1"/>
      <w:numFmt w:val="decimal"/>
      <w:lvlText w:val="（%1）"/>
      <w:lvlJc w:val="left"/>
      <w:pPr>
        <w:ind w:left="218" w:hanging="529"/>
        <w:jc w:val="left"/>
      </w:pPr>
      <w:rPr>
        <w:rFonts w:hint="default" w:ascii="幼圆" w:hAnsi="幼圆" w:eastAsia="幼圆" w:cs="幼圆"/>
        <w:b w:val="0"/>
        <w:bCs w:val="0"/>
        <w:i w:val="0"/>
        <w:iCs w:val="0"/>
        <w:spacing w:val="-3"/>
        <w:w w:val="100"/>
        <w:sz w:val="19"/>
        <w:szCs w:val="19"/>
        <w:lang w:val="en-US" w:eastAsia="zh-CN" w:bidi="ar-SA"/>
      </w:rPr>
    </w:lvl>
    <w:lvl w:ilvl="1" w:tentative="0">
      <w:start w:val="0"/>
      <w:numFmt w:val="bullet"/>
      <w:lvlText w:val="•"/>
      <w:lvlJc w:val="left"/>
      <w:pPr>
        <w:ind w:left="1122" w:hanging="529"/>
      </w:pPr>
      <w:rPr>
        <w:rFonts w:hint="default"/>
        <w:lang w:val="en-US" w:eastAsia="zh-CN" w:bidi="ar-SA"/>
      </w:rPr>
    </w:lvl>
    <w:lvl w:ilvl="2" w:tentative="0">
      <w:start w:val="0"/>
      <w:numFmt w:val="bullet"/>
      <w:lvlText w:val="•"/>
      <w:lvlJc w:val="left"/>
      <w:pPr>
        <w:ind w:left="2025" w:hanging="529"/>
      </w:pPr>
      <w:rPr>
        <w:rFonts w:hint="default"/>
        <w:lang w:val="en-US" w:eastAsia="zh-CN" w:bidi="ar-SA"/>
      </w:rPr>
    </w:lvl>
    <w:lvl w:ilvl="3" w:tentative="0">
      <w:start w:val="0"/>
      <w:numFmt w:val="bullet"/>
      <w:lvlText w:val="•"/>
      <w:lvlJc w:val="left"/>
      <w:pPr>
        <w:ind w:left="2927" w:hanging="529"/>
      </w:pPr>
      <w:rPr>
        <w:rFonts w:hint="default"/>
        <w:lang w:val="en-US" w:eastAsia="zh-CN" w:bidi="ar-SA"/>
      </w:rPr>
    </w:lvl>
    <w:lvl w:ilvl="4" w:tentative="0">
      <w:start w:val="0"/>
      <w:numFmt w:val="bullet"/>
      <w:lvlText w:val="•"/>
      <w:lvlJc w:val="left"/>
      <w:pPr>
        <w:ind w:left="3830" w:hanging="529"/>
      </w:pPr>
      <w:rPr>
        <w:rFonts w:hint="default"/>
        <w:lang w:val="en-US" w:eastAsia="zh-CN" w:bidi="ar-SA"/>
      </w:rPr>
    </w:lvl>
    <w:lvl w:ilvl="5" w:tentative="0">
      <w:start w:val="0"/>
      <w:numFmt w:val="bullet"/>
      <w:lvlText w:val="•"/>
      <w:lvlJc w:val="left"/>
      <w:pPr>
        <w:ind w:left="4733" w:hanging="529"/>
      </w:pPr>
      <w:rPr>
        <w:rFonts w:hint="default"/>
        <w:lang w:val="en-US" w:eastAsia="zh-CN" w:bidi="ar-SA"/>
      </w:rPr>
    </w:lvl>
    <w:lvl w:ilvl="6" w:tentative="0">
      <w:start w:val="0"/>
      <w:numFmt w:val="bullet"/>
      <w:lvlText w:val="•"/>
      <w:lvlJc w:val="left"/>
      <w:pPr>
        <w:ind w:left="5635" w:hanging="529"/>
      </w:pPr>
      <w:rPr>
        <w:rFonts w:hint="default"/>
        <w:lang w:val="en-US" w:eastAsia="zh-CN" w:bidi="ar-SA"/>
      </w:rPr>
    </w:lvl>
    <w:lvl w:ilvl="7" w:tentative="0">
      <w:start w:val="0"/>
      <w:numFmt w:val="bullet"/>
      <w:lvlText w:val="•"/>
      <w:lvlJc w:val="left"/>
      <w:pPr>
        <w:ind w:left="6538" w:hanging="529"/>
      </w:pPr>
      <w:rPr>
        <w:rFonts w:hint="default"/>
        <w:lang w:val="en-US" w:eastAsia="zh-CN" w:bidi="ar-SA"/>
      </w:rPr>
    </w:lvl>
    <w:lvl w:ilvl="8" w:tentative="0">
      <w:start w:val="0"/>
      <w:numFmt w:val="bullet"/>
      <w:lvlText w:val="•"/>
      <w:lvlJc w:val="left"/>
      <w:pPr>
        <w:ind w:left="7441" w:hanging="529"/>
      </w:pPr>
      <w:rPr>
        <w:rFonts w:hint="default"/>
        <w:lang w:val="en-US" w:eastAsia="zh-CN" w:bidi="ar-SA"/>
      </w:rPr>
    </w:lvl>
  </w:abstractNum>
  <w:abstractNum w:abstractNumId="38">
    <w:nsid w:val="5E29AB5A"/>
    <w:multiLevelType w:val="multilevel"/>
    <w:tmpl w:val="5E29AB5A"/>
    <w:lvl w:ilvl="0" w:tentative="0">
      <w:start w:val="1"/>
      <w:numFmt w:val="decimal"/>
      <w:lvlText w:val="（%1）"/>
      <w:lvlJc w:val="left"/>
      <w:pPr>
        <w:ind w:left="760" w:hanging="584"/>
        <w:jc w:val="right"/>
      </w:pPr>
      <w:rPr>
        <w:rFonts w:hint="default" w:ascii="幼圆" w:hAnsi="幼圆" w:eastAsia="幼圆" w:cs="幼圆"/>
        <w:b w:val="0"/>
        <w:bCs w:val="0"/>
        <w:i w:val="0"/>
        <w:iCs w:val="0"/>
        <w:w w:val="100"/>
        <w:sz w:val="21"/>
        <w:szCs w:val="21"/>
        <w:lang w:val="en-US" w:eastAsia="zh-CN" w:bidi="ar-SA"/>
      </w:rPr>
    </w:lvl>
    <w:lvl w:ilvl="1" w:tentative="0">
      <w:start w:val="0"/>
      <w:numFmt w:val="bullet"/>
      <w:lvlText w:val="•"/>
      <w:lvlJc w:val="left"/>
      <w:pPr>
        <w:ind w:left="1405" w:hanging="584"/>
      </w:pPr>
      <w:rPr>
        <w:rFonts w:hint="default"/>
        <w:lang w:val="en-US" w:eastAsia="zh-CN" w:bidi="ar-SA"/>
      </w:rPr>
    </w:lvl>
    <w:lvl w:ilvl="2" w:tentative="0">
      <w:start w:val="0"/>
      <w:numFmt w:val="bullet"/>
      <w:lvlText w:val="•"/>
      <w:lvlJc w:val="left"/>
      <w:pPr>
        <w:ind w:left="2050" w:hanging="584"/>
      </w:pPr>
      <w:rPr>
        <w:rFonts w:hint="default"/>
        <w:lang w:val="en-US" w:eastAsia="zh-CN" w:bidi="ar-SA"/>
      </w:rPr>
    </w:lvl>
    <w:lvl w:ilvl="3" w:tentative="0">
      <w:start w:val="0"/>
      <w:numFmt w:val="bullet"/>
      <w:lvlText w:val="•"/>
      <w:lvlJc w:val="left"/>
      <w:pPr>
        <w:ind w:left="2695" w:hanging="584"/>
      </w:pPr>
      <w:rPr>
        <w:rFonts w:hint="default"/>
        <w:lang w:val="en-US" w:eastAsia="zh-CN" w:bidi="ar-SA"/>
      </w:rPr>
    </w:lvl>
    <w:lvl w:ilvl="4" w:tentative="0">
      <w:start w:val="0"/>
      <w:numFmt w:val="bullet"/>
      <w:lvlText w:val="•"/>
      <w:lvlJc w:val="left"/>
      <w:pPr>
        <w:ind w:left="3340" w:hanging="584"/>
      </w:pPr>
      <w:rPr>
        <w:rFonts w:hint="default"/>
        <w:lang w:val="en-US" w:eastAsia="zh-CN" w:bidi="ar-SA"/>
      </w:rPr>
    </w:lvl>
    <w:lvl w:ilvl="5" w:tentative="0">
      <w:start w:val="0"/>
      <w:numFmt w:val="bullet"/>
      <w:lvlText w:val="•"/>
      <w:lvlJc w:val="left"/>
      <w:pPr>
        <w:ind w:left="3985" w:hanging="584"/>
      </w:pPr>
      <w:rPr>
        <w:rFonts w:hint="default"/>
        <w:lang w:val="en-US" w:eastAsia="zh-CN" w:bidi="ar-SA"/>
      </w:rPr>
    </w:lvl>
    <w:lvl w:ilvl="6" w:tentative="0">
      <w:start w:val="0"/>
      <w:numFmt w:val="bullet"/>
      <w:lvlText w:val="•"/>
      <w:lvlJc w:val="left"/>
      <w:pPr>
        <w:ind w:left="4630" w:hanging="584"/>
      </w:pPr>
      <w:rPr>
        <w:rFonts w:hint="default"/>
        <w:lang w:val="en-US" w:eastAsia="zh-CN" w:bidi="ar-SA"/>
      </w:rPr>
    </w:lvl>
    <w:lvl w:ilvl="7" w:tentative="0">
      <w:start w:val="0"/>
      <w:numFmt w:val="bullet"/>
      <w:lvlText w:val="•"/>
      <w:lvlJc w:val="left"/>
      <w:pPr>
        <w:ind w:left="5275" w:hanging="584"/>
      </w:pPr>
      <w:rPr>
        <w:rFonts w:hint="default"/>
        <w:lang w:val="en-US" w:eastAsia="zh-CN" w:bidi="ar-SA"/>
      </w:rPr>
    </w:lvl>
    <w:lvl w:ilvl="8" w:tentative="0">
      <w:start w:val="0"/>
      <w:numFmt w:val="bullet"/>
      <w:lvlText w:val="•"/>
      <w:lvlJc w:val="left"/>
      <w:pPr>
        <w:ind w:left="5920" w:hanging="584"/>
      </w:pPr>
      <w:rPr>
        <w:rFonts w:hint="default"/>
        <w:lang w:val="en-US" w:eastAsia="zh-CN" w:bidi="ar-SA"/>
      </w:rPr>
    </w:lvl>
  </w:abstractNum>
  <w:abstractNum w:abstractNumId="39">
    <w:nsid w:val="60382F6E"/>
    <w:multiLevelType w:val="multilevel"/>
    <w:tmpl w:val="60382F6E"/>
    <w:lvl w:ilvl="0" w:tentative="0">
      <w:start w:val="1"/>
      <w:numFmt w:val="decimal"/>
      <w:lvlText w:val="（%1）"/>
      <w:lvlJc w:val="left"/>
      <w:pPr>
        <w:ind w:left="777" w:hanging="584"/>
        <w:jc w:val="left"/>
      </w:pPr>
      <w:rPr>
        <w:rFonts w:hint="default" w:ascii="幼圆" w:hAnsi="幼圆" w:eastAsia="幼圆" w:cs="幼圆"/>
        <w:b w:val="0"/>
        <w:bCs w:val="0"/>
        <w:i w:val="0"/>
        <w:iCs w:val="0"/>
        <w:w w:val="100"/>
        <w:sz w:val="21"/>
        <w:szCs w:val="21"/>
        <w:lang w:val="en-US" w:eastAsia="zh-CN" w:bidi="ar-SA"/>
      </w:rPr>
    </w:lvl>
    <w:lvl w:ilvl="1" w:tentative="0">
      <w:start w:val="0"/>
      <w:numFmt w:val="bullet"/>
      <w:lvlText w:val="•"/>
      <w:lvlJc w:val="left"/>
      <w:pPr>
        <w:ind w:left="1423" w:hanging="584"/>
      </w:pPr>
      <w:rPr>
        <w:rFonts w:hint="default"/>
        <w:lang w:val="en-US" w:eastAsia="zh-CN" w:bidi="ar-SA"/>
      </w:rPr>
    </w:lvl>
    <w:lvl w:ilvl="2" w:tentative="0">
      <w:start w:val="0"/>
      <w:numFmt w:val="bullet"/>
      <w:lvlText w:val="•"/>
      <w:lvlJc w:val="left"/>
      <w:pPr>
        <w:ind w:left="2066" w:hanging="584"/>
      </w:pPr>
      <w:rPr>
        <w:rFonts w:hint="default"/>
        <w:lang w:val="en-US" w:eastAsia="zh-CN" w:bidi="ar-SA"/>
      </w:rPr>
    </w:lvl>
    <w:lvl w:ilvl="3" w:tentative="0">
      <w:start w:val="0"/>
      <w:numFmt w:val="bullet"/>
      <w:lvlText w:val="•"/>
      <w:lvlJc w:val="left"/>
      <w:pPr>
        <w:ind w:left="2709" w:hanging="584"/>
      </w:pPr>
      <w:rPr>
        <w:rFonts w:hint="default"/>
        <w:lang w:val="en-US" w:eastAsia="zh-CN" w:bidi="ar-SA"/>
      </w:rPr>
    </w:lvl>
    <w:lvl w:ilvl="4" w:tentative="0">
      <w:start w:val="0"/>
      <w:numFmt w:val="bullet"/>
      <w:lvlText w:val="•"/>
      <w:lvlJc w:val="left"/>
      <w:pPr>
        <w:ind w:left="3352" w:hanging="584"/>
      </w:pPr>
      <w:rPr>
        <w:rFonts w:hint="default"/>
        <w:lang w:val="en-US" w:eastAsia="zh-CN" w:bidi="ar-SA"/>
      </w:rPr>
    </w:lvl>
    <w:lvl w:ilvl="5" w:tentative="0">
      <w:start w:val="0"/>
      <w:numFmt w:val="bullet"/>
      <w:lvlText w:val="•"/>
      <w:lvlJc w:val="left"/>
      <w:pPr>
        <w:ind w:left="3995" w:hanging="584"/>
      </w:pPr>
      <w:rPr>
        <w:rFonts w:hint="default"/>
        <w:lang w:val="en-US" w:eastAsia="zh-CN" w:bidi="ar-SA"/>
      </w:rPr>
    </w:lvl>
    <w:lvl w:ilvl="6" w:tentative="0">
      <w:start w:val="0"/>
      <w:numFmt w:val="bullet"/>
      <w:lvlText w:val="•"/>
      <w:lvlJc w:val="left"/>
      <w:pPr>
        <w:ind w:left="4638" w:hanging="584"/>
      </w:pPr>
      <w:rPr>
        <w:rFonts w:hint="default"/>
        <w:lang w:val="en-US" w:eastAsia="zh-CN" w:bidi="ar-SA"/>
      </w:rPr>
    </w:lvl>
    <w:lvl w:ilvl="7" w:tentative="0">
      <w:start w:val="0"/>
      <w:numFmt w:val="bullet"/>
      <w:lvlText w:val="•"/>
      <w:lvlJc w:val="left"/>
      <w:pPr>
        <w:ind w:left="5281" w:hanging="584"/>
      </w:pPr>
      <w:rPr>
        <w:rFonts w:hint="default"/>
        <w:lang w:val="en-US" w:eastAsia="zh-CN" w:bidi="ar-SA"/>
      </w:rPr>
    </w:lvl>
    <w:lvl w:ilvl="8" w:tentative="0">
      <w:start w:val="0"/>
      <w:numFmt w:val="bullet"/>
      <w:lvlText w:val="•"/>
      <w:lvlJc w:val="left"/>
      <w:pPr>
        <w:ind w:left="5924" w:hanging="584"/>
      </w:pPr>
      <w:rPr>
        <w:rFonts w:hint="default"/>
        <w:lang w:val="en-US" w:eastAsia="zh-CN" w:bidi="ar-SA"/>
      </w:rPr>
    </w:lvl>
  </w:abstractNum>
  <w:abstractNum w:abstractNumId="40">
    <w:nsid w:val="629F7852"/>
    <w:multiLevelType w:val="multilevel"/>
    <w:tmpl w:val="629F7852"/>
    <w:lvl w:ilvl="0" w:tentative="0">
      <w:start w:val="1"/>
      <w:numFmt w:val="decimal"/>
      <w:lvlText w:val="（%1）"/>
      <w:lvlJc w:val="left"/>
      <w:pPr>
        <w:ind w:left="777" w:hanging="584"/>
        <w:jc w:val="left"/>
      </w:pPr>
      <w:rPr>
        <w:rFonts w:hint="default" w:ascii="幼圆" w:hAnsi="幼圆" w:eastAsia="幼圆" w:cs="幼圆"/>
        <w:b w:val="0"/>
        <w:bCs w:val="0"/>
        <w:i w:val="0"/>
        <w:iCs w:val="0"/>
        <w:w w:val="100"/>
        <w:sz w:val="21"/>
        <w:szCs w:val="21"/>
        <w:lang w:val="en-US" w:eastAsia="zh-CN" w:bidi="ar-SA"/>
      </w:rPr>
    </w:lvl>
    <w:lvl w:ilvl="1" w:tentative="0">
      <w:start w:val="2"/>
      <w:numFmt w:val="decimal"/>
      <w:lvlText w:val="（%2）"/>
      <w:lvlJc w:val="left"/>
      <w:pPr>
        <w:ind w:left="2796" w:hanging="584"/>
        <w:jc w:val="left"/>
      </w:pPr>
      <w:rPr>
        <w:rFonts w:hint="default" w:ascii="幼圆" w:hAnsi="幼圆" w:eastAsia="幼圆" w:cs="幼圆"/>
        <w:b w:val="0"/>
        <w:bCs w:val="0"/>
        <w:i w:val="0"/>
        <w:iCs w:val="0"/>
        <w:w w:val="100"/>
        <w:sz w:val="21"/>
        <w:szCs w:val="21"/>
        <w:lang w:val="en-US" w:eastAsia="zh-CN" w:bidi="ar-SA"/>
      </w:rPr>
    </w:lvl>
    <w:lvl w:ilvl="2" w:tentative="0">
      <w:start w:val="0"/>
      <w:numFmt w:val="bullet"/>
      <w:lvlText w:val="•"/>
      <w:lvlJc w:val="left"/>
      <w:pPr>
        <w:ind w:left="3290" w:hanging="584"/>
      </w:pPr>
      <w:rPr>
        <w:rFonts w:hint="default"/>
        <w:lang w:val="en-US" w:eastAsia="zh-CN" w:bidi="ar-SA"/>
      </w:rPr>
    </w:lvl>
    <w:lvl w:ilvl="3" w:tentative="0">
      <w:start w:val="0"/>
      <w:numFmt w:val="bullet"/>
      <w:lvlText w:val="•"/>
      <w:lvlJc w:val="left"/>
      <w:pPr>
        <w:ind w:left="3780" w:hanging="584"/>
      </w:pPr>
      <w:rPr>
        <w:rFonts w:hint="default"/>
        <w:lang w:val="en-US" w:eastAsia="zh-CN" w:bidi="ar-SA"/>
      </w:rPr>
    </w:lvl>
    <w:lvl w:ilvl="4" w:tentative="0">
      <w:start w:val="0"/>
      <w:numFmt w:val="bullet"/>
      <w:lvlText w:val="•"/>
      <w:lvlJc w:val="left"/>
      <w:pPr>
        <w:ind w:left="4270" w:hanging="584"/>
      </w:pPr>
      <w:rPr>
        <w:rFonts w:hint="default"/>
        <w:lang w:val="en-US" w:eastAsia="zh-CN" w:bidi="ar-SA"/>
      </w:rPr>
    </w:lvl>
    <w:lvl w:ilvl="5" w:tentative="0">
      <w:start w:val="0"/>
      <w:numFmt w:val="bullet"/>
      <w:lvlText w:val="•"/>
      <w:lvlJc w:val="left"/>
      <w:pPr>
        <w:ind w:left="4760" w:hanging="584"/>
      </w:pPr>
      <w:rPr>
        <w:rFonts w:hint="default"/>
        <w:lang w:val="en-US" w:eastAsia="zh-CN" w:bidi="ar-SA"/>
      </w:rPr>
    </w:lvl>
    <w:lvl w:ilvl="6" w:tentative="0">
      <w:start w:val="0"/>
      <w:numFmt w:val="bullet"/>
      <w:lvlText w:val="•"/>
      <w:lvlJc w:val="left"/>
      <w:pPr>
        <w:ind w:left="5250" w:hanging="584"/>
      </w:pPr>
      <w:rPr>
        <w:rFonts w:hint="default"/>
        <w:lang w:val="en-US" w:eastAsia="zh-CN" w:bidi="ar-SA"/>
      </w:rPr>
    </w:lvl>
    <w:lvl w:ilvl="7" w:tentative="0">
      <w:start w:val="0"/>
      <w:numFmt w:val="bullet"/>
      <w:lvlText w:val="•"/>
      <w:lvlJc w:val="left"/>
      <w:pPr>
        <w:ind w:left="5740" w:hanging="584"/>
      </w:pPr>
      <w:rPr>
        <w:rFonts w:hint="default"/>
        <w:lang w:val="en-US" w:eastAsia="zh-CN" w:bidi="ar-SA"/>
      </w:rPr>
    </w:lvl>
    <w:lvl w:ilvl="8" w:tentative="0">
      <w:start w:val="0"/>
      <w:numFmt w:val="bullet"/>
      <w:lvlText w:val="•"/>
      <w:lvlJc w:val="left"/>
      <w:pPr>
        <w:ind w:left="6230" w:hanging="584"/>
      </w:pPr>
      <w:rPr>
        <w:rFonts w:hint="default"/>
        <w:lang w:val="en-US" w:eastAsia="zh-CN" w:bidi="ar-SA"/>
      </w:rPr>
    </w:lvl>
  </w:abstractNum>
  <w:abstractNum w:abstractNumId="41">
    <w:nsid w:val="72183CF9"/>
    <w:multiLevelType w:val="multilevel"/>
    <w:tmpl w:val="72183CF9"/>
    <w:lvl w:ilvl="0" w:tentative="0">
      <w:start w:val="1"/>
      <w:numFmt w:val="decimal"/>
      <w:lvlText w:val="%1."/>
      <w:lvlJc w:val="left"/>
      <w:pPr>
        <w:ind w:left="534" w:hanging="317"/>
        <w:jc w:val="left"/>
      </w:pPr>
      <w:rPr>
        <w:rFonts w:hint="default" w:ascii="黑体" w:hAnsi="黑体" w:eastAsia="黑体" w:cs="黑体"/>
        <w:b/>
        <w:bCs/>
        <w:i w:val="0"/>
        <w:iCs w:val="0"/>
        <w:w w:val="99"/>
        <w:sz w:val="21"/>
        <w:szCs w:val="21"/>
        <w:lang w:val="en-US" w:eastAsia="zh-CN" w:bidi="ar-SA"/>
      </w:rPr>
    </w:lvl>
    <w:lvl w:ilvl="1" w:tentative="0">
      <w:start w:val="0"/>
      <w:numFmt w:val="bullet"/>
      <w:lvlText w:val="•"/>
      <w:lvlJc w:val="left"/>
      <w:pPr>
        <w:ind w:left="1410" w:hanging="317"/>
      </w:pPr>
      <w:rPr>
        <w:rFonts w:hint="default"/>
        <w:lang w:val="en-US" w:eastAsia="zh-CN" w:bidi="ar-SA"/>
      </w:rPr>
    </w:lvl>
    <w:lvl w:ilvl="2" w:tentative="0">
      <w:start w:val="0"/>
      <w:numFmt w:val="bullet"/>
      <w:lvlText w:val="•"/>
      <w:lvlJc w:val="left"/>
      <w:pPr>
        <w:ind w:left="2281" w:hanging="317"/>
      </w:pPr>
      <w:rPr>
        <w:rFonts w:hint="default"/>
        <w:lang w:val="en-US" w:eastAsia="zh-CN" w:bidi="ar-SA"/>
      </w:rPr>
    </w:lvl>
    <w:lvl w:ilvl="3" w:tentative="0">
      <w:start w:val="0"/>
      <w:numFmt w:val="bullet"/>
      <w:lvlText w:val="•"/>
      <w:lvlJc w:val="left"/>
      <w:pPr>
        <w:ind w:left="3151" w:hanging="317"/>
      </w:pPr>
      <w:rPr>
        <w:rFonts w:hint="default"/>
        <w:lang w:val="en-US" w:eastAsia="zh-CN" w:bidi="ar-SA"/>
      </w:rPr>
    </w:lvl>
    <w:lvl w:ilvl="4" w:tentative="0">
      <w:start w:val="0"/>
      <w:numFmt w:val="bullet"/>
      <w:lvlText w:val="•"/>
      <w:lvlJc w:val="left"/>
      <w:pPr>
        <w:ind w:left="4022" w:hanging="317"/>
      </w:pPr>
      <w:rPr>
        <w:rFonts w:hint="default"/>
        <w:lang w:val="en-US" w:eastAsia="zh-CN" w:bidi="ar-SA"/>
      </w:rPr>
    </w:lvl>
    <w:lvl w:ilvl="5" w:tentative="0">
      <w:start w:val="0"/>
      <w:numFmt w:val="bullet"/>
      <w:lvlText w:val="•"/>
      <w:lvlJc w:val="left"/>
      <w:pPr>
        <w:ind w:left="4893" w:hanging="317"/>
      </w:pPr>
      <w:rPr>
        <w:rFonts w:hint="default"/>
        <w:lang w:val="en-US" w:eastAsia="zh-CN" w:bidi="ar-SA"/>
      </w:rPr>
    </w:lvl>
    <w:lvl w:ilvl="6" w:tentative="0">
      <w:start w:val="0"/>
      <w:numFmt w:val="bullet"/>
      <w:lvlText w:val="•"/>
      <w:lvlJc w:val="left"/>
      <w:pPr>
        <w:ind w:left="5763" w:hanging="317"/>
      </w:pPr>
      <w:rPr>
        <w:rFonts w:hint="default"/>
        <w:lang w:val="en-US" w:eastAsia="zh-CN" w:bidi="ar-SA"/>
      </w:rPr>
    </w:lvl>
    <w:lvl w:ilvl="7" w:tentative="0">
      <w:start w:val="0"/>
      <w:numFmt w:val="bullet"/>
      <w:lvlText w:val="•"/>
      <w:lvlJc w:val="left"/>
      <w:pPr>
        <w:ind w:left="6634" w:hanging="317"/>
      </w:pPr>
      <w:rPr>
        <w:rFonts w:hint="default"/>
        <w:lang w:val="en-US" w:eastAsia="zh-CN" w:bidi="ar-SA"/>
      </w:rPr>
    </w:lvl>
    <w:lvl w:ilvl="8" w:tentative="0">
      <w:start w:val="0"/>
      <w:numFmt w:val="bullet"/>
      <w:lvlText w:val="•"/>
      <w:lvlJc w:val="left"/>
      <w:pPr>
        <w:ind w:left="7505" w:hanging="317"/>
      </w:pPr>
      <w:rPr>
        <w:rFonts w:hint="default"/>
        <w:lang w:val="en-US" w:eastAsia="zh-CN" w:bidi="ar-SA"/>
      </w:rPr>
    </w:lvl>
  </w:abstractNum>
  <w:abstractNum w:abstractNumId="42">
    <w:nsid w:val="77ECEA79"/>
    <w:multiLevelType w:val="multilevel"/>
    <w:tmpl w:val="77ECEA79"/>
    <w:lvl w:ilvl="0" w:tentative="0">
      <w:start w:val="1"/>
      <w:numFmt w:val="decimal"/>
      <w:lvlText w:val="（%1）"/>
      <w:lvlJc w:val="left"/>
      <w:pPr>
        <w:ind w:left="2813" w:hanging="584"/>
        <w:jc w:val="left"/>
      </w:pPr>
      <w:rPr>
        <w:rFonts w:hint="default" w:ascii="幼圆" w:hAnsi="幼圆" w:eastAsia="幼圆" w:cs="幼圆"/>
        <w:b w:val="0"/>
        <w:bCs w:val="0"/>
        <w:i w:val="0"/>
        <w:iCs w:val="0"/>
        <w:w w:val="100"/>
        <w:sz w:val="21"/>
        <w:szCs w:val="21"/>
        <w:lang w:val="en-US" w:eastAsia="zh-CN" w:bidi="ar-SA"/>
      </w:rPr>
    </w:lvl>
    <w:lvl w:ilvl="1" w:tentative="0">
      <w:start w:val="0"/>
      <w:numFmt w:val="bullet"/>
      <w:lvlText w:val="•"/>
      <w:lvlJc w:val="left"/>
      <w:pPr>
        <w:ind w:left="3462" w:hanging="584"/>
      </w:pPr>
      <w:rPr>
        <w:rFonts w:hint="default"/>
        <w:lang w:val="en-US" w:eastAsia="zh-CN" w:bidi="ar-SA"/>
      </w:rPr>
    </w:lvl>
    <w:lvl w:ilvl="2" w:tentative="0">
      <w:start w:val="0"/>
      <w:numFmt w:val="bullet"/>
      <w:lvlText w:val="•"/>
      <w:lvlJc w:val="left"/>
      <w:pPr>
        <w:ind w:left="4105" w:hanging="584"/>
      </w:pPr>
      <w:rPr>
        <w:rFonts w:hint="default"/>
        <w:lang w:val="en-US" w:eastAsia="zh-CN" w:bidi="ar-SA"/>
      </w:rPr>
    </w:lvl>
    <w:lvl w:ilvl="3" w:tentative="0">
      <w:start w:val="0"/>
      <w:numFmt w:val="bullet"/>
      <w:lvlText w:val="•"/>
      <w:lvlJc w:val="left"/>
      <w:pPr>
        <w:ind w:left="4747" w:hanging="584"/>
      </w:pPr>
      <w:rPr>
        <w:rFonts w:hint="default"/>
        <w:lang w:val="en-US" w:eastAsia="zh-CN" w:bidi="ar-SA"/>
      </w:rPr>
    </w:lvl>
    <w:lvl w:ilvl="4" w:tentative="0">
      <w:start w:val="0"/>
      <w:numFmt w:val="bullet"/>
      <w:lvlText w:val="•"/>
      <w:lvlJc w:val="left"/>
      <w:pPr>
        <w:ind w:left="5390" w:hanging="584"/>
      </w:pPr>
      <w:rPr>
        <w:rFonts w:hint="default"/>
        <w:lang w:val="en-US" w:eastAsia="zh-CN" w:bidi="ar-SA"/>
      </w:rPr>
    </w:lvl>
    <w:lvl w:ilvl="5" w:tentative="0">
      <w:start w:val="0"/>
      <w:numFmt w:val="bullet"/>
      <w:lvlText w:val="•"/>
      <w:lvlJc w:val="left"/>
      <w:pPr>
        <w:ind w:left="6033" w:hanging="584"/>
      </w:pPr>
      <w:rPr>
        <w:rFonts w:hint="default"/>
        <w:lang w:val="en-US" w:eastAsia="zh-CN" w:bidi="ar-SA"/>
      </w:rPr>
    </w:lvl>
    <w:lvl w:ilvl="6" w:tentative="0">
      <w:start w:val="0"/>
      <w:numFmt w:val="bullet"/>
      <w:lvlText w:val="•"/>
      <w:lvlJc w:val="left"/>
      <w:pPr>
        <w:ind w:left="6675" w:hanging="584"/>
      </w:pPr>
      <w:rPr>
        <w:rFonts w:hint="default"/>
        <w:lang w:val="en-US" w:eastAsia="zh-CN" w:bidi="ar-SA"/>
      </w:rPr>
    </w:lvl>
    <w:lvl w:ilvl="7" w:tentative="0">
      <w:start w:val="0"/>
      <w:numFmt w:val="bullet"/>
      <w:lvlText w:val="•"/>
      <w:lvlJc w:val="left"/>
      <w:pPr>
        <w:ind w:left="7318" w:hanging="584"/>
      </w:pPr>
      <w:rPr>
        <w:rFonts w:hint="default"/>
        <w:lang w:val="en-US" w:eastAsia="zh-CN" w:bidi="ar-SA"/>
      </w:rPr>
    </w:lvl>
    <w:lvl w:ilvl="8" w:tentative="0">
      <w:start w:val="0"/>
      <w:numFmt w:val="bullet"/>
      <w:lvlText w:val="•"/>
      <w:lvlJc w:val="left"/>
      <w:pPr>
        <w:ind w:left="7961" w:hanging="584"/>
      </w:pPr>
      <w:rPr>
        <w:rFonts w:hint="default"/>
        <w:lang w:val="en-US" w:eastAsia="zh-CN" w:bidi="ar-SA"/>
      </w:rPr>
    </w:lvl>
  </w:abstractNum>
  <w:abstractNum w:abstractNumId="43">
    <w:nsid w:val="79AA4FA4"/>
    <w:multiLevelType w:val="multilevel"/>
    <w:tmpl w:val="79AA4FA4"/>
    <w:lvl w:ilvl="0" w:tentative="0">
      <w:start w:val="85"/>
      <w:numFmt w:val="decimal"/>
      <w:lvlText w:val="%1."/>
      <w:lvlJc w:val="left"/>
      <w:pPr>
        <w:ind w:left="760" w:hanging="567"/>
        <w:jc w:val="left"/>
      </w:pPr>
      <w:rPr>
        <w:rFonts w:hint="default" w:ascii="幼圆" w:hAnsi="幼圆" w:eastAsia="幼圆" w:cs="幼圆"/>
        <w:b w:val="0"/>
        <w:bCs w:val="0"/>
        <w:i w:val="0"/>
        <w:iCs w:val="0"/>
        <w:w w:val="100"/>
        <w:sz w:val="21"/>
        <w:szCs w:val="21"/>
        <w:lang w:val="en-US" w:eastAsia="zh-CN" w:bidi="ar-SA"/>
      </w:rPr>
    </w:lvl>
    <w:lvl w:ilvl="1" w:tentative="0">
      <w:start w:val="1"/>
      <w:numFmt w:val="decimal"/>
      <w:lvlText w:val="（%2）"/>
      <w:lvlJc w:val="left"/>
      <w:pPr>
        <w:ind w:left="2796" w:hanging="567"/>
        <w:jc w:val="left"/>
      </w:pPr>
      <w:rPr>
        <w:rFonts w:hint="default" w:ascii="幼圆" w:hAnsi="幼圆" w:eastAsia="幼圆" w:cs="幼圆"/>
        <w:b w:val="0"/>
        <w:bCs w:val="0"/>
        <w:i w:val="0"/>
        <w:iCs w:val="0"/>
        <w:w w:val="100"/>
        <w:sz w:val="21"/>
        <w:szCs w:val="21"/>
        <w:lang w:val="en-US" w:eastAsia="zh-CN" w:bidi="ar-SA"/>
      </w:rPr>
    </w:lvl>
    <w:lvl w:ilvl="2" w:tentative="0">
      <w:start w:val="0"/>
      <w:numFmt w:val="bullet"/>
      <w:lvlText w:val="•"/>
      <w:lvlJc w:val="left"/>
      <w:pPr>
        <w:ind w:left="3516" w:hanging="567"/>
      </w:pPr>
      <w:rPr>
        <w:rFonts w:hint="default"/>
        <w:lang w:val="en-US" w:eastAsia="zh-CN" w:bidi="ar-SA"/>
      </w:rPr>
    </w:lvl>
    <w:lvl w:ilvl="3" w:tentative="0">
      <w:start w:val="0"/>
      <w:numFmt w:val="bullet"/>
      <w:lvlText w:val="•"/>
      <w:lvlJc w:val="left"/>
      <w:pPr>
        <w:ind w:left="4232" w:hanging="567"/>
      </w:pPr>
      <w:rPr>
        <w:rFonts w:hint="default"/>
        <w:lang w:val="en-US" w:eastAsia="zh-CN" w:bidi="ar-SA"/>
      </w:rPr>
    </w:lvl>
    <w:lvl w:ilvl="4" w:tentative="0">
      <w:start w:val="0"/>
      <w:numFmt w:val="bullet"/>
      <w:lvlText w:val="•"/>
      <w:lvlJc w:val="left"/>
      <w:pPr>
        <w:ind w:left="4948" w:hanging="567"/>
      </w:pPr>
      <w:rPr>
        <w:rFonts w:hint="default"/>
        <w:lang w:val="en-US" w:eastAsia="zh-CN" w:bidi="ar-SA"/>
      </w:rPr>
    </w:lvl>
    <w:lvl w:ilvl="5" w:tentative="0">
      <w:start w:val="0"/>
      <w:numFmt w:val="bullet"/>
      <w:lvlText w:val="•"/>
      <w:lvlJc w:val="left"/>
      <w:pPr>
        <w:ind w:left="5665" w:hanging="567"/>
      </w:pPr>
      <w:rPr>
        <w:rFonts w:hint="default"/>
        <w:lang w:val="en-US" w:eastAsia="zh-CN" w:bidi="ar-SA"/>
      </w:rPr>
    </w:lvl>
    <w:lvl w:ilvl="6" w:tentative="0">
      <w:start w:val="0"/>
      <w:numFmt w:val="bullet"/>
      <w:lvlText w:val="•"/>
      <w:lvlJc w:val="left"/>
      <w:pPr>
        <w:ind w:left="6381" w:hanging="567"/>
      </w:pPr>
      <w:rPr>
        <w:rFonts w:hint="default"/>
        <w:lang w:val="en-US" w:eastAsia="zh-CN" w:bidi="ar-SA"/>
      </w:rPr>
    </w:lvl>
    <w:lvl w:ilvl="7" w:tentative="0">
      <w:start w:val="0"/>
      <w:numFmt w:val="bullet"/>
      <w:lvlText w:val="•"/>
      <w:lvlJc w:val="left"/>
      <w:pPr>
        <w:ind w:left="7097" w:hanging="567"/>
      </w:pPr>
      <w:rPr>
        <w:rFonts w:hint="default"/>
        <w:lang w:val="en-US" w:eastAsia="zh-CN" w:bidi="ar-SA"/>
      </w:rPr>
    </w:lvl>
    <w:lvl w:ilvl="8" w:tentative="0">
      <w:start w:val="0"/>
      <w:numFmt w:val="bullet"/>
      <w:lvlText w:val="•"/>
      <w:lvlJc w:val="left"/>
      <w:pPr>
        <w:ind w:left="7813" w:hanging="567"/>
      </w:pPr>
      <w:rPr>
        <w:rFonts w:hint="default"/>
        <w:lang w:val="en-US" w:eastAsia="zh-CN" w:bidi="ar-SA"/>
      </w:rPr>
    </w:lvl>
  </w:abstractNum>
  <w:abstractNum w:abstractNumId="44">
    <w:nsid w:val="7C246926"/>
    <w:multiLevelType w:val="multilevel"/>
    <w:tmpl w:val="7C246926"/>
    <w:lvl w:ilvl="0" w:tentative="0">
      <w:start w:val="1"/>
      <w:numFmt w:val="decimal"/>
      <w:lvlText w:val="（%1）"/>
      <w:lvlJc w:val="left"/>
      <w:pPr>
        <w:ind w:left="2796" w:hanging="584"/>
        <w:jc w:val="left"/>
      </w:pPr>
      <w:rPr>
        <w:rFonts w:hint="default" w:ascii="幼圆" w:hAnsi="幼圆" w:eastAsia="幼圆" w:cs="幼圆"/>
        <w:b w:val="0"/>
        <w:bCs w:val="0"/>
        <w:i w:val="0"/>
        <w:iCs w:val="0"/>
        <w:w w:val="100"/>
        <w:sz w:val="21"/>
        <w:szCs w:val="21"/>
        <w:lang w:val="en-US" w:eastAsia="zh-CN" w:bidi="ar-SA"/>
      </w:rPr>
    </w:lvl>
    <w:lvl w:ilvl="1" w:tentative="0">
      <w:start w:val="0"/>
      <w:numFmt w:val="bullet"/>
      <w:lvlText w:val="•"/>
      <w:lvlJc w:val="left"/>
      <w:pPr>
        <w:ind w:left="3444" w:hanging="584"/>
      </w:pPr>
      <w:rPr>
        <w:rFonts w:hint="default"/>
        <w:lang w:val="en-US" w:eastAsia="zh-CN" w:bidi="ar-SA"/>
      </w:rPr>
    </w:lvl>
    <w:lvl w:ilvl="2" w:tentative="0">
      <w:start w:val="0"/>
      <w:numFmt w:val="bullet"/>
      <w:lvlText w:val="•"/>
      <w:lvlJc w:val="left"/>
      <w:pPr>
        <w:ind w:left="4089" w:hanging="584"/>
      </w:pPr>
      <w:rPr>
        <w:rFonts w:hint="default"/>
        <w:lang w:val="en-US" w:eastAsia="zh-CN" w:bidi="ar-SA"/>
      </w:rPr>
    </w:lvl>
    <w:lvl w:ilvl="3" w:tentative="0">
      <w:start w:val="0"/>
      <w:numFmt w:val="bullet"/>
      <w:lvlText w:val="•"/>
      <w:lvlJc w:val="left"/>
      <w:pPr>
        <w:ind w:left="4733" w:hanging="584"/>
      </w:pPr>
      <w:rPr>
        <w:rFonts w:hint="default"/>
        <w:lang w:val="en-US" w:eastAsia="zh-CN" w:bidi="ar-SA"/>
      </w:rPr>
    </w:lvl>
    <w:lvl w:ilvl="4" w:tentative="0">
      <w:start w:val="0"/>
      <w:numFmt w:val="bullet"/>
      <w:lvlText w:val="•"/>
      <w:lvlJc w:val="left"/>
      <w:pPr>
        <w:ind w:left="5378" w:hanging="584"/>
      </w:pPr>
      <w:rPr>
        <w:rFonts w:hint="default"/>
        <w:lang w:val="en-US" w:eastAsia="zh-CN" w:bidi="ar-SA"/>
      </w:rPr>
    </w:lvl>
    <w:lvl w:ilvl="5" w:tentative="0">
      <w:start w:val="0"/>
      <w:numFmt w:val="bullet"/>
      <w:lvlText w:val="•"/>
      <w:lvlJc w:val="left"/>
      <w:pPr>
        <w:ind w:left="6023" w:hanging="584"/>
      </w:pPr>
      <w:rPr>
        <w:rFonts w:hint="default"/>
        <w:lang w:val="en-US" w:eastAsia="zh-CN" w:bidi="ar-SA"/>
      </w:rPr>
    </w:lvl>
    <w:lvl w:ilvl="6" w:tentative="0">
      <w:start w:val="0"/>
      <w:numFmt w:val="bullet"/>
      <w:lvlText w:val="•"/>
      <w:lvlJc w:val="left"/>
      <w:pPr>
        <w:ind w:left="6667" w:hanging="584"/>
      </w:pPr>
      <w:rPr>
        <w:rFonts w:hint="default"/>
        <w:lang w:val="en-US" w:eastAsia="zh-CN" w:bidi="ar-SA"/>
      </w:rPr>
    </w:lvl>
    <w:lvl w:ilvl="7" w:tentative="0">
      <w:start w:val="0"/>
      <w:numFmt w:val="bullet"/>
      <w:lvlText w:val="•"/>
      <w:lvlJc w:val="left"/>
      <w:pPr>
        <w:ind w:left="7312" w:hanging="584"/>
      </w:pPr>
      <w:rPr>
        <w:rFonts w:hint="default"/>
        <w:lang w:val="en-US" w:eastAsia="zh-CN" w:bidi="ar-SA"/>
      </w:rPr>
    </w:lvl>
    <w:lvl w:ilvl="8" w:tentative="0">
      <w:start w:val="0"/>
      <w:numFmt w:val="bullet"/>
      <w:lvlText w:val="•"/>
      <w:lvlJc w:val="left"/>
      <w:pPr>
        <w:ind w:left="7957" w:hanging="584"/>
      </w:pPr>
      <w:rPr>
        <w:rFonts w:hint="default"/>
        <w:lang w:val="en-US" w:eastAsia="zh-CN" w:bidi="ar-SA"/>
      </w:rPr>
    </w:lvl>
  </w:abstractNum>
  <w:abstractNum w:abstractNumId="45">
    <w:nsid w:val="7DEC2089"/>
    <w:multiLevelType w:val="multilevel"/>
    <w:tmpl w:val="7DEC2089"/>
    <w:lvl w:ilvl="0" w:tentative="0">
      <w:start w:val="1"/>
      <w:numFmt w:val="decimal"/>
      <w:lvlText w:val="（%1）"/>
      <w:lvlJc w:val="left"/>
      <w:pPr>
        <w:ind w:left="760" w:hanging="584"/>
        <w:jc w:val="left"/>
      </w:pPr>
      <w:rPr>
        <w:rFonts w:hint="default" w:ascii="幼圆" w:hAnsi="幼圆" w:eastAsia="幼圆" w:cs="幼圆"/>
        <w:b w:val="0"/>
        <w:bCs w:val="0"/>
        <w:i w:val="0"/>
        <w:iCs w:val="0"/>
        <w:w w:val="100"/>
        <w:sz w:val="21"/>
        <w:szCs w:val="21"/>
        <w:lang w:val="en-US" w:eastAsia="zh-CN" w:bidi="ar-SA"/>
      </w:rPr>
    </w:lvl>
    <w:lvl w:ilvl="1" w:tentative="0">
      <w:start w:val="0"/>
      <w:numFmt w:val="bullet"/>
      <w:lvlText w:val="•"/>
      <w:lvlJc w:val="left"/>
      <w:pPr>
        <w:ind w:left="1405" w:hanging="584"/>
      </w:pPr>
      <w:rPr>
        <w:rFonts w:hint="default"/>
        <w:lang w:val="en-US" w:eastAsia="zh-CN" w:bidi="ar-SA"/>
      </w:rPr>
    </w:lvl>
    <w:lvl w:ilvl="2" w:tentative="0">
      <w:start w:val="0"/>
      <w:numFmt w:val="bullet"/>
      <w:lvlText w:val="•"/>
      <w:lvlJc w:val="left"/>
      <w:pPr>
        <w:ind w:left="2050" w:hanging="584"/>
      </w:pPr>
      <w:rPr>
        <w:rFonts w:hint="default"/>
        <w:lang w:val="en-US" w:eastAsia="zh-CN" w:bidi="ar-SA"/>
      </w:rPr>
    </w:lvl>
    <w:lvl w:ilvl="3" w:tentative="0">
      <w:start w:val="0"/>
      <w:numFmt w:val="bullet"/>
      <w:lvlText w:val="•"/>
      <w:lvlJc w:val="left"/>
      <w:pPr>
        <w:ind w:left="2695" w:hanging="584"/>
      </w:pPr>
      <w:rPr>
        <w:rFonts w:hint="default"/>
        <w:lang w:val="en-US" w:eastAsia="zh-CN" w:bidi="ar-SA"/>
      </w:rPr>
    </w:lvl>
    <w:lvl w:ilvl="4" w:tentative="0">
      <w:start w:val="0"/>
      <w:numFmt w:val="bullet"/>
      <w:lvlText w:val="•"/>
      <w:lvlJc w:val="left"/>
      <w:pPr>
        <w:ind w:left="3340" w:hanging="584"/>
      </w:pPr>
      <w:rPr>
        <w:rFonts w:hint="default"/>
        <w:lang w:val="en-US" w:eastAsia="zh-CN" w:bidi="ar-SA"/>
      </w:rPr>
    </w:lvl>
    <w:lvl w:ilvl="5" w:tentative="0">
      <w:start w:val="0"/>
      <w:numFmt w:val="bullet"/>
      <w:lvlText w:val="•"/>
      <w:lvlJc w:val="left"/>
      <w:pPr>
        <w:ind w:left="3985" w:hanging="584"/>
      </w:pPr>
      <w:rPr>
        <w:rFonts w:hint="default"/>
        <w:lang w:val="en-US" w:eastAsia="zh-CN" w:bidi="ar-SA"/>
      </w:rPr>
    </w:lvl>
    <w:lvl w:ilvl="6" w:tentative="0">
      <w:start w:val="0"/>
      <w:numFmt w:val="bullet"/>
      <w:lvlText w:val="•"/>
      <w:lvlJc w:val="left"/>
      <w:pPr>
        <w:ind w:left="4630" w:hanging="584"/>
      </w:pPr>
      <w:rPr>
        <w:rFonts w:hint="default"/>
        <w:lang w:val="en-US" w:eastAsia="zh-CN" w:bidi="ar-SA"/>
      </w:rPr>
    </w:lvl>
    <w:lvl w:ilvl="7" w:tentative="0">
      <w:start w:val="0"/>
      <w:numFmt w:val="bullet"/>
      <w:lvlText w:val="•"/>
      <w:lvlJc w:val="left"/>
      <w:pPr>
        <w:ind w:left="5275" w:hanging="584"/>
      </w:pPr>
      <w:rPr>
        <w:rFonts w:hint="default"/>
        <w:lang w:val="en-US" w:eastAsia="zh-CN" w:bidi="ar-SA"/>
      </w:rPr>
    </w:lvl>
    <w:lvl w:ilvl="8" w:tentative="0">
      <w:start w:val="0"/>
      <w:numFmt w:val="bullet"/>
      <w:lvlText w:val="•"/>
      <w:lvlJc w:val="left"/>
      <w:pPr>
        <w:ind w:left="5920" w:hanging="584"/>
      </w:pPr>
      <w:rPr>
        <w:rFonts w:hint="default"/>
        <w:lang w:val="en-US" w:eastAsia="zh-CN" w:bidi="ar-SA"/>
      </w:rPr>
    </w:lvl>
  </w:abstractNum>
  <w:num w:numId="1">
    <w:abstractNumId w:val="20"/>
  </w:num>
  <w:num w:numId="2">
    <w:abstractNumId w:val="14"/>
  </w:num>
  <w:num w:numId="3">
    <w:abstractNumId w:val="36"/>
  </w:num>
  <w:num w:numId="4">
    <w:abstractNumId w:val="12"/>
  </w:num>
  <w:num w:numId="5">
    <w:abstractNumId w:val="8"/>
  </w:num>
  <w:num w:numId="6">
    <w:abstractNumId w:val="22"/>
  </w:num>
  <w:num w:numId="7">
    <w:abstractNumId w:val="27"/>
  </w:num>
  <w:num w:numId="8">
    <w:abstractNumId w:val="41"/>
  </w:num>
  <w:num w:numId="9">
    <w:abstractNumId w:val="21"/>
  </w:num>
  <w:num w:numId="10">
    <w:abstractNumId w:val="4"/>
  </w:num>
  <w:num w:numId="11">
    <w:abstractNumId w:val="28"/>
  </w:num>
  <w:num w:numId="12">
    <w:abstractNumId w:val="37"/>
  </w:num>
  <w:num w:numId="13">
    <w:abstractNumId w:val="13"/>
  </w:num>
  <w:num w:numId="14">
    <w:abstractNumId w:val="33"/>
  </w:num>
  <w:num w:numId="15">
    <w:abstractNumId w:val="18"/>
  </w:num>
  <w:num w:numId="16">
    <w:abstractNumId w:val="26"/>
  </w:num>
  <w:num w:numId="17">
    <w:abstractNumId w:val="16"/>
  </w:num>
  <w:num w:numId="18">
    <w:abstractNumId w:val="15"/>
  </w:num>
  <w:num w:numId="19">
    <w:abstractNumId w:val="6"/>
  </w:num>
  <w:num w:numId="20">
    <w:abstractNumId w:val="32"/>
  </w:num>
  <w:num w:numId="21">
    <w:abstractNumId w:val="39"/>
  </w:num>
  <w:num w:numId="22">
    <w:abstractNumId w:val="23"/>
  </w:num>
  <w:num w:numId="23">
    <w:abstractNumId w:val="31"/>
  </w:num>
  <w:num w:numId="24">
    <w:abstractNumId w:val="7"/>
  </w:num>
  <w:num w:numId="25">
    <w:abstractNumId w:val="44"/>
  </w:num>
  <w:num w:numId="26">
    <w:abstractNumId w:val="42"/>
  </w:num>
  <w:num w:numId="27">
    <w:abstractNumId w:val="11"/>
  </w:num>
  <w:num w:numId="28">
    <w:abstractNumId w:val="40"/>
  </w:num>
  <w:num w:numId="29">
    <w:abstractNumId w:val="5"/>
  </w:num>
  <w:num w:numId="30">
    <w:abstractNumId w:val="30"/>
  </w:num>
  <w:num w:numId="31">
    <w:abstractNumId w:val="2"/>
  </w:num>
  <w:num w:numId="32">
    <w:abstractNumId w:val="35"/>
  </w:num>
  <w:num w:numId="33">
    <w:abstractNumId w:val="45"/>
  </w:num>
  <w:num w:numId="34">
    <w:abstractNumId w:val="0"/>
  </w:num>
  <w:num w:numId="35">
    <w:abstractNumId w:val="25"/>
  </w:num>
  <w:num w:numId="36">
    <w:abstractNumId w:val="34"/>
  </w:num>
  <w:num w:numId="37">
    <w:abstractNumId w:val="19"/>
  </w:num>
  <w:num w:numId="38">
    <w:abstractNumId w:val="17"/>
  </w:num>
  <w:num w:numId="39">
    <w:abstractNumId w:val="29"/>
  </w:num>
  <w:num w:numId="40">
    <w:abstractNumId w:val="43"/>
  </w:num>
  <w:num w:numId="41">
    <w:abstractNumId w:val="10"/>
  </w:num>
  <w:num w:numId="42">
    <w:abstractNumId w:val="3"/>
  </w:num>
  <w:num w:numId="43">
    <w:abstractNumId w:val="9"/>
  </w:num>
  <w:num w:numId="44">
    <w:abstractNumId w:val="38"/>
  </w:num>
  <w:num w:numId="45">
    <w:abstractNumId w:val="1"/>
  </w:num>
  <w:num w:numId="46">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2538539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幼圆" w:hAnsi="幼圆" w:eastAsia="幼圆" w:cs="幼圆"/>
      <w:sz w:val="22"/>
      <w:szCs w:val="22"/>
      <w:lang w:val="en-US" w:eastAsia="zh-CN" w:bidi="ar-SA"/>
    </w:rPr>
  </w:style>
  <w:style w:type="character" w:default="1" w:styleId="4">
    <w:name w:val="Default Paragraph Font"/>
    <w:semiHidden/>
    <w:unhideWhenUsed/>
    <w:uiPriority w:val="1"/>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rPr>
      <w:rFonts w:ascii="幼圆" w:hAnsi="幼圆" w:eastAsia="幼圆" w:cs="幼圆"/>
      <w:sz w:val="21"/>
      <w:szCs w:val="21"/>
      <w:lang w:val="en-US" w:eastAsia="zh-CN" w:bidi="ar-SA"/>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pPr>
      <w:ind w:left="760" w:hanging="567"/>
    </w:pPr>
    <w:rPr>
      <w:rFonts w:ascii="幼圆" w:hAnsi="幼圆" w:eastAsia="幼圆" w:cs="幼圆"/>
      <w:lang w:val="en-US" w:eastAsia="zh-CN" w:bidi="ar-SA"/>
    </w:rPr>
  </w:style>
  <w:style w:type="paragraph" w:customStyle="1" w:styleId="7">
    <w:name w:val="Table Paragraph"/>
    <w:basedOn w:val="1"/>
    <w:qFormat/>
    <w:uiPriority w:val="1"/>
    <w:rPr>
      <w:rFonts w:ascii="幼圆" w:hAnsi="幼圆" w:eastAsia="幼圆" w:cs="幼圆"/>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37</Pages>
  <Words>32961</Words>
  <Characters>33650</Characters>
  <TotalTime>1</TotalTime>
  <ScaleCrop>false</ScaleCrop>
  <LinksUpToDate>false</LinksUpToDate>
  <CharactersWithSpaces>34196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2023-06-02T03:10:00Z</dcterms:created>
  <dc:creator>木木</dc:creator>
  <cp:lastModifiedBy>木木</cp:lastModifiedBy>
  <dcterms:modified xsi:type="dcterms:W3CDTF">2023-06-02T03:32:33Z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y fmtid="{D5CDD505-2E9C-101B-9397-08002B2CF9AE}" pid="5" name="KSOProductBuildVer">
    <vt:lpwstr>2052-11.1.0.14309</vt:lpwstr>
  </property>
  <property fmtid="{D5CDD505-2E9C-101B-9397-08002B2CF9AE}" pid="6" name="ICV">
    <vt:lpwstr>9037D8DC485D4711A200A668C5B473A9_12</vt:lpwstr>
  </property>
</Properties>
</file>