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9"/>
        <w:ind w:left="5570" w:right="0" w:firstLine="0"/>
        <w:jc w:val="left"/>
        <w:rPr>
          <w:sz w:val="20"/>
        </w:rPr>
      </w:pPr>
      <w:r>
        <w:rPr>
          <w:sz w:val="20"/>
        </w:rPr>
        <w:t>长生人寿〔</w:t>
      </w:r>
      <w:r>
        <w:rPr>
          <w:rFonts w:ascii="Times New Roman" w:eastAsia="Times New Roman"/>
          <w:sz w:val="20"/>
        </w:rPr>
        <w:t>2020</w:t>
      </w:r>
      <w:r>
        <w:rPr>
          <w:spacing w:val="-9"/>
          <w:sz w:val="20"/>
        </w:rPr>
        <w:t xml:space="preserve">〕疾病保险 </w:t>
      </w:r>
      <w:r>
        <w:rPr>
          <w:rFonts w:ascii="Times New Roman" w:eastAsia="Times New Roman"/>
          <w:sz w:val="20"/>
        </w:rPr>
        <w:t>016</w:t>
      </w:r>
      <w:r>
        <w:rPr>
          <w:rFonts w:ascii="Times New Roman" w:eastAsia="Times New Roman"/>
          <w:spacing w:val="-10"/>
          <w:sz w:val="20"/>
        </w:rPr>
        <w:t xml:space="preserve"> </w:t>
      </w:r>
      <w:r>
        <w:rPr>
          <w:spacing w:val="-10"/>
          <w:sz w:val="20"/>
        </w:rPr>
        <w:t>号</w:t>
      </w:r>
    </w:p>
    <w:p>
      <w:pPr>
        <w:pStyle w:val="3"/>
        <w:spacing w:before="7"/>
        <w:ind w:left="0"/>
        <w:rPr>
          <w:sz w:val="4"/>
        </w:rPr>
      </w:pPr>
      <w:r>
        <w:drawing>
          <wp:anchor distT="0" distB="0" distL="0" distR="0" simplePos="0" relativeHeight="251659264" behindDoc="0" locked="0" layoutInCell="1" allowOverlap="1">
            <wp:simplePos x="0" y="0"/>
            <wp:positionH relativeFrom="page">
              <wp:posOffset>5695315</wp:posOffset>
            </wp:positionH>
            <wp:positionV relativeFrom="paragraph">
              <wp:posOffset>52070</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0" cstate="print"/>
                    <a:stretch>
                      <a:fillRect/>
                    </a:stretch>
                  </pic:blipFill>
                  <pic:spPr>
                    <a:xfrm>
                      <a:off x="0" y="0"/>
                      <a:ext cx="723900" cy="723900"/>
                    </a:xfrm>
                    <a:prstGeom prst="rect">
                      <a:avLst/>
                    </a:prstGeom>
                  </pic:spPr>
                </pic:pic>
              </a:graphicData>
            </a:graphic>
          </wp:anchor>
        </w:drawing>
      </w:r>
    </w:p>
    <w:p>
      <w:pPr>
        <w:spacing w:before="82"/>
        <w:ind w:left="0" w:right="633" w:firstLine="0"/>
        <w:jc w:val="right"/>
        <w:rPr>
          <w:sz w:val="20"/>
        </w:rPr>
      </w:pPr>
      <w:r>
        <w:rPr>
          <w:spacing w:val="-3"/>
          <w:sz w:val="20"/>
        </w:rPr>
        <w:t>请扫描以查询验证条款</w:t>
      </w:r>
    </w:p>
    <w:p>
      <w:pPr>
        <w:pStyle w:val="6"/>
      </w:pPr>
      <w:r>
        <w:rPr>
          <w:w w:val="95"/>
        </w:rPr>
        <w:t>长生人寿保险有限公</w:t>
      </w:r>
      <w:r>
        <w:rPr>
          <w:spacing w:val="-10"/>
          <w:w w:val="95"/>
        </w:rPr>
        <w:t>司</w:t>
      </w:r>
    </w:p>
    <w:p>
      <w:pPr>
        <w:spacing w:before="110" w:line="242" w:lineRule="auto"/>
        <w:ind w:left="2847" w:right="3224" w:firstLine="0"/>
        <w:jc w:val="center"/>
        <w:rPr>
          <w:b/>
          <w:sz w:val="24"/>
        </w:rPr>
      </w:pPr>
      <w:r>
        <w:rPr>
          <w:b/>
          <w:spacing w:val="-2"/>
          <w:sz w:val="24"/>
        </w:rPr>
        <w:t>长生长生福至尊重大疾病保险</w:t>
      </w:r>
      <w:r>
        <w:rPr>
          <w:b/>
          <w:spacing w:val="13"/>
          <w:sz w:val="24"/>
        </w:rPr>
        <w:t>目 录</w:t>
      </w:r>
    </w:p>
    <w:p>
      <w:pPr>
        <w:pStyle w:val="3"/>
        <w:ind w:left="0"/>
        <w:rPr>
          <w:b/>
          <w:sz w:val="20"/>
        </w:rPr>
      </w:pPr>
    </w:p>
    <w:sdt>
      <w:sdtPr>
        <w:id w:val="4"/>
        <w:docPartObj>
          <w:docPartGallery w:val="Table of Contents"/>
          <w:docPartUnique/>
        </w:docPartObj>
      </w:sdtPr>
      <w:sdtContent>
        <w:p>
          <w:pPr>
            <w:pStyle w:val="4"/>
            <w:tabs>
              <w:tab w:val="left" w:pos="1522"/>
              <w:tab w:val="right" w:leader="dot" w:pos="8559"/>
            </w:tabs>
            <w:spacing w:before="77"/>
            <w:rPr>
              <w:rFonts w:ascii="Times New Roman" w:eastAsia="Times New Roman"/>
            </w:rPr>
          </w:pPr>
          <w:r>
            <w:fldChar w:fldCharType="begin"/>
          </w:r>
          <w:r>
            <w:instrText xml:space="preserve"> HYPERLINK \l "_bookmark0" </w:instrText>
          </w:r>
          <w:r>
            <w:fldChar w:fldCharType="separate"/>
          </w:r>
          <w:r>
            <w:rPr>
              <w:w w:val="95"/>
            </w:rPr>
            <w:t>第一</w:t>
          </w:r>
          <w:r>
            <w:rPr>
              <w:spacing w:val="-10"/>
              <w:w w:val="95"/>
            </w:rPr>
            <w:t>章</w:t>
          </w:r>
          <w:r>
            <w:tab/>
          </w:r>
          <w:r>
            <w:rPr>
              <w:w w:val="95"/>
            </w:rPr>
            <w:t>保险合同构成及投保范</w:t>
          </w:r>
          <w:r>
            <w:rPr>
              <w:spacing w:val="-10"/>
              <w:w w:val="95"/>
            </w:rPr>
            <w:t>围</w:t>
          </w:r>
          <w:r>
            <w:rPr>
              <w:rFonts w:ascii="Times New Roman" w:eastAsia="Times New Roman"/>
              <w:b w:val="0"/>
            </w:rPr>
            <w:tab/>
          </w:r>
          <w:r>
            <w:rPr>
              <w:rFonts w:ascii="Times New Roman" w:eastAsia="Times New Roman"/>
              <w:spacing w:val="-10"/>
            </w:rPr>
            <w:t>3</w:t>
          </w:r>
          <w:r>
            <w:rPr>
              <w:rFonts w:ascii="Times New Roman" w:eastAsia="Times New Roman"/>
              <w:spacing w:val="-10"/>
            </w:rPr>
            <w:fldChar w:fldCharType="end"/>
          </w:r>
        </w:p>
        <w:p>
          <w:pPr>
            <w:pStyle w:val="5"/>
            <w:tabs>
              <w:tab w:val="left" w:pos="1882"/>
              <w:tab w:val="right" w:leader="dot" w:pos="8553"/>
            </w:tabs>
            <w:rPr>
              <w:rFonts w:ascii="Times New Roman" w:eastAsia="Times New Roman"/>
            </w:rPr>
          </w:pPr>
          <w:r>
            <w:fldChar w:fldCharType="begin"/>
          </w:r>
          <w:r>
            <w:instrText xml:space="preserve"> HYPERLINK \l "_bookmark1" </w:instrText>
          </w:r>
          <w:r>
            <w:fldChar w:fldCharType="separate"/>
          </w:r>
          <w:r>
            <w:t>第一</w:t>
          </w:r>
          <w:r>
            <w:rPr>
              <w:spacing w:val="-10"/>
            </w:rPr>
            <w:t>条</w:t>
          </w:r>
          <w:r>
            <w:tab/>
          </w:r>
          <w:r>
            <w:t>保险合同构</w:t>
          </w:r>
          <w:r>
            <w:rPr>
              <w:spacing w:val="-10"/>
            </w:rPr>
            <w:t>成</w:t>
          </w:r>
          <w:r>
            <w:rPr>
              <w:rFonts w:ascii="Times New Roman" w:eastAsia="Times New Roman"/>
            </w:rPr>
            <w:tab/>
          </w:r>
          <w:r>
            <w:rPr>
              <w:rFonts w:ascii="Times New Roman" w:eastAsia="Times New Roman"/>
              <w:spacing w:val="-10"/>
            </w:rPr>
            <w:t>3</w:t>
          </w:r>
          <w:r>
            <w:rPr>
              <w:rFonts w:ascii="Times New Roman" w:eastAsia="Times New Roman"/>
              <w:spacing w:val="-10"/>
            </w:rPr>
            <w:fldChar w:fldCharType="end"/>
          </w:r>
        </w:p>
        <w:p>
          <w:pPr>
            <w:pStyle w:val="5"/>
            <w:tabs>
              <w:tab w:val="left" w:pos="1881"/>
              <w:tab w:val="right" w:leader="dot" w:pos="8553"/>
            </w:tabs>
            <w:rPr>
              <w:rFonts w:ascii="Times New Roman" w:eastAsia="Times New Roman"/>
            </w:rPr>
          </w:pPr>
          <w:r>
            <w:fldChar w:fldCharType="begin"/>
          </w:r>
          <w:r>
            <w:instrText xml:space="preserve"> HYPERLINK \l "_bookmark2" </w:instrText>
          </w:r>
          <w:r>
            <w:fldChar w:fldCharType="separate"/>
          </w:r>
          <w:r>
            <w:t>第二</w:t>
          </w:r>
          <w:r>
            <w:rPr>
              <w:spacing w:val="-10"/>
            </w:rPr>
            <w:t>条</w:t>
          </w:r>
          <w:r>
            <w:tab/>
          </w:r>
          <w:r>
            <w:t>投保范</w:t>
          </w:r>
          <w:r>
            <w:rPr>
              <w:spacing w:val="-10"/>
            </w:rPr>
            <w:t>围</w:t>
          </w:r>
          <w:r>
            <w:rPr>
              <w:rFonts w:ascii="Times New Roman" w:eastAsia="Times New Roman"/>
            </w:rPr>
            <w:tab/>
          </w:r>
          <w:r>
            <w:rPr>
              <w:rFonts w:ascii="Times New Roman" w:eastAsia="Times New Roman"/>
              <w:spacing w:val="-10"/>
            </w:rPr>
            <w:t>3</w:t>
          </w:r>
          <w:r>
            <w:rPr>
              <w:rFonts w:ascii="Times New Roman" w:eastAsia="Times New Roman"/>
              <w:spacing w:val="-10"/>
            </w:rPr>
            <w:fldChar w:fldCharType="end"/>
          </w:r>
        </w:p>
        <w:p>
          <w:pPr>
            <w:pStyle w:val="4"/>
            <w:tabs>
              <w:tab w:val="left" w:pos="1522"/>
              <w:tab w:val="right" w:leader="dot" w:pos="8559"/>
            </w:tabs>
            <w:rPr>
              <w:rFonts w:ascii="Times New Roman" w:eastAsia="Times New Roman"/>
            </w:rPr>
          </w:pPr>
          <w:r>
            <w:fldChar w:fldCharType="begin"/>
          </w:r>
          <w:r>
            <w:instrText xml:space="preserve"> HYPERLINK \l "_bookmark3" </w:instrText>
          </w:r>
          <w:r>
            <w:fldChar w:fldCharType="separate"/>
          </w:r>
          <w:r>
            <w:rPr>
              <w:w w:val="95"/>
            </w:rPr>
            <w:t>第二</w:t>
          </w:r>
          <w:r>
            <w:rPr>
              <w:spacing w:val="-10"/>
              <w:w w:val="95"/>
            </w:rPr>
            <w:t>章</w:t>
          </w:r>
          <w:r>
            <w:tab/>
          </w:r>
          <w:r>
            <w:rPr>
              <w:w w:val="95"/>
            </w:rPr>
            <w:t>保险责任及责任免</w:t>
          </w:r>
          <w:r>
            <w:rPr>
              <w:spacing w:val="-10"/>
              <w:w w:val="95"/>
            </w:rPr>
            <w:t>除</w:t>
          </w:r>
          <w:r>
            <w:rPr>
              <w:rFonts w:ascii="Times New Roman" w:eastAsia="Times New Roman"/>
              <w:b w:val="0"/>
            </w:rPr>
            <w:tab/>
          </w:r>
          <w:r>
            <w:rPr>
              <w:rFonts w:ascii="Times New Roman" w:eastAsia="Times New Roman"/>
              <w:spacing w:val="-10"/>
            </w:rPr>
            <w:t>3</w:t>
          </w:r>
          <w:r>
            <w:rPr>
              <w:rFonts w:ascii="Times New Roman" w:eastAsia="Times New Roman"/>
              <w:spacing w:val="-10"/>
            </w:rPr>
            <w:fldChar w:fldCharType="end"/>
          </w:r>
        </w:p>
        <w:p>
          <w:pPr>
            <w:pStyle w:val="5"/>
            <w:tabs>
              <w:tab w:val="left" w:pos="1882"/>
              <w:tab w:val="right" w:leader="dot" w:pos="8553"/>
            </w:tabs>
            <w:rPr>
              <w:rFonts w:ascii="Times New Roman" w:eastAsia="Times New Roman"/>
            </w:rPr>
          </w:pPr>
          <w:r>
            <w:fldChar w:fldCharType="begin"/>
          </w:r>
          <w:r>
            <w:instrText xml:space="preserve"> HYPERLINK \l "_bookmark4" </w:instrText>
          </w:r>
          <w:r>
            <w:fldChar w:fldCharType="separate"/>
          </w:r>
          <w:r>
            <w:t>第三</w:t>
          </w:r>
          <w:r>
            <w:rPr>
              <w:spacing w:val="-10"/>
            </w:rPr>
            <w:t>条</w:t>
          </w:r>
          <w:r>
            <w:tab/>
          </w:r>
          <w:r>
            <w:t>保险责</w:t>
          </w:r>
          <w:r>
            <w:rPr>
              <w:spacing w:val="-10"/>
            </w:rPr>
            <w:t>任</w:t>
          </w:r>
          <w:r>
            <w:rPr>
              <w:rFonts w:ascii="Times New Roman" w:eastAsia="Times New Roman"/>
            </w:rPr>
            <w:tab/>
          </w:r>
          <w:r>
            <w:rPr>
              <w:rFonts w:ascii="Times New Roman" w:eastAsia="Times New Roman"/>
              <w:spacing w:val="-10"/>
            </w:rPr>
            <w:t>3</w:t>
          </w:r>
          <w:r>
            <w:rPr>
              <w:rFonts w:ascii="Times New Roman" w:eastAsia="Times New Roman"/>
              <w:spacing w:val="-10"/>
            </w:rPr>
            <w:fldChar w:fldCharType="end"/>
          </w:r>
        </w:p>
        <w:p>
          <w:pPr>
            <w:pStyle w:val="5"/>
            <w:tabs>
              <w:tab w:val="left" w:pos="1882"/>
              <w:tab w:val="right" w:leader="dot" w:pos="8553"/>
            </w:tabs>
            <w:rPr>
              <w:rFonts w:ascii="Times New Roman" w:eastAsia="Times New Roman"/>
            </w:rPr>
          </w:pPr>
          <w:r>
            <w:fldChar w:fldCharType="begin"/>
          </w:r>
          <w:r>
            <w:instrText xml:space="preserve"> HYPERLINK \l "_bookmark28" </w:instrText>
          </w:r>
          <w:r>
            <w:fldChar w:fldCharType="separate"/>
          </w:r>
          <w:r>
            <w:t>第四</w:t>
          </w:r>
          <w:r>
            <w:rPr>
              <w:spacing w:val="-10"/>
            </w:rPr>
            <w:t>条</w:t>
          </w:r>
          <w:r>
            <w:tab/>
          </w:r>
          <w:r>
            <w:t>责任免</w:t>
          </w:r>
          <w:r>
            <w:rPr>
              <w:spacing w:val="-10"/>
            </w:rPr>
            <w:t>除</w:t>
          </w:r>
          <w:r>
            <w:rPr>
              <w:rFonts w:ascii="Times New Roman" w:eastAsia="Times New Roman"/>
            </w:rPr>
            <w:tab/>
          </w:r>
          <w:r>
            <w:rPr>
              <w:rFonts w:ascii="Times New Roman" w:eastAsia="Times New Roman"/>
              <w:spacing w:val="-10"/>
            </w:rPr>
            <w:t>8</w:t>
          </w:r>
          <w:r>
            <w:rPr>
              <w:rFonts w:ascii="Times New Roman" w:eastAsia="Times New Roman"/>
              <w:spacing w:val="-10"/>
            </w:rPr>
            <w:fldChar w:fldCharType="end"/>
          </w:r>
        </w:p>
        <w:p>
          <w:pPr>
            <w:pStyle w:val="5"/>
            <w:tabs>
              <w:tab w:val="left" w:pos="1882"/>
              <w:tab w:val="right" w:leader="dot" w:pos="8553"/>
            </w:tabs>
            <w:rPr>
              <w:rFonts w:ascii="Times New Roman" w:eastAsia="Times New Roman"/>
            </w:rPr>
          </w:pPr>
          <w:r>
            <w:fldChar w:fldCharType="begin"/>
          </w:r>
          <w:r>
            <w:instrText xml:space="preserve"> HYPERLINK \l "_bookmark35" </w:instrText>
          </w:r>
          <w:r>
            <w:fldChar w:fldCharType="separate"/>
          </w:r>
          <w:r>
            <w:t>第五</w:t>
          </w:r>
          <w:r>
            <w:rPr>
              <w:spacing w:val="-10"/>
            </w:rPr>
            <w:t>条</w:t>
          </w:r>
          <w:r>
            <w:tab/>
          </w:r>
          <w:r>
            <w:t>其他免责条</w:t>
          </w:r>
          <w:r>
            <w:rPr>
              <w:spacing w:val="-10"/>
            </w:rPr>
            <w:t>款</w:t>
          </w:r>
          <w:r>
            <w:rPr>
              <w:rFonts w:ascii="Times New Roman" w:eastAsia="Times New Roman"/>
            </w:rPr>
            <w:tab/>
          </w:r>
          <w:r>
            <w:rPr>
              <w:rFonts w:ascii="Times New Roman" w:eastAsia="Times New Roman"/>
              <w:spacing w:val="-10"/>
            </w:rPr>
            <w:t>9</w:t>
          </w:r>
          <w:r>
            <w:rPr>
              <w:rFonts w:ascii="Times New Roman" w:eastAsia="Times New Roman"/>
              <w:spacing w:val="-10"/>
            </w:rPr>
            <w:fldChar w:fldCharType="end"/>
          </w:r>
        </w:p>
        <w:p>
          <w:pPr>
            <w:pStyle w:val="4"/>
            <w:tabs>
              <w:tab w:val="left" w:pos="1522"/>
              <w:tab w:val="right" w:leader="dot" w:pos="8559"/>
            </w:tabs>
            <w:rPr>
              <w:rFonts w:ascii="Times New Roman" w:eastAsia="Times New Roman"/>
            </w:rPr>
          </w:pPr>
          <w:r>
            <w:fldChar w:fldCharType="begin"/>
          </w:r>
          <w:r>
            <w:instrText xml:space="preserve"> HYPERLINK \l "_bookmark36" </w:instrText>
          </w:r>
          <w:r>
            <w:fldChar w:fldCharType="separate"/>
          </w:r>
          <w:r>
            <w:rPr>
              <w:w w:val="95"/>
            </w:rPr>
            <w:t>第三</w:t>
          </w:r>
          <w:r>
            <w:rPr>
              <w:spacing w:val="-10"/>
              <w:w w:val="95"/>
            </w:rPr>
            <w:t>章</w:t>
          </w:r>
          <w:r>
            <w:tab/>
          </w:r>
          <w:r>
            <w:rPr>
              <w:w w:val="95"/>
            </w:rPr>
            <w:t>基本保险金额、保险费及宽限</w:t>
          </w:r>
          <w:r>
            <w:rPr>
              <w:spacing w:val="-10"/>
              <w:w w:val="95"/>
            </w:rPr>
            <w:t>期</w:t>
          </w:r>
          <w:r>
            <w:rPr>
              <w:rFonts w:ascii="Times New Roman" w:eastAsia="Times New Roman"/>
              <w:b w:val="0"/>
            </w:rPr>
            <w:tab/>
          </w:r>
          <w:r>
            <w:rPr>
              <w:rFonts w:ascii="Times New Roman" w:eastAsia="Times New Roman"/>
              <w:spacing w:val="-10"/>
            </w:rPr>
            <w:t>9</w:t>
          </w:r>
          <w:r>
            <w:rPr>
              <w:rFonts w:ascii="Times New Roman" w:eastAsia="Times New Roman"/>
              <w:spacing w:val="-10"/>
            </w:rPr>
            <w:fldChar w:fldCharType="end"/>
          </w:r>
        </w:p>
        <w:p>
          <w:pPr>
            <w:pStyle w:val="5"/>
            <w:tabs>
              <w:tab w:val="left" w:pos="1882"/>
              <w:tab w:val="right" w:leader="dot" w:pos="8553"/>
            </w:tabs>
            <w:rPr>
              <w:rFonts w:ascii="Times New Roman" w:eastAsia="Times New Roman"/>
            </w:rPr>
          </w:pPr>
          <w:r>
            <w:fldChar w:fldCharType="begin"/>
          </w:r>
          <w:r>
            <w:instrText xml:space="preserve"> HYPERLINK \l "_bookmark37" </w:instrText>
          </w:r>
          <w:r>
            <w:fldChar w:fldCharType="separate"/>
          </w:r>
          <w:r>
            <w:t>第六</w:t>
          </w:r>
          <w:r>
            <w:rPr>
              <w:spacing w:val="-10"/>
            </w:rPr>
            <w:t>条</w:t>
          </w:r>
          <w:r>
            <w:tab/>
          </w:r>
          <w:r>
            <w:t>基本保险金</w:t>
          </w:r>
          <w:r>
            <w:rPr>
              <w:spacing w:val="-10"/>
            </w:rPr>
            <w:t>额</w:t>
          </w:r>
          <w:r>
            <w:rPr>
              <w:rFonts w:ascii="Times New Roman" w:eastAsia="Times New Roman"/>
            </w:rPr>
            <w:tab/>
          </w:r>
          <w:r>
            <w:rPr>
              <w:rFonts w:ascii="Times New Roman" w:eastAsia="Times New Roman"/>
              <w:spacing w:val="-10"/>
            </w:rPr>
            <w:t>9</w:t>
          </w:r>
          <w:r>
            <w:rPr>
              <w:rFonts w:ascii="Times New Roman" w:eastAsia="Times New Roman"/>
              <w:spacing w:val="-10"/>
            </w:rPr>
            <w:fldChar w:fldCharType="end"/>
          </w:r>
        </w:p>
        <w:p>
          <w:pPr>
            <w:pStyle w:val="5"/>
            <w:tabs>
              <w:tab w:val="left" w:pos="1881"/>
              <w:tab w:val="right" w:leader="dot" w:pos="8554"/>
            </w:tabs>
            <w:rPr>
              <w:rFonts w:ascii="Times New Roman" w:eastAsia="Times New Roman"/>
            </w:rPr>
          </w:pPr>
          <w:r>
            <w:fldChar w:fldCharType="begin"/>
          </w:r>
          <w:r>
            <w:instrText xml:space="preserve"> HYPERLINK \l "_bookmark41" </w:instrText>
          </w:r>
          <w:r>
            <w:fldChar w:fldCharType="separate"/>
          </w:r>
          <w:r>
            <w:t>第七</w:t>
          </w:r>
          <w:r>
            <w:rPr>
              <w:spacing w:val="-10"/>
            </w:rPr>
            <w:t>条</w:t>
          </w:r>
          <w:r>
            <w:tab/>
          </w:r>
          <w:r>
            <w:t>保险费及宽限</w:t>
          </w:r>
          <w:r>
            <w:rPr>
              <w:spacing w:val="-10"/>
            </w:rPr>
            <w:t>期</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5"/>
            <w:tabs>
              <w:tab w:val="left" w:pos="1881"/>
              <w:tab w:val="right" w:leader="dot" w:pos="8554"/>
            </w:tabs>
            <w:rPr>
              <w:rFonts w:ascii="Times New Roman" w:eastAsia="Times New Roman"/>
            </w:rPr>
          </w:pPr>
          <w:r>
            <w:fldChar w:fldCharType="begin"/>
          </w:r>
          <w:r>
            <w:instrText xml:space="preserve"> HYPERLINK \l "_bookmark42" </w:instrText>
          </w:r>
          <w:r>
            <w:fldChar w:fldCharType="separate"/>
          </w:r>
          <w:r>
            <w:t>第八</w:t>
          </w:r>
          <w:r>
            <w:rPr>
              <w:spacing w:val="-10"/>
            </w:rPr>
            <w:t>条</w:t>
          </w:r>
          <w:r>
            <w:tab/>
          </w:r>
          <w:r>
            <w:t>保险费自动垫</w:t>
          </w:r>
          <w:r>
            <w:rPr>
              <w:spacing w:val="-10"/>
            </w:rPr>
            <w:t>交</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5"/>
            <w:tabs>
              <w:tab w:val="left" w:pos="1881"/>
              <w:tab w:val="right" w:leader="dot" w:pos="8554"/>
            </w:tabs>
            <w:rPr>
              <w:rFonts w:ascii="Times New Roman" w:eastAsia="Times New Roman"/>
            </w:rPr>
          </w:pPr>
          <w:r>
            <w:fldChar w:fldCharType="begin"/>
          </w:r>
          <w:r>
            <w:instrText xml:space="preserve"> HYPERLINK \l "_bookmark43" </w:instrText>
          </w:r>
          <w:r>
            <w:fldChar w:fldCharType="separate"/>
          </w:r>
          <w:r>
            <w:t>第九</w:t>
          </w:r>
          <w:r>
            <w:rPr>
              <w:spacing w:val="-10"/>
            </w:rPr>
            <w:t>条</w:t>
          </w:r>
          <w:r>
            <w:tab/>
          </w:r>
          <w:r>
            <w:t>保单借</w:t>
          </w:r>
          <w:r>
            <w:rPr>
              <w:spacing w:val="-10"/>
            </w:rPr>
            <w:t>款</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5"/>
            <w:tabs>
              <w:tab w:val="left" w:pos="1881"/>
              <w:tab w:val="right" w:leader="dot" w:pos="8554"/>
            </w:tabs>
            <w:rPr>
              <w:rFonts w:ascii="Times New Roman" w:eastAsia="Times New Roman"/>
            </w:rPr>
          </w:pPr>
          <w:r>
            <w:fldChar w:fldCharType="begin"/>
          </w:r>
          <w:r>
            <w:instrText xml:space="preserve"> HYPERLINK \l "_bookmark44" </w:instrText>
          </w:r>
          <w:r>
            <w:fldChar w:fldCharType="separate"/>
          </w:r>
          <w:r>
            <w:t>第十</w:t>
          </w:r>
          <w:r>
            <w:rPr>
              <w:spacing w:val="-10"/>
            </w:rPr>
            <w:t>条</w:t>
          </w:r>
          <w:r>
            <w:tab/>
          </w:r>
          <w:r>
            <w:t>欠款扣</w:t>
          </w:r>
          <w:r>
            <w:rPr>
              <w:spacing w:val="-10"/>
            </w:rPr>
            <w:t>除</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4"/>
            <w:tabs>
              <w:tab w:val="left" w:pos="1522"/>
              <w:tab w:val="right" w:leader="dot" w:pos="8560"/>
            </w:tabs>
            <w:rPr>
              <w:rFonts w:ascii="Times New Roman" w:eastAsia="Times New Roman"/>
            </w:rPr>
          </w:pPr>
          <w:r>
            <w:fldChar w:fldCharType="begin"/>
          </w:r>
          <w:r>
            <w:instrText xml:space="preserve"> HYPERLINK \l "_bookmark45" </w:instrText>
          </w:r>
          <w:r>
            <w:fldChar w:fldCharType="separate"/>
          </w:r>
          <w:r>
            <w:rPr>
              <w:w w:val="95"/>
            </w:rPr>
            <w:t>第四</w:t>
          </w:r>
          <w:r>
            <w:rPr>
              <w:spacing w:val="-10"/>
              <w:w w:val="95"/>
            </w:rPr>
            <w:t>章</w:t>
          </w:r>
          <w:r>
            <w:tab/>
          </w:r>
          <w:r>
            <w:rPr>
              <w:w w:val="95"/>
            </w:rPr>
            <w:t>保险期间、保险合同成立与生效、复效、解除及终</w:t>
          </w:r>
          <w:r>
            <w:rPr>
              <w:spacing w:val="-10"/>
              <w:w w:val="95"/>
            </w:rPr>
            <w:t>止</w:t>
          </w:r>
          <w:r>
            <w:rPr>
              <w:rFonts w:ascii="Times New Roman" w:eastAsia="Times New Roman"/>
              <w:b w:val="0"/>
            </w:rPr>
            <w:tab/>
          </w:r>
          <w:r>
            <w:rPr>
              <w:rFonts w:ascii="Times New Roman" w:eastAsia="Times New Roman"/>
              <w:spacing w:val="-5"/>
            </w:rPr>
            <w:t>10</w:t>
          </w:r>
          <w:r>
            <w:rPr>
              <w:rFonts w:ascii="Times New Roman" w:eastAsia="Times New Roman"/>
              <w:spacing w:val="-5"/>
            </w:rPr>
            <w:fldChar w:fldCharType="end"/>
          </w:r>
        </w:p>
        <w:p>
          <w:pPr>
            <w:pStyle w:val="5"/>
            <w:tabs>
              <w:tab w:val="left" w:pos="1882"/>
              <w:tab w:val="right" w:leader="dot" w:pos="8554"/>
            </w:tabs>
            <w:rPr>
              <w:rFonts w:ascii="Times New Roman" w:eastAsia="Times New Roman"/>
            </w:rPr>
          </w:pPr>
          <w:r>
            <w:fldChar w:fldCharType="begin"/>
          </w:r>
          <w:r>
            <w:instrText xml:space="preserve"> HYPERLINK \l "_bookmark46" </w:instrText>
          </w:r>
          <w:r>
            <w:fldChar w:fldCharType="separate"/>
          </w:r>
          <w:r>
            <w:t>第十一</w:t>
          </w:r>
          <w:r>
            <w:rPr>
              <w:spacing w:val="-10"/>
            </w:rPr>
            <w:t>条</w:t>
          </w:r>
          <w:r>
            <w:tab/>
          </w:r>
          <w:r>
            <w:t>保险期</w:t>
          </w:r>
          <w:r>
            <w:rPr>
              <w:spacing w:val="-10"/>
            </w:rPr>
            <w:t>间</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5"/>
            <w:tabs>
              <w:tab w:val="left" w:pos="1882"/>
              <w:tab w:val="right" w:leader="dot" w:pos="8554"/>
            </w:tabs>
            <w:rPr>
              <w:rFonts w:ascii="Times New Roman" w:eastAsia="Times New Roman"/>
            </w:rPr>
          </w:pPr>
          <w:r>
            <w:fldChar w:fldCharType="begin"/>
          </w:r>
          <w:r>
            <w:instrText xml:space="preserve"> HYPERLINK \l "_bookmark47" </w:instrText>
          </w:r>
          <w:r>
            <w:fldChar w:fldCharType="separate"/>
          </w:r>
          <w:r>
            <w:t>第十二</w:t>
          </w:r>
          <w:r>
            <w:rPr>
              <w:spacing w:val="-10"/>
            </w:rPr>
            <w:t>条</w:t>
          </w:r>
          <w:r>
            <w:tab/>
          </w:r>
          <w:r>
            <w:t>保险合同成立与生</w:t>
          </w:r>
          <w:r>
            <w:rPr>
              <w:spacing w:val="-10"/>
            </w:rPr>
            <w:t>效</w:t>
          </w:r>
          <w:r>
            <w:rPr>
              <w:rFonts w:ascii="Times New Roman" w:eastAsia="Times New Roman"/>
            </w:rPr>
            <w:tab/>
          </w:r>
          <w:r>
            <w:rPr>
              <w:rFonts w:ascii="Times New Roman" w:eastAsia="Times New Roman"/>
              <w:spacing w:val="-5"/>
            </w:rPr>
            <w:t>10</w:t>
          </w:r>
          <w:r>
            <w:rPr>
              <w:rFonts w:ascii="Times New Roman" w:eastAsia="Times New Roman"/>
              <w:spacing w:val="-5"/>
            </w:rPr>
            <w:fldChar w:fldCharType="end"/>
          </w:r>
        </w:p>
        <w:p>
          <w:pPr>
            <w:pStyle w:val="5"/>
            <w:tabs>
              <w:tab w:val="left" w:pos="1882"/>
              <w:tab w:val="right" w:leader="dot" w:pos="8545"/>
            </w:tabs>
            <w:rPr>
              <w:rFonts w:ascii="Times New Roman" w:eastAsia="Times New Roman"/>
            </w:rPr>
          </w:pPr>
          <w:r>
            <w:fldChar w:fldCharType="begin"/>
          </w:r>
          <w:r>
            <w:instrText xml:space="preserve"> HYPERLINK \l "_bookmark50" </w:instrText>
          </w:r>
          <w:r>
            <w:fldChar w:fldCharType="separate"/>
          </w:r>
          <w:r>
            <w:t>第十三</w:t>
          </w:r>
          <w:r>
            <w:rPr>
              <w:spacing w:val="-10"/>
            </w:rPr>
            <w:t>条</w:t>
          </w:r>
          <w:r>
            <w:tab/>
          </w:r>
          <w:r>
            <w:t>合同效力恢</w:t>
          </w:r>
          <w:r>
            <w:rPr>
              <w:spacing w:val="-10"/>
            </w:rPr>
            <w:t>复</w:t>
          </w:r>
          <w:r>
            <w:rPr>
              <w:rFonts w:ascii="Times New Roman" w:eastAsia="Times New Roman"/>
            </w:rPr>
            <w:tab/>
          </w:r>
          <w:r>
            <w:rPr>
              <w:rFonts w:ascii="Times New Roman" w:eastAsia="Times New Roman"/>
              <w:spacing w:val="-5"/>
            </w:rPr>
            <w:t>11</w:t>
          </w:r>
          <w:r>
            <w:rPr>
              <w:rFonts w:ascii="Times New Roman" w:eastAsia="Times New Roman"/>
              <w:spacing w:val="-5"/>
            </w:rPr>
            <w:fldChar w:fldCharType="end"/>
          </w:r>
        </w:p>
        <w:p>
          <w:pPr>
            <w:pStyle w:val="5"/>
            <w:tabs>
              <w:tab w:val="left" w:pos="1882"/>
              <w:tab w:val="right" w:leader="dot" w:pos="8545"/>
            </w:tabs>
            <w:rPr>
              <w:rFonts w:ascii="Times New Roman" w:eastAsia="Times New Roman"/>
            </w:rPr>
          </w:pPr>
          <w:r>
            <w:fldChar w:fldCharType="begin"/>
          </w:r>
          <w:r>
            <w:instrText xml:space="preserve"> HYPERLINK \l "_bookmark51" </w:instrText>
          </w:r>
          <w:r>
            <w:fldChar w:fldCharType="separate"/>
          </w:r>
          <w:r>
            <w:t>第十四</w:t>
          </w:r>
          <w:r>
            <w:rPr>
              <w:spacing w:val="-10"/>
            </w:rPr>
            <w:t>条</w:t>
          </w:r>
          <w:r>
            <w:tab/>
          </w:r>
          <w:r>
            <w:t>投保人解除合</w:t>
          </w:r>
          <w:r>
            <w:rPr>
              <w:spacing w:val="-10"/>
            </w:rPr>
            <w:t>同</w:t>
          </w:r>
          <w:r>
            <w:rPr>
              <w:rFonts w:ascii="Times New Roman" w:eastAsia="Times New Roman"/>
            </w:rPr>
            <w:tab/>
          </w:r>
          <w:r>
            <w:rPr>
              <w:rFonts w:ascii="Times New Roman" w:eastAsia="Times New Roman"/>
              <w:spacing w:val="-5"/>
            </w:rPr>
            <w:t>11</w:t>
          </w:r>
          <w:r>
            <w:rPr>
              <w:rFonts w:ascii="Times New Roman" w:eastAsia="Times New Roman"/>
              <w:spacing w:val="-5"/>
            </w:rPr>
            <w:fldChar w:fldCharType="end"/>
          </w:r>
        </w:p>
        <w:p>
          <w:pPr>
            <w:pStyle w:val="5"/>
            <w:tabs>
              <w:tab w:val="left" w:pos="1882"/>
              <w:tab w:val="right" w:leader="dot" w:pos="8545"/>
            </w:tabs>
            <w:rPr>
              <w:rFonts w:ascii="Times New Roman" w:eastAsia="Times New Roman"/>
            </w:rPr>
          </w:pPr>
          <w:r>
            <w:fldChar w:fldCharType="begin"/>
          </w:r>
          <w:r>
            <w:instrText xml:space="preserve"> HYPERLINK \l "_bookmark52" </w:instrText>
          </w:r>
          <w:r>
            <w:fldChar w:fldCharType="separate"/>
          </w:r>
          <w:r>
            <w:t>第十五</w:t>
          </w:r>
          <w:r>
            <w:rPr>
              <w:spacing w:val="-10"/>
            </w:rPr>
            <w:t>条</w:t>
          </w:r>
          <w:r>
            <w:tab/>
          </w:r>
          <w:r>
            <w:t>合同效力终</w:t>
          </w:r>
          <w:r>
            <w:rPr>
              <w:spacing w:val="-10"/>
            </w:rPr>
            <w:t>止</w:t>
          </w:r>
          <w:r>
            <w:rPr>
              <w:rFonts w:ascii="Times New Roman" w:eastAsia="Times New Roman"/>
            </w:rPr>
            <w:tab/>
          </w:r>
          <w:r>
            <w:rPr>
              <w:rFonts w:ascii="Times New Roman" w:eastAsia="Times New Roman"/>
              <w:spacing w:val="-5"/>
            </w:rPr>
            <w:t>11</w:t>
          </w:r>
          <w:r>
            <w:rPr>
              <w:rFonts w:ascii="Times New Roman" w:eastAsia="Times New Roman"/>
              <w:spacing w:val="-5"/>
            </w:rPr>
            <w:fldChar w:fldCharType="end"/>
          </w:r>
        </w:p>
        <w:p>
          <w:pPr>
            <w:pStyle w:val="4"/>
            <w:tabs>
              <w:tab w:val="left" w:pos="1522"/>
              <w:tab w:val="right" w:leader="dot" w:pos="8548"/>
            </w:tabs>
            <w:spacing w:before="42"/>
            <w:rPr>
              <w:rFonts w:ascii="Times New Roman" w:eastAsia="Times New Roman"/>
            </w:rPr>
          </w:pPr>
          <w:r>
            <w:fldChar w:fldCharType="begin"/>
          </w:r>
          <w:r>
            <w:instrText xml:space="preserve"> HYPERLINK \l "_bookmark53" </w:instrText>
          </w:r>
          <w:r>
            <w:fldChar w:fldCharType="separate"/>
          </w:r>
          <w:r>
            <w:rPr>
              <w:w w:val="95"/>
            </w:rPr>
            <w:t>第五</w:t>
          </w:r>
          <w:r>
            <w:rPr>
              <w:spacing w:val="-10"/>
              <w:w w:val="95"/>
            </w:rPr>
            <w:t>章</w:t>
          </w:r>
          <w:r>
            <w:tab/>
          </w:r>
          <w:r>
            <w:rPr>
              <w:w w:val="95"/>
            </w:rPr>
            <w:t>保险金申</w:t>
          </w:r>
          <w:r>
            <w:rPr>
              <w:spacing w:val="-10"/>
              <w:w w:val="95"/>
            </w:rPr>
            <w:t>请</w:t>
          </w:r>
          <w:r>
            <w:rPr>
              <w:rFonts w:ascii="Times New Roman" w:eastAsia="Times New Roman"/>
              <w:b w:val="0"/>
            </w:rPr>
            <w:tab/>
          </w:r>
          <w:r>
            <w:rPr>
              <w:rFonts w:ascii="Times New Roman" w:eastAsia="Times New Roman"/>
              <w:spacing w:val="-5"/>
            </w:rPr>
            <w:t>11</w:t>
          </w:r>
          <w:r>
            <w:rPr>
              <w:rFonts w:ascii="Times New Roman" w:eastAsia="Times New Roman"/>
              <w:spacing w:val="-5"/>
            </w:rPr>
            <w:fldChar w:fldCharType="end"/>
          </w:r>
        </w:p>
        <w:p>
          <w:pPr>
            <w:pStyle w:val="5"/>
            <w:tabs>
              <w:tab w:val="left" w:pos="1882"/>
              <w:tab w:val="right" w:leader="dot" w:pos="8545"/>
            </w:tabs>
            <w:rPr>
              <w:rFonts w:ascii="Times New Roman" w:eastAsia="Times New Roman"/>
            </w:rPr>
          </w:pPr>
          <w:r>
            <w:fldChar w:fldCharType="begin"/>
          </w:r>
          <w:r>
            <w:instrText xml:space="preserve"> HYPERLINK \l "_bookmark54" </w:instrText>
          </w:r>
          <w:r>
            <w:fldChar w:fldCharType="separate"/>
          </w:r>
          <w:r>
            <w:t>第十六</w:t>
          </w:r>
          <w:r>
            <w:rPr>
              <w:spacing w:val="-10"/>
            </w:rPr>
            <w:t>条</w:t>
          </w:r>
          <w:r>
            <w:tab/>
          </w:r>
          <w:r>
            <w:t>保险事故通</w:t>
          </w:r>
          <w:r>
            <w:rPr>
              <w:spacing w:val="-10"/>
            </w:rPr>
            <w:t>知</w:t>
          </w:r>
          <w:r>
            <w:rPr>
              <w:rFonts w:ascii="Times New Roman" w:eastAsia="Times New Roman"/>
            </w:rPr>
            <w:tab/>
          </w:r>
          <w:r>
            <w:rPr>
              <w:rFonts w:ascii="Times New Roman" w:eastAsia="Times New Roman"/>
              <w:spacing w:val="-5"/>
            </w:rPr>
            <w:t>11</w:t>
          </w:r>
          <w:r>
            <w:rPr>
              <w:rFonts w:ascii="Times New Roman" w:eastAsia="Times New Roman"/>
              <w:spacing w:val="-5"/>
            </w:rPr>
            <w:fldChar w:fldCharType="end"/>
          </w:r>
        </w:p>
        <w:p>
          <w:pPr>
            <w:pStyle w:val="5"/>
            <w:tabs>
              <w:tab w:val="left" w:pos="1882"/>
              <w:tab w:val="right" w:leader="dot" w:pos="8545"/>
            </w:tabs>
            <w:rPr>
              <w:rFonts w:ascii="Times New Roman" w:eastAsia="Times New Roman"/>
            </w:rPr>
          </w:pPr>
          <w:r>
            <w:fldChar w:fldCharType="begin"/>
          </w:r>
          <w:r>
            <w:instrText xml:space="preserve"> HYPERLINK \l "_bookmark55" </w:instrText>
          </w:r>
          <w:r>
            <w:fldChar w:fldCharType="separate"/>
          </w:r>
          <w:r>
            <w:t>第十七</w:t>
          </w:r>
          <w:r>
            <w:rPr>
              <w:spacing w:val="-10"/>
            </w:rPr>
            <w:t>条</w:t>
          </w:r>
          <w:r>
            <w:tab/>
          </w:r>
          <w:r>
            <w:t>诉讼时</w:t>
          </w:r>
          <w:r>
            <w:rPr>
              <w:spacing w:val="-10"/>
            </w:rPr>
            <w:t>效</w:t>
          </w:r>
          <w:r>
            <w:rPr>
              <w:rFonts w:ascii="Times New Roman" w:eastAsia="Times New Roman"/>
            </w:rPr>
            <w:tab/>
          </w:r>
          <w:r>
            <w:rPr>
              <w:rFonts w:ascii="Times New Roman" w:eastAsia="Times New Roman"/>
              <w:spacing w:val="-5"/>
            </w:rPr>
            <w:t>11</w:t>
          </w:r>
          <w:r>
            <w:rPr>
              <w:rFonts w:ascii="Times New Roman" w:eastAsia="Times New Roman"/>
              <w:spacing w:val="-5"/>
            </w:rPr>
            <w:fldChar w:fldCharType="end"/>
          </w:r>
        </w:p>
        <w:p>
          <w:pPr>
            <w:pStyle w:val="5"/>
            <w:tabs>
              <w:tab w:val="left" w:pos="1882"/>
              <w:tab w:val="right" w:leader="dot" w:pos="8554"/>
            </w:tabs>
            <w:rPr>
              <w:rFonts w:ascii="Times New Roman" w:eastAsia="Times New Roman"/>
            </w:rPr>
          </w:pPr>
          <w:r>
            <w:fldChar w:fldCharType="begin"/>
          </w:r>
          <w:r>
            <w:instrText xml:space="preserve"> HYPERLINK \l "_bookmark58" </w:instrText>
          </w:r>
          <w:r>
            <w:fldChar w:fldCharType="separate"/>
          </w:r>
          <w:r>
            <w:t>第十八</w:t>
          </w:r>
          <w:r>
            <w:rPr>
              <w:spacing w:val="-10"/>
            </w:rPr>
            <w:t>条</w:t>
          </w:r>
          <w:r>
            <w:tab/>
          </w:r>
          <w:r>
            <w:t>保险金申</w:t>
          </w:r>
          <w:r>
            <w:rPr>
              <w:spacing w:val="-10"/>
            </w:rPr>
            <w:t>请</w:t>
          </w:r>
          <w:r>
            <w:rPr>
              <w:rFonts w:ascii="Times New Roman" w:eastAsia="Times New Roman"/>
            </w:rPr>
            <w:tab/>
          </w:r>
          <w:r>
            <w:rPr>
              <w:rFonts w:ascii="Times New Roman" w:eastAsia="Times New Roman"/>
              <w:spacing w:val="-5"/>
            </w:rPr>
            <w:t>12</w:t>
          </w:r>
          <w:r>
            <w:rPr>
              <w:rFonts w:ascii="Times New Roman" w:eastAsia="Times New Roman"/>
              <w:spacing w:val="-5"/>
            </w:rPr>
            <w:fldChar w:fldCharType="end"/>
          </w:r>
        </w:p>
        <w:p>
          <w:pPr>
            <w:pStyle w:val="5"/>
            <w:tabs>
              <w:tab w:val="left" w:pos="1881"/>
              <w:tab w:val="right" w:leader="dot" w:pos="8553"/>
            </w:tabs>
            <w:rPr>
              <w:rFonts w:ascii="Times New Roman" w:eastAsia="Times New Roman"/>
            </w:rPr>
          </w:pPr>
          <w:r>
            <w:fldChar w:fldCharType="begin"/>
          </w:r>
          <w:r>
            <w:instrText xml:space="preserve"> HYPERLINK \l "_bookmark59" </w:instrText>
          </w:r>
          <w:r>
            <w:fldChar w:fldCharType="separate"/>
          </w:r>
          <w:r>
            <w:t>第十九</w:t>
          </w:r>
          <w:r>
            <w:rPr>
              <w:spacing w:val="-10"/>
            </w:rPr>
            <w:t>条</w:t>
          </w:r>
          <w:r>
            <w:tab/>
          </w:r>
          <w:r>
            <w:t>保险金给</w:t>
          </w:r>
          <w:r>
            <w:rPr>
              <w:spacing w:val="-10"/>
            </w:rPr>
            <w:t>付</w:t>
          </w:r>
          <w:r>
            <w:rPr>
              <w:rFonts w:ascii="Times New Roman" w:eastAsia="Times New Roman"/>
            </w:rPr>
            <w:tab/>
          </w:r>
          <w:r>
            <w:rPr>
              <w:rFonts w:ascii="Times New Roman" w:eastAsia="Times New Roman"/>
              <w:spacing w:val="-5"/>
            </w:rPr>
            <w:t>12</w:t>
          </w:r>
          <w:r>
            <w:rPr>
              <w:rFonts w:ascii="Times New Roman" w:eastAsia="Times New Roman"/>
              <w:spacing w:val="-5"/>
            </w:rPr>
            <w:fldChar w:fldCharType="end"/>
          </w:r>
        </w:p>
        <w:p>
          <w:pPr>
            <w:pStyle w:val="5"/>
            <w:tabs>
              <w:tab w:val="left" w:pos="1881"/>
              <w:tab w:val="right" w:leader="dot" w:pos="8553"/>
            </w:tabs>
            <w:ind w:left="681"/>
            <w:rPr>
              <w:rFonts w:ascii="Times New Roman" w:eastAsia="Times New Roman"/>
            </w:rPr>
          </w:pPr>
          <w:r>
            <w:fldChar w:fldCharType="begin"/>
          </w:r>
          <w:r>
            <w:instrText xml:space="preserve"> HYPERLINK \l "_bookmark60" </w:instrText>
          </w:r>
          <w:r>
            <w:fldChar w:fldCharType="separate"/>
          </w:r>
          <w:r>
            <w:t>第二十</w:t>
          </w:r>
          <w:r>
            <w:rPr>
              <w:spacing w:val="-10"/>
            </w:rPr>
            <w:t>条</w:t>
          </w:r>
          <w:r>
            <w:tab/>
          </w:r>
          <w:r>
            <w:t>失踪处</w:t>
          </w:r>
          <w:r>
            <w:rPr>
              <w:spacing w:val="-10"/>
            </w:rPr>
            <w:t>理</w:t>
          </w:r>
          <w:r>
            <w:rPr>
              <w:rFonts w:ascii="Times New Roman" w:eastAsia="Times New Roman"/>
            </w:rPr>
            <w:tab/>
          </w:r>
          <w:r>
            <w:rPr>
              <w:rFonts w:ascii="Times New Roman" w:eastAsia="Times New Roman"/>
              <w:spacing w:val="-5"/>
            </w:rPr>
            <w:t>12</w:t>
          </w:r>
          <w:r>
            <w:rPr>
              <w:rFonts w:ascii="Times New Roman" w:eastAsia="Times New Roman"/>
              <w:spacing w:val="-5"/>
            </w:rPr>
            <w:fldChar w:fldCharType="end"/>
          </w:r>
        </w:p>
        <w:p>
          <w:pPr>
            <w:pStyle w:val="4"/>
            <w:tabs>
              <w:tab w:val="left" w:pos="1522"/>
              <w:tab w:val="right" w:leader="dot" w:pos="8560"/>
            </w:tabs>
            <w:rPr>
              <w:rFonts w:ascii="Times New Roman" w:eastAsia="Times New Roman"/>
            </w:rPr>
          </w:pPr>
          <w:r>
            <w:fldChar w:fldCharType="begin"/>
          </w:r>
          <w:r>
            <w:instrText xml:space="preserve"> HYPERLINK \l "_bookmark61" </w:instrText>
          </w:r>
          <w:r>
            <w:fldChar w:fldCharType="separate"/>
          </w:r>
          <w:r>
            <w:rPr>
              <w:w w:val="95"/>
            </w:rPr>
            <w:t>第六</w:t>
          </w:r>
          <w:r>
            <w:rPr>
              <w:spacing w:val="-10"/>
              <w:w w:val="95"/>
            </w:rPr>
            <w:t>章</w:t>
          </w:r>
          <w:r>
            <w:tab/>
          </w:r>
          <w:r>
            <w:rPr>
              <w:w w:val="95"/>
            </w:rPr>
            <w:t>一般条</w:t>
          </w:r>
          <w:r>
            <w:rPr>
              <w:spacing w:val="-10"/>
              <w:w w:val="95"/>
            </w:rPr>
            <w:t>款</w:t>
          </w:r>
          <w:r>
            <w:rPr>
              <w:rFonts w:ascii="Times New Roman" w:eastAsia="Times New Roman"/>
              <w:b w:val="0"/>
            </w:rPr>
            <w:tab/>
          </w:r>
          <w:r>
            <w:rPr>
              <w:rFonts w:ascii="Times New Roman" w:eastAsia="Times New Roman"/>
              <w:spacing w:val="-5"/>
            </w:rPr>
            <w:t>13</w:t>
          </w:r>
          <w:r>
            <w:rPr>
              <w:rFonts w:ascii="Times New Roman" w:eastAsia="Times New Roman"/>
              <w:spacing w:val="-5"/>
            </w:rPr>
            <w:fldChar w:fldCharType="end"/>
          </w:r>
        </w:p>
        <w:p>
          <w:pPr>
            <w:pStyle w:val="5"/>
            <w:tabs>
              <w:tab w:val="right" w:leader="dot" w:pos="8554"/>
            </w:tabs>
            <w:rPr>
              <w:rFonts w:ascii="Times New Roman" w:eastAsia="Times New Roman"/>
            </w:rPr>
          </w:pPr>
          <w:r>
            <w:fldChar w:fldCharType="begin"/>
          </w:r>
          <w:r>
            <w:instrText xml:space="preserve"> HYPERLINK \l "_bookmark62" </w:instrText>
          </w:r>
          <w:r>
            <w:fldChar w:fldCharType="separate"/>
          </w:r>
          <w:r>
            <w:t>第二十一条</w:t>
          </w:r>
          <w:r>
            <w:rPr>
              <w:spacing w:val="44"/>
            </w:rPr>
            <w:t xml:space="preserve"> </w:t>
          </w:r>
          <w:r>
            <w:t>如实告</w:t>
          </w:r>
          <w:r>
            <w:rPr>
              <w:spacing w:val="-10"/>
            </w:rPr>
            <w:t>知</w:t>
          </w:r>
          <w:r>
            <w:rPr>
              <w:rFonts w:ascii="Times New Roman" w:eastAsia="Times New Roman"/>
            </w:rPr>
            <w:tab/>
          </w:r>
          <w:r>
            <w:rPr>
              <w:rFonts w:ascii="Times New Roman" w:eastAsia="Times New Roman"/>
              <w:spacing w:val="-5"/>
            </w:rPr>
            <w:t>13</w:t>
          </w:r>
          <w:r>
            <w:rPr>
              <w:rFonts w:ascii="Times New Roman" w:eastAsia="Times New Roman"/>
              <w:spacing w:val="-5"/>
            </w:rPr>
            <w:fldChar w:fldCharType="end"/>
          </w:r>
        </w:p>
        <w:p>
          <w:pPr>
            <w:pStyle w:val="5"/>
            <w:tabs>
              <w:tab w:val="right" w:leader="dot" w:pos="8554"/>
            </w:tabs>
            <w:rPr>
              <w:rFonts w:ascii="Times New Roman" w:eastAsia="Times New Roman"/>
            </w:rPr>
          </w:pPr>
          <w:r>
            <w:fldChar w:fldCharType="begin"/>
          </w:r>
          <w:r>
            <w:instrText xml:space="preserve"> HYPERLINK \l "_bookmark63" </w:instrText>
          </w:r>
          <w:r>
            <w:fldChar w:fldCharType="separate"/>
          </w:r>
          <w:r>
            <w:t>第二十二条</w:t>
          </w:r>
          <w:r>
            <w:rPr>
              <w:spacing w:val="44"/>
            </w:rPr>
            <w:t xml:space="preserve"> </w:t>
          </w:r>
          <w:r>
            <w:t>年龄性别错</w:t>
          </w:r>
          <w:r>
            <w:rPr>
              <w:spacing w:val="-10"/>
            </w:rPr>
            <w:t>误</w:t>
          </w:r>
          <w:r>
            <w:rPr>
              <w:rFonts w:ascii="Times New Roman" w:eastAsia="Times New Roman"/>
            </w:rPr>
            <w:tab/>
          </w:r>
          <w:r>
            <w:rPr>
              <w:rFonts w:ascii="Times New Roman" w:eastAsia="Times New Roman"/>
              <w:spacing w:val="-5"/>
            </w:rPr>
            <w:t>13</w:t>
          </w:r>
          <w:r>
            <w:rPr>
              <w:rFonts w:ascii="Times New Roman" w:eastAsia="Times New Roman"/>
              <w:spacing w:val="-5"/>
            </w:rPr>
            <w:fldChar w:fldCharType="end"/>
          </w:r>
        </w:p>
        <w:p>
          <w:pPr>
            <w:pStyle w:val="5"/>
            <w:tabs>
              <w:tab w:val="right" w:leader="dot" w:pos="8554"/>
            </w:tabs>
            <w:rPr>
              <w:rFonts w:ascii="Times New Roman" w:eastAsia="Times New Roman"/>
            </w:rPr>
          </w:pPr>
          <w:r>
            <w:fldChar w:fldCharType="begin"/>
          </w:r>
          <w:r>
            <w:instrText xml:space="preserve"> HYPERLINK \l "_bookmark64" </w:instrText>
          </w:r>
          <w:r>
            <w:fldChar w:fldCharType="separate"/>
          </w:r>
          <w:r>
            <w:t>第二十三条</w:t>
          </w:r>
          <w:r>
            <w:rPr>
              <w:spacing w:val="44"/>
            </w:rPr>
            <w:t xml:space="preserve"> </w:t>
          </w:r>
          <w:r>
            <w:t>犹豫</w:t>
          </w:r>
          <w:r>
            <w:rPr>
              <w:spacing w:val="-10"/>
            </w:rPr>
            <w:t>期</w:t>
          </w:r>
          <w:r>
            <w:rPr>
              <w:rFonts w:ascii="Times New Roman" w:eastAsia="Times New Roman"/>
            </w:rPr>
            <w:tab/>
          </w:r>
          <w:r>
            <w:rPr>
              <w:rFonts w:ascii="Times New Roman" w:eastAsia="Times New Roman"/>
              <w:spacing w:val="-5"/>
            </w:rPr>
            <w:t>13</w:t>
          </w:r>
          <w:r>
            <w:rPr>
              <w:rFonts w:ascii="Times New Roman" w:eastAsia="Times New Roman"/>
              <w:spacing w:val="-5"/>
            </w:rPr>
            <w:fldChar w:fldCharType="end"/>
          </w:r>
        </w:p>
        <w:p>
          <w:pPr>
            <w:pStyle w:val="5"/>
            <w:tabs>
              <w:tab w:val="right" w:leader="dot" w:pos="8553"/>
            </w:tabs>
            <w:rPr>
              <w:rFonts w:ascii="Times New Roman" w:eastAsia="Times New Roman"/>
            </w:rPr>
          </w:pPr>
          <w:r>
            <w:fldChar w:fldCharType="begin"/>
          </w:r>
          <w:r>
            <w:instrText xml:space="preserve"> HYPERLINK \l "_bookmark65" </w:instrText>
          </w:r>
          <w:r>
            <w:fldChar w:fldCharType="separate"/>
          </w:r>
          <w:r>
            <w:t>第二十四条</w:t>
          </w:r>
          <w:r>
            <w:rPr>
              <w:spacing w:val="44"/>
            </w:rPr>
            <w:t xml:space="preserve"> </w:t>
          </w:r>
          <w:r>
            <w:t>受益人指定与变</w:t>
          </w:r>
          <w:r>
            <w:rPr>
              <w:spacing w:val="-10"/>
            </w:rPr>
            <w:t>更</w:t>
          </w:r>
          <w:r>
            <w:rPr>
              <w:rFonts w:ascii="Times New Roman" w:eastAsia="Times New Roman"/>
            </w:rPr>
            <w:tab/>
          </w:r>
          <w:r>
            <w:rPr>
              <w:rFonts w:ascii="Times New Roman" w:eastAsia="Times New Roman"/>
              <w:spacing w:val="-5"/>
            </w:rPr>
            <w:t>14</w:t>
          </w:r>
          <w:r>
            <w:rPr>
              <w:rFonts w:ascii="Times New Roman" w:eastAsia="Times New Roman"/>
              <w:spacing w:val="-5"/>
            </w:rPr>
            <w:fldChar w:fldCharType="end"/>
          </w:r>
        </w:p>
        <w:p>
          <w:pPr>
            <w:pStyle w:val="5"/>
            <w:tabs>
              <w:tab w:val="right" w:leader="dot" w:pos="8553"/>
            </w:tabs>
            <w:ind w:left="681"/>
            <w:rPr>
              <w:rFonts w:ascii="Times New Roman" w:eastAsia="Times New Roman"/>
            </w:rPr>
          </w:pPr>
          <w:r>
            <w:fldChar w:fldCharType="begin"/>
          </w:r>
          <w:r>
            <w:instrText xml:space="preserve"> HYPERLINK \l "_bookmark66" </w:instrText>
          </w:r>
          <w:r>
            <w:fldChar w:fldCharType="separate"/>
          </w:r>
          <w:r>
            <w:t>第二十五条</w:t>
          </w:r>
          <w:r>
            <w:rPr>
              <w:spacing w:val="44"/>
            </w:rPr>
            <w:t xml:space="preserve"> </w:t>
          </w:r>
          <w:r>
            <w:t>合同内容变</w:t>
          </w:r>
          <w:r>
            <w:rPr>
              <w:spacing w:val="-10"/>
            </w:rPr>
            <w:t>更</w:t>
          </w:r>
          <w:r>
            <w:rPr>
              <w:rFonts w:ascii="Times New Roman" w:eastAsia="Times New Roman"/>
            </w:rPr>
            <w:tab/>
          </w:r>
          <w:r>
            <w:rPr>
              <w:rFonts w:ascii="Times New Roman" w:eastAsia="Times New Roman"/>
              <w:spacing w:val="-5"/>
            </w:rPr>
            <w:t>14</w:t>
          </w:r>
          <w:r>
            <w:rPr>
              <w:rFonts w:ascii="Times New Roman" w:eastAsia="Times New Roman"/>
              <w:spacing w:val="-5"/>
            </w:rPr>
            <w:fldChar w:fldCharType="end"/>
          </w:r>
        </w:p>
        <w:p>
          <w:pPr>
            <w:pStyle w:val="5"/>
            <w:tabs>
              <w:tab w:val="right" w:leader="dot" w:pos="8553"/>
            </w:tabs>
            <w:ind w:left="681"/>
            <w:rPr>
              <w:rFonts w:ascii="Times New Roman" w:eastAsia="Times New Roman"/>
            </w:rPr>
          </w:pPr>
          <w:r>
            <w:fldChar w:fldCharType="begin"/>
          </w:r>
          <w:r>
            <w:instrText xml:space="preserve"> HYPERLINK \l "_bookmark67" </w:instrText>
          </w:r>
          <w:r>
            <w:fldChar w:fldCharType="separate"/>
          </w:r>
          <w:r>
            <w:t>第二十六条</w:t>
          </w:r>
          <w:r>
            <w:rPr>
              <w:spacing w:val="44"/>
            </w:rPr>
            <w:t xml:space="preserve"> </w:t>
          </w:r>
          <w:r>
            <w:t>通讯地址变</w:t>
          </w:r>
          <w:r>
            <w:rPr>
              <w:spacing w:val="-10"/>
            </w:rPr>
            <w:t>更</w:t>
          </w:r>
          <w:r>
            <w:rPr>
              <w:rFonts w:ascii="Times New Roman" w:eastAsia="Times New Roman"/>
            </w:rPr>
            <w:tab/>
          </w:r>
          <w:r>
            <w:rPr>
              <w:rFonts w:ascii="Times New Roman" w:eastAsia="Times New Roman"/>
              <w:spacing w:val="-5"/>
            </w:rPr>
            <w:t>14</w:t>
          </w:r>
          <w:r>
            <w:rPr>
              <w:rFonts w:ascii="Times New Roman" w:eastAsia="Times New Roman"/>
              <w:spacing w:val="-5"/>
            </w:rPr>
            <w:fldChar w:fldCharType="end"/>
          </w:r>
        </w:p>
        <w:p>
          <w:pPr>
            <w:pStyle w:val="5"/>
            <w:tabs>
              <w:tab w:val="right" w:leader="dot" w:pos="8553"/>
            </w:tabs>
            <w:ind w:left="681"/>
            <w:rPr>
              <w:rFonts w:ascii="Times New Roman" w:eastAsia="Times New Roman"/>
            </w:rPr>
          </w:pPr>
          <w:r>
            <w:fldChar w:fldCharType="begin"/>
          </w:r>
          <w:r>
            <w:instrText xml:space="preserve"> HYPERLINK \l "_bookmark68" </w:instrText>
          </w:r>
          <w:r>
            <w:fldChar w:fldCharType="separate"/>
          </w:r>
          <w:r>
            <w:t>第二十七条</w:t>
          </w:r>
          <w:r>
            <w:rPr>
              <w:spacing w:val="44"/>
            </w:rPr>
            <w:t xml:space="preserve"> </w:t>
          </w:r>
          <w:r>
            <w:t>司法鉴</w:t>
          </w:r>
          <w:r>
            <w:rPr>
              <w:spacing w:val="-10"/>
            </w:rPr>
            <w:t>定</w:t>
          </w:r>
          <w:r>
            <w:rPr>
              <w:rFonts w:ascii="Times New Roman" w:eastAsia="Times New Roman"/>
            </w:rPr>
            <w:tab/>
          </w:r>
          <w:r>
            <w:rPr>
              <w:rFonts w:ascii="Times New Roman" w:eastAsia="Times New Roman"/>
              <w:spacing w:val="-5"/>
            </w:rPr>
            <w:t>14</w:t>
          </w:r>
          <w:r>
            <w:rPr>
              <w:rFonts w:ascii="Times New Roman" w:eastAsia="Times New Roman"/>
              <w:spacing w:val="-5"/>
            </w:rPr>
            <w:fldChar w:fldCharType="end"/>
          </w:r>
        </w:p>
      </w:sdtContent>
    </w:sdt>
    <w:p>
      <w:pPr>
        <w:spacing w:after="0"/>
        <w:rPr>
          <w:rFonts w:ascii="Times New Roman" w:eastAsia="Times New Roman"/>
        </w:rPr>
        <w:sectPr>
          <w:footerReference r:id="rId5" w:type="default"/>
          <w:type w:val="continuous"/>
          <w:pgSz w:w="11910" w:h="16840"/>
          <w:pgMar w:top="1400" w:right="1160" w:bottom="1340" w:left="1540" w:header="0" w:footer="1142" w:gutter="0"/>
          <w:pgNumType w:start="1"/>
          <w:cols w:space="720" w:num="1"/>
        </w:sectPr>
      </w:pPr>
    </w:p>
    <w:p>
      <w:pPr>
        <w:pStyle w:val="3"/>
        <w:tabs>
          <w:tab w:val="right" w:leader="dot" w:pos="8554"/>
        </w:tabs>
        <w:spacing w:before="62"/>
        <w:ind w:left="682"/>
        <w:rPr>
          <w:rFonts w:ascii="Times New Roman" w:eastAsia="Times New Roman"/>
        </w:rPr>
      </w:pPr>
      <w:r>
        <w:fldChar w:fldCharType="begin"/>
      </w:r>
      <w:r>
        <w:instrText xml:space="preserve"> HYPERLINK \l "_bookmark69" </w:instrText>
      </w:r>
      <w:r>
        <w:fldChar w:fldCharType="separate"/>
      </w:r>
      <w:r>
        <w:t>第二十八条</w:t>
      </w:r>
      <w:r>
        <w:rPr>
          <w:spacing w:val="44"/>
        </w:rPr>
        <w:t xml:space="preserve"> </w:t>
      </w:r>
      <w:r>
        <w:t>争议处</w:t>
      </w:r>
      <w:r>
        <w:rPr>
          <w:spacing w:val="-10"/>
        </w:rPr>
        <w:t>理</w:t>
      </w:r>
      <w:r>
        <w:rPr>
          <w:rFonts w:ascii="Times New Roman" w:eastAsia="Times New Roman"/>
        </w:rPr>
        <w:tab/>
      </w:r>
      <w:r>
        <w:rPr>
          <w:rFonts w:ascii="Times New Roman" w:eastAsia="Times New Roman"/>
          <w:spacing w:val="-5"/>
        </w:rPr>
        <w:t>14</w:t>
      </w:r>
      <w:r>
        <w:rPr>
          <w:rFonts w:ascii="Times New Roman" w:eastAsia="Times New Roman"/>
          <w:spacing w:val="-5"/>
        </w:rPr>
        <w:fldChar w:fldCharType="end"/>
      </w:r>
    </w:p>
    <w:p>
      <w:pPr>
        <w:pStyle w:val="2"/>
        <w:tabs>
          <w:tab w:val="left" w:pos="1522"/>
          <w:tab w:val="right" w:leader="dot" w:pos="8560"/>
        </w:tabs>
        <w:spacing w:before="43"/>
        <w:ind w:left="262"/>
        <w:jc w:val="left"/>
        <w:rPr>
          <w:rFonts w:ascii="Times New Roman" w:eastAsia="Times New Roman"/>
        </w:rPr>
      </w:pPr>
      <w:r>
        <w:fldChar w:fldCharType="begin"/>
      </w:r>
      <w:r>
        <w:instrText xml:space="preserve"> HYPERLINK \l "_bookmark70" </w:instrText>
      </w:r>
      <w:r>
        <w:fldChar w:fldCharType="separate"/>
      </w:r>
      <w:r>
        <w:rPr>
          <w:w w:val="95"/>
        </w:rPr>
        <w:t>第七</w:t>
      </w:r>
      <w:r>
        <w:rPr>
          <w:spacing w:val="-10"/>
          <w:w w:val="95"/>
        </w:rPr>
        <w:t>章</w:t>
      </w:r>
      <w:r>
        <w:tab/>
      </w:r>
      <w:r>
        <w:rPr>
          <w:w w:val="95"/>
        </w:rPr>
        <w:t>附</w:t>
      </w:r>
      <w:r>
        <w:rPr>
          <w:spacing w:val="-10"/>
        </w:rPr>
        <w:t>表</w:t>
      </w:r>
      <w:r>
        <w:rPr>
          <w:rFonts w:ascii="Times New Roman" w:eastAsia="Times New Roman"/>
          <w:b w:val="0"/>
        </w:rPr>
        <w:tab/>
      </w:r>
      <w:r>
        <w:rPr>
          <w:rFonts w:ascii="Times New Roman" w:eastAsia="Times New Roman"/>
          <w:spacing w:val="-5"/>
        </w:rPr>
        <w:t>15</w:t>
      </w:r>
      <w:r>
        <w:rPr>
          <w:rFonts w:ascii="Times New Roman" w:eastAsia="Times New Roman"/>
          <w:spacing w:val="-5"/>
        </w:rPr>
        <w:fldChar w:fldCharType="end"/>
      </w:r>
    </w:p>
    <w:p>
      <w:pPr>
        <w:pStyle w:val="3"/>
        <w:tabs>
          <w:tab w:val="right" w:leader="dot" w:pos="8554"/>
        </w:tabs>
        <w:spacing w:before="43"/>
        <w:ind w:left="682"/>
        <w:rPr>
          <w:rFonts w:ascii="Times New Roman" w:eastAsia="Times New Roman"/>
        </w:rPr>
      </w:pPr>
      <w:r>
        <w:fldChar w:fldCharType="begin"/>
      </w:r>
      <w:r>
        <w:instrText xml:space="preserve"> HYPERLINK \l "_bookmark71" </w:instrText>
      </w:r>
      <w:r>
        <w:fldChar w:fldCharType="separate"/>
      </w:r>
      <w:r>
        <w:t>附表一：轻症疾病种类</w:t>
      </w:r>
      <w:r>
        <w:rPr>
          <w:spacing w:val="-10"/>
        </w:rPr>
        <w:t>表</w:t>
      </w:r>
      <w:r>
        <w:rPr>
          <w:rFonts w:ascii="Times New Roman" w:eastAsia="Times New Roman"/>
        </w:rPr>
        <w:tab/>
      </w:r>
      <w:r>
        <w:rPr>
          <w:rFonts w:ascii="Times New Roman" w:eastAsia="Times New Roman"/>
          <w:spacing w:val="-5"/>
        </w:rPr>
        <w:t>15</w:t>
      </w:r>
      <w:r>
        <w:rPr>
          <w:rFonts w:ascii="Times New Roman" w:eastAsia="Times New Roman"/>
          <w:spacing w:val="-5"/>
        </w:rPr>
        <w:fldChar w:fldCharType="end"/>
      </w:r>
    </w:p>
    <w:p>
      <w:pPr>
        <w:pStyle w:val="3"/>
        <w:tabs>
          <w:tab w:val="right" w:leader="dot" w:pos="8554"/>
        </w:tabs>
        <w:spacing w:before="43"/>
        <w:ind w:left="682"/>
        <w:rPr>
          <w:rFonts w:ascii="Times New Roman" w:eastAsia="Times New Roman"/>
        </w:rPr>
      </w:pPr>
      <w:r>
        <w:fldChar w:fldCharType="begin"/>
      </w:r>
      <w:r>
        <w:instrText xml:space="preserve"> HYPERLINK \l "_bookmark81" </w:instrText>
      </w:r>
      <w:r>
        <w:fldChar w:fldCharType="separate"/>
      </w:r>
      <w:r>
        <w:t>附表二：中症疾病种类</w:t>
      </w:r>
      <w:r>
        <w:rPr>
          <w:spacing w:val="-10"/>
        </w:rPr>
        <w:t>表</w:t>
      </w:r>
      <w:r>
        <w:rPr>
          <w:rFonts w:ascii="Times New Roman" w:eastAsia="Times New Roman"/>
        </w:rPr>
        <w:tab/>
      </w:r>
      <w:r>
        <w:rPr>
          <w:rFonts w:ascii="Times New Roman" w:eastAsia="Times New Roman"/>
          <w:spacing w:val="-5"/>
        </w:rPr>
        <w:t>24</w:t>
      </w:r>
      <w:r>
        <w:rPr>
          <w:rFonts w:ascii="Times New Roman" w:eastAsia="Times New Roman"/>
          <w:spacing w:val="-5"/>
        </w:rPr>
        <w:fldChar w:fldCharType="end"/>
      </w:r>
    </w:p>
    <w:p>
      <w:pPr>
        <w:pStyle w:val="3"/>
        <w:tabs>
          <w:tab w:val="right" w:leader="dot" w:pos="8554"/>
        </w:tabs>
        <w:spacing w:before="43"/>
        <w:ind w:left="682"/>
        <w:rPr>
          <w:rFonts w:ascii="Times New Roman" w:eastAsia="Times New Roman"/>
        </w:rPr>
      </w:pPr>
      <w:r>
        <w:fldChar w:fldCharType="begin"/>
      </w:r>
      <w:r>
        <w:instrText xml:space="preserve"> HYPERLINK \l "_bookmark82" </w:instrText>
      </w:r>
      <w:r>
        <w:fldChar w:fldCharType="separate"/>
      </w:r>
      <w:r>
        <w:t>附表三：重大疾病种类</w:t>
      </w:r>
      <w:r>
        <w:rPr>
          <w:spacing w:val="-10"/>
        </w:rPr>
        <w:t>表</w:t>
      </w:r>
      <w:r>
        <w:rPr>
          <w:rFonts w:ascii="Times New Roman" w:eastAsia="Times New Roman"/>
        </w:rPr>
        <w:tab/>
      </w:r>
      <w:r>
        <w:rPr>
          <w:rFonts w:ascii="Times New Roman" w:eastAsia="Times New Roman"/>
          <w:spacing w:val="-5"/>
        </w:rPr>
        <w:t>27</w:t>
      </w:r>
      <w:r>
        <w:rPr>
          <w:rFonts w:ascii="Times New Roman" w:eastAsia="Times New Roman"/>
          <w:spacing w:val="-5"/>
        </w:rPr>
        <w:fldChar w:fldCharType="end"/>
      </w:r>
    </w:p>
    <w:p>
      <w:pPr>
        <w:spacing w:after="0"/>
        <w:rPr>
          <w:rFonts w:ascii="Times New Roman" w:eastAsia="Times New Roman"/>
        </w:rPr>
        <w:sectPr>
          <w:pgSz w:w="11910" w:h="16840"/>
          <w:pgMar w:top="1380" w:right="1160" w:bottom="1340" w:left="1540" w:header="0" w:footer="1142" w:gutter="0"/>
          <w:cols w:space="720" w:num="1"/>
        </w:sectPr>
      </w:pPr>
    </w:p>
    <w:p>
      <w:pPr>
        <w:pStyle w:val="3"/>
        <w:spacing w:before="62" w:line="278" w:lineRule="auto"/>
        <w:ind w:right="635" w:hanging="1"/>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2"/>
        </w:rPr>
        <w:t>均指长生人寿保险有限公司</w:t>
      </w:r>
      <w:r>
        <w:rPr>
          <w:rFonts w:ascii="Times New Roman" w:hAnsi="Times New Roman" w:eastAsia="Times New Roman"/>
          <w:spacing w:val="-2"/>
        </w:rPr>
        <w:t>,“</w:t>
      </w:r>
      <w:r>
        <w:rPr>
          <w:spacing w:val="-2"/>
        </w:rPr>
        <w:t>本合同</w:t>
      </w:r>
      <w:r>
        <w:rPr>
          <w:rFonts w:ascii="Times New Roman" w:hAnsi="Times New Roman" w:eastAsia="Times New Roman"/>
          <w:spacing w:val="-2"/>
        </w:rPr>
        <w:t>”</w:t>
      </w:r>
      <w:r>
        <w:rPr>
          <w:spacing w:val="-2"/>
        </w:rPr>
        <w:t>指您与我们之间订立的《长生长生福至尊重大疾病保险》合同。</w:t>
      </w:r>
    </w:p>
    <w:p>
      <w:pPr>
        <w:pStyle w:val="3"/>
        <w:spacing w:before="4"/>
        <w:ind w:left="0"/>
        <w:rPr>
          <w:sz w:val="24"/>
        </w:rPr>
      </w:pPr>
    </w:p>
    <w:p>
      <w:pPr>
        <w:pStyle w:val="2"/>
        <w:ind w:left="2896" w:right="3275"/>
      </w:pPr>
      <w:bookmarkStart w:id="0" w:name="_bookmark0"/>
      <w:bookmarkEnd w:id="0"/>
      <w:r>
        <w:rPr>
          <w:w w:val="95"/>
        </w:rPr>
        <w:t>第一章</w:t>
      </w:r>
      <w:r>
        <w:rPr>
          <w:spacing w:val="45"/>
          <w:w w:val="150"/>
        </w:rPr>
        <w:t xml:space="preserve"> </w:t>
      </w:r>
      <w:r>
        <w:rPr>
          <w:w w:val="95"/>
        </w:rPr>
        <w:t>保险合同构成及投保范</w:t>
      </w:r>
      <w:r>
        <w:rPr>
          <w:spacing w:val="-10"/>
          <w:w w:val="95"/>
        </w:rPr>
        <w:t>围</w:t>
      </w:r>
    </w:p>
    <w:p>
      <w:pPr>
        <w:pStyle w:val="3"/>
        <w:spacing w:before="9"/>
        <w:ind w:left="0"/>
        <w:rPr>
          <w:b/>
          <w:sz w:val="27"/>
        </w:rPr>
      </w:pPr>
    </w:p>
    <w:p>
      <w:pPr>
        <w:pStyle w:val="3"/>
        <w:tabs>
          <w:tab w:val="left" w:pos="1517"/>
        </w:tabs>
      </w:pPr>
      <w:bookmarkStart w:id="1" w:name="_bookmark1"/>
      <w:bookmarkEnd w:id="1"/>
      <w:r>
        <w:t>第一</w:t>
      </w:r>
      <w:r>
        <w:rPr>
          <w:spacing w:val="-10"/>
        </w:rPr>
        <w:t>条</w:t>
      </w:r>
      <w:r>
        <w:tab/>
      </w:r>
      <w:r>
        <w:t>保险合同构</w:t>
      </w:r>
      <w:r>
        <w:rPr>
          <w:spacing w:val="-10"/>
        </w:rPr>
        <w:t>成</w:t>
      </w:r>
    </w:p>
    <w:p>
      <w:pPr>
        <w:pStyle w:val="3"/>
        <w:spacing w:before="43" w:line="278" w:lineRule="auto"/>
        <w:ind w:right="530"/>
      </w:pPr>
      <w:r>
        <w:rPr>
          <w:spacing w:val="-2"/>
        </w:rPr>
        <w:t>本合同由保险单及其所附条款、声明、批注，以及与本合同有关的投保单、其他投保文件、体检报告书、效力恢复申请书及其他约定书共同构成。</w:t>
      </w:r>
    </w:p>
    <w:p>
      <w:pPr>
        <w:pStyle w:val="3"/>
        <w:spacing w:before="4"/>
        <w:ind w:left="0"/>
        <w:rPr>
          <w:sz w:val="24"/>
        </w:rPr>
      </w:pPr>
    </w:p>
    <w:p>
      <w:pPr>
        <w:pStyle w:val="3"/>
        <w:tabs>
          <w:tab w:val="left" w:pos="1517"/>
        </w:tabs>
      </w:pPr>
      <w:bookmarkStart w:id="2" w:name="_bookmark2"/>
      <w:bookmarkEnd w:id="2"/>
      <w:r>
        <w:t>第二</w:t>
      </w:r>
      <w:r>
        <w:rPr>
          <w:spacing w:val="-10"/>
        </w:rPr>
        <w:t>条</w:t>
      </w:r>
      <w:r>
        <w:tab/>
      </w:r>
      <w:r>
        <w:t>投保范</w:t>
      </w:r>
      <w:r>
        <w:rPr>
          <w:spacing w:val="-10"/>
        </w:rPr>
        <w:t>围</w:t>
      </w:r>
    </w:p>
    <w:p>
      <w:pPr>
        <w:pStyle w:val="3"/>
        <w:spacing w:before="43"/>
        <w:jc w:val="both"/>
      </w:pPr>
      <w:r>
        <w:rPr>
          <w:w w:val="95"/>
        </w:rPr>
        <w:t>本合同接受的被保险人的投保年龄为出生满三十天至六十五</w:t>
      </w:r>
      <w:r>
        <w:rPr>
          <w:b/>
          <w:w w:val="95"/>
        </w:rPr>
        <w:t>周岁</w:t>
      </w:r>
      <w:r>
        <w:rPr>
          <w:b/>
          <w:spacing w:val="72"/>
        </w:rPr>
        <w:t xml:space="preserve">  </w:t>
      </w:r>
      <w:r>
        <w:fldChar w:fldCharType="begin"/>
      </w:r>
      <w:r>
        <w:instrText xml:space="preserve"> HYPERLINK \l "_bookmark5" </w:instrText>
      </w:r>
      <w:r>
        <w:fldChar w:fldCharType="separate"/>
      </w:r>
      <w:r>
        <w:rPr>
          <w:rFonts w:ascii="Times New Roman" w:eastAsia="Times New Roman"/>
          <w:b/>
          <w:w w:val="95"/>
          <w:vertAlign w:val="superscript"/>
        </w:rPr>
        <w:t>1</w:t>
      </w:r>
      <w:r>
        <w:rPr>
          <w:rFonts w:ascii="Times New Roman" w:eastAsia="Times New Roman"/>
          <w:b/>
          <w:w w:val="95"/>
          <w:vertAlign w:val="superscript"/>
        </w:rPr>
        <w:fldChar w:fldCharType="end"/>
      </w:r>
      <w:r>
        <w:rPr>
          <w:spacing w:val="-10"/>
          <w:w w:val="95"/>
          <w:vertAlign w:val="baseline"/>
        </w:rPr>
        <w:t>。</w:t>
      </w:r>
    </w:p>
    <w:p>
      <w:pPr>
        <w:pStyle w:val="3"/>
        <w:spacing w:before="9"/>
        <w:ind w:left="0"/>
        <w:rPr>
          <w:sz w:val="27"/>
        </w:rPr>
      </w:pPr>
    </w:p>
    <w:p>
      <w:pPr>
        <w:pStyle w:val="2"/>
        <w:ind w:left="2847" w:right="3222"/>
      </w:pPr>
      <w:bookmarkStart w:id="3" w:name="_bookmark3"/>
      <w:bookmarkEnd w:id="3"/>
      <w:r>
        <w:rPr>
          <w:w w:val="95"/>
        </w:rPr>
        <w:t>第二章</w:t>
      </w:r>
      <w:r>
        <w:rPr>
          <w:spacing w:val="28"/>
          <w:w w:val="150"/>
        </w:rPr>
        <w:t xml:space="preserve"> </w:t>
      </w:r>
      <w:r>
        <w:rPr>
          <w:w w:val="95"/>
        </w:rPr>
        <w:t>保险责任及责任免</w:t>
      </w:r>
      <w:r>
        <w:rPr>
          <w:spacing w:val="-10"/>
          <w:w w:val="95"/>
        </w:rPr>
        <w:t>除</w:t>
      </w:r>
    </w:p>
    <w:p>
      <w:pPr>
        <w:pStyle w:val="3"/>
        <w:spacing w:before="9"/>
        <w:ind w:left="0"/>
        <w:rPr>
          <w:b/>
          <w:sz w:val="27"/>
        </w:rPr>
      </w:pPr>
    </w:p>
    <w:p>
      <w:pPr>
        <w:pStyle w:val="3"/>
        <w:tabs>
          <w:tab w:val="left" w:pos="1517"/>
        </w:tabs>
        <w:spacing w:line="278" w:lineRule="auto"/>
        <w:ind w:right="6846" w:hanging="1"/>
      </w:pPr>
      <w:bookmarkStart w:id="4" w:name="_bookmark4"/>
      <w:bookmarkEnd w:id="4"/>
      <w:r>
        <w:rPr>
          <w:spacing w:val="-4"/>
        </w:rPr>
        <w:t>第三条</w:t>
      </w:r>
      <w:r>
        <w:tab/>
      </w:r>
      <w:r>
        <w:rPr>
          <w:spacing w:val="-4"/>
        </w:rPr>
        <w:t>保险责任</w:t>
      </w:r>
      <w:r>
        <w:rPr>
          <w:spacing w:val="-2"/>
        </w:rPr>
        <w:t>一、轻症疾病保险金</w:t>
      </w:r>
    </w:p>
    <w:p>
      <w:pPr>
        <w:spacing w:before="0" w:line="278" w:lineRule="auto"/>
        <w:ind w:left="257" w:right="633" w:firstLine="0"/>
        <w:jc w:val="both"/>
        <w:rPr>
          <w:rFonts w:ascii="黑体" w:eastAsia="黑体"/>
          <w:sz w:val="21"/>
        </w:rPr>
      </w:pPr>
      <w:r>
        <w:rPr>
          <w:sz w:val="21"/>
        </w:rPr>
        <w:t>若本合同有效，且被保险人于等待期内因</w:t>
      </w:r>
      <w:r>
        <w:rPr>
          <w:b/>
          <w:sz w:val="21"/>
        </w:rPr>
        <w:t>意外伤害</w:t>
      </w:r>
      <w:r>
        <w:rPr>
          <w:b/>
          <w:spacing w:val="-27"/>
          <w:sz w:val="21"/>
        </w:rPr>
        <w:t xml:space="preserve"> </w:t>
      </w:r>
      <w:r>
        <w:fldChar w:fldCharType="begin"/>
      </w:r>
      <w:r>
        <w:instrText xml:space="preserve"> HYPERLINK \l "_bookmark6" </w:instrText>
      </w:r>
      <w:r>
        <w:fldChar w:fldCharType="separate"/>
      </w:r>
      <w:r>
        <w:rPr>
          <w:rFonts w:ascii="Times New Roman" w:eastAsia="Times New Roman"/>
          <w:b/>
          <w:sz w:val="21"/>
          <w:vertAlign w:val="superscript"/>
        </w:rPr>
        <w:t>2</w:t>
      </w:r>
      <w:r>
        <w:rPr>
          <w:rFonts w:ascii="Times New Roman" w:eastAsia="Times New Roman"/>
          <w:b/>
          <w:sz w:val="21"/>
          <w:vertAlign w:val="superscript"/>
        </w:rPr>
        <w:fldChar w:fldCharType="end"/>
      </w:r>
      <w:r>
        <w:rPr>
          <w:sz w:val="21"/>
          <w:vertAlign w:val="baseline"/>
        </w:rPr>
        <w:t>以外的原因在我们</w:t>
      </w:r>
      <w:r>
        <w:rPr>
          <w:b/>
          <w:sz w:val="21"/>
          <w:vertAlign w:val="baseline"/>
        </w:rPr>
        <w:t>认可的医院</w:t>
      </w:r>
      <w:r>
        <w:rPr>
          <w:b/>
          <w:spacing w:val="-26"/>
          <w:sz w:val="21"/>
          <w:vertAlign w:val="baseline"/>
        </w:rPr>
        <w:t xml:space="preserve"> </w:t>
      </w:r>
      <w:r>
        <w:fldChar w:fldCharType="begin"/>
      </w:r>
      <w:r>
        <w:instrText xml:space="preserve"> HYPERLINK \l "_bookmark7" </w:instrText>
      </w:r>
      <w:r>
        <w:fldChar w:fldCharType="separate"/>
      </w:r>
      <w:r>
        <w:rPr>
          <w:rFonts w:ascii="Times New Roman" w:eastAsia="Times New Roman"/>
          <w:b/>
          <w:sz w:val="21"/>
          <w:vertAlign w:val="superscript"/>
        </w:rPr>
        <w:t>3</w:t>
      </w:r>
      <w:r>
        <w:rPr>
          <w:rFonts w:ascii="Times New Roman" w:eastAsia="Times New Roman"/>
          <w:b/>
          <w:sz w:val="21"/>
          <w:vertAlign w:val="superscript"/>
        </w:rPr>
        <w:fldChar w:fldCharType="end"/>
      </w:r>
      <w:r>
        <w:rPr>
          <w:sz w:val="21"/>
          <w:vertAlign w:val="baseline"/>
        </w:rPr>
        <w:t>由</w:t>
      </w:r>
      <w:r>
        <w:rPr>
          <w:b/>
          <w:sz w:val="21"/>
          <w:vertAlign w:val="baseline"/>
        </w:rPr>
        <w:t>专科</w:t>
      </w:r>
      <w:r>
        <w:rPr>
          <w:b/>
          <w:spacing w:val="-2"/>
          <w:sz w:val="21"/>
          <w:vertAlign w:val="baseline"/>
        </w:rPr>
        <w:t>医生</w:t>
      </w:r>
      <w:r>
        <w:rPr>
          <w:b/>
          <w:spacing w:val="-19"/>
          <w:sz w:val="21"/>
          <w:vertAlign w:val="baseline"/>
        </w:rPr>
        <w:t xml:space="preserve"> </w:t>
      </w:r>
      <w:r>
        <w:fldChar w:fldCharType="begin"/>
      </w:r>
      <w:r>
        <w:instrText xml:space="preserve"> HYPERLINK \l "_bookmark8" </w:instrText>
      </w:r>
      <w:r>
        <w:fldChar w:fldCharType="separate"/>
      </w:r>
      <w:r>
        <w:rPr>
          <w:rFonts w:ascii="Times New Roman" w:eastAsia="Times New Roman"/>
          <w:b/>
          <w:spacing w:val="-2"/>
          <w:sz w:val="21"/>
          <w:vertAlign w:val="superscript"/>
        </w:rPr>
        <w:t>4</w:t>
      </w:r>
      <w:r>
        <w:rPr>
          <w:rFonts w:ascii="Times New Roman" w:eastAsia="Times New Roman"/>
          <w:b/>
          <w:spacing w:val="-2"/>
          <w:sz w:val="21"/>
          <w:vertAlign w:val="superscript"/>
        </w:rPr>
        <w:fldChar w:fldCharType="end"/>
      </w:r>
      <w:r>
        <w:rPr>
          <w:b/>
          <w:spacing w:val="-2"/>
          <w:sz w:val="21"/>
          <w:vertAlign w:val="baseline"/>
        </w:rPr>
        <w:t>确诊初次发生</w:t>
      </w:r>
      <w:r>
        <w:rPr>
          <w:b/>
          <w:spacing w:val="-19"/>
          <w:sz w:val="21"/>
          <w:vertAlign w:val="baseline"/>
        </w:rPr>
        <w:t xml:space="preserve"> </w:t>
      </w:r>
      <w:r>
        <w:fldChar w:fldCharType="begin"/>
      </w:r>
      <w:r>
        <w:instrText xml:space="preserve"> HYPERLINK \l "_bookmark9" </w:instrText>
      </w:r>
      <w:r>
        <w:fldChar w:fldCharType="separate"/>
      </w:r>
      <w:r>
        <w:rPr>
          <w:rFonts w:ascii="Times New Roman" w:eastAsia="Times New Roman"/>
          <w:b/>
          <w:spacing w:val="-2"/>
          <w:sz w:val="21"/>
          <w:vertAlign w:val="superscript"/>
        </w:rPr>
        <w:t>5</w:t>
      </w:r>
      <w:r>
        <w:rPr>
          <w:rFonts w:ascii="Times New Roman" w:eastAsia="Times New Roman"/>
          <w:b/>
          <w:spacing w:val="-2"/>
          <w:sz w:val="21"/>
          <w:vertAlign w:val="superscript"/>
        </w:rPr>
        <w:fldChar w:fldCharType="end"/>
      </w:r>
      <w:r>
        <w:rPr>
          <w:spacing w:val="-2"/>
          <w:sz w:val="21"/>
          <w:vertAlign w:val="baseline"/>
        </w:rPr>
        <w:t>本合同所定义的</w:t>
      </w:r>
      <w:r>
        <w:rPr>
          <w:b/>
          <w:spacing w:val="-2"/>
          <w:sz w:val="21"/>
          <w:vertAlign w:val="baseline"/>
        </w:rPr>
        <w:t>轻症疾病</w:t>
      </w:r>
      <w:r>
        <w:rPr>
          <w:b/>
          <w:spacing w:val="-18"/>
          <w:sz w:val="21"/>
          <w:vertAlign w:val="baseline"/>
        </w:rPr>
        <w:t xml:space="preserve"> </w:t>
      </w:r>
      <w:r>
        <w:fldChar w:fldCharType="begin"/>
      </w:r>
      <w:r>
        <w:instrText xml:space="preserve"> HYPERLINK \l "_bookmark10" </w:instrText>
      </w:r>
      <w:r>
        <w:fldChar w:fldCharType="separate"/>
      </w:r>
      <w:r>
        <w:rPr>
          <w:rFonts w:ascii="Times New Roman" w:eastAsia="Times New Roman"/>
          <w:b/>
          <w:spacing w:val="-2"/>
          <w:sz w:val="21"/>
          <w:vertAlign w:val="superscript"/>
        </w:rPr>
        <w:t>6</w:t>
      </w:r>
      <w:r>
        <w:rPr>
          <w:rFonts w:ascii="Times New Roman" w:eastAsia="Times New Roman"/>
          <w:b/>
          <w:spacing w:val="-2"/>
          <w:sz w:val="21"/>
          <w:vertAlign w:val="superscript"/>
        </w:rPr>
        <w:fldChar w:fldCharType="end"/>
      </w:r>
      <w:r>
        <w:rPr>
          <w:spacing w:val="-2"/>
          <w:sz w:val="21"/>
          <w:vertAlign w:val="baseline"/>
        </w:rPr>
        <w:t>（无论一种或多种</w:t>
      </w:r>
      <w:r>
        <w:rPr>
          <w:spacing w:val="-106"/>
          <w:sz w:val="21"/>
          <w:vertAlign w:val="baseline"/>
        </w:rPr>
        <w:t>）</w:t>
      </w:r>
      <w:r>
        <w:rPr>
          <w:spacing w:val="-2"/>
          <w:sz w:val="21"/>
          <w:vertAlign w:val="baseline"/>
        </w:rPr>
        <w:t>，我们按本合同的</w:t>
      </w:r>
      <w:r>
        <w:rPr>
          <w:b/>
          <w:spacing w:val="-2"/>
          <w:sz w:val="21"/>
          <w:vertAlign w:val="baseline"/>
        </w:rPr>
        <w:t>累计</w:t>
      </w:r>
      <w:r>
        <w:rPr>
          <w:b/>
          <w:sz w:val="21"/>
          <w:vertAlign w:val="baseline"/>
        </w:rPr>
        <w:t>已交保险费</w:t>
      </w:r>
      <w:r>
        <w:rPr>
          <w:b/>
          <w:spacing w:val="-21"/>
          <w:sz w:val="21"/>
          <w:vertAlign w:val="baseline"/>
        </w:rPr>
        <w:t xml:space="preserve"> </w:t>
      </w:r>
      <w:r>
        <w:fldChar w:fldCharType="begin"/>
      </w:r>
      <w:r>
        <w:instrText xml:space="preserve"> HYPERLINK \l "_bookmark11" </w:instrText>
      </w:r>
      <w:r>
        <w:fldChar w:fldCharType="separate"/>
      </w:r>
      <w:r>
        <w:rPr>
          <w:rFonts w:ascii="Times New Roman" w:eastAsia="Times New Roman"/>
          <w:b/>
          <w:sz w:val="21"/>
          <w:vertAlign w:val="superscript"/>
        </w:rPr>
        <w:t>7</w:t>
      </w:r>
      <w:r>
        <w:rPr>
          <w:rFonts w:ascii="Times New Roman" w:eastAsia="Times New Roman"/>
          <w:b/>
          <w:sz w:val="21"/>
          <w:vertAlign w:val="superscript"/>
        </w:rPr>
        <w:fldChar w:fldCharType="end"/>
      </w:r>
      <w:r>
        <w:rPr>
          <w:sz w:val="21"/>
          <w:vertAlign w:val="baseline"/>
        </w:rPr>
        <w:t>（无息）给付轻症疾病保险金，</w:t>
      </w:r>
      <w:r>
        <w:rPr>
          <w:rFonts w:ascii="黑体" w:eastAsia="黑体"/>
          <w:sz w:val="21"/>
          <w:vertAlign w:val="baseline"/>
        </w:rPr>
        <w:t>本合同终止。</w:t>
      </w:r>
    </w:p>
    <w:p>
      <w:pPr>
        <w:pStyle w:val="3"/>
        <w:spacing w:line="278" w:lineRule="auto"/>
        <w:ind w:right="634"/>
        <w:rPr>
          <w:rFonts w:ascii="黑体" w:eastAsia="黑体"/>
        </w:rPr>
      </w:pPr>
      <w:r>
        <w:rPr>
          <w:spacing w:val="-12"/>
        </w:rPr>
        <w:t>若本合同有效，且被保险人因意外伤害或于等待期后因意外伤害以外的原因在我们认可的医</w:t>
      </w:r>
      <w:r>
        <w:rPr>
          <w:spacing w:val="-2"/>
        </w:rPr>
        <w:t>院由专科医生确诊初次发生本合同所定义的轻症疾病（无论一种或多种</w:t>
      </w:r>
      <w:r>
        <w:rPr>
          <w:spacing w:val="-105"/>
        </w:rPr>
        <w:t>）</w:t>
      </w:r>
      <w:r>
        <w:rPr>
          <w:spacing w:val="-2"/>
        </w:rPr>
        <w:t>，且未达到</w:t>
      </w:r>
      <w:r>
        <w:rPr>
          <w:b/>
          <w:spacing w:val="-2"/>
        </w:rPr>
        <w:t>中症疾</w:t>
      </w:r>
      <w:r>
        <w:rPr>
          <w:b/>
          <w:spacing w:val="-15"/>
        </w:rPr>
        <w:t xml:space="preserve">病 </w:t>
      </w:r>
      <w:r>
        <w:fldChar w:fldCharType="begin"/>
      </w:r>
      <w:r>
        <w:instrText xml:space="preserve"> HYPERLINK \l "_bookmark12" </w:instrText>
      </w:r>
      <w:r>
        <w:fldChar w:fldCharType="separate"/>
      </w:r>
      <w:r>
        <w:rPr>
          <w:rFonts w:ascii="Times New Roman" w:eastAsia="Times New Roman"/>
          <w:b/>
          <w:vertAlign w:val="superscript"/>
        </w:rPr>
        <w:t>8</w:t>
      </w:r>
      <w:r>
        <w:rPr>
          <w:rFonts w:ascii="Times New Roman" w:eastAsia="Times New Roman"/>
          <w:b/>
          <w:vertAlign w:val="superscript"/>
        </w:rPr>
        <w:fldChar w:fldCharType="end"/>
      </w:r>
      <w:r>
        <w:rPr>
          <w:vertAlign w:val="baseline"/>
        </w:rPr>
        <w:t>或</w:t>
      </w:r>
      <w:r>
        <w:rPr>
          <w:b/>
          <w:vertAlign w:val="baseline"/>
        </w:rPr>
        <w:t>重大疾病</w:t>
      </w:r>
      <w:r>
        <w:rPr>
          <w:b/>
          <w:spacing w:val="-29"/>
          <w:vertAlign w:val="baseline"/>
        </w:rPr>
        <w:t xml:space="preserve"> </w:t>
      </w:r>
      <w:r>
        <w:fldChar w:fldCharType="begin"/>
      </w:r>
      <w:r>
        <w:instrText xml:space="preserve"> HYPERLINK \l "_bookmark13" </w:instrText>
      </w:r>
      <w:r>
        <w:fldChar w:fldCharType="separate"/>
      </w:r>
      <w:r>
        <w:rPr>
          <w:rFonts w:ascii="Times New Roman" w:eastAsia="Times New Roman"/>
          <w:b/>
          <w:vertAlign w:val="superscript"/>
        </w:rPr>
        <w:t>9</w:t>
      </w:r>
      <w:r>
        <w:rPr>
          <w:rFonts w:ascii="Times New Roman" w:eastAsia="Times New Roman"/>
          <w:b/>
          <w:vertAlign w:val="superscript"/>
        </w:rPr>
        <w:fldChar w:fldCharType="end"/>
      </w:r>
      <w:r>
        <w:rPr>
          <w:vertAlign w:val="baseline"/>
        </w:rPr>
        <w:t>给付标准，我们按本合同基本保险金额的一定比例给付轻症疾病保险金。</w:t>
      </w:r>
      <w:r>
        <w:rPr>
          <w:rFonts w:ascii="黑体" w:eastAsia="黑体"/>
          <w:spacing w:val="-4"/>
          <w:vertAlign w:val="baseline"/>
        </w:rPr>
        <w:t xml:space="preserve">本合同每种轻症疾病的给付次数以一次为限，给付后该种轻症疾病的保险责任终止。本合同的轻症疾病保险金累计给付次数以三次为限，给付比例依次为 </w:t>
      </w:r>
      <w:r>
        <w:rPr>
          <w:rFonts w:ascii="Times New Roman" w:eastAsia="Times New Roman"/>
          <w:spacing w:val="-2"/>
          <w:vertAlign w:val="baseline"/>
        </w:rPr>
        <w:t>30%</w:t>
      </w:r>
      <w:r>
        <w:rPr>
          <w:rFonts w:ascii="黑体" w:eastAsia="黑体"/>
          <w:spacing w:val="-2"/>
          <w:vertAlign w:val="baseline"/>
        </w:rPr>
        <w:t>、</w:t>
      </w:r>
      <w:r>
        <w:rPr>
          <w:rFonts w:ascii="Times New Roman" w:eastAsia="Times New Roman"/>
          <w:spacing w:val="-2"/>
          <w:vertAlign w:val="baseline"/>
        </w:rPr>
        <w:t>30%</w:t>
      </w:r>
      <w:r>
        <w:rPr>
          <w:rFonts w:ascii="黑体" w:eastAsia="黑体"/>
          <w:spacing w:val="-2"/>
          <w:vertAlign w:val="baseline"/>
        </w:rPr>
        <w:t>、</w:t>
      </w:r>
      <w:r>
        <w:rPr>
          <w:rFonts w:ascii="Times New Roman" w:eastAsia="Times New Roman"/>
          <w:spacing w:val="-2"/>
          <w:vertAlign w:val="baseline"/>
        </w:rPr>
        <w:t>30%</w:t>
      </w:r>
      <w:r>
        <w:rPr>
          <w:rFonts w:ascii="黑体" w:eastAsia="黑体"/>
          <w:spacing w:val="-2"/>
          <w:vertAlign w:val="baseline"/>
        </w:rPr>
        <w:t>。当本合同的轻症疾病保险金累计给付次数达到三次时，本项保险责任终止。</w:t>
      </w:r>
    </w:p>
    <w:p>
      <w:pPr>
        <w:pStyle w:val="3"/>
        <w:spacing w:before="10"/>
        <w:ind w:left="0"/>
        <w:rPr>
          <w:rFonts w:ascii="黑体"/>
          <w:sz w:val="18"/>
        </w:rPr>
      </w:pPr>
    </w:p>
    <w:p>
      <w:pPr>
        <w:pStyle w:val="3"/>
        <w:spacing w:before="70" w:line="278" w:lineRule="auto"/>
        <w:ind w:right="634"/>
        <w:rPr>
          <w:rFonts w:ascii="黑体" w:eastAsia="黑体"/>
        </w:rPr>
      </w:pPr>
      <w:r>
        <w:rPr>
          <w:rFonts w:ascii="黑体" w:eastAsia="黑体"/>
          <w:color w:val="000000"/>
          <w:spacing w:val="-9"/>
          <w:shd w:val="clear" w:color="auto" w:fill="DADADA"/>
        </w:rPr>
        <w:t>若被保险人因同一疾病原因、同次医疗行为或同次意外伤害事故导致其发生本合同所定义的</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两种或者两种以上轻症疾病，我们仅按其中一种轻症疾病给付轻症疾病保险金。</w:t>
      </w:r>
    </w:p>
    <w:p>
      <w:pPr>
        <w:pStyle w:val="3"/>
        <w:spacing w:line="278" w:lineRule="auto"/>
        <w:ind w:right="634"/>
        <w:rPr>
          <w:rFonts w:ascii="黑体" w:eastAsia="黑体"/>
        </w:rPr>
      </w:pPr>
      <w:r>
        <w:rPr>
          <w:rFonts w:ascii="黑体" w:eastAsia="黑体"/>
          <w:color w:val="000000"/>
          <w:spacing w:val="-2"/>
          <w:shd w:val="clear" w:color="auto" w:fill="DADADA"/>
        </w:rPr>
        <w:t>若申请保险金时被保险人发生的轻症疾病已经符合本合同所定义的中症疾病或重大疾病定</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义，我们不承担给付该种轻症疾病的保险金责任。</w:t>
      </w:r>
    </w:p>
    <w:p>
      <w:pPr>
        <w:pStyle w:val="3"/>
        <w:spacing w:before="6"/>
        <w:ind w:left="0"/>
        <w:rPr>
          <w:rFonts w:ascii="黑体"/>
          <w:sz w:val="28"/>
        </w:rPr>
      </w:pPr>
      <w:r>
        <w:drawing>
          <wp:anchor distT="0" distB="0" distL="0" distR="0" simplePos="0" relativeHeight="251660288" behindDoc="0" locked="0" layoutInCell="1" allowOverlap="1">
            <wp:simplePos x="0" y="0"/>
            <wp:positionH relativeFrom="page">
              <wp:posOffset>1141095</wp:posOffset>
            </wp:positionH>
            <wp:positionV relativeFrom="paragraph">
              <wp:posOffset>246380</wp:posOffset>
            </wp:positionV>
            <wp:extent cx="1828800" cy="698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1" cstate="print"/>
                    <a:stretch>
                      <a:fillRect/>
                    </a:stretch>
                  </pic:blipFill>
                  <pic:spPr>
                    <a:xfrm>
                      <a:off x="0" y="0"/>
                      <a:ext cx="1828799" cy="6858"/>
                    </a:xfrm>
                    <a:prstGeom prst="rect">
                      <a:avLst/>
                    </a:prstGeom>
                  </pic:spPr>
                </pic:pic>
              </a:graphicData>
            </a:graphic>
          </wp:anchor>
        </w:drawing>
      </w:r>
    </w:p>
    <w:p>
      <w:pPr>
        <w:spacing w:before="90"/>
        <w:ind w:left="257" w:right="0" w:firstLine="0"/>
        <w:jc w:val="both"/>
        <w:rPr>
          <w:sz w:val="18"/>
        </w:rPr>
      </w:pPr>
      <w:bookmarkStart w:id="5" w:name="_bookmark5"/>
      <w:bookmarkEnd w:id="5"/>
      <w:r>
        <w:rPr>
          <w:rFonts w:ascii="Times New Roman" w:eastAsia="Times New Roman"/>
          <w:sz w:val="18"/>
          <w:vertAlign w:val="superscript"/>
        </w:rPr>
        <w:t>1</w:t>
      </w:r>
      <w:r>
        <w:rPr>
          <w:rFonts w:ascii="Times New Roman" w:eastAsia="Times New Roman"/>
          <w:spacing w:val="40"/>
          <w:sz w:val="18"/>
          <w:vertAlign w:val="baseline"/>
        </w:rPr>
        <w:t xml:space="preserve"> </w:t>
      </w:r>
      <w:r>
        <w:rPr>
          <w:b/>
          <w:sz w:val="18"/>
          <w:vertAlign w:val="baseline"/>
        </w:rPr>
        <w:t>周岁：</w:t>
      </w:r>
      <w:r>
        <w:rPr>
          <w:spacing w:val="-1"/>
          <w:sz w:val="18"/>
          <w:vertAlign w:val="baseline"/>
        </w:rPr>
        <w:t>以有效身份证件中记载的出生日期为基准计算。</w:t>
      </w:r>
    </w:p>
    <w:p>
      <w:pPr>
        <w:spacing w:before="3" w:line="242" w:lineRule="auto"/>
        <w:ind w:left="257" w:right="633" w:firstLine="0"/>
        <w:jc w:val="both"/>
        <w:rPr>
          <w:sz w:val="18"/>
        </w:rPr>
      </w:pPr>
      <w:bookmarkStart w:id="6" w:name="_bookmark6"/>
      <w:bookmarkEnd w:id="6"/>
      <w:r>
        <w:rPr>
          <w:rFonts w:ascii="Times New Roman" w:eastAsia="Times New Roman"/>
          <w:sz w:val="18"/>
          <w:vertAlign w:val="superscript"/>
        </w:rPr>
        <w:t>2</w:t>
      </w:r>
      <w:r>
        <w:rPr>
          <w:rFonts w:ascii="Times New Roman" w:eastAsia="Times New Roman"/>
          <w:sz w:val="18"/>
          <w:vertAlign w:val="baseline"/>
        </w:rPr>
        <w:t xml:space="preserve"> </w:t>
      </w:r>
      <w:r>
        <w:rPr>
          <w:b/>
          <w:sz w:val="18"/>
          <w:vertAlign w:val="baseline"/>
        </w:rPr>
        <w:t>意外伤害：</w:t>
      </w:r>
      <w:r>
        <w:rPr>
          <w:sz w:val="18"/>
          <w:vertAlign w:val="baseline"/>
        </w:rPr>
        <w:t>指遭受外来的、突发的、非本意的、非疾病的使身体受到伤害的客观事件。</w:t>
      </w:r>
      <w:r>
        <w:rPr>
          <w:rFonts w:ascii="黑体" w:eastAsia="黑体"/>
          <w:sz w:val="18"/>
          <w:vertAlign w:val="baseline"/>
        </w:rPr>
        <w:t>本合同所述的意</w:t>
      </w:r>
      <w:r>
        <w:rPr>
          <w:rFonts w:ascii="黑体" w:eastAsia="黑体"/>
          <w:spacing w:val="-2"/>
          <w:sz w:val="18"/>
          <w:vertAlign w:val="baseline"/>
        </w:rPr>
        <w:t>外伤害导致的身故，</w:t>
      </w:r>
      <w:r>
        <w:rPr>
          <w:rFonts w:ascii="黑体" w:eastAsia="黑体"/>
          <w:color w:val="000000"/>
          <w:spacing w:val="-2"/>
          <w:sz w:val="18"/>
          <w:shd w:val="clear" w:color="auto" w:fill="DADADA"/>
          <w:vertAlign w:val="baseline"/>
        </w:rPr>
        <w:t>不包括猝死。</w:t>
      </w:r>
      <w:r>
        <w:rPr>
          <w:color w:val="000000"/>
          <w:spacing w:val="-2"/>
          <w:sz w:val="18"/>
          <w:vertAlign w:val="baseline"/>
        </w:rPr>
        <w:t xml:space="preserve">猝死指貌似健康的人因潜在疾病、机能障碍或其他原因在出现症状后 </w:t>
      </w:r>
      <w:r>
        <w:rPr>
          <w:rFonts w:ascii="Times New Roman" w:eastAsia="Times New Roman"/>
          <w:color w:val="000000"/>
          <w:spacing w:val="-2"/>
          <w:sz w:val="18"/>
          <w:vertAlign w:val="baseline"/>
        </w:rPr>
        <w:t>24</w:t>
      </w:r>
      <w:r>
        <w:rPr>
          <w:color w:val="000000"/>
          <w:spacing w:val="-2"/>
          <w:sz w:val="18"/>
          <w:vertAlign w:val="baseline"/>
        </w:rPr>
        <w:t>小时内发生的非暴力性突然死亡，属于疾病身故。</w:t>
      </w:r>
    </w:p>
    <w:p>
      <w:pPr>
        <w:spacing w:before="2"/>
        <w:ind w:left="257" w:right="0" w:firstLine="0"/>
        <w:jc w:val="both"/>
        <w:rPr>
          <w:sz w:val="18"/>
        </w:rPr>
      </w:pPr>
      <w:bookmarkStart w:id="7" w:name="_bookmark7"/>
      <w:bookmarkEnd w:id="7"/>
      <w:r>
        <w:rPr>
          <w:rFonts w:ascii="Times New Roman" w:eastAsia="Times New Roman"/>
          <w:sz w:val="18"/>
          <w:vertAlign w:val="superscript"/>
        </w:rPr>
        <w:t>3</w:t>
      </w:r>
      <w:r>
        <w:rPr>
          <w:rFonts w:ascii="Times New Roman" w:eastAsia="Times New Roman"/>
          <w:spacing w:val="37"/>
          <w:sz w:val="18"/>
          <w:vertAlign w:val="baseline"/>
        </w:rPr>
        <w:t xml:space="preserve"> </w:t>
      </w:r>
      <w:r>
        <w:rPr>
          <w:b/>
          <w:sz w:val="18"/>
          <w:vertAlign w:val="baseline"/>
        </w:rPr>
        <w:t>认可的医院</w:t>
      </w:r>
      <w:r>
        <w:rPr>
          <w:spacing w:val="-1"/>
          <w:sz w:val="18"/>
          <w:vertAlign w:val="baseline"/>
        </w:rPr>
        <w:t>：按国家卫生行政部门医院等级分类的二级或二级以上医院。</w:t>
      </w:r>
    </w:p>
    <w:p>
      <w:pPr>
        <w:spacing w:before="2"/>
        <w:ind w:left="257" w:right="0" w:firstLine="0"/>
        <w:jc w:val="both"/>
        <w:rPr>
          <w:sz w:val="18"/>
        </w:rPr>
      </w:pPr>
      <w:bookmarkStart w:id="8" w:name="_bookmark8"/>
      <w:bookmarkEnd w:id="8"/>
      <w:r>
        <w:rPr>
          <w:rFonts w:ascii="Times New Roman" w:eastAsia="Times New Roman"/>
          <w:sz w:val="18"/>
          <w:vertAlign w:val="superscript"/>
        </w:rPr>
        <w:t>4</w:t>
      </w:r>
      <w:r>
        <w:rPr>
          <w:rFonts w:ascii="Times New Roman" w:eastAsia="Times New Roman"/>
          <w:spacing w:val="37"/>
          <w:sz w:val="18"/>
          <w:vertAlign w:val="baseline"/>
        </w:rPr>
        <w:t xml:space="preserve"> </w:t>
      </w:r>
      <w:r>
        <w:rPr>
          <w:b/>
          <w:sz w:val="18"/>
          <w:vertAlign w:val="baseline"/>
        </w:rPr>
        <w:t>专科医生：</w:t>
      </w:r>
      <w:r>
        <w:rPr>
          <w:spacing w:val="-1"/>
          <w:sz w:val="18"/>
          <w:vertAlign w:val="baseline"/>
        </w:rPr>
        <w:t>专科医生应当同时满足以下四项资格条件：</w:t>
      </w:r>
    </w:p>
    <w:p>
      <w:pPr>
        <w:pStyle w:val="10"/>
        <w:numPr>
          <w:ilvl w:val="0"/>
          <w:numId w:val="1"/>
        </w:numPr>
        <w:tabs>
          <w:tab w:val="left" w:pos="709"/>
        </w:tabs>
        <w:spacing w:before="4" w:after="0" w:line="240" w:lineRule="auto"/>
        <w:ind w:left="708" w:right="0" w:hanging="452"/>
        <w:jc w:val="left"/>
        <w:rPr>
          <w:sz w:val="18"/>
        </w:rPr>
      </w:pPr>
      <w:r>
        <w:rPr>
          <w:spacing w:val="-6"/>
          <w:sz w:val="18"/>
        </w:rPr>
        <w:t>具有有效的中华人民共和国《医师资格证书》；</w:t>
      </w:r>
    </w:p>
    <w:p>
      <w:pPr>
        <w:pStyle w:val="10"/>
        <w:numPr>
          <w:ilvl w:val="0"/>
          <w:numId w:val="1"/>
        </w:numPr>
        <w:tabs>
          <w:tab w:val="left" w:pos="709"/>
        </w:tabs>
        <w:spacing w:before="2" w:after="0" w:line="240" w:lineRule="auto"/>
        <w:ind w:left="708" w:right="0" w:hanging="452"/>
        <w:jc w:val="left"/>
        <w:rPr>
          <w:sz w:val="18"/>
        </w:rPr>
      </w:pPr>
      <w:r>
        <w:rPr>
          <w:spacing w:val="-6"/>
          <w:sz w:val="18"/>
        </w:rPr>
        <w:t>具有有效的中华人民共和国《医师执业证书》，并按期到相关部门登记注册；</w:t>
      </w:r>
    </w:p>
    <w:p>
      <w:pPr>
        <w:pStyle w:val="10"/>
        <w:numPr>
          <w:ilvl w:val="0"/>
          <w:numId w:val="1"/>
        </w:numPr>
        <w:tabs>
          <w:tab w:val="left" w:pos="709"/>
        </w:tabs>
        <w:spacing w:before="3" w:after="0" w:line="240" w:lineRule="auto"/>
        <w:ind w:left="708" w:right="0" w:hanging="452"/>
        <w:jc w:val="left"/>
        <w:rPr>
          <w:sz w:val="18"/>
        </w:rPr>
      </w:pPr>
      <w:r>
        <w:rPr>
          <w:spacing w:val="-4"/>
          <w:sz w:val="18"/>
        </w:rPr>
        <w:t>具有有效的中华人民共和国主治医师或主治医师以上职称的《医师职称证书》；</w:t>
      </w:r>
    </w:p>
    <w:p>
      <w:pPr>
        <w:pStyle w:val="10"/>
        <w:numPr>
          <w:ilvl w:val="0"/>
          <w:numId w:val="1"/>
        </w:numPr>
        <w:tabs>
          <w:tab w:val="left" w:pos="709"/>
        </w:tabs>
        <w:spacing w:before="2" w:after="0" w:line="240" w:lineRule="auto"/>
        <w:ind w:left="708" w:right="0" w:hanging="452"/>
        <w:jc w:val="left"/>
        <w:rPr>
          <w:sz w:val="18"/>
        </w:rPr>
      </w:pPr>
      <w:r>
        <w:rPr>
          <w:spacing w:val="-1"/>
          <w:sz w:val="18"/>
        </w:rPr>
        <w:t>在国家《医院分级管理标准》二级或二级以上医院的相应科室从事临床工作三年以上。</w:t>
      </w:r>
    </w:p>
    <w:p>
      <w:pPr>
        <w:spacing w:before="4" w:line="242" w:lineRule="auto"/>
        <w:ind w:left="257" w:right="632" w:firstLine="0"/>
        <w:jc w:val="left"/>
        <w:rPr>
          <w:rFonts w:ascii="黑体" w:eastAsia="黑体"/>
          <w:sz w:val="18"/>
        </w:rPr>
      </w:pPr>
      <w:bookmarkStart w:id="9" w:name="_bookmark9"/>
      <w:bookmarkEnd w:id="9"/>
      <w:r>
        <w:rPr>
          <w:rFonts w:ascii="Times New Roman" w:eastAsia="Times New Roman"/>
          <w:sz w:val="18"/>
          <w:vertAlign w:val="superscript"/>
        </w:rPr>
        <w:t>5</w:t>
      </w:r>
      <w:r>
        <w:rPr>
          <w:rFonts w:ascii="Times New Roman" w:eastAsia="Times New Roman"/>
          <w:spacing w:val="40"/>
          <w:sz w:val="18"/>
          <w:vertAlign w:val="baseline"/>
        </w:rPr>
        <w:t xml:space="preserve"> </w:t>
      </w:r>
      <w:r>
        <w:rPr>
          <w:b/>
          <w:sz w:val="18"/>
          <w:vertAlign w:val="baseline"/>
        </w:rPr>
        <w:t>确诊初次发生：</w:t>
      </w:r>
      <w:r>
        <w:rPr>
          <w:sz w:val="18"/>
          <w:vertAlign w:val="baseline"/>
        </w:rPr>
        <w:t>指被保险人自出生之日起第一次经医院确诊患有某种疾病，</w:t>
      </w:r>
      <w:r>
        <w:rPr>
          <w:rFonts w:ascii="黑体" w:eastAsia="黑体"/>
          <w:sz w:val="18"/>
          <w:vertAlign w:val="baseline"/>
        </w:rPr>
        <w:t>而不是指自本合同生效、复</w:t>
      </w:r>
      <w:r>
        <w:rPr>
          <w:rFonts w:ascii="黑体" w:eastAsia="黑体"/>
          <w:spacing w:val="-2"/>
          <w:sz w:val="18"/>
          <w:vertAlign w:val="baseline"/>
        </w:rPr>
        <w:t>效之后第一次经医院确诊患有某种疾病。</w:t>
      </w:r>
    </w:p>
    <w:p>
      <w:pPr>
        <w:spacing w:before="1"/>
        <w:ind w:left="257" w:right="0" w:firstLine="0"/>
        <w:jc w:val="left"/>
        <w:rPr>
          <w:sz w:val="18"/>
        </w:rPr>
      </w:pPr>
      <w:bookmarkStart w:id="10" w:name="_bookmark10"/>
      <w:bookmarkEnd w:id="10"/>
      <w:r>
        <w:rPr>
          <w:rFonts w:ascii="Times New Roman" w:eastAsia="Times New Roman"/>
          <w:sz w:val="18"/>
          <w:vertAlign w:val="superscript"/>
        </w:rPr>
        <w:t>6</w:t>
      </w:r>
      <w:r>
        <w:rPr>
          <w:rFonts w:ascii="Times New Roman" w:eastAsia="Times New Roman"/>
          <w:spacing w:val="27"/>
          <w:sz w:val="18"/>
          <w:vertAlign w:val="baseline"/>
        </w:rPr>
        <w:t xml:space="preserve"> </w:t>
      </w:r>
      <w:r>
        <w:rPr>
          <w:b/>
          <w:sz w:val="18"/>
          <w:vertAlign w:val="baseline"/>
        </w:rPr>
        <w:t>轻症疾病：</w:t>
      </w:r>
      <w:r>
        <w:rPr>
          <w:spacing w:val="-5"/>
          <w:sz w:val="18"/>
          <w:vertAlign w:val="baseline"/>
        </w:rPr>
        <w:t>轻症疾病种类见第七章《附表一：轻症疾病种类表》。</w:t>
      </w:r>
    </w:p>
    <w:p>
      <w:pPr>
        <w:spacing w:before="2" w:line="242" w:lineRule="auto"/>
        <w:ind w:left="257" w:right="632" w:firstLine="0"/>
        <w:jc w:val="left"/>
        <w:rPr>
          <w:sz w:val="18"/>
        </w:rPr>
      </w:pPr>
      <w:bookmarkStart w:id="11" w:name="_bookmark11"/>
      <w:bookmarkEnd w:id="11"/>
      <w:r>
        <w:rPr>
          <w:rFonts w:ascii="Times New Roman" w:eastAsia="Times New Roman"/>
          <w:sz w:val="18"/>
          <w:vertAlign w:val="superscript"/>
        </w:rPr>
        <w:t>7</w:t>
      </w:r>
      <w:r>
        <w:rPr>
          <w:rFonts w:ascii="Times New Roman" w:eastAsia="Times New Roman"/>
          <w:spacing w:val="40"/>
          <w:sz w:val="18"/>
          <w:vertAlign w:val="baseline"/>
        </w:rPr>
        <w:t xml:space="preserve"> </w:t>
      </w:r>
      <w:r>
        <w:rPr>
          <w:b/>
          <w:sz w:val="18"/>
          <w:vertAlign w:val="baseline"/>
        </w:rPr>
        <w:t>累计已交保险费：</w:t>
      </w:r>
      <w:r>
        <w:rPr>
          <w:sz w:val="18"/>
          <w:vertAlign w:val="baseline"/>
        </w:rPr>
        <w:t>根据保险事故发生时的基本保险金额及被保险人投保时的性别、年龄等因素所确定的</w:t>
      </w:r>
      <w:r>
        <w:rPr>
          <w:spacing w:val="-2"/>
          <w:sz w:val="18"/>
          <w:vertAlign w:val="baseline"/>
        </w:rPr>
        <w:t>年交保险费计算。</w:t>
      </w:r>
    </w:p>
    <w:p>
      <w:pPr>
        <w:spacing w:before="1"/>
        <w:ind w:left="257" w:right="0" w:firstLine="0"/>
        <w:jc w:val="left"/>
        <w:rPr>
          <w:sz w:val="18"/>
        </w:rPr>
      </w:pPr>
      <w:bookmarkStart w:id="12" w:name="_bookmark12"/>
      <w:bookmarkEnd w:id="12"/>
      <w:r>
        <w:rPr>
          <w:rFonts w:ascii="Times New Roman" w:eastAsia="Times New Roman"/>
          <w:sz w:val="18"/>
          <w:vertAlign w:val="superscript"/>
        </w:rPr>
        <w:t>8</w:t>
      </w:r>
      <w:r>
        <w:rPr>
          <w:rFonts w:ascii="Times New Roman" w:eastAsia="Times New Roman"/>
          <w:spacing w:val="37"/>
          <w:sz w:val="18"/>
          <w:vertAlign w:val="baseline"/>
        </w:rPr>
        <w:t xml:space="preserve"> </w:t>
      </w:r>
      <w:r>
        <w:rPr>
          <w:b/>
          <w:sz w:val="18"/>
          <w:vertAlign w:val="baseline"/>
        </w:rPr>
        <w:t>中症疾病：</w:t>
      </w:r>
      <w:r>
        <w:rPr>
          <w:spacing w:val="-5"/>
          <w:sz w:val="18"/>
          <w:vertAlign w:val="baseline"/>
        </w:rPr>
        <w:t>中症疾病种类见第七章《附表二：中症疾病种类表》。</w:t>
      </w:r>
    </w:p>
    <w:p>
      <w:pPr>
        <w:spacing w:before="3"/>
        <w:ind w:left="257" w:right="0" w:firstLine="0"/>
        <w:jc w:val="left"/>
        <w:rPr>
          <w:sz w:val="18"/>
        </w:rPr>
      </w:pPr>
      <w:bookmarkStart w:id="13" w:name="_bookmark13"/>
      <w:bookmarkEnd w:id="13"/>
      <w:r>
        <w:rPr>
          <w:rFonts w:ascii="Times New Roman" w:eastAsia="Times New Roman"/>
          <w:sz w:val="18"/>
          <w:vertAlign w:val="superscript"/>
        </w:rPr>
        <w:t>9</w:t>
      </w:r>
      <w:r>
        <w:rPr>
          <w:rFonts w:ascii="Times New Roman" w:eastAsia="Times New Roman"/>
          <w:spacing w:val="37"/>
          <w:sz w:val="18"/>
          <w:vertAlign w:val="baseline"/>
        </w:rPr>
        <w:t xml:space="preserve"> </w:t>
      </w:r>
      <w:r>
        <w:rPr>
          <w:b/>
          <w:sz w:val="18"/>
          <w:vertAlign w:val="baseline"/>
        </w:rPr>
        <w:t>重大疾病：</w:t>
      </w:r>
      <w:r>
        <w:rPr>
          <w:spacing w:val="-5"/>
          <w:sz w:val="18"/>
          <w:vertAlign w:val="baseline"/>
        </w:rPr>
        <w:t>重大疾病种类见第七章《附表三：重大疾病种类表》。</w:t>
      </w:r>
    </w:p>
    <w:p>
      <w:pPr>
        <w:spacing w:after="0"/>
        <w:jc w:val="left"/>
        <w:rPr>
          <w:sz w:val="18"/>
        </w:rPr>
        <w:sectPr>
          <w:pgSz w:w="11910" w:h="16840"/>
          <w:pgMar w:top="1380" w:right="1160" w:bottom="1340" w:left="1540" w:header="0" w:footer="1142" w:gutter="0"/>
          <w:cols w:space="720" w:num="1"/>
        </w:sectPr>
      </w:pPr>
    </w:p>
    <w:p>
      <w:pPr>
        <w:pStyle w:val="3"/>
        <w:spacing w:before="1"/>
        <w:ind w:left="0"/>
        <w:rPr>
          <w:sz w:val="8"/>
        </w:rPr>
      </w:pPr>
    </w:p>
    <w:p>
      <w:pPr>
        <w:pStyle w:val="3"/>
        <w:spacing w:before="70"/>
      </w:pPr>
      <w:r>
        <w:rPr>
          <w:spacing w:val="-2"/>
        </w:rPr>
        <w:t>二、中症疾病保险金</w:t>
      </w:r>
    </w:p>
    <w:p>
      <w:pPr>
        <w:pStyle w:val="3"/>
        <w:spacing w:before="43" w:line="278" w:lineRule="auto"/>
        <w:ind w:right="634"/>
      </w:pPr>
      <w:r>
        <w:rPr>
          <w:spacing w:val="-12"/>
        </w:rPr>
        <w:t>若本合同有效，且被保险人于等待期内因意外伤害以外的原因在我们认可的医院由专科医生</w:t>
      </w:r>
      <w:r>
        <w:t>确诊初次发生本合同所定义的中症疾病（无论一种或多种</w:t>
      </w:r>
      <w:r>
        <w:rPr>
          <w:spacing w:val="-104"/>
        </w:rPr>
        <w:t>）</w:t>
      </w:r>
      <w:r>
        <w:rPr>
          <w:spacing w:val="-1"/>
        </w:rPr>
        <w:t>，我们按本合同累计已交保险费</w:t>
      </w:r>
    </w:p>
    <w:p>
      <w:pPr>
        <w:pStyle w:val="3"/>
        <w:rPr>
          <w:rFonts w:ascii="黑体" w:eastAsia="黑体"/>
        </w:rPr>
      </w:pPr>
      <w:r>
        <w:t>（无息）给付中症疾病保险金，</w:t>
      </w:r>
      <w:r>
        <w:rPr>
          <w:rFonts w:ascii="黑体" w:eastAsia="黑体"/>
          <w:spacing w:val="-2"/>
        </w:rPr>
        <w:t>本合同终止。</w:t>
      </w:r>
    </w:p>
    <w:p>
      <w:pPr>
        <w:pStyle w:val="3"/>
        <w:spacing w:before="43" w:line="278" w:lineRule="auto"/>
        <w:ind w:right="634"/>
        <w:jc w:val="both"/>
      </w:pPr>
      <w:r>
        <w:rPr>
          <w:spacing w:val="-12"/>
        </w:rPr>
        <w:t>若本合同有效，且被保险人因意外伤害或于等待期后因意外伤害以外的原因在我们认可的医</w:t>
      </w:r>
      <w:r>
        <w:rPr>
          <w:spacing w:val="-2"/>
        </w:rPr>
        <w:t>院由专科医生确诊初次发生本合同所定义的中症疾病（无论一种或多种</w:t>
      </w:r>
      <w:r>
        <w:rPr>
          <w:spacing w:val="-105"/>
        </w:rPr>
        <w:t>）</w:t>
      </w:r>
      <w:r>
        <w:rPr>
          <w:spacing w:val="-2"/>
        </w:rPr>
        <w:t>，且未达到重大疾病给付标准，我们按本合同基本保险金额的一定比例给付中症疾病保险金。</w:t>
      </w:r>
    </w:p>
    <w:p>
      <w:pPr>
        <w:pStyle w:val="3"/>
        <w:spacing w:line="278" w:lineRule="auto"/>
        <w:ind w:right="635"/>
        <w:jc w:val="both"/>
        <w:rPr>
          <w:rFonts w:ascii="黑体" w:eastAsia="黑体"/>
        </w:rPr>
      </w:pPr>
      <w:r>
        <w:rPr>
          <w:rFonts w:ascii="黑体" w:eastAsia="黑体"/>
          <w:spacing w:val="-6"/>
        </w:rPr>
        <w:t>本合同每种中症疾病的给付次数以一次为限，给付后该种中症疾病的保险责任终止。本合同</w:t>
      </w:r>
      <w:r>
        <w:rPr>
          <w:rFonts w:ascii="黑体" w:eastAsia="黑体"/>
          <w:spacing w:val="-4"/>
        </w:rPr>
        <w:t xml:space="preserve">的中症疾病保险金累计给付次数以两次为限，给付比例依次为 </w:t>
      </w:r>
      <w:r>
        <w:rPr>
          <w:rFonts w:ascii="Times New Roman" w:eastAsia="Times New Roman"/>
        </w:rPr>
        <w:t>5</w:t>
      </w:r>
      <w:r>
        <w:rPr>
          <w:rFonts w:ascii="Times New Roman" w:eastAsia="Times New Roman"/>
          <w:spacing w:val="-1"/>
        </w:rPr>
        <w:t>0</w:t>
      </w:r>
      <w:r>
        <w:rPr>
          <w:rFonts w:ascii="Times New Roman" w:eastAsia="Times New Roman"/>
        </w:rPr>
        <w:t>%</w:t>
      </w:r>
      <w:r>
        <w:rPr>
          <w:rFonts w:ascii="黑体" w:eastAsia="黑体"/>
          <w:spacing w:val="-24"/>
        </w:rPr>
        <w:t>、</w:t>
      </w:r>
      <w:r>
        <w:rPr>
          <w:rFonts w:ascii="Times New Roman" w:eastAsia="Times New Roman"/>
          <w:spacing w:val="-1"/>
        </w:rPr>
        <w:t>6</w:t>
      </w:r>
      <w:r>
        <w:rPr>
          <w:rFonts w:ascii="Times New Roman" w:eastAsia="Times New Roman"/>
        </w:rPr>
        <w:t>0%</w:t>
      </w:r>
      <w:r>
        <w:rPr>
          <w:rFonts w:ascii="黑体" w:eastAsia="黑体"/>
          <w:spacing w:val="-7"/>
        </w:rPr>
        <w:t>。当本合同的中症</w:t>
      </w:r>
      <w:r>
        <w:rPr>
          <w:rFonts w:ascii="黑体" w:eastAsia="黑体"/>
        </w:rPr>
        <w:t>疾病保险金累计给付次数达到两次时，本项保险责任终止。</w:t>
      </w:r>
    </w:p>
    <w:p>
      <w:pPr>
        <w:pStyle w:val="3"/>
        <w:spacing w:before="10"/>
        <w:ind w:left="0"/>
        <w:rPr>
          <w:rFonts w:ascii="黑体"/>
          <w:sz w:val="18"/>
        </w:rPr>
      </w:pPr>
    </w:p>
    <w:p>
      <w:pPr>
        <w:pStyle w:val="3"/>
        <w:spacing w:before="71" w:line="278" w:lineRule="auto"/>
        <w:ind w:right="634"/>
        <w:rPr>
          <w:rFonts w:ascii="黑体" w:eastAsia="黑体"/>
        </w:rPr>
      </w:pPr>
      <w:r>
        <w:rPr>
          <w:rFonts w:ascii="黑体" w:eastAsia="黑体"/>
          <w:color w:val="000000"/>
          <w:spacing w:val="-9"/>
          <w:shd w:val="clear" w:color="auto" w:fill="DADADA"/>
        </w:rPr>
        <w:t>若被保险人因同一疾病原因、同次医疗行为或同次意外伤害事故导致其发生本合同所定义的</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两种或者两种以上中症疾病，我们仅按其中一种中症疾病给付中症疾病保险金。</w:t>
      </w:r>
    </w:p>
    <w:p>
      <w:pPr>
        <w:pStyle w:val="3"/>
        <w:spacing w:line="278" w:lineRule="auto"/>
        <w:ind w:right="634"/>
        <w:rPr>
          <w:rFonts w:ascii="黑体" w:eastAsia="黑体"/>
        </w:rPr>
      </w:pPr>
      <w:r>
        <w:rPr>
          <w:rFonts w:ascii="黑体" w:eastAsia="黑体"/>
          <w:color w:val="000000"/>
          <w:spacing w:val="-5"/>
          <w:shd w:val="clear" w:color="auto" w:fill="DADADA"/>
        </w:rPr>
        <w:t>若申请保险金时被保险人发生的中症疾病已经符合本合同所定义的重大疾病定义，我们不承</w:t>
      </w:r>
      <w:r>
        <w:rPr>
          <w:rFonts w:ascii="黑体" w:eastAsia="黑体"/>
          <w:color w:val="000000"/>
          <w:spacing w:val="-2"/>
          <w:shd w:val="clear" w:color="auto" w:fill="DADADA"/>
        </w:rPr>
        <w:t>担给付该种中症疾病的保险金责任。</w:t>
      </w:r>
    </w:p>
    <w:p>
      <w:pPr>
        <w:pStyle w:val="3"/>
        <w:spacing w:before="4"/>
        <w:ind w:left="0"/>
        <w:rPr>
          <w:rFonts w:ascii="黑体"/>
          <w:sz w:val="24"/>
        </w:rPr>
      </w:pPr>
    </w:p>
    <w:p>
      <w:pPr>
        <w:pStyle w:val="3"/>
      </w:pPr>
      <w:r>
        <w:rPr>
          <w:spacing w:val="-2"/>
        </w:rPr>
        <w:t>三、重大疾病保险金</w:t>
      </w:r>
    </w:p>
    <w:p>
      <w:pPr>
        <w:pStyle w:val="10"/>
        <w:numPr>
          <w:ilvl w:val="0"/>
          <w:numId w:val="2"/>
        </w:numPr>
        <w:tabs>
          <w:tab w:val="left" w:pos="677"/>
          <w:tab w:val="left" w:pos="678"/>
        </w:tabs>
        <w:spacing w:before="43" w:after="0" w:line="240" w:lineRule="auto"/>
        <w:ind w:left="677" w:right="0" w:hanging="421"/>
        <w:jc w:val="left"/>
        <w:rPr>
          <w:sz w:val="21"/>
        </w:rPr>
      </w:pPr>
      <w:r>
        <w:rPr>
          <w:spacing w:val="-2"/>
          <w:sz w:val="21"/>
        </w:rPr>
        <w:t>首次重大疾病保险金</w:t>
      </w:r>
    </w:p>
    <w:p>
      <w:pPr>
        <w:pStyle w:val="3"/>
        <w:spacing w:before="43" w:line="278" w:lineRule="auto"/>
        <w:ind w:right="634"/>
      </w:pPr>
      <w:r>
        <w:rPr>
          <w:spacing w:val="-12"/>
        </w:rPr>
        <w:t>若本合同有效，且被保险人于等待期内因意外伤害以外的原因在我们认可的医院由专科医生</w:t>
      </w:r>
      <w:r>
        <w:t>确诊初次发生本合同所定义的重大疾病（无论一种或多种</w:t>
      </w:r>
      <w:r>
        <w:rPr>
          <w:spacing w:val="-104"/>
        </w:rPr>
        <w:t>）</w:t>
      </w:r>
      <w:r>
        <w:rPr>
          <w:spacing w:val="-1"/>
        </w:rPr>
        <w:t>，我们按本合同累计已交保险费</w:t>
      </w:r>
    </w:p>
    <w:p>
      <w:pPr>
        <w:pStyle w:val="3"/>
        <w:rPr>
          <w:rFonts w:ascii="黑体" w:eastAsia="黑体"/>
        </w:rPr>
      </w:pPr>
      <w:r>
        <w:t>（无息）给付重大疾病保险金，</w:t>
      </w:r>
      <w:r>
        <w:rPr>
          <w:rFonts w:ascii="黑体" w:eastAsia="黑体"/>
          <w:spacing w:val="-2"/>
        </w:rPr>
        <w:t>本合同终止。</w:t>
      </w:r>
    </w:p>
    <w:p>
      <w:pPr>
        <w:pStyle w:val="3"/>
        <w:spacing w:before="43" w:line="278" w:lineRule="auto"/>
        <w:ind w:right="634"/>
        <w:jc w:val="both"/>
      </w:pPr>
      <w:r>
        <w:rPr>
          <w:spacing w:val="-12"/>
        </w:rPr>
        <w:t>若本合同有效，且被保险人因意外伤害或于等待期后因意外伤害以外的原因在我们认可的医</w:t>
      </w:r>
      <w:r>
        <w:rPr>
          <w:spacing w:val="-2"/>
        </w:rPr>
        <w:t>院由专科医生确诊初次发生本合同所定义的重大疾病（无论一种或多种</w:t>
      </w:r>
      <w:r>
        <w:rPr>
          <w:spacing w:val="-105"/>
        </w:rPr>
        <w:t>）</w:t>
      </w:r>
      <w:r>
        <w:rPr>
          <w:spacing w:val="-2"/>
        </w:rPr>
        <w:t>，我们按本合同基本保险金额给付首次重大疾病保险金，给付后该种重大疾病的保险责任终止。</w:t>
      </w:r>
    </w:p>
    <w:p>
      <w:pPr>
        <w:pStyle w:val="3"/>
        <w:spacing w:line="278" w:lineRule="auto"/>
        <w:ind w:right="634"/>
      </w:pPr>
      <w:r>
        <w:rPr>
          <w:rFonts w:ascii="黑体" w:eastAsia="黑体"/>
          <w:color w:val="000000"/>
          <w:spacing w:val="-4"/>
          <w:shd w:val="clear" w:color="auto" w:fill="DADADA"/>
        </w:rPr>
        <w:t>自首次重大疾病确诊之日起，本合同的</w:t>
      </w:r>
      <w:r>
        <w:rPr>
          <w:rFonts w:hint="eastAsia" w:ascii="黑体" w:eastAsia="黑体"/>
          <w:b/>
          <w:color w:val="000000"/>
          <w:spacing w:val="-4"/>
          <w:shd w:val="clear" w:color="auto" w:fill="DADADA"/>
        </w:rPr>
        <w:t>现金价值</w:t>
      </w:r>
      <w:r>
        <w:rPr>
          <w:rFonts w:hint="eastAsia" w:ascii="黑体" w:eastAsia="黑体"/>
          <w:b/>
          <w:color w:val="000000"/>
          <w:spacing w:val="-21"/>
          <w:shd w:val="clear" w:color="auto" w:fill="DADADA"/>
        </w:rPr>
        <w:t xml:space="preserve"> </w:t>
      </w:r>
      <w:r>
        <w:fldChar w:fldCharType="begin"/>
      </w:r>
      <w:r>
        <w:instrText xml:space="preserve"> HYPERLINK \l "_bookmark14" </w:instrText>
      </w:r>
      <w:r>
        <w:fldChar w:fldCharType="separate"/>
      </w:r>
      <w:r>
        <w:rPr>
          <w:rFonts w:ascii="Times New Roman" w:eastAsia="Times New Roman"/>
          <w:b/>
          <w:color w:val="000000"/>
          <w:spacing w:val="-4"/>
          <w:shd w:val="clear" w:color="auto" w:fill="DADADA"/>
          <w:vertAlign w:val="superscript"/>
        </w:rPr>
        <w:t>10</w:t>
      </w:r>
      <w:r>
        <w:rPr>
          <w:rFonts w:ascii="Times New Roman" w:eastAsia="Times New Roman"/>
          <w:b/>
          <w:color w:val="000000"/>
          <w:spacing w:val="-4"/>
          <w:shd w:val="clear" w:color="auto" w:fill="DADADA"/>
          <w:vertAlign w:val="superscript"/>
        </w:rPr>
        <w:fldChar w:fldCharType="end"/>
      </w:r>
      <w:r>
        <w:rPr>
          <w:rFonts w:ascii="黑体" w:eastAsia="黑体"/>
          <w:color w:val="000000"/>
          <w:spacing w:val="-4"/>
          <w:shd w:val="clear" w:color="auto" w:fill="DADADA"/>
          <w:vertAlign w:val="baseline"/>
        </w:rPr>
        <w:t>降为零，同时轻症疾病保险金、中症疾病</w:t>
      </w:r>
      <w:r>
        <w:rPr>
          <w:rFonts w:ascii="黑体" w:eastAsia="黑体"/>
          <w:color w:val="000000"/>
          <w:spacing w:val="80"/>
          <w:w w:val="150"/>
          <w:shd w:val="clear" w:color="auto" w:fill="DADADA"/>
          <w:vertAlign w:val="baseline"/>
        </w:rPr>
        <w:t xml:space="preserve">                                             </w:t>
      </w:r>
      <w:r>
        <w:rPr>
          <w:rFonts w:ascii="黑体" w:eastAsia="黑体"/>
          <w:color w:val="000000"/>
          <w:spacing w:val="-2"/>
          <w:shd w:val="clear" w:color="auto" w:fill="DADADA"/>
          <w:vertAlign w:val="baseline"/>
        </w:rPr>
        <w:t>保险金、高残保险金、生命关爱保险金和身故保险金的保险责任均终止</w:t>
      </w:r>
      <w:r>
        <w:rPr>
          <w:color w:val="000000"/>
          <w:spacing w:val="-2"/>
          <w:shd w:val="clear" w:color="auto" w:fill="DADADA"/>
          <w:vertAlign w:val="baseline"/>
        </w:rPr>
        <w:t>。</w:t>
      </w:r>
    </w:p>
    <w:p>
      <w:pPr>
        <w:pStyle w:val="3"/>
        <w:spacing w:before="3"/>
        <w:ind w:left="0"/>
        <w:rPr>
          <w:sz w:val="24"/>
        </w:rPr>
      </w:pPr>
    </w:p>
    <w:p>
      <w:pPr>
        <w:pStyle w:val="10"/>
        <w:numPr>
          <w:ilvl w:val="0"/>
          <w:numId w:val="2"/>
        </w:numPr>
        <w:tabs>
          <w:tab w:val="left" w:pos="677"/>
          <w:tab w:val="left" w:pos="678"/>
        </w:tabs>
        <w:spacing w:before="0" w:after="0" w:line="240" w:lineRule="auto"/>
        <w:ind w:left="677" w:right="0" w:hanging="421"/>
        <w:jc w:val="left"/>
        <w:rPr>
          <w:sz w:val="21"/>
        </w:rPr>
      </w:pPr>
      <w:r>
        <w:rPr>
          <w:spacing w:val="-1"/>
          <w:sz w:val="21"/>
        </w:rPr>
        <w:t>第二次重大疾病保险金</w:t>
      </w:r>
    </w:p>
    <w:p>
      <w:pPr>
        <w:pStyle w:val="3"/>
        <w:spacing w:before="43" w:line="278" w:lineRule="auto"/>
        <w:ind w:right="528" w:hanging="1"/>
      </w:pPr>
      <w:r>
        <w:rPr>
          <w:spacing w:val="-2"/>
        </w:rPr>
        <w:t>若本合同有效，且被保险人自首次重大疾病确诊之日起满三百六十五日后，在我们认可的医</w:t>
      </w:r>
      <w:r>
        <w:rPr>
          <w:spacing w:val="-5"/>
        </w:rPr>
        <w:t>院由专科医生确诊初次发生首次重大疾病以外本合同所定义的重大疾病</w:t>
      </w:r>
      <w:r>
        <w:rPr>
          <w:spacing w:val="-2"/>
        </w:rPr>
        <w:t>（无论一种或多种</w:t>
      </w:r>
      <w:r>
        <w:rPr>
          <w:spacing w:val="-113"/>
        </w:rPr>
        <w:t>）</w:t>
      </w:r>
      <w:r>
        <w:rPr>
          <w:spacing w:val="-8"/>
        </w:rPr>
        <w:t>，</w:t>
      </w:r>
      <w:r>
        <w:rPr>
          <w:spacing w:val="-2"/>
        </w:rPr>
        <w:t>我们按本合同基本保险金额给付第二次重大疾病保险金，</w:t>
      </w:r>
      <w:r>
        <w:rPr>
          <w:rFonts w:ascii="黑体" w:eastAsia="黑体"/>
          <w:spacing w:val="-2"/>
        </w:rPr>
        <w:t>本合同终止</w:t>
      </w:r>
      <w:r>
        <w:rPr>
          <w:spacing w:val="-2"/>
        </w:rPr>
        <w:t>。</w:t>
      </w:r>
    </w:p>
    <w:p>
      <w:pPr>
        <w:pStyle w:val="3"/>
        <w:spacing w:before="4"/>
        <w:ind w:left="0"/>
        <w:rPr>
          <w:sz w:val="22"/>
        </w:rPr>
      </w:pPr>
      <w:r>
        <w:drawing>
          <wp:anchor distT="0" distB="0" distL="0" distR="0" simplePos="0" relativeHeight="251663360" behindDoc="1" locked="0" layoutInCell="1" allowOverlap="1">
            <wp:simplePos x="0" y="0"/>
            <wp:positionH relativeFrom="page">
              <wp:posOffset>1141095</wp:posOffset>
            </wp:positionH>
            <wp:positionV relativeFrom="paragraph">
              <wp:posOffset>394970</wp:posOffset>
            </wp:positionV>
            <wp:extent cx="4800600" cy="17272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2" cstate="print"/>
                    <a:stretch>
                      <a:fillRect/>
                    </a:stretch>
                  </pic:blipFill>
                  <pic:spPr>
                    <a:xfrm>
                      <a:off x="0" y="0"/>
                      <a:ext cx="4800600" cy="172974"/>
                    </a:xfrm>
                    <a:prstGeom prst="rect">
                      <a:avLst/>
                    </a:prstGeom>
                  </pic:spPr>
                </pic:pic>
              </a:graphicData>
            </a:graphic>
          </wp:anchor>
        </w:drawing>
      </w:r>
      <w:r>
        <w:pict>
          <v:shape id="docshape3" o:spid="_x0000_s1026" o:spt="202" type="#_x0000_t202" style="position:absolute;left:0pt;margin-left:89.85pt;margin-top:31.1pt;height:13.65pt;width:378pt;mso-position-horizontal-relative:page;z-index:-251653120;mso-width-relative:page;mso-height-relative:page;" filled="f" stroked="f" coordsize="21600,21600">
            <v:path/>
            <v:fill on="f" focussize="0,0"/>
            <v:stroke on="f" joinstyle="miter"/>
            <v:imagedata o:title=""/>
            <o:lock v:ext="edit"/>
            <v:textbox inset="0mm,0mm,0mm,0mm">
              <w:txbxContent>
                <w:p>
                  <w:pPr>
                    <w:pStyle w:val="3"/>
                    <w:spacing w:before="1"/>
                    <w:ind w:left="0" w:right="-15"/>
                    <w:rPr>
                      <w:rFonts w:ascii="黑体" w:eastAsia="黑体"/>
                    </w:rPr>
                  </w:pPr>
                  <w:r>
                    <w:rPr>
                      <w:rFonts w:ascii="黑体" w:eastAsia="黑体"/>
                      <w:spacing w:val="-1"/>
                    </w:rPr>
                    <w:t>两种或者两种以上的重大疾病，我们仅按其中一种重大疾病给付重大疾病保险金。</w:t>
                  </w:r>
                </w:p>
              </w:txbxContent>
            </v:textbox>
          </v:shape>
        </w:pict>
      </w:r>
      <w:r>
        <w:pict>
          <v:shape id="docshape4" o:spid="_x0000_s1027" o:spt="202" type="#_x0000_t202" style="position:absolute;left:0pt;margin-left:89.85pt;margin-top:15.5pt;height:13.65pt;width:415.65pt;mso-position-horizontal-relative:page;mso-wrap-distance-bottom:0pt;mso-wrap-distance-top:0pt;z-index:-251646976;mso-width-relative:page;mso-height-relative:page;" fillcolor="#DADADA" filled="t" stroked="f" coordsize="21600,21600">
            <v:path/>
            <v:fill on="t" focussize="0,0"/>
            <v:stroke on="f" joinstyle="miter"/>
            <v:imagedata o:title=""/>
            <o:lock v:ext="edit"/>
            <v:textbox inset="0mm,0mm,0mm,0mm">
              <w:txbxContent>
                <w:p>
                  <w:pPr>
                    <w:pStyle w:val="3"/>
                    <w:spacing w:before="1"/>
                    <w:ind w:left="0" w:right="-15"/>
                    <w:rPr>
                      <w:rFonts w:ascii="黑体" w:eastAsia="黑体"/>
                      <w:color w:val="000000"/>
                    </w:rPr>
                  </w:pPr>
                  <w:r>
                    <w:rPr>
                      <w:rFonts w:ascii="黑体" w:eastAsia="黑体"/>
                      <w:color w:val="000000"/>
                      <w:spacing w:val="-8"/>
                    </w:rPr>
                    <w:t>若被保险人因同一疾病原因、同次医疗行为或同次意外伤害事故导致其发生本合同所定义的</w:t>
                  </w:r>
                </w:p>
              </w:txbxContent>
            </v:textbox>
            <w10:wrap type="topAndBottom"/>
          </v:shape>
        </w:pict>
      </w:r>
      <w:r>
        <w:drawing>
          <wp:anchor distT="0" distB="0" distL="0" distR="0" simplePos="0" relativeHeight="251664384" behindDoc="1" locked="0" layoutInCell="1" allowOverlap="1">
            <wp:simplePos x="0" y="0"/>
            <wp:positionH relativeFrom="page">
              <wp:posOffset>1141095</wp:posOffset>
            </wp:positionH>
            <wp:positionV relativeFrom="paragraph">
              <wp:posOffset>989330</wp:posOffset>
            </wp:positionV>
            <wp:extent cx="4800600" cy="17272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12" cstate="print"/>
                    <a:stretch>
                      <a:fillRect/>
                    </a:stretch>
                  </pic:blipFill>
                  <pic:spPr>
                    <a:xfrm>
                      <a:off x="0" y="0"/>
                      <a:ext cx="4800600" cy="172974"/>
                    </a:xfrm>
                    <a:prstGeom prst="rect">
                      <a:avLst/>
                    </a:prstGeom>
                  </pic:spPr>
                </pic:pic>
              </a:graphicData>
            </a:graphic>
          </wp:anchor>
        </w:drawing>
      </w:r>
      <w:r>
        <w:pict>
          <v:shape id="docshape5" o:spid="_x0000_s1028" o:spt="202" type="#_x0000_t202" style="position:absolute;left:0pt;margin-left:89.85pt;margin-top:77.9pt;height:13.65pt;width:378pt;mso-position-horizontal-relative:page;z-index:-251651072;mso-width-relative:page;mso-height-relative:page;" filled="f" stroked="f" coordsize="21600,21600">
            <v:path/>
            <v:fill on="f" focussize="0,0"/>
            <v:stroke on="f" joinstyle="miter"/>
            <v:imagedata o:title=""/>
            <o:lock v:ext="edit"/>
            <v:textbox inset="0mm,0mm,0mm,0mm">
              <w:txbxContent>
                <w:p>
                  <w:pPr>
                    <w:pStyle w:val="3"/>
                    <w:spacing w:before="1"/>
                    <w:ind w:left="0" w:right="-15"/>
                    <w:rPr>
                      <w:rFonts w:ascii="黑体" w:eastAsia="黑体"/>
                    </w:rPr>
                  </w:pPr>
                  <w:r>
                    <w:rPr>
                      <w:rFonts w:ascii="黑体" w:eastAsia="黑体"/>
                      <w:spacing w:val="-1"/>
                    </w:rPr>
                    <w:t>轻症疾病、中症疾病或重大疾病，我们仅按其中最严重的一项保险责任进行给付。</w:t>
                  </w:r>
                </w:p>
              </w:txbxContent>
            </v:textbox>
          </v:shape>
        </w:pict>
      </w:r>
      <w:r>
        <w:pict>
          <v:shape id="docshape6" o:spid="_x0000_s1029" o:spt="202" type="#_x0000_t202" style="position:absolute;left:0pt;margin-left:89.85pt;margin-top:62.3pt;height:13.65pt;width:415.65pt;mso-position-horizontal-relative:page;mso-wrap-distance-bottom:0pt;mso-wrap-distance-top:0pt;z-index:-251645952;mso-width-relative:page;mso-height-relative:page;" fillcolor="#DADADA" filled="t" stroked="f" coordsize="21600,21600">
            <v:path/>
            <v:fill on="t" focussize="0,0"/>
            <v:stroke on="f" joinstyle="miter"/>
            <v:imagedata o:title=""/>
            <o:lock v:ext="edit"/>
            <v:textbox inset="0mm,0mm,0mm,0mm">
              <w:txbxContent>
                <w:p>
                  <w:pPr>
                    <w:pStyle w:val="3"/>
                    <w:spacing w:before="1"/>
                    <w:ind w:left="0" w:right="-15"/>
                    <w:rPr>
                      <w:rFonts w:ascii="黑体" w:eastAsia="黑体"/>
                      <w:color w:val="000000"/>
                    </w:rPr>
                  </w:pPr>
                  <w:r>
                    <w:rPr>
                      <w:rFonts w:ascii="黑体" w:eastAsia="黑体"/>
                      <w:color w:val="000000"/>
                      <w:spacing w:val="-8"/>
                    </w:rPr>
                    <w:t>若被保险人因同一疾病原因、同次医疗行为或同次意外伤害事故导致其发生本合同所定义的</w:t>
                  </w:r>
                </w:p>
              </w:txbxContent>
            </v:textbox>
            <w10:wrap type="topAndBottom"/>
          </v:shape>
        </w:pict>
      </w:r>
    </w:p>
    <w:p>
      <w:pPr>
        <w:pStyle w:val="3"/>
        <w:spacing w:before="7"/>
        <w:ind w:left="0"/>
        <w:rPr>
          <w:sz w:val="25"/>
        </w:rPr>
      </w:pPr>
    </w:p>
    <w:p>
      <w:pPr>
        <w:pStyle w:val="3"/>
        <w:spacing w:before="6"/>
        <w:ind w:left="0"/>
      </w:pPr>
    </w:p>
    <w:p>
      <w:pPr>
        <w:pStyle w:val="3"/>
        <w:spacing w:before="78"/>
      </w:pPr>
    </w:p>
    <w:p>
      <w:pPr>
        <w:pStyle w:val="3"/>
        <w:spacing w:before="78"/>
      </w:pPr>
      <w:bookmarkStart w:id="84" w:name="_GoBack"/>
      <w:bookmarkEnd w:id="84"/>
      <w:r>
        <w:t>四、恶性肿瘤—</w:t>
      </w:r>
      <w:r>
        <w:rPr>
          <w:rFonts w:ascii="Times New Roman" w:hAnsi="Times New Roman" w:eastAsia="Times New Roman"/>
        </w:rPr>
        <w:t>—</w:t>
      </w:r>
      <w:r>
        <w:rPr>
          <w:spacing w:val="-2"/>
        </w:rPr>
        <w:t>重度后续医疗保险金</w:t>
      </w:r>
    </w:p>
    <w:p>
      <w:pPr>
        <w:pStyle w:val="3"/>
        <w:spacing w:before="43"/>
      </w:pPr>
      <w:r>
        <w:rPr>
          <w:spacing w:val="-10"/>
        </w:rPr>
        <w:t>若本合同有效，且被保险人因意外伤害或于等待期后因意外伤害以外的原因在我们认可的医</w:t>
      </w:r>
    </w:p>
    <w:p>
      <w:pPr>
        <w:pStyle w:val="3"/>
        <w:ind w:left="0"/>
        <w:rPr>
          <w:sz w:val="20"/>
        </w:rPr>
      </w:pPr>
    </w:p>
    <w:p>
      <w:pPr>
        <w:pStyle w:val="3"/>
        <w:spacing w:before="2"/>
        <w:ind w:left="0"/>
        <w:rPr>
          <w:sz w:val="17"/>
        </w:rPr>
      </w:pPr>
      <w:r>
        <w:drawing>
          <wp:anchor distT="0" distB="0" distL="0" distR="0" simplePos="0" relativeHeight="251660288" behindDoc="0" locked="0" layoutInCell="1" allowOverlap="1">
            <wp:simplePos x="0" y="0"/>
            <wp:positionH relativeFrom="page">
              <wp:posOffset>1141095</wp:posOffset>
            </wp:positionH>
            <wp:positionV relativeFrom="paragraph">
              <wp:posOffset>154940</wp:posOffset>
            </wp:positionV>
            <wp:extent cx="1828800" cy="6985"/>
            <wp:effectExtent l="0" t="0" r="0" b="0"/>
            <wp:wrapTopAndBottom/>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11" cstate="print"/>
                    <a:stretch>
                      <a:fillRect/>
                    </a:stretch>
                  </pic:blipFill>
                  <pic:spPr>
                    <a:xfrm>
                      <a:off x="0" y="0"/>
                      <a:ext cx="1828799" cy="6858"/>
                    </a:xfrm>
                    <a:prstGeom prst="rect">
                      <a:avLst/>
                    </a:prstGeom>
                  </pic:spPr>
                </pic:pic>
              </a:graphicData>
            </a:graphic>
          </wp:anchor>
        </w:drawing>
      </w:r>
    </w:p>
    <w:p>
      <w:pPr>
        <w:spacing w:before="90" w:line="242" w:lineRule="auto"/>
        <w:ind w:left="257" w:right="634" w:firstLine="0"/>
        <w:jc w:val="left"/>
        <w:rPr>
          <w:sz w:val="18"/>
        </w:rPr>
      </w:pPr>
      <w:bookmarkStart w:id="14" w:name="_bookmark14"/>
      <w:bookmarkEnd w:id="14"/>
      <w:r>
        <w:rPr>
          <w:rFonts w:ascii="Times New Roman" w:eastAsia="Times New Roman"/>
          <w:sz w:val="18"/>
          <w:vertAlign w:val="superscript"/>
        </w:rPr>
        <w:t>10</w:t>
      </w:r>
      <w:r>
        <w:rPr>
          <w:rFonts w:ascii="Times New Roman" w:eastAsia="Times New Roman"/>
          <w:spacing w:val="13"/>
          <w:sz w:val="18"/>
          <w:vertAlign w:val="baseline"/>
        </w:rPr>
        <w:t xml:space="preserve"> </w:t>
      </w:r>
      <w:r>
        <w:rPr>
          <w:b/>
          <w:sz w:val="18"/>
          <w:vertAlign w:val="baseline"/>
        </w:rPr>
        <w:t>现金价值</w:t>
      </w:r>
      <w:r>
        <w:rPr>
          <w:sz w:val="18"/>
          <w:vertAlign w:val="baseline"/>
        </w:rPr>
        <w:t>：指本合同所具有的价值，通常体现为您解除合同时，根据精算原理计算的，由我们退还的那</w:t>
      </w:r>
      <w:r>
        <w:rPr>
          <w:spacing w:val="-2"/>
          <w:sz w:val="18"/>
          <w:vertAlign w:val="baseline"/>
        </w:rPr>
        <w:t>部分金额。各保险单年度末的现金价值载明于保险单现金价值表中。</w:t>
      </w:r>
    </w:p>
    <w:p>
      <w:pPr>
        <w:spacing w:after="0" w:line="242" w:lineRule="auto"/>
        <w:jc w:val="left"/>
        <w:rPr>
          <w:sz w:val="18"/>
        </w:rPr>
        <w:sectPr>
          <w:pgSz w:w="11910" w:h="16840"/>
          <w:pgMar w:top="1580" w:right="1160" w:bottom="1340" w:left="1540" w:header="0" w:footer="1142" w:gutter="0"/>
          <w:cols w:space="720" w:num="1"/>
        </w:sectPr>
      </w:pPr>
    </w:p>
    <w:p>
      <w:pPr>
        <w:pStyle w:val="3"/>
        <w:spacing w:before="102" w:line="278" w:lineRule="auto"/>
        <w:ind w:right="632" w:hanging="1"/>
        <w:rPr>
          <w:b/>
        </w:rPr>
      </w:pPr>
      <w:r>
        <w:t>院由专科医生确诊初次发生本合同所定义的</w:t>
      </w:r>
      <w:r>
        <w:rPr>
          <w:b/>
        </w:rPr>
        <w:t>恶性肿瘤</w:t>
      </w:r>
      <w:r>
        <w:rPr>
          <w:rFonts w:ascii="Times New Roman" w:hAnsi="Times New Roman" w:eastAsia="Times New Roman"/>
        </w:rPr>
        <w:t>——</w:t>
      </w:r>
      <w:r>
        <w:rPr>
          <w:b/>
          <w:spacing w:val="2"/>
        </w:rPr>
        <w:t>重度</w:t>
      </w:r>
      <w:r>
        <w:fldChar w:fldCharType="begin"/>
      </w:r>
      <w:r>
        <w:instrText xml:space="preserve"> HYPERLINK \l "_bookmark15" </w:instrText>
      </w:r>
      <w:r>
        <w:fldChar w:fldCharType="separate"/>
      </w:r>
      <w:r>
        <w:rPr>
          <w:rFonts w:ascii="Times New Roman" w:hAnsi="Times New Roman" w:eastAsia="Times New Roman"/>
          <w:b/>
          <w:vertAlign w:val="superscript"/>
        </w:rPr>
        <w:t>11</w:t>
      </w:r>
      <w:r>
        <w:rPr>
          <w:rFonts w:ascii="Times New Roman" w:hAnsi="Times New Roman" w:eastAsia="Times New Roman"/>
          <w:b/>
          <w:vertAlign w:val="superscript"/>
        </w:rPr>
        <w:fldChar w:fldCharType="end"/>
      </w:r>
      <w:r>
        <w:rPr>
          <w:vertAlign w:val="baseline"/>
        </w:rPr>
        <w:t>（无论一种或多种</w:t>
      </w:r>
      <w:r>
        <w:rPr>
          <w:spacing w:val="-103"/>
          <w:vertAlign w:val="baseline"/>
        </w:rPr>
        <w:t>）</w:t>
      </w:r>
      <w:r>
        <w:rPr>
          <w:vertAlign w:val="baseline"/>
        </w:rPr>
        <w:t>、按照</w:t>
      </w:r>
      <w:r>
        <w:rPr>
          <w:w w:val="95"/>
          <w:vertAlign w:val="baseline"/>
        </w:rPr>
        <w:t>本条第三款的约定我们应给付重大疾病保险金的</w:t>
      </w:r>
      <w:r>
        <w:rPr>
          <w:spacing w:val="-92"/>
          <w:w w:val="95"/>
          <w:vertAlign w:val="baseline"/>
        </w:rPr>
        <w:t>，</w:t>
      </w:r>
      <w:r>
        <w:rPr>
          <w:w w:val="95"/>
          <w:vertAlign w:val="baseline"/>
        </w:rPr>
        <w:t>则自被保险人确诊之日后的首个</w:t>
      </w:r>
      <w:r>
        <w:rPr>
          <w:b/>
          <w:w w:val="95"/>
          <w:vertAlign w:val="baseline"/>
        </w:rPr>
        <w:t>恶性肿</w:t>
      </w:r>
      <w:r>
        <w:rPr>
          <w:b/>
          <w:spacing w:val="-10"/>
          <w:w w:val="95"/>
          <w:vertAlign w:val="baseline"/>
        </w:rPr>
        <w:t>瘤</w:t>
      </w:r>
    </w:p>
    <w:p>
      <w:pPr>
        <w:spacing w:before="0" w:line="269" w:lineRule="exact"/>
        <w:ind w:left="257" w:right="0" w:firstLine="0"/>
        <w:jc w:val="left"/>
        <w:rPr>
          <w:sz w:val="21"/>
        </w:rPr>
      </w:pPr>
      <w:r>
        <w:rPr>
          <w:b/>
          <w:w w:val="95"/>
          <w:sz w:val="21"/>
        </w:rPr>
        <w:t>——重度确诊周年日</w:t>
      </w:r>
      <w:r>
        <w:fldChar w:fldCharType="begin"/>
      </w:r>
      <w:r>
        <w:instrText xml:space="preserve"> HYPERLINK \l "_bookmark16" </w:instrText>
      </w:r>
      <w:r>
        <w:fldChar w:fldCharType="separate"/>
      </w:r>
      <w:r>
        <w:rPr>
          <w:rFonts w:ascii="Times New Roman" w:hAnsi="Times New Roman" w:eastAsia="Times New Roman"/>
          <w:b/>
          <w:w w:val="95"/>
          <w:sz w:val="21"/>
          <w:vertAlign w:val="superscript"/>
        </w:rPr>
        <w:t>12</w:t>
      </w:r>
      <w:r>
        <w:rPr>
          <w:rFonts w:ascii="Times New Roman" w:hAnsi="Times New Roman" w:eastAsia="Times New Roman"/>
          <w:b/>
          <w:w w:val="95"/>
          <w:sz w:val="21"/>
          <w:vertAlign w:val="superscript"/>
        </w:rPr>
        <w:fldChar w:fldCharType="end"/>
      </w:r>
      <w:r>
        <w:rPr>
          <w:w w:val="95"/>
          <w:sz w:val="21"/>
          <w:vertAlign w:val="baseline"/>
        </w:rPr>
        <w:t>零时起，至第六个恶性肿瘤——重度确诊周年日的前一日二十四时</w:t>
      </w:r>
      <w:r>
        <w:rPr>
          <w:spacing w:val="-10"/>
          <w:w w:val="95"/>
          <w:sz w:val="21"/>
          <w:vertAlign w:val="baseline"/>
        </w:rPr>
        <w:t>止</w:t>
      </w:r>
    </w:p>
    <w:p>
      <w:pPr>
        <w:pStyle w:val="3"/>
        <w:spacing w:before="43"/>
      </w:pPr>
      <w:r>
        <w:t>（共五年</w:t>
      </w:r>
      <w:r>
        <w:rPr>
          <w:spacing w:val="-105"/>
        </w:rPr>
        <w:t>）</w:t>
      </w:r>
      <w:r>
        <w:rPr>
          <w:spacing w:val="-2"/>
        </w:rPr>
        <w:t>，我们按以下列约定给付恶性肿瘤——重度后续医疗保险金：</w:t>
      </w:r>
    </w:p>
    <w:p>
      <w:pPr>
        <w:pStyle w:val="10"/>
        <w:numPr>
          <w:ilvl w:val="0"/>
          <w:numId w:val="3"/>
        </w:numPr>
        <w:tabs>
          <w:tab w:val="left" w:pos="678"/>
        </w:tabs>
        <w:spacing w:before="43" w:after="0" w:line="278" w:lineRule="auto"/>
        <w:ind w:left="677" w:right="633" w:hanging="420"/>
        <w:jc w:val="both"/>
        <w:rPr>
          <w:rFonts w:ascii="黑体" w:hAnsi="黑体" w:eastAsia="黑体"/>
          <w:sz w:val="21"/>
        </w:rPr>
      </w:pPr>
      <w:r>
        <w:rPr>
          <w:sz w:val="21"/>
        </w:rPr>
        <w:t>若被保险人已从</w:t>
      </w:r>
      <w:r>
        <w:rPr>
          <w:b/>
          <w:w w:val="99"/>
          <w:sz w:val="21"/>
        </w:rPr>
        <w:t>基本医疗保险</w:t>
      </w:r>
      <w:r>
        <w:rPr>
          <w:b/>
          <w:spacing w:val="-44"/>
          <w:sz w:val="21"/>
        </w:rPr>
        <w:t xml:space="preserve"> </w:t>
      </w:r>
      <w:r>
        <w:fldChar w:fldCharType="begin"/>
      </w:r>
      <w:r>
        <w:instrText xml:space="preserve"> HYPERLINK \l "_bookmark17" </w:instrText>
      </w:r>
      <w:r>
        <w:fldChar w:fldCharType="separate"/>
      </w:r>
      <w:r>
        <w:rPr>
          <w:rFonts w:ascii="Times New Roman" w:hAnsi="Times New Roman" w:eastAsia="Times New Roman"/>
          <w:b/>
          <w:w w:val="100"/>
          <w:sz w:val="21"/>
          <w:vertAlign w:val="superscript"/>
        </w:rPr>
        <w:t>1</w:t>
      </w:r>
      <w:r>
        <w:rPr>
          <w:rFonts w:ascii="Times New Roman" w:hAnsi="Times New Roman" w:eastAsia="Times New Roman"/>
          <w:b/>
          <w:spacing w:val="5"/>
          <w:w w:val="100"/>
          <w:sz w:val="21"/>
          <w:vertAlign w:val="superscript"/>
        </w:rPr>
        <w:t>3</w:t>
      </w:r>
      <w:r>
        <w:rPr>
          <w:rFonts w:ascii="Times New Roman" w:hAnsi="Times New Roman" w:eastAsia="Times New Roman"/>
          <w:b/>
          <w:spacing w:val="5"/>
          <w:w w:val="100"/>
          <w:sz w:val="21"/>
          <w:vertAlign w:val="superscript"/>
        </w:rPr>
        <w:fldChar w:fldCharType="end"/>
      </w:r>
      <w:r>
        <w:rPr>
          <w:spacing w:val="-8"/>
          <w:sz w:val="21"/>
          <w:vertAlign w:val="baseline"/>
        </w:rPr>
        <w:t>或公费医疗获得医疗费用补偿的，我们对其在我们认可</w:t>
      </w:r>
      <w:r>
        <w:rPr>
          <w:spacing w:val="-3"/>
          <w:sz w:val="21"/>
          <w:vertAlign w:val="baseline"/>
        </w:rPr>
        <w:t>的医院内实际支出的因为治疗恶性肿瘤——重度而发生的必要且合理的医疗费用，</w:t>
      </w:r>
      <w:r>
        <w:rPr>
          <w:rFonts w:ascii="黑体" w:hAnsi="黑体" w:eastAsia="黑体"/>
          <w:color w:val="000000"/>
          <w:spacing w:val="-8"/>
          <w:sz w:val="21"/>
          <w:shd w:val="clear" w:color="auto" w:fill="DADADA"/>
          <w:vertAlign w:val="baseline"/>
        </w:rPr>
        <w:t>按扣</w:t>
      </w:r>
      <w:r>
        <w:rPr>
          <w:rFonts w:ascii="黑体" w:hAnsi="黑体" w:eastAsia="黑体"/>
          <w:color w:val="000000"/>
          <w:sz w:val="21"/>
          <w:shd w:val="clear" w:color="auto" w:fill="DADADA"/>
          <w:vertAlign w:val="baseline"/>
        </w:rPr>
        <w:t xml:space="preserve">                                                                                                                                                    </w:t>
      </w:r>
      <w:r>
        <w:rPr>
          <w:rFonts w:ascii="黑体" w:hAnsi="黑体" w:eastAsia="黑体"/>
          <w:color w:val="000000"/>
          <w:spacing w:val="-5"/>
          <w:sz w:val="21"/>
          <w:shd w:val="clear" w:color="auto" w:fill="DADADA"/>
          <w:vertAlign w:val="baseline"/>
        </w:rPr>
        <w:t>除被保险人从基本医疗保险、公费医疗、</w:t>
      </w:r>
      <w:r>
        <w:rPr>
          <w:rFonts w:hint="eastAsia" w:ascii="黑体" w:hAnsi="黑体" w:eastAsia="黑体"/>
          <w:b/>
          <w:color w:val="000000"/>
          <w:w w:val="99"/>
          <w:sz w:val="21"/>
          <w:shd w:val="clear" w:color="auto" w:fill="DADADA"/>
          <w:vertAlign w:val="baseline"/>
        </w:rPr>
        <w:t>城乡居民大病保险</w:t>
      </w:r>
      <w:r>
        <w:rPr>
          <w:rFonts w:hint="eastAsia" w:ascii="黑体" w:hAnsi="黑体" w:eastAsia="黑体"/>
          <w:b/>
          <w:color w:val="000000"/>
          <w:spacing w:val="-43"/>
          <w:sz w:val="21"/>
          <w:shd w:val="clear" w:color="auto" w:fill="DADADA"/>
          <w:vertAlign w:val="baseline"/>
        </w:rPr>
        <w:t xml:space="preserve"> </w:t>
      </w:r>
      <w:r>
        <w:fldChar w:fldCharType="begin"/>
      </w:r>
      <w:r>
        <w:instrText xml:space="preserve"> HYPERLINK \l "_bookmark18" </w:instrText>
      </w:r>
      <w:r>
        <w:fldChar w:fldCharType="separate"/>
      </w:r>
      <w:r>
        <w:rPr>
          <w:rFonts w:ascii="Times New Roman" w:hAnsi="Times New Roman" w:eastAsia="Times New Roman"/>
          <w:b/>
          <w:color w:val="000000"/>
          <w:w w:val="100"/>
          <w:sz w:val="21"/>
          <w:shd w:val="clear" w:color="auto" w:fill="DADADA"/>
          <w:vertAlign w:val="superscript"/>
        </w:rPr>
        <w:t>14</w:t>
      </w:r>
      <w:r>
        <w:rPr>
          <w:rFonts w:ascii="Times New Roman" w:hAnsi="Times New Roman" w:eastAsia="Times New Roman"/>
          <w:b/>
          <w:color w:val="000000"/>
          <w:w w:val="100"/>
          <w:sz w:val="21"/>
          <w:shd w:val="clear" w:color="auto" w:fill="DADADA"/>
          <w:vertAlign w:val="superscript"/>
        </w:rPr>
        <w:fldChar w:fldCharType="end"/>
      </w:r>
      <w:r>
        <w:rPr>
          <w:rFonts w:hint="eastAsia" w:ascii="黑体" w:hAnsi="黑体" w:eastAsia="黑体"/>
          <w:b/>
          <w:color w:val="000000"/>
          <w:spacing w:val="-30"/>
          <w:w w:val="99"/>
          <w:sz w:val="21"/>
          <w:shd w:val="clear" w:color="auto" w:fill="DADADA"/>
          <w:vertAlign w:val="baseline"/>
        </w:rPr>
        <w:t>、</w:t>
      </w:r>
      <w:r>
        <w:rPr>
          <w:rFonts w:ascii="黑体" w:hAnsi="黑体" w:eastAsia="黑体"/>
          <w:color w:val="000000"/>
          <w:spacing w:val="-1"/>
          <w:sz w:val="21"/>
          <w:shd w:val="clear" w:color="auto" w:fill="DADADA"/>
          <w:vertAlign w:val="baseline"/>
        </w:rPr>
        <w:t>商业性</w:t>
      </w:r>
      <w:r>
        <w:rPr>
          <w:rFonts w:hint="eastAsia" w:ascii="黑体" w:hAnsi="黑体" w:eastAsia="黑体"/>
          <w:b/>
          <w:color w:val="000000"/>
          <w:w w:val="99"/>
          <w:sz w:val="21"/>
          <w:shd w:val="clear" w:color="auto" w:fill="DADADA"/>
          <w:vertAlign w:val="baseline"/>
        </w:rPr>
        <w:t>费用补偿型医疗保险</w:t>
      </w:r>
      <w:r>
        <w:rPr>
          <w:rFonts w:hint="eastAsia" w:ascii="黑体" w:hAnsi="黑体" w:eastAsia="黑体"/>
          <w:b/>
          <w:color w:val="000000"/>
          <w:spacing w:val="-43"/>
          <w:sz w:val="21"/>
          <w:shd w:val="clear" w:color="auto" w:fill="DADADA"/>
          <w:vertAlign w:val="baseline"/>
        </w:rPr>
        <w:t xml:space="preserve"> </w:t>
      </w:r>
      <w:r>
        <w:fldChar w:fldCharType="begin"/>
      </w:r>
      <w:r>
        <w:instrText xml:space="preserve"> HYPERLINK \l "_bookmark19" </w:instrText>
      </w:r>
      <w:r>
        <w:fldChar w:fldCharType="separate"/>
      </w:r>
      <w:r>
        <w:rPr>
          <w:rFonts w:ascii="Times New Roman" w:hAnsi="Times New Roman" w:eastAsia="Times New Roman"/>
          <w:b/>
          <w:color w:val="000000"/>
          <w:w w:val="100"/>
          <w:sz w:val="21"/>
          <w:shd w:val="clear" w:color="auto" w:fill="DADADA"/>
          <w:vertAlign w:val="superscript"/>
        </w:rPr>
        <w:t>15</w:t>
      </w:r>
      <w:r>
        <w:rPr>
          <w:rFonts w:ascii="Times New Roman" w:hAnsi="Times New Roman" w:eastAsia="Times New Roman"/>
          <w:b/>
          <w:color w:val="000000"/>
          <w:w w:val="100"/>
          <w:sz w:val="21"/>
          <w:shd w:val="clear" w:color="auto" w:fill="DADADA"/>
          <w:vertAlign w:val="superscript"/>
        </w:rPr>
        <w:fldChar w:fldCharType="end"/>
      </w:r>
      <w:r>
        <w:rPr>
          <w:rFonts w:hint="eastAsia" w:ascii="黑体" w:hAnsi="黑体" w:eastAsia="黑体"/>
          <w:b/>
          <w:color w:val="000000"/>
          <w:spacing w:val="-30"/>
          <w:w w:val="99"/>
          <w:sz w:val="21"/>
          <w:shd w:val="clear" w:color="auto" w:fill="DADADA"/>
          <w:vertAlign w:val="baseline"/>
        </w:rPr>
        <w:t>、</w:t>
      </w:r>
      <w:r>
        <w:rPr>
          <w:rFonts w:ascii="黑体" w:hAnsi="黑体" w:eastAsia="黑体"/>
          <w:color w:val="000000"/>
          <w:spacing w:val="-3"/>
          <w:sz w:val="21"/>
          <w:shd w:val="clear" w:color="auto" w:fill="DADADA"/>
          <w:vertAlign w:val="baseline"/>
        </w:rPr>
        <w:t xml:space="preserve">互助机构或其他机构等途径所获补偿或赔付后的 </w:t>
      </w:r>
      <w:r>
        <w:rPr>
          <w:rFonts w:ascii="Times New Roman" w:hAnsi="Times New Roman" w:eastAsia="Times New Roman"/>
          <w:color w:val="000000"/>
          <w:sz w:val="21"/>
          <w:shd w:val="clear" w:color="auto" w:fill="DADADA"/>
          <w:vertAlign w:val="baseline"/>
        </w:rPr>
        <w:t>1</w:t>
      </w:r>
      <w:r>
        <w:rPr>
          <w:rFonts w:ascii="Times New Roman" w:hAnsi="Times New Roman" w:eastAsia="Times New Roman"/>
          <w:color w:val="000000"/>
          <w:spacing w:val="-1"/>
          <w:sz w:val="21"/>
          <w:shd w:val="clear" w:color="auto" w:fill="DADADA"/>
          <w:vertAlign w:val="baseline"/>
        </w:rPr>
        <w:t>00</w:t>
      </w:r>
      <w:r>
        <w:rPr>
          <w:rFonts w:ascii="黑体" w:hAnsi="黑体" w:eastAsia="黑体"/>
          <w:color w:val="000000"/>
          <w:sz w:val="21"/>
          <w:shd w:val="clear" w:color="auto" w:fill="DADADA"/>
          <w:vertAlign w:val="baseline"/>
        </w:rPr>
        <w:t>％给付恶性肿瘤——重度后续医疗保险金。</w:t>
      </w:r>
    </w:p>
    <w:p>
      <w:pPr>
        <w:pStyle w:val="10"/>
        <w:numPr>
          <w:ilvl w:val="0"/>
          <w:numId w:val="3"/>
        </w:numPr>
        <w:tabs>
          <w:tab w:val="left" w:pos="678"/>
        </w:tabs>
        <w:spacing w:before="0" w:after="0" w:line="278" w:lineRule="auto"/>
        <w:ind w:left="677" w:right="634" w:hanging="420"/>
        <w:jc w:val="both"/>
        <w:rPr>
          <w:rFonts w:ascii="黑体" w:hAnsi="黑体" w:eastAsia="黑体"/>
          <w:sz w:val="21"/>
        </w:rPr>
      </w:pPr>
      <w:r>
        <w:rPr>
          <w:spacing w:val="-6"/>
          <w:sz w:val="21"/>
        </w:rPr>
        <w:t>若被保险人未从基本医疗保险或公费医疗获得医疗费用补偿的，我们对其在我们认可的</w:t>
      </w:r>
      <w:r>
        <w:rPr>
          <w:spacing w:val="-5"/>
          <w:sz w:val="21"/>
        </w:rPr>
        <w:t>医院内实际支出的因为治疗恶性肿瘤——重度而发生的必要且合理的医疗费用，</w:t>
      </w:r>
      <w:r>
        <w:rPr>
          <w:rFonts w:ascii="黑体" w:hAnsi="黑体" w:eastAsia="黑体"/>
          <w:color w:val="000000"/>
          <w:spacing w:val="-2"/>
          <w:sz w:val="21"/>
          <w:shd w:val="clear" w:color="auto" w:fill="DADADA"/>
        </w:rPr>
        <w:t>按扣除</w:t>
      </w:r>
      <w:r>
        <w:rPr>
          <w:rFonts w:ascii="黑体" w:hAnsi="黑体" w:eastAsia="黑体"/>
          <w:color w:val="000000"/>
          <w:spacing w:val="15435"/>
          <w:sz w:val="21"/>
          <w:shd w:val="clear" w:color="auto" w:fill="DADADA"/>
        </w:rPr>
        <w:t xml:space="preserve"> </w:t>
      </w:r>
      <w:r>
        <w:rPr>
          <w:rFonts w:ascii="黑体" w:hAnsi="黑体" w:eastAsia="黑体"/>
          <w:color w:val="000000"/>
          <w:spacing w:val="-7"/>
          <w:sz w:val="21"/>
          <w:shd w:val="clear" w:color="auto" w:fill="DADADA"/>
        </w:rPr>
        <w:t>被保险人从商业性费用补偿型医疗保险、互助机构或其他机构等途径所获补偿或赔付后</w:t>
      </w:r>
      <w:r>
        <w:rPr>
          <w:rFonts w:ascii="黑体" w:hAnsi="黑体" w:eastAsia="黑体"/>
          <w:color w:val="000000"/>
          <w:spacing w:val="-21"/>
          <w:sz w:val="21"/>
          <w:shd w:val="clear" w:color="auto" w:fill="DADADA"/>
        </w:rPr>
        <w:t xml:space="preserve">的 </w:t>
      </w:r>
      <w:r>
        <w:rPr>
          <w:rFonts w:ascii="Times New Roman" w:hAnsi="Times New Roman" w:eastAsia="Times New Roman"/>
          <w:color w:val="000000"/>
          <w:sz w:val="21"/>
          <w:shd w:val="clear" w:color="auto" w:fill="DADADA"/>
        </w:rPr>
        <w:t>95</w:t>
      </w:r>
      <w:r>
        <w:rPr>
          <w:rFonts w:ascii="黑体" w:hAnsi="黑体" w:eastAsia="黑体"/>
          <w:color w:val="000000"/>
          <w:sz w:val="21"/>
          <w:shd w:val="clear" w:color="auto" w:fill="DADADA"/>
        </w:rPr>
        <w:t>％给付恶性肿瘤——重度后续医疗保险金。</w:t>
      </w:r>
    </w:p>
    <w:p>
      <w:pPr>
        <w:pStyle w:val="3"/>
        <w:spacing w:before="3"/>
        <w:ind w:left="0"/>
        <w:rPr>
          <w:rFonts w:ascii="黑体"/>
          <w:sz w:val="24"/>
        </w:rPr>
      </w:pPr>
    </w:p>
    <w:p>
      <w:pPr>
        <w:pStyle w:val="3"/>
        <w:spacing w:line="278" w:lineRule="auto"/>
        <w:ind w:right="754" w:hanging="1"/>
      </w:pPr>
      <w:r>
        <w:t>每一</w:t>
      </w:r>
      <w:r>
        <w:rPr>
          <w:b/>
        </w:rPr>
        <w:t>确诊年度</w:t>
      </w:r>
      <w:r>
        <w:rPr>
          <w:b/>
          <w:spacing w:val="-43"/>
        </w:rPr>
        <w:t xml:space="preserve"> </w:t>
      </w:r>
      <w:r>
        <w:fldChar w:fldCharType="begin"/>
      </w:r>
      <w:r>
        <w:instrText xml:space="preserve"> HYPERLINK \l "_bookmark20" </w:instrText>
      </w:r>
      <w:r>
        <w:fldChar w:fldCharType="separate"/>
      </w:r>
      <w:r>
        <w:rPr>
          <w:rFonts w:ascii="Times New Roman" w:hAnsi="Times New Roman" w:eastAsia="Times New Roman"/>
          <w:b/>
          <w:vertAlign w:val="superscript"/>
        </w:rPr>
        <w:t>16</w:t>
      </w:r>
      <w:r>
        <w:rPr>
          <w:rFonts w:ascii="Times New Roman" w:hAnsi="Times New Roman" w:eastAsia="Times New Roman"/>
          <w:b/>
          <w:vertAlign w:val="superscript"/>
        </w:rPr>
        <w:fldChar w:fldCharType="end"/>
      </w:r>
      <w:r>
        <w:rPr>
          <w:vertAlign w:val="baseline"/>
        </w:rPr>
        <w:t>内我们给付的恶性肿瘤——重度后续医疗保险金总额以本合同基本保险金</w:t>
      </w:r>
      <w:r>
        <w:rPr>
          <w:spacing w:val="-15"/>
          <w:vertAlign w:val="baseline"/>
        </w:rPr>
        <w:t xml:space="preserve">额的 </w:t>
      </w:r>
      <w:r>
        <w:rPr>
          <w:rFonts w:ascii="Times New Roman" w:hAnsi="Times New Roman" w:eastAsia="Times New Roman"/>
          <w:vertAlign w:val="baseline"/>
        </w:rPr>
        <w:t>10%</w:t>
      </w:r>
      <w:r>
        <w:rPr>
          <w:vertAlign w:val="baseline"/>
        </w:rPr>
        <w:t>为限。</w:t>
      </w:r>
    </w:p>
    <w:p>
      <w:pPr>
        <w:pStyle w:val="3"/>
        <w:spacing w:before="4"/>
        <w:ind w:left="0"/>
        <w:rPr>
          <w:sz w:val="18"/>
        </w:rPr>
      </w:pPr>
    </w:p>
    <w:p>
      <w:pPr>
        <w:pStyle w:val="3"/>
        <w:spacing w:before="77" w:line="278" w:lineRule="auto"/>
        <w:ind w:right="634"/>
        <w:rPr>
          <w:rFonts w:ascii="黑体" w:hAnsi="黑体" w:eastAsia="黑体"/>
        </w:rPr>
      </w:pPr>
      <w:r>
        <w:rPr>
          <w:rFonts w:ascii="黑体" w:hAnsi="黑体" w:eastAsia="黑体"/>
          <w:color w:val="000000"/>
          <w:spacing w:val="-2"/>
          <w:shd w:val="clear" w:color="auto" w:fill="DADADA"/>
        </w:rPr>
        <w:t>若首次重大疾病和第二次重大疾病均不是本合同所定义的恶性肿瘤—</w:t>
      </w:r>
      <w:r>
        <w:rPr>
          <w:rFonts w:ascii="Times New Roman" w:hAnsi="Times New Roman" w:eastAsia="Times New Roman"/>
          <w:color w:val="000000"/>
          <w:spacing w:val="-2"/>
          <w:shd w:val="clear" w:color="auto" w:fill="DADADA"/>
        </w:rPr>
        <w:t>—</w:t>
      </w:r>
      <w:r>
        <w:rPr>
          <w:rFonts w:ascii="黑体" w:hAnsi="黑体" w:eastAsia="黑体"/>
          <w:color w:val="000000"/>
          <w:spacing w:val="-13"/>
          <w:shd w:val="clear" w:color="auto" w:fill="DADADA"/>
        </w:rPr>
        <w:t>重度，我们不承担本</w:t>
      </w:r>
      <w:r>
        <w:rPr>
          <w:rFonts w:ascii="黑体" w:hAnsi="黑体" w:eastAsia="黑体"/>
          <w:color w:val="000000"/>
          <w:spacing w:val="-2"/>
          <w:shd w:val="clear" w:color="auto" w:fill="DADADA"/>
        </w:rPr>
        <w:t>项保险责任。</w:t>
      </w:r>
    </w:p>
    <w:p>
      <w:pPr>
        <w:pStyle w:val="3"/>
        <w:spacing w:before="4"/>
        <w:ind w:left="0"/>
        <w:rPr>
          <w:rFonts w:ascii="黑体"/>
          <w:sz w:val="24"/>
        </w:rPr>
      </w:pPr>
    </w:p>
    <w:p>
      <w:pPr>
        <w:pStyle w:val="3"/>
        <w:spacing w:before="1"/>
      </w:pPr>
      <w:r>
        <w:rPr>
          <w:spacing w:val="-1"/>
        </w:rPr>
        <w:t>五、严重阿尔茨海默病后续医疗保险金</w:t>
      </w:r>
    </w:p>
    <w:p>
      <w:pPr>
        <w:pStyle w:val="3"/>
        <w:spacing w:before="42" w:line="278" w:lineRule="auto"/>
        <w:ind w:right="629"/>
        <w:jc w:val="both"/>
      </w:pPr>
      <w:r>
        <w:rPr>
          <w:spacing w:val="-4"/>
        </w:rPr>
        <w:t>自被保险人年满五十周岁起，若本合同有效，且被保险人因意外伤害或于等待期后因意外伤</w:t>
      </w:r>
      <w:r>
        <w:rPr>
          <w:spacing w:val="-2"/>
        </w:rPr>
        <w:t>害以外的原因在我们认可的医院由专科医生确诊初次发生本合同所定义的</w:t>
      </w:r>
      <w:r>
        <w:rPr>
          <w:b/>
          <w:spacing w:val="-2"/>
        </w:rPr>
        <w:t>严重阿尔茨海默病</w:t>
      </w:r>
      <w:r>
        <w:fldChar w:fldCharType="begin"/>
      </w:r>
      <w:r>
        <w:instrText xml:space="preserve"> HYPERLINK \l "_bookmark21" </w:instrText>
      </w:r>
      <w:r>
        <w:fldChar w:fldCharType="separate"/>
      </w:r>
      <w:r>
        <w:rPr>
          <w:rFonts w:ascii="Times New Roman" w:eastAsia="Times New Roman"/>
          <w:b/>
          <w:spacing w:val="-2"/>
          <w:vertAlign w:val="superscript"/>
        </w:rPr>
        <w:t>17</w:t>
      </w:r>
      <w:r>
        <w:rPr>
          <w:rFonts w:ascii="Times New Roman" w:eastAsia="Times New Roman"/>
          <w:b/>
          <w:spacing w:val="-2"/>
          <w:vertAlign w:val="superscript"/>
        </w:rPr>
        <w:fldChar w:fldCharType="end"/>
      </w:r>
      <w:r>
        <w:rPr>
          <w:spacing w:val="-2"/>
          <w:vertAlign w:val="baseline"/>
        </w:rPr>
        <w:t>、按照本条第三款的约定我们应给付重大疾病保险金的，则自被保险人确诊之日后的首个</w:t>
      </w:r>
      <w:r>
        <w:rPr>
          <w:b/>
          <w:spacing w:val="-2"/>
          <w:vertAlign w:val="baseline"/>
        </w:rPr>
        <w:t>严重阿尔茨海默病确诊周年日</w:t>
      </w:r>
      <w:r>
        <w:fldChar w:fldCharType="begin"/>
      </w:r>
      <w:r>
        <w:instrText xml:space="preserve"> HYPERLINK \l "_bookmark22" </w:instrText>
      </w:r>
      <w:r>
        <w:fldChar w:fldCharType="separate"/>
      </w:r>
      <w:r>
        <w:rPr>
          <w:rFonts w:ascii="Times New Roman" w:eastAsia="Times New Roman"/>
          <w:b/>
          <w:spacing w:val="-2"/>
          <w:vertAlign w:val="superscript"/>
        </w:rPr>
        <w:t>18</w:t>
      </w:r>
      <w:r>
        <w:rPr>
          <w:rFonts w:ascii="Times New Roman" w:eastAsia="Times New Roman"/>
          <w:b/>
          <w:spacing w:val="-2"/>
          <w:vertAlign w:val="superscript"/>
        </w:rPr>
        <w:fldChar w:fldCharType="end"/>
      </w:r>
      <w:r>
        <w:rPr>
          <w:spacing w:val="-2"/>
          <w:vertAlign w:val="baseline"/>
        </w:rPr>
        <w:t>零时起，至第六个严重阿尔茨海默病确诊周年日的前一日二十四时止（共五年</w:t>
      </w:r>
      <w:r>
        <w:rPr>
          <w:spacing w:val="-105"/>
          <w:vertAlign w:val="baseline"/>
        </w:rPr>
        <w:t>）</w:t>
      </w:r>
      <w:r>
        <w:rPr>
          <w:spacing w:val="-2"/>
          <w:vertAlign w:val="baseline"/>
        </w:rPr>
        <w:t>，我们按以下列约定给付严重阿尔茨海默病后续医疗保险金：</w:t>
      </w:r>
    </w:p>
    <w:p>
      <w:pPr>
        <w:pStyle w:val="10"/>
        <w:numPr>
          <w:ilvl w:val="0"/>
          <w:numId w:val="4"/>
        </w:numPr>
        <w:tabs>
          <w:tab w:val="left" w:pos="678"/>
        </w:tabs>
        <w:spacing w:before="0" w:after="0" w:line="278" w:lineRule="auto"/>
        <w:ind w:left="677" w:right="634" w:hanging="420"/>
        <w:jc w:val="both"/>
        <w:rPr>
          <w:rFonts w:ascii="黑体" w:eastAsia="黑体"/>
          <w:sz w:val="21"/>
        </w:rPr>
      </w:pPr>
      <w:r>
        <w:rPr>
          <w:spacing w:val="-6"/>
          <w:sz w:val="21"/>
        </w:rPr>
        <w:t>若被保险人已从基本医疗保险或公费医疗获得医疗费用补偿的，我们对其在我们认可的</w:t>
      </w:r>
      <w:r>
        <w:rPr>
          <w:spacing w:val="-5"/>
          <w:sz w:val="21"/>
        </w:rPr>
        <w:t>医院内实际支出的因为治疗严重阿尔茨海默病而发生的必要且合理的医疗费用，</w:t>
      </w:r>
      <w:r>
        <w:rPr>
          <w:rFonts w:ascii="黑体" w:eastAsia="黑体"/>
          <w:color w:val="000000"/>
          <w:spacing w:val="-2"/>
          <w:sz w:val="21"/>
          <w:shd w:val="clear" w:color="auto" w:fill="DADADA"/>
        </w:rPr>
        <w:t>按扣除</w:t>
      </w:r>
      <w:r>
        <w:rPr>
          <w:rFonts w:ascii="黑体" w:eastAsia="黑体"/>
          <w:color w:val="000000"/>
          <w:spacing w:val="15435"/>
          <w:sz w:val="21"/>
          <w:shd w:val="clear" w:color="auto" w:fill="DADADA"/>
        </w:rPr>
        <w:t xml:space="preserve"> </w:t>
      </w:r>
      <w:r>
        <w:rPr>
          <w:rFonts w:ascii="黑体" w:eastAsia="黑体"/>
          <w:color w:val="000000"/>
          <w:spacing w:val="-21"/>
          <w:sz w:val="21"/>
          <w:shd w:val="clear" w:color="auto" w:fill="DADADA"/>
        </w:rPr>
        <w:t>被保险人从基本医疗保险、公费医疗、城乡居民大病保险、商业性费用补偿型医疗保险、</w:t>
      </w:r>
      <w:r>
        <w:rPr>
          <w:rFonts w:ascii="黑体" w:eastAsia="黑体"/>
          <w:color w:val="000000"/>
          <w:sz w:val="21"/>
          <w:shd w:val="clear" w:color="auto" w:fill="DADADA"/>
        </w:rPr>
        <w:t xml:space="preserve">互助机构或其他机构等途径所获补偿或赔付后的 </w:t>
      </w:r>
      <w:r>
        <w:rPr>
          <w:rFonts w:ascii="Times New Roman" w:eastAsia="Times New Roman"/>
          <w:color w:val="000000"/>
          <w:sz w:val="21"/>
          <w:shd w:val="clear" w:color="auto" w:fill="DADADA"/>
        </w:rPr>
        <w:t>100</w:t>
      </w:r>
      <w:r>
        <w:rPr>
          <w:rFonts w:ascii="黑体" w:eastAsia="黑体"/>
          <w:color w:val="000000"/>
          <w:sz w:val="21"/>
          <w:shd w:val="clear" w:color="auto" w:fill="DADADA"/>
        </w:rPr>
        <w:t>％给付严重阿尔茨海默病后续医</w:t>
      </w:r>
      <w:r>
        <w:rPr>
          <w:rFonts w:ascii="黑体" w:eastAsia="黑体"/>
          <w:color w:val="000000"/>
          <w:spacing w:val="-2"/>
          <w:sz w:val="21"/>
          <w:shd w:val="clear" w:color="auto" w:fill="DADADA"/>
        </w:rPr>
        <w:t>疗保险金。</w:t>
      </w:r>
    </w:p>
    <w:p>
      <w:pPr>
        <w:pStyle w:val="3"/>
        <w:spacing w:before="4"/>
        <w:ind w:left="0"/>
        <w:rPr>
          <w:rFonts w:ascii="黑体"/>
          <w:sz w:val="22"/>
        </w:rPr>
      </w:pPr>
      <w:r>
        <w:drawing>
          <wp:anchor distT="0" distB="0" distL="0" distR="0" simplePos="0" relativeHeight="251660288" behindDoc="0" locked="0" layoutInCell="1" allowOverlap="1">
            <wp:simplePos x="0" y="0"/>
            <wp:positionH relativeFrom="page">
              <wp:posOffset>1141095</wp:posOffset>
            </wp:positionH>
            <wp:positionV relativeFrom="paragraph">
              <wp:posOffset>196850</wp:posOffset>
            </wp:positionV>
            <wp:extent cx="1828800" cy="698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3" cstate="print"/>
                    <a:stretch>
                      <a:fillRect/>
                    </a:stretch>
                  </pic:blipFill>
                  <pic:spPr>
                    <a:xfrm>
                      <a:off x="0" y="0"/>
                      <a:ext cx="1828799" cy="6858"/>
                    </a:xfrm>
                    <a:prstGeom prst="rect">
                      <a:avLst/>
                    </a:prstGeom>
                  </pic:spPr>
                </pic:pic>
              </a:graphicData>
            </a:graphic>
          </wp:anchor>
        </w:drawing>
      </w:r>
    </w:p>
    <w:p>
      <w:pPr>
        <w:spacing w:before="90"/>
        <w:ind w:left="257" w:right="0" w:firstLine="0"/>
        <w:jc w:val="both"/>
        <w:rPr>
          <w:sz w:val="18"/>
        </w:rPr>
      </w:pPr>
      <w:bookmarkStart w:id="15" w:name="_bookmark15"/>
      <w:bookmarkEnd w:id="15"/>
      <w:r>
        <w:rPr>
          <w:rFonts w:ascii="Times New Roman" w:hAnsi="Times New Roman" w:eastAsia="Times New Roman"/>
          <w:sz w:val="18"/>
          <w:vertAlign w:val="superscript"/>
        </w:rPr>
        <w:t>11</w:t>
      </w:r>
      <w:r>
        <w:rPr>
          <w:rFonts w:ascii="Times New Roman" w:hAnsi="Times New Roman" w:eastAsia="Times New Roman"/>
          <w:spacing w:val="35"/>
          <w:sz w:val="18"/>
          <w:vertAlign w:val="baseline"/>
        </w:rPr>
        <w:t xml:space="preserve"> </w:t>
      </w:r>
      <w:r>
        <w:rPr>
          <w:b/>
          <w:sz w:val="18"/>
          <w:vertAlign w:val="baseline"/>
        </w:rPr>
        <w:t>恶性肿瘤</w:t>
      </w:r>
      <w:r>
        <w:rPr>
          <w:rFonts w:ascii="Times New Roman" w:hAnsi="Times New Roman" w:eastAsia="Times New Roman"/>
          <w:sz w:val="18"/>
          <w:vertAlign w:val="baseline"/>
        </w:rPr>
        <w:t>——</w:t>
      </w:r>
      <w:r>
        <w:rPr>
          <w:b/>
          <w:sz w:val="18"/>
          <w:vertAlign w:val="baseline"/>
        </w:rPr>
        <w:t>重度：</w:t>
      </w:r>
      <w:r>
        <w:rPr>
          <w:spacing w:val="-1"/>
          <w:sz w:val="18"/>
          <w:vertAlign w:val="baseline"/>
        </w:rPr>
        <w:t>指《附表三：重大疾病种类表》中的第一项重大疾病。</w:t>
      </w:r>
    </w:p>
    <w:p>
      <w:pPr>
        <w:spacing w:before="3" w:line="242" w:lineRule="auto"/>
        <w:ind w:left="257" w:right="545" w:firstLine="0"/>
        <w:jc w:val="both"/>
        <w:rPr>
          <w:sz w:val="18"/>
        </w:rPr>
      </w:pPr>
      <w:bookmarkStart w:id="16" w:name="_bookmark16"/>
      <w:bookmarkEnd w:id="16"/>
      <w:r>
        <w:rPr>
          <w:rFonts w:ascii="Times New Roman" w:hAnsi="Times New Roman" w:eastAsia="Times New Roman"/>
          <w:sz w:val="18"/>
          <w:vertAlign w:val="superscript"/>
        </w:rPr>
        <w:t>12</w:t>
      </w:r>
      <w:r>
        <w:rPr>
          <w:rFonts w:ascii="Times New Roman" w:hAnsi="Times New Roman" w:eastAsia="Times New Roman"/>
          <w:sz w:val="18"/>
          <w:vertAlign w:val="baseline"/>
        </w:rPr>
        <w:t xml:space="preserve"> </w:t>
      </w:r>
      <w:r>
        <w:rPr>
          <w:b/>
          <w:sz w:val="18"/>
          <w:vertAlign w:val="baseline"/>
        </w:rPr>
        <w:t>恶性肿瘤——重度确诊周年日：</w:t>
      </w:r>
      <w:r>
        <w:rPr>
          <w:sz w:val="18"/>
          <w:vertAlign w:val="baseline"/>
        </w:rPr>
        <w:t>指被保险人恶性肿瘤确诊之日后每年的对应日。如果当月无此对应日，</w:t>
      </w:r>
      <w:r>
        <w:rPr>
          <w:spacing w:val="-2"/>
          <w:sz w:val="18"/>
          <w:vertAlign w:val="baseline"/>
        </w:rPr>
        <w:t>则为当月的最后一日。</w:t>
      </w:r>
    </w:p>
    <w:p>
      <w:pPr>
        <w:spacing w:before="1" w:line="242" w:lineRule="auto"/>
        <w:ind w:left="257" w:right="635" w:hanging="1"/>
        <w:jc w:val="both"/>
        <w:rPr>
          <w:sz w:val="18"/>
        </w:rPr>
      </w:pPr>
      <w:bookmarkStart w:id="17" w:name="_bookmark17"/>
      <w:bookmarkEnd w:id="17"/>
      <w:r>
        <w:rPr>
          <w:rFonts w:ascii="Times New Roman" w:eastAsia="Times New Roman"/>
          <w:sz w:val="18"/>
          <w:vertAlign w:val="superscript"/>
        </w:rPr>
        <w:t>13</w:t>
      </w:r>
      <w:r>
        <w:rPr>
          <w:rFonts w:ascii="Times New Roman" w:eastAsia="Times New Roman"/>
          <w:sz w:val="18"/>
          <w:vertAlign w:val="baseline"/>
        </w:rPr>
        <w:t xml:space="preserve"> </w:t>
      </w:r>
      <w:r>
        <w:rPr>
          <w:b/>
          <w:sz w:val="18"/>
          <w:vertAlign w:val="baseline"/>
        </w:rPr>
        <w:t>基本医疗保险：</w:t>
      </w:r>
      <w:r>
        <w:rPr>
          <w:sz w:val="18"/>
          <w:vertAlign w:val="baseline"/>
        </w:rPr>
        <w:t>指城镇职工基本医疗保险、城镇居民基本医疗保险、新型农村合作医疗等政府举办的基</w:t>
      </w:r>
      <w:r>
        <w:rPr>
          <w:spacing w:val="-2"/>
          <w:sz w:val="18"/>
          <w:vertAlign w:val="baseline"/>
        </w:rPr>
        <w:t>本医疗保障项目。</w:t>
      </w:r>
    </w:p>
    <w:p>
      <w:pPr>
        <w:spacing w:before="1" w:line="242" w:lineRule="auto"/>
        <w:ind w:left="257" w:right="630" w:firstLine="0"/>
        <w:jc w:val="both"/>
        <w:rPr>
          <w:sz w:val="18"/>
        </w:rPr>
      </w:pPr>
      <w:bookmarkStart w:id="18" w:name="_bookmark18"/>
      <w:bookmarkEnd w:id="18"/>
      <w:r>
        <w:rPr>
          <w:rFonts w:ascii="Times New Roman" w:eastAsia="Times New Roman"/>
          <w:sz w:val="18"/>
          <w:vertAlign w:val="superscript"/>
        </w:rPr>
        <w:t>14</w:t>
      </w:r>
      <w:r>
        <w:rPr>
          <w:rFonts w:ascii="Times New Roman" w:eastAsia="Times New Roman"/>
          <w:sz w:val="18"/>
          <w:vertAlign w:val="baseline"/>
        </w:rPr>
        <w:t xml:space="preserve"> </w:t>
      </w:r>
      <w:r>
        <w:rPr>
          <w:b/>
          <w:sz w:val="18"/>
          <w:vertAlign w:val="baseline"/>
        </w:rPr>
        <w:t>城乡居民大病保险：</w:t>
      </w:r>
      <w:r>
        <w:rPr>
          <w:sz w:val="18"/>
          <w:vertAlign w:val="baseline"/>
        </w:rPr>
        <w:t>是基本医疗保障制度的拓展和延伸，是对大病患者发生的高额医疗费用给予进一步</w:t>
      </w:r>
      <w:r>
        <w:rPr>
          <w:spacing w:val="-2"/>
          <w:sz w:val="18"/>
          <w:vertAlign w:val="baseline"/>
        </w:rPr>
        <w:t>保障的一项新的制度性安排。主要保障对象为城镇居民基本医疗保险、新型农村合作医疗或者城乡居民基本医疗保险的参保（合）人以及部分地区建立的覆盖城镇职工、城镇居民、农村居民的统一的大病保险制度参保人。</w:t>
      </w:r>
    </w:p>
    <w:p>
      <w:pPr>
        <w:spacing w:before="2" w:line="242" w:lineRule="auto"/>
        <w:ind w:left="257" w:right="634" w:firstLine="0"/>
        <w:jc w:val="both"/>
        <w:rPr>
          <w:sz w:val="18"/>
        </w:rPr>
      </w:pPr>
      <w:bookmarkStart w:id="19" w:name="_bookmark19"/>
      <w:bookmarkEnd w:id="19"/>
      <w:r>
        <w:rPr>
          <w:rFonts w:ascii="Times New Roman" w:eastAsia="Times New Roman"/>
          <w:sz w:val="18"/>
          <w:vertAlign w:val="superscript"/>
        </w:rPr>
        <w:t>15</w:t>
      </w:r>
      <w:r>
        <w:rPr>
          <w:rFonts w:ascii="Times New Roman" w:eastAsia="Times New Roman"/>
          <w:sz w:val="18"/>
          <w:vertAlign w:val="baseline"/>
        </w:rPr>
        <w:t xml:space="preserve"> </w:t>
      </w:r>
      <w:r>
        <w:rPr>
          <w:b/>
          <w:sz w:val="18"/>
          <w:vertAlign w:val="baseline"/>
        </w:rPr>
        <w:t>费用补偿型医疗保险：</w:t>
      </w:r>
      <w:r>
        <w:rPr>
          <w:sz w:val="18"/>
          <w:vertAlign w:val="baseline"/>
        </w:rPr>
        <w:t>指根据被保险人实际发生的医疗费用支出，按照约定的标准确定保险金数额的医</w:t>
      </w:r>
      <w:r>
        <w:rPr>
          <w:spacing w:val="-4"/>
          <w:sz w:val="18"/>
          <w:vertAlign w:val="baseline"/>
        </w:rPr>
        <w:t>疗保险。</w:t>
      </w:r>
    </w:p>
    <w:p>
      <w:pPr>
        <w:spacing w:before="1" w:line="242" w:lineRule="auto"/>
        <w:ind w:left="257" w:right="635" w:firstLine="0"/>
        <w:jc w:val="both"/>
        <w:rPr>
          <w:sz w:val="18"/>
        </w:rPr>
      </w:pPr>
      <w:bookmarkStart w:id="20" w:name="_bookmark20"/>
      <w:bookmarkEnd w:id="20"/>
      <w:r>
        <w:rPr>
          <w:rFonts w:ascii="Times New Roman" w:hAnsi="Times New Roman" w:eastAsia="Times New Roman"/>
          <w:sz w:val="18"/>
          <w:vertAlign w:val="superscript"/>
        </w:rPr>
        <w:t>16</w:t>
      </w:r>
      <w:r>
        <w:rPr>
          <w:rFonts w:ascii="Times New Roman" w:hAnsi="Times New Roman" w:eastAsia="Times New Roman"/>
          <w:sz w:val="18"/>
          <w:vertAlign w:val="baseline"/>
        </w:rPr>
        <w:t xml:space="preserve"> </w:t>
      </w:r>
      <w:r>
        <w:rPr>
          <w:b/>
          <w:sz w:val="18"/>
          <w:vertAlign w:val="baseline"/>
        </w:rPr>
        <w:t>确诊年度：</w:t>
      </w:r>
      <w:r>
        <w:rPr>
          <w:sz w:val="18"/>
          <w:vertAlign w:val="baseline"/>
        </w:rPr>
        <w:t>指恶性肿瘤——重度、严重阿尔茨海默病或严重原发性帕金森病确诊周年日的零时至下一个</w:t>
      </w:r>
      <w:r>
        <w:rPr>
          <w:spacing w:val="-2"/>
          <w:sz w:val="18"/>
          <w:vertAlign w:val="baseline"/>
        </w:rPr>
        <w:t>确诊周年日的前一日二十四时。</w:t>
      </w:r>
    </w:p>
    <w:p>
      <w:pPr>
        <w:spacing w:before="1"/>
        <w:ind w:left="257" w:right="0" w:firstLine="0"/>
        <w:jc w:val="both"/>
        <w:rPr>
          <w:sz w:val="18"/>
        </w:rPr>
      </w:pPr>
      <w:bookmarkStart w:id="21" w:name="_bookmark21"/>
      <w:bookmarkEnd w:id="21"/>
      <w:r>
        <w:rPr>
          <w:rFonts w:ascii="Times New Roman" w:eastAsia="Times New Roman"/>
          <w:sz w:val="18"/>
          <w:vertAlign w:val="superscript"/>
        </w:rPr>
        <w:t>17</w:t>
      </w:r>
      <w:r>
        <w:rPr>
          <w:rFonts w:ascii="Times New Roman" w:eastAsia="Times New Roman"/>
          <w:spacing w:val="32"/>
          <w:sz w:val="18"/>
          <w:vertAlign w:val="baseline"/>
        </w:rPr>
        <w:t xml:space="preserve"> </w:t>
      </w:r>
      <w:r>
        <w:rPr>
          <w:b/>
          <w:sz w:val="18"/>
          <w:vertAlign w:val="baseline"/>
        </w:rPr>
        <w:t>严重阿尔茨海默病：</w:t>
      </w:r>
      <w:r>
        <w:rPr>
          <w:spacing w:val="-1"/>
          <w:sz w:val="18"/>
          <w:vertAlign w:val="baseline"/>
        </w:rPr>
        <w:t>指《附表三：重大疾病种类表》中的第十七项重大疾病。</w:t>
      </w:r>
    </w:p>
    <w:p>
      <w:pPr>
        <w:spacing w:before="2" w:line="242" w:lineRule="auto"/>
        <w:ind w:left="257" w:right="634" w:firstLine="0"/>
        <w:jc w:val="both"/>
        <w:rPr>
          <w:sz w:val="18"/>
        </w:rPr>
      </w:pPr>
      <w:bookmarkStart w:id="22" w:name="_bookmark22"/>
      <w:bookmarkEnd w:id="22"/>
      <w:r>
        <w:rPr>
          <w:rFonts w:ascii="Times New Roman" w:eastAsia="Times New Roman"/>
          <w:sz w:val="18"/>
          <w:vertAlign w:val="superscript"/>
        </w:rPr>
        <w:t>18</w:t>
      </w:r>
      <w:r>
        <w:rPr>
          <w:rFonts w:ascii="Times New Roman" w:eastAsia="Times New Roman"/>
          <w:sz w:val="18"/>
          <w:vertAlign w:val="baseline"/>
        </w:rPr>
        <w:t xml:space="preserve"> </w:t>
      </w:r>
      <w:r>
        <w:rPr>
          <w:b/>
          <w:sz w:val="18"/>
          <w:vertAlign w:val="baseline"/>
        </w:rPr>
        <w:t>严重阿尔茨海默病确诊周年日：</w:t>
      </w:r>
      <w:r>
        <w:rPr>
          <w:sz w:val="18"/>
          <w:vertAlign w:val="baseline"/>
        </w:rPr>
        <w:t>指被保险人严重阿尔茨海默病确诊之日后每年的对应日。如果当月无此</w:t>
      </w:r>
      <w:r>
        <w:rPr>
          <w:spacing w:val="-2"/>
          <w:sz w:val="18"/>
          <w:vertAlign w:val="baseline"/>
        </w:rPr>
        <w:t>对应日，则为当月的最后一日。</w:t>
      </w:r>
    </w:p>
    <w:p>
      <w:pPr>
        <w:spacing w:after="0" w:line="242" w:lineRule="auto"/>
        <w:jc w:val="both"/>
        <w:rPr>
          <w:sz w:val="18"/>
        </w:rPr>
        <w:sectPr>
          <w:pgSz w:w="11910" w:h="16840"/>
          <w:pgMar w:top="1340" w:right="1160" w:bottom="1340" w:left="1540" w:header="0" w:footer="1142" w:gutter="0"/>
          <w:cols w:space="720" w:num="1"/>
        </w:sectPr>
      </w:pPr>
    </w:p>
    <w:p>
      <w:pPr>
        <w:pStyle w:val="10"/>
        <w:numPr>
          <w:ilvl w:val="0"/>
          <w:numId w:val="4"/>
        </w:numPr>
        <w:tabs>
          <w:tab w:val="left" w:pos="678"/>
        </w:tabs>
        <w:spacing w:before="62" w:after="0" w:line="278" w:lineRule="auto"/>
        <w:ind w:left="677" w:right="634" w:hanging="420"/>
        <w:jc w:val="both"/>
        <w:rPr>
          <w:rFonts w:ascii="黑体" w:eastAsia="黑体"/>
          <w:sz w:val="21"/>
        </w:rPr>
      </w:pPr>
      <w:r>
        <w:rPr>
          <w:spacing w:val="-6"/>
          <w:sz w:val="21"/>
        </w:rPr>
        <w:t>若被保险人未从基本医疗保险或公费医疗获得医疗费用补偿的，我们对其在我们认可的</w:t>
      </w:r>
      <w:r>
        <w:rPr>
          <w:spacing w:val="-5"/>
          <w:sz w:val="21"/>
        </w:rPr>
        <w:t>医院内实际支出的因为治疗严重阿尔茨海默病而发生的必要且合理的医疗费用，</w:t>
      </w:r>
      <w:r>
        <w:rPr>
          <w:rFonts w:ascii="黑体" w:eastAsia="黑体"/>
          <w:color w:val="000000"/>
          <w:spacing w:val="-2"/>
          <w:sz w:val="21"/>
          <w:shd w:val="clear" w:color="auto" w:fill="DADADA"/>
        </w:rPr>
        <w:t>按扣除</w:t>
      </w:r>
      <w:r>
        <w:rPr>
          <w:rFonts w:ascii="黑体" w:eastAsia="黑体"/>
          <w:color w:val="000000"/>
          <w:spacing w:val="15435"/>
          <w:sz w:val="21"/>
          <w:shd w:val="clear" w:color="auto" w:fill="DADADA"/>
        </w:rPr>
        <w:t xml:space="preserve"> </w:t>
      </w:r>
      <w:r>
        <w:rPr>
          <w:rFonts w:ascii="黑体" w:eastAsia="黑体"/>
          <w:color w:val="000000"/>
          <w:spacing w:val="-7"/>
          <w:sz w:val="21"/>
          <w:shd w:val="clear" w:color="auto" w:fill="DADADA"/>
        </w:rPr>
        <w:t>被保险人从商业性费用补偿型医疗保险、互助机构或其他机构等途径所获补偿或赔付后</w:t>
      </w:r>
      <w:r>
        <w:rPr>
          <w:rFonts w:ascii="黑体" w:eastAsia="黑体"/>
          <w:color w:val="000000"/>
          <w:spacing w:val="-21"/>
          <w:sz w:val="21"/>
          <w:shd w:val="clear" w:color="auto" w:fill="DADADA"/>
        </w:rPr>
        <w:t xml:space="preserve">的 </w:t>
      </w:r>
      <w:r>
        <w:rPr>
          <w:rFonts w:ascii="Times New Roman" w:eastAsia="Times New Roman"/>
          <w:color w:val="000000"/>
          <w:sz w:val="21"/>
          <w:shd w:val="clear" w:color="auto" w:fill="DADADA"/>
        </w:rPr>
        <w:t>95</w:t>
      </w:r>
      <w:r>
        <w:rPr>
          <w:rFonts w:ascii="黑体" w:eastAsia="黑体"/>
          <w:color w:val="000000"/>
          <w:sz w:val="21"/>
          <w:shd w:val="clear" w:color="auto" w:fill="DADADA"/>
        </w:rPr>
        <w:t>％给付严重阿尔茨海默病后续医疗保险金。</w:t>
      </w:r>
    </w:p>
    <w:p>
      <w:pPr>
        <w:pStyle w:val="3"/>
        <w:spacing w:before="4"/>
        <w:ind w:left="0"/>
        <w:rPr>
          <w:rFonts w:ascii="黑体"/>
          <w:sz w:val="24"/>
        </w:rPr>
      </w:pPr>
    </w:p>
    <w:p>
      <w:pPr>
        <w:pStyle w:val="3"/>
        <w:spacing w:line="278" w:lineRule="auto"/>
        <w:ind w:right="634"/>
      </w:pPr>
      <w:r>
        <w:rPr>
          <w:spacing w:val="-2"/>
        </w:rPr>
        <w:t>每一确诊年度内我们给付的严重阿尔茨海默病后续医疗保险金总额以本合同基本保险金额</w:t>
      </w:r>
      <w:r>
        <w:rPr>
          <w:spacing w:val="-21"/>
        </w:rPr>
        <w:t xml:space="preserve">的 </w:t>
      </w:r>
      <w:r>
        <w:rPr>
          <w:rFonts w:ascii="Times New Roman" w:eastAsia="Times New Roman"/>
        </w:rPr>
        <w:t>10%</w:t>
      </w:r>
      <w:r>
        <w:t>为限。</w:t>
      </w:r>
    </w:p>
    <w:p>
      <w:pPr>
        <w:pStyle w:val="3"/>
        <w:spacing w:before="10"/>
        <w:ind w:left="0"/>
        <w:rPr>
          <w:sz w:val="18"/>
        </w:rPr>
      </w:pPr>
    </w:p>
    <w:p>
      <w:pPr>
        <w:pStyle w:val="3"/>
        <w:spacing w:before="71" w:line="278" w:lineRule="auto"/>
        <w:ind w:right="634"/>
        <w:rPr>
          <w:rFonts w:ascii="黑体" w:eastAsia="黑体"/>
        </w:rPr>
      </w:pPr>
      <w:r>
        <w:rPr>
          <w:rFonts w:ascii="黑体" w:eastAsia="黑体"/>
          <w:color w:val="000000"/>
          <w:spacing w:val="-5"/>
          <w:shd w:val="clear" w:color="auto" w:fill="DADADA"/>
        </w:rPr>
        <w:t>若首次重大疾病和第二次重大疾病均不是本合同所定义的严重阿尔茨海默病，我们不承担本</w:t>
      </w:r>
      <w:r>
        <w:rPr>
          <w:rFonts w:ascii="黑体" w:eastAsia="黑体"/>
          <w:color w:val="000000"/>
          <w:spacing w:val="-2"/>
          <w:shd w:val="clear" w:color="auto" w:fill="DADADA"/>
        </w:rPr>
        <w:t>项保险责任。</w:t>
      </w:r>
    </w:p>
    <w:p>
      <w:pPr>
        <w:pStyle w:val="3"/>
        <w:spacing w:before="4"/>
        <w:ind w:left="0"/>
        <w:rPr>
          <w:rFonts w:ascii="黑体"/>
          <w:sz w:val="24"/>
        </w:rPr>
      </w:pPr>
    </w:p>
    <w:p>
      <w:pPr>
        <w:pStyle w:val="3"/>
      </w:pPr>
      <w:r>
        <w:rPr>
          <w:spacing w:val="-1"/>
        </w:rPr>
        <w:t>六、严重原发性帕金森病后续医疗保险金</w:t>
      </w:r>
    </w:p>
    <w:p>
      <w:pPr>
        <w:pStyle w:val="3"/>
        <w:spacing w:before="43" w:line="278" w:lineRule="auto"/>
        <w:ind w:right="629"/>
        <w:jc w:val="both"/>
      </w:pPr>
      <w:r>
        <w:rPr>
          <w:spacing w:val="-4"/>
        </w:rPr>
        <w:t>自被保险人年满五十周岁起，若本合同有效，且被保险人因意外伤害或于等待期后因意外伤</w:t>
      </w:r>
      <w:r>
        <w:rPr>
          <w:spacing w:val="-2"/>
        </w:rPr>
        <w:t>害以外的原因在我们认可的医院由专科医生确诊初次发生本合同所定义的</w:t>
      </w:r>
      <w:r>
        <w:rPr>
          <w:b/>
          <w:spacing w:val="-2"/>
        </w:rPr>
        <w:t>严重原发性帕金森病</w:t>
      </w:r>
      <w:r>
        <w:fldChar w:fldCharType="begin"/>
      </w:r>
      <w:r>
        <w:instrText xml:space="preserve"> HYPERLINK \l "_bookmark23" </w:instrText>
      </w:r>
      <w:r>
        <w:fldChar w:fldCharType="separate"/>
      </w:r>
      <w:r>
        <w:rPr>
          <w:rFonts w:ascii="Times New Roman" w:eastAsia="Times New Roman"/>
          <w:b/>
          <w:spacing w:val="-2"/>
          <w:vertAlign w:val="superscript"/>
        </w:rPr>
        <w:t>19</w:t>
      </w:r>
      <w:r>
        <w:rPr>
          <w:rFonts w:ascii="Times New Roman" w:eastAsia="Times New Roman"/>
          <w:b/>
          <w:spacing w:val="-2"/>
          <w:vertAlign w:val="superscript"/>
        </w:rPr>
        <w:fldChar w:fldCharType="end"/>
      </w:r>
      <w:r>
        <w:rPr>
          <w:spacing w:val="-2"/>
          <w:vertAlign w:val="baseline"/>
        </w:rPr>
        <w:t>、按照本条第三款的约定我们应给付重大疾病保险金的，则自被保险人确诊之日后的首个</w:t>
      </w:r>
      <w:r>
        <w:rPr>
          <w:b/>
          <w:spacing w:val="-2"/>
          <w:vertAlign w:val="baseline"/>
        </w:rPr>
        <w:t>严重原发性帕金森病确诊周年日</w:t>
      </w:r>
      <w:r>
        <w:fldChar w:fldCharType="begin"/>
      </w:r>
      <w:r>
        <w:instrText xml:space="preserve"> HYPERLINK \l "_bookmark24" </w:instrText>
      </w:r>
      <w:r>
        <w:fldChar w:fldCharType="separate"/>
      </w:r>
      <w:r>
        <w:rPr>
          <w:rFonts w:ascii="Times New Roman" w:eastAsia="Times New Roman"/>
          <w:b/>
          <w:spacing w:val="-2"/>
          <w:vertAlign w:val="superscript"/>
        </w:rPr>
        <w:t>20</w:t>
      </w:r>
      <w:r>
        <w:rPr>
          <w:rFonts w:ascii="Times New Roman" w:eastAsia="Times New Roman"/>
          <w:b/>
          <w:spacing w:val="-2"/>
          <w:vertAlign w:val="superscript"/>
        </w:rPr>
        <w:fldChar w:fldCharType="end"/>
      </w:r>
      <w:r>
        <w:rPr>
          <w:spacing w:val="-2"/>
          <w:vertAlign w:val="baseline"/>
        </w:rPr>
        <w:t>零时起，至第六个严重原发性帕金森病确诊周年日的</w:t>
      </w:r>
      <w:r>
        <w:rPr>
          <w:spacing w:val="-14"/>
          <w:vertAlign w:val="baseline"/>
        </w:rPr>
        <w:t>前一日二十四时止</w:t>
      </w:r>
      <w:r>
        <w:rPr>
          <w:spacing w:val="-2"/>
          <w:vertAlign w:val="baseline"/>
        </w:rPr>
        <w:t>（共五年</w:t>
      </w:r>
      <w:r>
        <w:rPr>
          <w:spacing w:val="-101"/>
          <w:vertAlign w:val="baseline"/>
        </w:rPr>
        <w:t>）</w:t>
      </w:r>
      <w:r>
        <w:rPr>
          <w:spacing w:val="-13"/>
          <w:vertAlign w:val="baseline"/>
        </w:rPr>
        <w:t>，我们按以下列约定给付严重原发性帕金森病后续医疗保险金：</w:t>
      </w:r>
    </w:p>
    <w:p>
      <w:pPr>
        <w:pStyle w:val="10"/>
        <w:numPr>
          <w:ilvl w:val="0"/>
          <w:numId w:val="5"/>
        </w:numPr>
        <w:tabs>
          <w:tab w:val="left" w:pos="678"/>
        </w:tabs>
        <w:spacing w:before="0" w:after="0" w:line="278" w:lineRule="auto"/>
        <w:ind w:left="677" w:right="633" w:hanging="420"/>
        <w:jc w:val="both"/>
        <w:rPr>
          <w:rFonts w:ascii="黑体" w:eastAsia="黑体"/>
          <w:sz w:val="21"/>
        </w:rPr>
      </w:pPr>
      <w:r>
        <w:rPr>
          <w:spacing w:val="-5"/>
          <w:sz w:val="21"/>
        </w:rPr>
        <w:t>若被保险人已从基本医疗保险或公费医疗获得医疗费用补偿的，我们对其在我们认可的</w:t>
      </w:r>
      <w:r>
        <w:rPr>
          <w:spacing w:val="-3"/>
          <w:sz w:val="21"/>
        </w:rPr>
        <w:t>医院内实际支出的因为治疗严重原发性帕金森病而发生的必要且合理的医疗费用，</w:t>
      </w:r>
      <w:r>
        <w:rPr>
          <w:rFonts w:ascii="黑体" w:eastAsia="黑体"/>
          <w:color w:val="000000"/>
          <w:spacing w:val="-8"/>
          <w:sz w:val="21"/>
          <w:shd w:val="clear" w:color="auto" w:fill="DADADA"/>
        </w:rPr>
        <w:t>按扣</w:t>
      </w:r>
      <w:r>
        <w:rPr>
          <w:rFonts w:ascii="黑体" w:eastAsia="黑体"/>
          <w:color w:val="000000"/>
          <w:spacing w:val="-7"/>
          <w:sz w:val="21"/>
          <w:shd w:val="clear" w:color="auto" w:fill="DADADA"/>
        </w:rPr>
        <w:t>除被保险人从基本医疗保险、公费医疗、城乡居民大病保险、商业性费用补偿型医疗保</w:t>
      </w:r>
      <w:r>
        <w:rPr>
          <w:rFonts w:ascii="黑体" w:eastAsia="黑体"/>
          <w:color w:val="000000"/>
          <w:sz w:val="21"/>
          <w:shd w:val="clear" w:color="auto" w:fill="DADADA"/>
        </w:rPr>
        <w:t xml:space="preserve">                                                                                                                                                    </w:t>
      </w:r>
      <w:r>
        <w:rPr>
          <w:rFonts w:ascii="黑体" w:eastAsia="黑体"/>
          <w:color w:val="000000"/>
          <w:spacing w:val="-8"/>
          <w:sz w:val="21"/>
          <w:shd w:val="clear" w:color="auto" w:fill="DADADA"/>
        </w:rPr>
        <w:t xml:space="preserve">险、互助机构或其他机构等途径所获补偿或赔付后的 </w:t>
      </w:r>
      <w:r>
        <w:rPr>
          <w:rFonts w:ascii="Times New Roman" w:eastAsia="Times New Roman"/>
          <w:color w:val="000000"/>
          <w:sz w:val="21"/>
          <w:shd w:val="clear" w:color="auto" w:fill="DADADA"/>
        </w:rPr>
        <w:t>1</w:t>
      </w:r>
      <w:r>
        <w:rPr>
          <w:rFonts w:ascii="Times New Roman" w:eastAsia="Times New Roman"/>
          <w:color w:val="000000"/>
          <w:spacing w:val="-1"/>
          <w:sz w:val="21"/>
          <w:shd w:val="clear" w:color="auto" w:fill="DADADA"/>
        </w:rPr>
        <w:t>00</w:t>
      </w:r>
      <w:r>
        <w:rPr>
          <w:rFonts w:ascii="黑体" w:eastAsia="黑体"/>
          <w:color w:val="000000"/>
          <w:sz w:val="21"/>
          <w:shd w:val="clear" w:color="auto" w:fill="DADADA"/>
        </w:rPr>
        <w:t>％给付严重原发性帕金森病后续医疗保险金。</w:t>
      </w:r>
    </w:p>
    <w:p>
      <w:pPr>
        <w:pStyle w:val="10"/>
        <w:numPr>
          <w:ilvl w:val="0"/>
          <w:numId w:val="5"/>
        </w:numPr>
        <w:tabs>
          <w:tab w:val="left" w:pos="678"/>
        </w:tabs>
        <w:spacing w:before="0" w:after="0" w:line="278" w:lineRule="auto"/>
        <w:ind w:left="677" w:right="634" w:hanging="420"/>
        <w:jc w:val="both"/>
        <w:rPr>
          <w:rFonts w:ascii="黑体" w:eastAsia="黑体"/>
          <w:sz w:val="21"/>
        </w:rPr>
      </w:pPr>
      <w:r>
        <w:rPr>
          <w:spacing w:val="-6"/>
          <w:sz w:val="21"/>
        </w:rPr>
        <w:t>若被保险人未从基本医疗保险或公费医疗获得医疗费用补偿的，我们对其在我们认可的</w:t>
      </w:r>
      <w:r>
        <w:rPr>
          <w:spacing w:val="-5"/>
          <w:sz w:val="21"/>
        </w:rPr>
        <w:t>医院内实际支出的因为治疗严重原发性帕金森病而发生的必要且合理的医疗费用，</w:t>
      </w:r>
      <w:r>
        <w:rPr>
          <w:rFonts w:ascii="黑体" w:eastAsia="黑体"/>
          <w:color w:val="000000"/>
          <w:spacing w:val="-2"/>
          <w:sz w:val="21"/>
          <w:shd w:val="clear" w:color="auto" w:fill="DADADA"/>
        </w:rPr>
        <w:t>按扣</w:t>
      </w:r>
      <w:r>
        <w:rPr>
          <w:rFonts w:ascii="黑体" w:eastAsia="黑体"/>
          <w:color w:val="000000"/>
          <w:spacing w:val="15435"/>
          <w:sz w:val="21"/>
          <w:shd w:val="clear" w:color="auto" w:fill="DADADA"/>
        </w:rPr>
        <w:t xml:space="preserve"> </w:t>
      </w:r>
      <w:r>
        <w:rPr>
          <w:rFonts w:ascii="黑体" w:eastAsia="黑体"/>
          <w:color w:val="000000"/>
          <w:spacing w:val="-7"/>
          <w:sz w:val="21"/>
          <w:shd w:val="clear" w:color="auto" w:fill="DADADA"/>
        </w:rPr>
        <w:t>除被保险人从商业性费用补偿型医疗保险、互助机构或其他机构等途径所获补偿或赔付</w:t>
      </w:r>
      <w:r>
        <w:rPr>
          <w:rFonts w:ascii="黑体" w:eastAsia="黑体"/>
          <w:color w:val="000000"/>
          <w:spacing w:val="-15"/>
          <w:sz w:val="21"/>
          <w:shd w:val="clear" w:color="auto" w:fill="DADADA"/>
        </w:rPr>
        <w:t xml:space="preserve">后的 </w:t>
      </w:r>
      <w:r>
        <w:rPr>
          <w:rFonts w:ascii="Times New Roman" w:eastAsia="Times New Roman"/>
          <w:color w:val="000000"/>
          <w:sz w:val="21"/>
          <w:shd w:val="clear" w:color="auto" w:fill="DADADA"/>
        </w:rPr>
        <w:t>95</w:t>
      </w:r>
      <w:r>
        <w:rPr>
          <w:rFonts w:ascii="黑体" w:eastAsia="黑体"/>
          <w:color w:val="000000"/>
          <w:sz w:val="21"/>
          <w:shd w:val="clear" w:color="auto" w:fill="DADADA"/>
        </w:rPr>
        <w:t>％给付严重原发性帕金森病后续医疗保险金。</w:t>
      </w:r>
    </w:p>
    <w:p>
      <w:pPr>
        <w:pStyle w:val="3"/>
        <w:spacing w:before="3"/>
        <w:ind w:left="0"/>
        <w:rPr>
          <w:rFonts w:ascii="黑体"/>
          <w:sz w:val="24"/>
        </w:rPr>
      </w:pPr>
    </w:p>
    <w:p>
      <w:pPr>
        <w:pStyle w:val="3"/>
        <w:spacing w:line="278" w:lineRule="auto"/>
        <w:ind w:right="634"/>
        <w:jc w:val="both"/>
      </w:pPr>
      <w:r>
        <w:rPr>
          <w:spacing w:val="-2"/>
        </w:rPr>
        <w:t>每一确诊年度内我们给付的严重原发性帕金森病后续医疗保险金总额以本合同基本保险金</w:t>
      </w:r>
      <w:r>
        <w:rPr>
          <w:spacing w:val="-15"/>
        </w:rPr>
        <w:t xml:space="preserve">额的 </w:t>
      </w:r>
      <w:r>
        <w:rPr>
          <w:rFonts w:ascii="Times New Roman" w:eastAsia="Times New Roman"/>
        </w:rPr>
        <w:t>10%</w:t>
      </w:r>
      <w:r>
        <w:t>为限。</w:t>
      </w:r>
    </w:p>
    <w:p>
      <w:pPr>
        <w:pStyle w:val="3"/>
        <w:spacing w:before="11"/>
        <w:ind w:left="0"/>
        <w:rPr>
          <w:sz w:val="18"/>
        </w:rPr>
      </w:pPr>
    </w:p>
    <w:p>
      <w:pPr>
        <w:pStyle w:val="3"/>
        <w:spacing w:before="70" w:line="278" w:lineRule="auto"/>
        <w:ind w:right="634"/>
        <w:rPr>
          <w:rFonts w:ascii="黑体" w:eastAsia="黑体"/>
        </w:rPr>
      </w:pPr>
      <w:r>
        <w:rPr>
          <w:rFonts w:ascii="黑体" w:eastAsia="黑体"/>
          <w:color w:val="000000"/>
          <w:spacing w:val="-5"/>
          <w:shd w:val="clear" w:color="auto" w:fill="DADADA"/>
        </w:rPr>
        <w:t>若首次重大疾病和第二次重大疾病均不是本合同所定义的严重原发性帕金森病，我们不承担</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本项保险责任。</w:t>
      </w:r>
    </w:p>
    <w:p>
      <w:pPr>
        <w:pStyle w:val="3"/>
        <w:spacing w:before="11"/>
        <w:ind w:left="0"/>
        <w:rPr>
          <w:rFonts w:ascii="黑体"/>
          <w:sz w:val="18"/>
        </w:rPr>
      </w:pPr>
    </w:p>
    <w:p>
      <w:pPr>
        <w:pStyle w:val="3"/>
        <w:spacing w:before="70" w:line="278" w:lineRule="auto"/>
        <w:ind w:right="528"/>
        <w:rPr>
          <w:rFonts w:ascii="黑体" w:hAnsi="黑体" w:eastAsia="黑体"/>
        </w:rPr>
      </w:pPr>
      <w:r>
        <w:rPr>
          <w:rFonts w:ascii="黑体" w:hAnsi="黑体" w:eastAsia="黑体"/>
          <w:color w:val="000000"/>
          <w:spacing w:val="-8"/>
          <w:shd w:val="clear" w:color="auto" w:fill="DADADA"/>
        </w:rPr>
        <w:t>恶性肿瘤——重度后续医疗保险金、严重阿尔茨海默病后续医疗保险金以及严重原发性帕金</w:t>
      </w:r>
      <w:r>
        <w:rPr>
          <w:rFonts w:ascii="黑体" w:hAnsi="黑体" w:eastAsia="黑体"/>
          <w:color w:val="000000"/>
          <w:spacing w:val="80"/>
          <w:w w:val="150"/>
          <w:shd w:val="clear" w:color="auto" w:fill="DADADA"/>
        </w:rPr>
        <w:t xml:space="preserve">                                              </w:t>
      </w:r>
      <w:r>
        <w:rPr>
          <w:rFonts w:ascii="黑体" w:hAnsi="黑体" w:eastAsia="黑体"/>
          <w:color w:val="000000"/>
          <w:spacing w:val="-2"/>
          <w:shd w:val="clear" w:color="auto" w:fill="DADADA"/>
        </w:rPr>
        <w:t>森病后续医疗保险金三项保险责任不可兼得，我们将按最先发生者承担其中一项保险责任，同时不再承担其余两项保险责任。</w:t>
      </w:r>
    </w:p>
    <w:p>
      <w:pPr>
        <w:pStyle w:val="3"/>
        <w:spacing w:before="4"/>
        <w:ind w:left="0"/>
        <w:rPr>
          <w:rFonts w:ascii="黑体"/>
          <w:sz w:val="24"/>
        </w:rPr>
      </w:pPr>
    </w:p>
    <w:p>
      <w:pPr>
        <w:pStyle w:val="3"/>
        <w:spacing w:before="1"/>
      </w:pPr>
      <w:r>
        <w:rPr>
          <w:spacing w:val="-2"/>
        </w:rPr>
        <w:t>七、高残保险金</w:t>
      </w:r>
    </w:p>
    <w:p>
      <w:pPr>
        <w:pStyle w:val="3"/>
        <w:spacing w:before="42" w:line="278" w:lineRule="auto"/>
        <w:ind w:right="632"/>
        <w:rPr>
          <w:rFonts w:ascii="黑体" w:eastAsia="黑体"/>
        </w:rPr>
      </w:pPr>
      <w:r>
        <w:rPr>
          <w:spacing w:val="-12"/>
        </w:rPr>
        <w:t>若本合同有效，且被保险人于等待期内因意外伤害以外的原因导致本合同所定义的</w:t>
      </w:r>
      <w:r>
        <w:rPr>
          <w:b/>
          <w:spacing w:val="-2"/>
        </w:rPr>
        <w:t>身体高度</w:t>
      </w:r>
      <w:r>
        <w:rPr>
          <w:b/>
          <w:spacing w:val="-8"/>
        </w:rPr>
        <w:t xml:space="preserve">残疾 </w:t>
      </w:r>
      <w:r>
        <w:fldChar w:fldCharType="begin"/>
      </w:r>
      <w:r>
        <w:instrText xml:space="preserve"> HYPERLINK \l "_bookmark25" </w:instrText>
      </w:r>
      <w:r>
        <w:fldChar w:fldCharType="separate"/>
      </w:r>
      <w:r>
        <w:rPr>
          <w:rFonts w:ascii="Times New Roman" w:eastAsia="Times New Roman"/>
          <w:b/>
          <w:vertAlign w:val="superscript"/>
        </w:rPr>
        <w:t>21</w:t>
      </w:r>
      <w:r>
        <w:rPr>
          <w:rFonts w:ascii="Times New Roman" w:eastAsia="Times New Roman"/>
          <w:b/>
          <w:vertAlign w:val="superscript"/>
        </w:rPr>
        <w:fldChar w:fldCharType="end"/>
      </w:r>
      <w:r>
        <w:rPr>
          <w:vertAlign w:val="baseline"/>
        </w:rPr>
        <w:t>，我们按本合同累计已交保险费（无息）给付高残保险金，</w:t>
      </w:r>
      <w:r>
        <w:rPr>
          <w:rFonts w:ascii="黑体" w:eastAsia="黑体"/>
          <w:vertAlign w:val="baseline"/>
        </w:rPr>
        <w:t>本合同终止。</w:t>
      </w:r>
    </w:p>
    <w:p>
      <w:pPr>
        <w:pStyle w:val="3"/>
        <w:spacing w:before="11"/>
        <w:ind w:left="0"/>
        <w:rPr>
          <w:rFonts w:ascii="黑体"/>
        </w:rPr>
      </w:pPr>
      <w:r>
        <w:drawing>
          <wp:anchor distT="0" distB="0" distL="0" distR="0" simplePos="0" relativeHeight="251660288" behindDoc="0" locked="0" layoutInCell="1" allowOverlap="1">
            <wp:simplePos x="0" y="0"/>
            <wp:positionH relativeFrom="page">
              <wp:posOffset>1141095</wp:posOffset>
            </wp:positionH>
            <wp:positionV relativeFrom="paragraph">
              <wp:posOffset>193040</wp:posOffset>
            </wp:positionV>
            <wp:extent cx="1828800" cy="6985"/>
            <wp:effectExtent l="0" t="0" r="0" b="0"/>
            <wp:wrapTopAndBottom/>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r:embed="rId11" cstate="print"/>
                    <a:stretch>
                      <a:fillRect/>
                    </a:stretch>
                  </pic:blipFill>
                  <pic:spPr>
                    <a:xfrm>
                      <a:off x="0" y="0"/>
                      <a:ext cx="1828800" cy="6857"/>
                    </a:xfrm>
                    <a:prstGeom prst="rect">
                      <a:avLst/>
                    </a:prstGeom>
                  </pic:spPr>
                </pic:pic>
              </a:graphicData>
            </a:graphic>
          </wp:anchor>
        </w:drawing>
      </w:r>
    </w:p>
    <w:p>
      <w:pPr>
        <w:spacing w:before="90"/>
        <w:ind w:left="257" w:right="0" w:firstLine="0"/>
        <w:jc w:val="left"/>
        <w:rPr>
          <w:sz w:val="18"/>
        </w:rPr>
      </w:pPr>
      <w:bookmarkStart w:id="23" w:name="_bookmark23"/>
      <w:bookmarkEnd w:id="23"/>
      <w:r>
        <w:rPr>
          <w:rFonts w:ascii="Times New Roman" w:eastAsia="Times New Roman"/>
          <w:sz w:val="18"/>
          <w:vertAlign w:val="superscript"/>
        </w:rPr>
        <w:t>19</w:t>
      </w:r>
      <w:r>
        <w:rPr>
          <w:rFonts w:ascii="Times New Roman" w:eastAsia="Times New Roman"/>
          <w:spacing w:val="30"/>
          <w:sz w:val="18"/>
          <w:vertAlign w:val="baseline"/>
        </w:rPr>
        <w:t xml:space="preserve"> </w:t>
      </w:r>
      <w:r>
        <w:rPr>
          <w:b/>
          <w:sz w:val="18"/>
          <w:vertAlign w:val="baseline"/>
        </w:rPr>
        <w:t>严重原发性帕金森病：</w:t>
      </w:r>
      <w:r>
        <w:rPr>
          <w:spacing w:val="-1"/>
          <w:sz w:val="18"/>
          <w:vertAlign w:val="baseline"/>
        </w:rPr>
        <w:t>指《附表三：重大疾病种类表》中的第十九项重大疾病。</w:t>
      </w:r>
    </w:p>
    <w:p>
      <w:pPr>
        <w:spacing w:before="3" w:line="242" w:lineRule="auto"/>
        <w:ind w:left="257" w:right="635" w:firstLine="0"/>
        <w:jc w:val="left"/>
        <w:rPr>
          <w:sz w:val="18"/>
        </w:rPr>
      </w:pPr>
      <w:bookmarkStart w:id="24" w:name="_bookmark24"/>
      <w:bookmarkEnd w:id="24"/>
      <w:r>
        <w:rPr>
          <w:rFonts w:ascii="Times New Roman" w:eastAsia="Times New Roman"/>
          <w:sz w:val="18"/>
          <w:vertAlign w:val="superscript"/>
        </w:rPr>
        <w:t>20</w:t>
      </w:r>
      <w:r>
        <w:rPr>
          <w:rFonts w:ascii="Times New Roman" w:eastAsia="Times New Roman"/>
          <w:spacing w:val="14"/>
          <w:sz w:val="18"/>
          <w:vertAlign w:val="baseline"/>
        </w:rPr>
        <w:t xml:space="preserve"> </w:t>
      </w:r>
      <w:r>
        <w:rPr>
          <w:b/>
          <w:sz w:val="18"/>
          <w:vertAlign w:val="baseline"/>
        </w:rPr>
        <w:t>严重原发性帕金森病确诊周年日：</w:t>
      </w:r>
      <w:r>
        <w:rPr>
          <w:sz w:val="18"/>
          <w:vertAlign w:val="baseline"/>
        </w:rPr>
        <w:t>指被保险人严重原发性帕金森病确诊之日后每年的对应日。如果当月</w:t>
      </w:r>
      <w:r>
        <w:rPr>
          <w:spacing w:val="-2"/>
          <w:sz w:val="18"/>
          <w:vertAlign w:val="baseline"/>
        </w:rPr>
        <w:t>无此对应日，则为当月的最后一日。</w:t>
      </w:r>
    </w:p>
    <w:p>
      <w:pPr>
        <w:spacing w:before="1"/>
        <w:ind w:left="257" w:right="0" w:firstLine="0"/>
        <w:jc w:val="left"/>
        <w:rPr>
          <w:sz w:val="18"/>
        </w:rPr>
      </w:pPr>
      <w:bookmarkStart w:id="25" w:name="_bookmark25"/>
      <w:bookmarkEnd w:id="25"/>
      <w:r>
        <w:rPr>
          <w:rFonts w:ascii="Times New Roman" w:eastAsia="Times New Roman"/>
          <w:sz w:val="18"/>
          <w:vertAlign w:val="superscript"/>
        </w:rPr>
        <w:t>21</w:t>
      </w:r>
      <w:r>
        <w:rPr>
          <w:rFonts w:ascii="Times New Roman" w:eastAsia="Times New Roman"/>
          <w:spacing w:val="35"/>
          <w:sz w:val="18"/>
          <w:vertAlign w:val="baseline"/>
        </w:rPr>
        <w:t xml:space="preserve"> </w:t>
      </w:r>
      <w:r>
        <w:rPr>
          <w:b/>
          <w:sz w:val="18"/>
          <w:vertAlign w:val="baseline"/>
        </w:rPr>
        <w:t>身体高度残疾：</w:t>
      </w:r>
      <w:r>
        <w:rPr>
          <w:spacing w:val="-1"/>
          <w:sz w:val="18"/>
          <w:vertAlign w:val="baseline"/>
        </w:rPr>
        <w:t>本合同所称的身体高度残疾是指下列情形之一：</w:t>
      </w:r>
    </w:p>
    <w:p>
      <w:pPr>
        <w:spacing w:after="0"/>
        <w:jc w:val="left"/>
        <w:rPr>
          <w:sz w:val="18"/>
        </w:rPr>
        <w:sectPr>
          <w:pgSz w:w="11910" w:h="16840"/>
          <w:pgMar w:top="1380" w:right="1160" w:bottom="1340" w:left="1540" w:header="0" w:footer="1142" w:gutter="0"/>
          <w:cols w:space="720" w:num="1"/>
        </w:sectPr>
      </w:pPr>
    </w:p>
    <w:p>
      <w:pPr>
        <w:pStyle w:val="3"/>
        <w:spacing w:before="42" w:line="278" w:lineRule="auto"/>
        <w:ind w:right="634"/>
      </w:pPr>
      <w:r>
        <w:rPr>
          <w:spacing w:val="-12"/>
        </w:rPr>
        <w:t>若本合同有效，且被保险人因意外伤害或于等待期后因意外伤害以外的原因导致本合同所定</w:t>
      </w:r>
      <w:r>
        <w:rPr>
          <w:spacing w:val="-2"/>
        </w:rPr>
        <w:t>义的身体高度残疾，我们按以下约定给付高残保险金：</w:t>
      </w:r>
    </w:p>
    <w:p>
      <w:pPr>
        <w:pStyle w:val="10"/>
        <w:numPr>
          <w:ilvl w:val="0"/>
          <w:numId w:val="6"/>
        </w:numPr>
        <w:tabs>
          <w:tab w:val="left" w:pos="678"/>
        </w:tabs>
        <w:spacing w:before="0" w:after="0" w:line="278" w:lineRule="auto"/>
        <w:ind w:left="677" w:right="633" w:hanging="420"/>
        <w:jc w:val="both"/>
        <w:rPr>
          <w:rFonts w:ascii="黑体" w:eastAsia="黑体"/>
          <w:sz w:val="21"/>
        </w:rPr>
      </w:pPr>
      <w:r>
        <w:rPr>
          <w:sz w:val="21"/>
        </w:rPr>
        <w:t>若被保险人于年满十八周岁后的首个</w:t>
      </w:r>
      <w:r>
        <w:rPr>
          <w:b/>
          <w:spacing w:val="1"/>
          <w:w w:val="99"/>
          <w:sz w:val="21"/>
        </w:rPr>
        <w:t>保险单周年日</w:t>
      </w:r>
      <w:r>
        <w:rPr>
          <w:b/>
          <w:spacing w:val="14"/>
          <w:sz w:val="21"/>
        </w:rPr>
        <w:t xml:space="preserve"> </w:t>
      </w:r>
      <w:r>
        <w:fldChar w:fldCharType="begin"/>
      </w:r>
      <w:r>
        <w:instrText xml:space="preserve"> HYPERLINK \l "_bookmark26" </w:instrText>
      </w:r>
      <w:r>
        <w:fldChar w:fldCharType="separate"/>
      </w:r>
      <w:r>
        <w:rPr>
          <w:rFonts w:ascii="Times New Roman" w:eastAsia="Times New Roman"/>
          <w:b/>
          <w:w w:val="100"/>
          <w:sz w:val="21"/>
          <w:vertAlign w:val="superscript"/>
        </w:rPr>
        <w:t>2</w:t>
      </w:r>
      <w:r>
        <w:rPr>
          <w:rFonts w:ascii="Times New Roman" w:eastAsia="Times New Roman"/>
          <w:b/>
          <w:spacing w:val="13"/>
          <w:w w:val="100"/>
          <w:sz w:val="21"/>
          <w:vertAlign w:val="superscript"/>
        </w:rPr>
        <w:t>2</w:t>
      </w:r>
      <w:r>
        <w:rPr>
          <w:rFonts w:ascii="Times New Roman" w:eastAsia="Times New Roman"/>
          <w:b/>
          <w:spacing w:val="13"/>
          <w:w w:val="100"/>
          <w:sz w:val="21"/>
          <w:vertAlign w:val="superscript"/>
        </w:rPr>
        <w:fldChar w:fldCharType="end"/>
      </w:r>
      <w:r>
        <w:rPr>
          <w:sz w:val="21"/>
          <w:vertAlign w:val="baseline"/>
        </w:rPr>
        <w:t>零时之前达到本合同所定义的身</w:t>
      </w:r>
      <w:r>
        <w:rPr>
          <w:spacing w:val="-1"/>
          <w:sz w:val="21"/>
          <w:vertAlign w:val="baseline"/>
        </w:rPr>
        <w:t>体高度残疾，我们按本合同累计已交保险费</w:t>
      </w:r>
      <w:r>
        <w:rPr>
          <w:sz w:val="21"/>
          <w:vertAlign w:val="baseline"/>
        </w:rPr>
        <w:t>（</w:t>
      </w:r>
      <w:r>
        <w:rPr>
          <w:spacing w:val="1"/>
          <w:sz w:val="21"/>
          <w:vertAlign w:val="baseline"/>
        </w:rPr>
        <w:t>无息）</w:t>
      </w:r>
      <w:r>
        <w:rPr>
          <w:spacing w:val="-31"/>
          <w:sz w:val="21"/>
          <w:vertAlign w:val="baseline"/>
        </w:rPr>
        <w:t xml:space="preserve">的 </w:t>
      </w:r>
      <w:r>
        <w:rPr>
          <w:rFonts w:ascii="Times New Roman" w:eastAsia="Times New Roman"/>
          <w:spacing w:val="-20"/>
          <w:sz w:val="21"/>
          <w:vertAlign w:val="baseline"/>
        </w:rPr>
        <w:t>1</w:t>
      </w:r>
      <w:r>
        <w:rPr>
          <w:rFonts w:ascii="Times New Roman" w:eastAsia="Times New Roman"/>
          <w:sz w:val="21"/>
          <w:vertAlign w:val="baseline"/>
        </w:rPr>
        <w:t>0</w:t>
      </w:r>
      <w:r>
        <w:rPr>
          <w:rFonts w:ascii="Times New Roman" w:eastAsia="Times New Roman"/>
          <w:spacing w:val="-1"/>
          <w:sz w:val="21"/>
          <w:vertAlign w:val="baseline"/>
        </w:rPr>
        <w:t>0</w:t>
      </w:r>
      <w:r>
        <w:rPr>
          <w:rFonts w:ascii="Times New Roman" w:eastAsia="Times New Roman"/>
          <w:spacing w:val="1"/>
          <w:sz w:val="21"/>
          <w:vertAlign w:val="baseline"/>
        </w:rPr>
        <w:t>%</w:t>
      </w:r>
      <w:r>
        <w:rPr>
          <w:sz w:val="21"/>
          <w:vertAlign w:val="baseline"/>
        </w:rPr>
        <w:t>给付高残保险金，</w:t>
      </w:r>
      <w:r>
        <w:rPr>
          <w:rFonts w:ascii="黑体" w:eastAsia="黑体"/>
          <w:sz w:val="21"/>
          <w:vertAlign w:val="baseline"/>
        </w:rPr>
        <w:t>本合同终止。</w:t>
      </w:r>
    </w:p>
    <w:p>
      <w:pPr>
        <w:pStyle w:val="10"/>
        <w:numPr>
          <w:ilvl w:val="0"/>
          <w:numId w:val="6"/>
        </w:numPr>
        <w:tabs>
          <w:tab w:val="left" w:pos="678"/>
        </w:tabs>
        <w:spacing w:before="0" w:after="0" w:line="278" w:lineRule="auto"/>
        <w:ind w:left="677" w:right="631" w:hanging="420"/>
        <w:jc w:val="both"/>
        <w:rPr>
          <w:rFonts w:ascii="黑体" w:eastAsia="黑体"/>
          <w:sz w:val="21"/>
        </w:rPr>
      </w:pPr>
      <w:r>
        <w:rPr>
          <w:spacing w:val="-2"/>
          <w:sz w:val="21"/>
        </w:rPr>
        <w:t>若被保险人于年满十八周岁后的首个保险单周年日零时之后达到本合同所定义的身体高度残疾，我们按本合同的基本保险金额给付高残保险金，</w:t>
      </w:r>
      <w:r>
        <w:rPr>
          <w:rFonts w:ascii="黑体" w:eastAsia="黑体"/>
          <w:spacing w:val="-2"/>
          <w:sz w:val="21"/>
        </w:rPr>
        <w:t>本合同终止。</w:t>
      </w:r>
    </w:p>
    <w:p>
      <w:pPr>
        <w:pStyle w:val="3"/>
        <w:spacing w:before="4"/>
        <w:ind w:left="0"/>
        <w:rPr>
          <w:rFonts w:ascii="黑体"/>
          <w:sz w:val="24"/>
        </w:rPr>
      </w:pPr>
    </w:p>
    <w:p>
      <w:pPr>
        <w:pStyle w:val="3"/>
      </w:pPr>
      <w:r>
        <w:rPr>
          <w:spacing w:val="-2"/>
        </w:rPr>
        <w:t>八、生命关爱保险金</w:t>
      </w:r>
    </w:p>
    <w:p>
      <w:pPr>
        <w:pStyle w:val="3"/>
        <w:spacing w:before="42" w:line="278" w:lineRule="auto"/>
        <w:ind w:right="632"/>
        <w:jc w:val="both"/>
        <w:rPr>
          <w:rFonts w:ascii="黑体" w:eastAsia="黑体"/>
        </w:rPr>
      </w:pPr>
      <w:r>
        <w:rPr>
          <w:spacing w:val="-12"/>
        </w:rPr>
        <w:t>若本合同有效，且被保险人于等待期内因意外伤害以外的原因达到本合同所定义的</w:t>
      </w:r>
      <w:r>
        <w:rPr>
          <w:b/>
          <w:spacing w:val="-2"/>
        </w:rPr>
        <w:t>末期疾病</w:t>
      </w:r>
      <w:r>
        <w:rPr>
          <w:b/>
          <w:spacing w:val="-8"/>
        </w:rPr>
        <w:t xml:space="preserve">状态 </w:t>
      </w:r>
      <w:r>
        <w:fldChar w:fldCharType="begin"/>
      </w:r>
      <w:r>
        <w:instrText xml:space="preserve"> HYPERLINK \l "_bookmark27" </w:instrText>
      </w:r>
      <w:r>
        <w:fldChar w:fldCharType="separate"/>
      </w:r>
      <w:r>
        <w:rPr>
          <w:rFonts w:ascii="Times New Roman" w:eastAsia="Times New Roman"/>
          <w:b/>
          <w:vertAlign w:val="superscript"/>
        </w:rPr>
        <w:t>23</w:t>
      </w:r>
      <w:r>
        <w:rPr>
          <w:rFonts w:ascii="Times New Roman" w:eastAsia="Times New Roman"/>
          <w:b/>
          <w:vertAlign w:val="superscript"/>
        </w:rPr>
        <w:fldChar w:fldCharType="end"/>
      </w:r>
      <w:r>
        <w:rPr>
          <w:vertAlign w:val="baseline"/>
        </w:rPr>
        <w:t>，我们按本合同累计已交保险费（无息）给付生命关爱保险金，</w:t>
      </w:r>
      <w:r>
        <w:rPr>
          <w:rFonts w:ascii="黑体" w:eastAsia="黑体"/>
          <w:vertAlign w:val="baseline"/>
        </w:rPr>
        <w:t>本合同终止。</w:t>
      </w:r>
    </w:p>
    <w:p>
      <w:pPr>
        <w:pStyle w:val="3"/>
        <w:spacing w:line="278" w:lineRule="auto"/>
        <w:ind w:right="634"/>
        <w:jc w:val="both"/>
      </w:pPr>
      <w:r>
        <w:rPr>
          <w:spacing w:val="-4"/>
        </w:rPr>
        <w:t>若本合同有效，且被保险人因意外伤害或于等待期后因意外伤害以外的原因，经我们认可的</w:t>
      </w:r>
      <w:r>
        <w:rPr>
          <w:spacing w:val="-6"/>
        </w:rPr>
        <w:t>医院的专科医生确诊初次达到本合同所定义的末期疾病状态，我们按以下约定给付生命关爱</w:t>
      </w:r>
      <w:r>
        <w:rPr>
          <w:spacing w:val="-4"/>
        </w:rPr>
        <w:t>保险金：</w:t>
      </w:r>
    </w:p>
    <w:p>
      <w:pPr>
        <w:pStyle w:val="10"/>
        <w:numPr>
          <w:ilvl w:val="0"/>
          <w:numId w:val="7"/>
        </w:numPr>
        <w:tabs>
          <w:tab w:val="left" w:pos="678"/>
        </w:tabs>
        <w:spacing w:before="0" w:after="0" w:line="278" w:lineRule="auto"/>
        <w:ind w:left="677" w:right="632" w:hanging="420"/>
        <w:jc w:val="both"/>
        <w:rPr>
          <w:rFonts w:ascii="黑体" w:eastAsia="黑体"/>
          <w:sz w:val="21"/>
        </w:rPr>
      </w:pPr>
      <w:r>
        <w:rPr>
          <w:spacing w:val="2"/>
          <w:sz w:val="21"/>
        </w:rPr>
        <w:t>若被保险人于年满十八周岁后的首个保险单周年日零时之前达到本合同所定义的末期</w:t>
      </w:r>
      <w:r>
        <w:rPr>
          <w:sz w:val="21"/>
        </w:rPr>
        <w:t>疾病状态，我们按本合同累计已交保险费（无息</w:t>
      </w:r>
      <w:r>
        <w:rPr>
          <w:spacing w:val="1"/>
          <w:sz w:val="21"/>
        </w:rPr>
        <w:t>）</w:t>
      </w:r>
      <w:r>
        <w:rPr>
          <w:spacing w:val="-31"/>
          <w:sz w:val="21"/>
        </w:rPr>
        <w:t xml:space="preserve">的 </w:t>
      </w:r>
      <w:r>
        <w:rPr>
          <w:rFonts w:ascii="Times New Roman" w:eastAsia="Times New Roman"/>
          <w:spacing w:val="-20"/>
          <w:sz w:val="21"/>
        </w:rPr>
        <w:t>1</w:t>
      </w:r>
      <w:r>
        <w:rPr>
          <w:rFonts w:ascii="Times New Roman" w:eastAsia="Times New Roman"/>
          <w:sz w:val="21"/>
        </w:rPr>
        <w:t>00%</w:t>
      </w:r>
      <w:r>
        <w:rPr>
          <w:spacing w:val="-1"/>
          <w:sz w:val="21"/>
        </w:rPr>
        <w:t>给付生命关爱保险金，</w:t>
      </w:r>
      <w:r>
        <w:rPr>
          <w:rFonts w:ascii="黑体" w:eastAsia="黑体"/>
          <w:spacing w:val="1"/>
          <w:sz w:val="21"/>
        </w:rPr>
        <w:t>本合</w:t>
      </w:r>
      <w:r>
        <w:rPr>
          <w:rFonts w:ascii="黑体" w:eastAsia="黑体"/>
          <w:sz w:val="21"/>
        </w:rPr>
        <w:t>同终止。</w:t>
      </w:r>
    </w:p>
    <w:p>
      <w:pPr>
        <w:pStyle w:val="10"/>
        <w:numPr>
          <w:ilvl w:val="0"/>
          <w:numId w:val="7"/>
        </w:numPr>
        <w:tabs>
          <w:tab w:val="left" w:pos="678"/>
        </w:tabs>
        <w:spacing w:before="0" w:after="0" w:line="278" w:lineRule="auto"/>
        <w:ind w:left="677" w:right="632" w:hanging="420"/>
        <w:jc w:val="both"/>
        <w:rPr>
          <w:rFonts w:ascii="黑体" w:eastAsia="黑体"/>
          <w:sz w:val="21"/>
        </w:rPr>
      </w:pPr>
      <w:r>
        <w:rPr>
          <w:spacing w:val="-2"/>
          <w:sz w:val="21"/>
        </w:rPr>
        <w:t>若被保险人于年满十八周岁后的首个保险单周年日零时之后达到本合同所定义的末期疾病状态，我们按本合同的基本保险金额给付生命关爱保险金，</w:t>
      </w:r>
      <w:r>
        <w:rPr>
          <w:rFonts w:ascii="黑体" w:eastAsia="黑体"/>
          <w:spacing w:val="-2"/>
          <w:sz w:val="21"/>
        </w:rPr>
        <w:t>本合同终止。</w:t>
      </w:r>
    </w:p>
    <w:p>
      <w:pPr>
        <w:pStyle w:val="3"/>
        <w:spacing w:before="4"/>
        <w:ind w:left="0"/>
        <w:rPr>
          <w:rFonts w:ascii="黑体"/>
          <w:sz w:val="24"/>
        </w:rPr>
      </w:pPr>
    </w:p>
    <w:p>
      <w:pPr>
        <w:pStyle w:val="3"/>
      </w:pPr>
      <w:r>
        <w:rPr>
          <w:spacing w:val="-2"/>
        </w:rPr>
        <w:t>九、身故保险金</w:t>
      </w:r>
    </w:p>
    <w:p>
      <w:pPr>
        <w:pStyle w:val="3"/>
        <w:spacing w:before="43" w:line="278" w:lineRule="auto"/>
        <w:ind w:right="635"/>
        <w:rPr>
          <w:rFonts w:ascii="黑体" w:eastAsia="黑体"/>
        </w:rPr>
      </w:pPr>
      <w:r>
        <w:rPr>
          <w:spacing w:val="-4"/>
        </w:rPr>
        <w:t>若本合同有效，且被保险人于等待期内因意外伤害以外的原因导致身故，我们按本合同累计</w:t>
      </w:r>
      <w:r>
        <w:rPr>
          <w:spacing w:val="-2"/>
        </w:rPr>
        <w:t>已交保险费（无息）给付身故保险金，</w:t>
      </w:r>
      <w:r>
        <w:rPr>
          <w:rFonts w:ascii="黑体" w:eastAsia="黑体"/>
          <w:spacing w:val="-2"/>
        </w:rPr>
        <w:t>本合同终止。</w:t>
      </w:r>
    </w:p>
    <w:p>
      <w:pPr>
        <w:pStyle w:val="3"/>
        <w:spacing w:line="278" w:lineRule="auto"/>
        <w:ind w:right="635"/>
      </w:pPr>
      <w:r>
        <w:rPr>
          <w:spacing w:val="-4"/>
        </w:rPr>
        <w:t>若本合同有效，且被保险人因意外伤害或于等待期后因意外伤害以外的原因导致身故，我们</w:t>
      </w:r>
      <w:r>
        <w:rPr>
          <w:spacing w:val="-2"/>
        </w:rPr>
        <w:t>按以下约定给付身故保险金：</w:t>
      </w:r>
    </w:p>
    <w:p>
      <w:pPr>
        <w:pStyle w:val="10"/>
        <w:numPr>
          <w:ilvl w:val="0"/>
          <w:numId w:val="8"/>
        </w:numPr>
        <w:tabs>
          <w:tab w:val="left" w:pos="677"/>
          <w:tab w:val="left" w:pos="678"/>
        </w:tabs>
        <w:spacing w:before="0" w:after="0" w:line="240" w:lineRule="auto"/>
        <w:ind w:left="677" w:right="0" w:hanging="421"/>
        <w:jc w:val="left"/>
        <w:rPr>
          <w:sz w:val="21"/>
        </w:rPr>
      </w:pPr>
      <w:r>
        <w:rPr>
          <w:spacing w:val="-5"/>
          <w:sz w:val="21"/>
        </w:rPr>
        <w:t>若被保险人于年满十八周岁后的首个保险单周年日零时之前身故，我们按本合同累计已</w:t>
      </w:r>
    </w:p>
    <w:p>
      <w:pPr>
        <w:pStyle w:val="3"/>
        <w:spacing w:before="11"/>
        <w:ind w:left="0"/>
        <w:rPr>
          <w:sz w:val="19"/>
        </w:rPr>
      </w:pPr>
      <w:r>
        <w:drawing>
          <wp:anchor distT="0" distB="0" distL="0" distR="0" simplePos="0" relativeHeight="251660288" behindDoc="0" locked="0" layoutInCell="1" allowOverlap="1">
            <wp:simplePos x="0" y="0"/>
            <wp:positionH relativeFrom="page">
              <wp:posOffset>1141095</wp:posOffset>
            </wp:positionH>
            <wp:positionV relativeFrom="paragraph">
              <wp:posOffset>176530</wp:posOffset>
            </wp:positionV>
            <wp:extent cx="5278120" cy="6985"/>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4" cstate="print"/>
                    <a:stretch>
                      <a:fillRect/>
                    </a:stretch>
                  </pic:blipFill>
                  <pic:spPr>
                    <a:xfrm>
                      <a:off x="0" y="0"/>
                      <a:ext cx="5278373" cy="6858"/>
                    </a:xfrm>
                    <a:prstGeom prst="rect">
                      <a:avLst/>
                    </a:prstGeom>
                  </pic:spPr>
                </pic:pic>
              </a:graphicData>
            </a:graphic>
          </wp:anchor>
        </w:drawing>
      </w:r>
    </w:p>
    <w:p>
      <w:pPr>
        <w:pStyle w:val="10"/>
        <w:numPr>
          <w:ilvl w:val="1"/>
          <w:numId w:val="8"/>
        </w:numPr>
        <w:tabs>
          <w:tab w:val="left" w:pos="798"/>
        </w:tabs>
        <w:spacing w:before="90" w:after="0" w:line="240" w:lineRule="auto"/>
        <w:ind w:left="797" w:right="0" w:hanging="361"/>
        <w:jc w:val="left"/>
        <w:rPr>
          <w:sz w:val="18"/>
        </w:rPr>
      </w:pPr>
      <w:r>
        <w:rPr>
          <w:sz w:val="18"/>
        </w:rPr>
        <w:t>双目永久完全失明（</w:t>
      </w:r>
      <w:r>
        <w:rPr>
          <w:spacing w:val="-23"/>
          <w:sz w:val="18"/>
        </w:rPr>
        <w:t xml:space="preserve">注 </w:t>
      </w:r>
      <w:r>
        <w:rPr>
          <w:rFonts w:ascii="Times New Roman" w:eastAsia="Times New Roman"/>
          <w:spacing w:val="-65"/>
          <w:sz w:val="18"/>
        </w:rPr>
        <w:t>1</w:t>
      </w:r>
      <w:r>
        <w:rPr>
          <w:spacing w:val="-65"/>
          <w:sz w:val="18"/>
        </w:rPr>
        <w:t>）；</w:t>
      </w:r>
    </w:p>
    <w:p>
      <w:pPr>
        <w:pStyle w:val="10"/>
        <w:numPr>
          <w:ilvl w:val="1"/>
          <w:numId w:val="8"/>
        </w:numPr>
        <w:tabs>
          <w:tab w:val="left" w:pos="798"/>
        </w:tabs>
        <w:spacing w:before="3" w:after="0" w:line="240" w:lineRule="auto"/>
        <w:ind w:left="797" w:right="0" w:hanging="361"/>
        <w:jc w:val="left"/>
        <w:rPr>
          <w:sz w:val="18"/>
        </w:rPr>
      </w:pPr>
      <w:r>
        <w:rPr>
          <w:spacing w:val="-1"/>
          <w:sz w:val="18"/>
        </w:rPr>
        <w:t>两上肢腕关节以上或两下肢踝关节以上缺失；</w:t>
      </w:r>
    </w:p>
    <w:p>
      <w:pPr>
        <w:pStyle w:val="10"/>
        <w:numPr>
          <w:ilvl w:val="1"/>
          <w:numId w:val="8"/>
        </w:numPr>
        <w:tabs>
          <w:tab w:val="left" w:pos="798"/>
        </w:tabs>
        <w:spacing w:before="2" w:after="0" w:line="240" w:lineRule="auto"/>
        <w:ind w:left="797" w:right="0" w:hanging="361"/>
        <w:jc w:val="left"/>
        <w:rPr>
          <w:sz w:val="18"/>
        </w:rPr>
      </w:pPr>
      <w:r>
        <w:rPr>
          <w:spacing w:val="-1"/>
          <w:sz w:val="18"/>
        </w:rPr>
        <w:t>一上肢腕关节以上及一下肢踝关节以上缺失；</w:t>
      </w:r>
    </w:p>
    <w:p>
      <w:pPr>
        <w:pStyle w:val="10"/>
        <w:numPr>
          <w:ilvl w:val="1"/>
          <w:numId w:val="8"/>
        </w:numPr>
        <w:tabs>
          <w:tab w:val="left" w:pos="798"/>
        </w:tabs>
        <w:spacing w:before="4" w:after="0" w:line="240" w:lineRule="auto"/>
        <w:ind w:left="797" w:right="0" w:hanging="361"/>
        <w:jc w:val="left"/>
        <w:rPr>
          <w:sz w:val="18"/>
        </w:rPr>
      </w:pPr>
      <w:r>
        <w:rPr>
          <w:spacing w:val="-1"/>
          <w:sz w:val="18"/>
        </w:rPr>
        <w:t>一目永久完全失明及一上肢腕关节以上缺失；</w:t>
      </w:r>
    </w:p>
    <w:p>
      <w:pPr>
        <w:pStyle w:val="10"/>
        <w:numPr>
          <w:ilvl w:val="1"/>
          <w:numId w:val="8"/>
        </w:numPr>
        <w:tabs>
          <w:tab w:val="left" w:pos="798"/>
        </w:tabs>
        <w:spacing w:before="2" w:after="0" w:line="240" w:lineRule="auto"/>
        <w:ind w:left="797" w:right="0" w:hanging="361"/>
        <w:jc w:val="left"/>
        <w:rPr>
          <w:sz w:val="18"/>
        </w:rPr>
      </w:pPr>
      <w:r>
        <w:rPr>
          <w:spacing w:val="-1"/>
          <w:sz w:val="18"/>
        </w:rPr>
        <w:t>一目永久完全失明及一下肢踝关节以上缺失；</w:t>
      </w:r>
    </w:p>
    <w:p>
      <w:pPr>
        <w:pStyle w:val="10"/>
        <w:numPr>
          <w:ilvl w:val="1"/>
          <w:numId w:val="8"/>
        </w:numPr>
        <w:tabs>
          <w:tab w:val="left" w:pos="798"/>
        </w:tabs>
        <w:spacing w:before="3" w:after="0" w:line="240" w:lineRule="auto"/>
        <w:ind w:left="797" w:right="0" w:hanging="361"/>
        <w:jc w:val="left"/>
        <w:rPr>
          <w:sz w:val="18"/>
        </w:rPr>
      </w:pPr>
      <w:r>
        <w:rPr>
          <w:sz w:val="18"/>
        </w:rPr>
        <w:t>四肢关节机能永久完全丧失（</w:t>
      </w:r>
      <w:r>
        <w:rPr>
          <w:spacing w:val="-23"/>
          <w:sz w:val="18"/>
        </w:rPr>
        <w:t xml:space="preserve">注 </w:t>
      </w:r>
      <w:r>
        <w:rPr>
          <w:rFonts w:ascii="Times New Roman" w:eastAsia="Times New Roman"/>
          <w:spacing w:val="-65"/>
          <w:sz w:val="18"/>
        </w:rPr>
        <w:t>2</w:t>
      </w:r>
      <w:r>
        <w:rPr>
          <w:spacing w:val="-65"/>
          <w:sz w:val="18"/>
        </w:rPr>
        <w:t>）；</w:t>
      </w:r>
    </w:p>
    <w:p>
      <w:pPr>
        <w:pStyle w:val="10"/>
        <w:numPr>
          <w:ilvl w:val="1"/>
          <w:numId w:val="8"/>
        </w:numPr>
        <w:tabs>
          <w:tab w:val="left" w:pos="798"/>
        </w:tabs>
        <w:spacing w:before="2" w:after="0" w:line="240" w:lineRule="auto"/>
        <w:ind w:left="797" w:right="0" w:hanging="361"/>
        <w:jc w:val="left"/>
        <w:rPr>
          <w:sz w:val="18"/>
        </w:rPr>
      </w:pPr>
      <w:r>
        <w:rPr>
          <w:sz w:val="18"/>
        </w:rPr>
        <w:t>咀嚼、吞咽机能永久完全丧失（</w:t>
      </w:r>
      <w:r>
        <w:rPr>
          <w:spacing w:val="-23"/>
          <w:sz w:val="18"/>
        </w:rPr>
        <w:t xml:space="preserve">注 </w:t>
      </w:r>
      <w:r>
        <w:rPr>
          <w:rFonts w:ascii="Times New Roman" w:eastAsia="Times New Roman"/>
          <w:spacing w:val="-65"/>
          <w:sz w:val="18"/>
        </w:rPr>
        <w:t>3</w:t>
      </w:r>
      <w:r>
        <w:rPr>
          <w:spacing w:val="-65"/>
          <w:sz w:val="18"/>
        </w:rPr>
        <w:t>）；</w:t>
      </w:r>
    </w:p>
    <w:p>
      <w:pPr>
        <w:pStyle w:val="10"/>
        <w:numPr>
          <w:ilvl w:val="1"/>
          <w:numId w:val="8"/>
        </w:numPr>
        <w:tabs>
          <w:tab w:val="left" w:pos="798"/>
        </w:tabs>
        <w:spacing w:before="4" w:after="0" w:line="242" w:lineRule="auto"/>
        <w:ind w:left="797" w:right="631" w:hanging="360"/>
        <w:jc w:val="left"/>
        <w:rPr>
          <w:sz w:val="18"/>
        </w:rPr>
      </w:pPr>
      <w:r>
        <w:rPr>
          <w:spacing w:val="-2"/>
          <w:sz w:val="18"/>
        </w:rPr>
        <w:t>中枢神经系统机能或胸、腹部脏器机能极度障碍，终身不能从事任何工作，为维持生命必要的日常</w:t>
      </w:r>
      <w:r>
        <w:rPr>
          <w:sz w:val="18"/>
        </w:rPr>
        <w:t>生活活动，全需他人扶助（</w:t>
      </w:r>
      <w:r>
        <w:rPr>
          <w:spacing w:val="-22"/>
          <w:sz w:val="18"/>
        </w:rPr>
        <w:t xml:space="preserve">注 </w:t>
      </w:r>
      <w:r>
        <w:rPr>
          <w:rFonts w:ascii="Times New Roman" w:eastAsia="Times New Roman"/>
          <w:sz w:val="18"/>
        </w:rPr>
        <w:t>4</w:t>
      </w:r>
      <w:r>
        <w:rPr>
          <w:sz w:val="18"/>
        </w:rPr>
        <w:t>）</w:t>
      </w:r>
      <w:r>
        <w:rPr>
          <w:spacing w:val="-90"/>
          <w:sz w:val="18"/>
        </w:rPr>
        <w:t>。</w:t>
      </w:r>
    </w:p>
    <w:p>
      <w:pPr>
        <w:spacing w:before="0" w:line="242" w:lineRule="auto"/>
        <w:ind w:left="257" w:right="630" w:hanging="1"/>
        <w:jc w:val="left"/>
        <w:rPr>
          <w:sz w:val="18"/>
        </w:rPr>
      </w:pPr>
      <w:r>
        <w:rPr>
          <w:sz w:val="18"/>
        </w:rPr>
        <w:t xml:space="preserve">注 </w:t>
      </w:r>
      <w:r>
        <w:rPr>
          <w:rFonts w:ascii="Times New Roman" w:eastAsia="Times New Roman"/>
          <w:sz w:val="18"/>
        </w:rPr>
        <w:t>1</w:t>
      </w:r>
      <w:r>
        <w:rPr>
          <w:sz w:val="18"/>
        </w:rPr>
        <w:t>：失明包括眼球缺失或摘除、或不能辨别明暗、或仅能辨别眼前手动者。最佳矫正视力低于国际标准</w:t>
      </w:r>
      <w:r>
        <w:rPr>
          <w:spacing w:val="-4"/>
          <w:sz w:val="18"/>
        </w:rPr>
        <w:t xml:space="preserve">视力表 </w:t>
      </w:r>
      <w:r>
        <w:rPr>
          <w:rFonts w:ascii="Times New Roman" w:eastAsia="Times New Roman"/>
          <w:sz w:val="18"/>
        </w:rPr>
        <w:t>0.02</w:t>
      </w:r>
      <w:r>
        <w:rPr>
          <w:spacing w:val="-2"/>
          <w:sz w:val="18"/>
        </w:rPr>
        <w:t xml:space="preserve">，或视野半径小于 </w:t>
      </w:r>
      <w:r>
        <w:rPr>
          <w:rFonts w:ascii="Times New Roman" w:eastAsia="Times New Roman"/>
          <w:sz w:val="18"/>
        </w:rPr>
        <w:t xml:space="preserve">5 </w:t>
      </w:r>
      <w:r>
        <w:rPr>
          <w:sz w:val="18"/>
        </w:rPr>
        <w:t>度，并由保险公司指定有资格的眼科医师出具医疗诊断证明。</w:t>
      </w:r>
    </w:p>
    <w:p>
      <w:pPr>
        <w:spacing w:before="1"/>
        <w:ind w:left="257" w:right="0" w:firstLine="0"/>
        <w:jc w:val="left"/>
        <w:rPr>
          <w:sz w:val="18"/>
        </w:rPr>
      </w:pPr>
      <w:r>
        <w:rPr>
          <w:spacing w:val="-23"/>
          <w:sz w:val="18"/>
        </w:rPr>
        <w:t xml:space="preserve">注 </w:t>
      </w:r>
      <w:r>
        <w:rPr>
          <w:rFonts w:ascii="Times New Roman" w:eastAsia="Times New Roman"/>
          <w:sz w:val="18"/>
        </w:rPr>
        <w:t>2</w:t>
      </w:r>
      <w:r>
        <w:rPr>
          <w:spacing w:val="-1"/>
          <w:sz w:val="18"/>
        </w:rPr>
        <w:t>：关节机能的丧失系指关节永久完全僵硬、或麻痹、或关节不能随意识活动。</w:t>
      </w:r>
    </w:p>
    <w:p>
      <w:pPr>
        <w:spacing w:before="4" w:line="242" w:lineRule="auto"/>
        <w:ind w:left="258" w:right="629" w:hanging="1"/>
        <w:jc w:val="left"/>
        <w:rPr>
          <w:sz w:val="18"/>
        </w:rPr>
      </w:pPr>
      <w:r>
        <w:rPr>
          <w:sz w:val="18"/>
        </w:rPr>
        <w:t xml:space="preserve">注 </w:t>
      </w:r>
      <w:r>
        <w:rPr>
          <w:rFonts w:ascii="Times New Roman" w:eastAsia="Times New Roman"/>
          <w:sz w:val="18"/>
        </w:rPr>
        <w:t>3</w:t>
      </w:r>
      <w:r>
        <w:rPr>
          <w:sz w:val="18"/>
        </w:rPr>
        <w:t>：咀嚼、吞咽机能的丧失系指由于牙齿以外的原因引起器质障碍或机能障碍，以致不能作咀嚼、吞咽</w:t>
      </w:r>
      <w:r>
        <w:rPr>
          <w:spacing w:val="-2"/>
          <w:sz w:val="18"/>
        </w:rPr>
        <w:t>运动，除流质食物外不能摄取或吞咽的状态。</w:t>
      </w:r>
    </w:p>
    <w:p>
      <w:pPr>
        <w:spacing w:before="1" w:line="242" w:lineRule="auto"/>
        <w:ind w:left="258" w:right="633" w:firstLine="0"/>
        <w:jc w:val="left"/>
        <w:rPr>
          <w:sz w:val="18"/>
        </w:rPr>
      </w:pPr>
      <w:r>
        <w:rPr>
          <w:spacing w:val="-24"/>
          <w:sz w:val="18"/>
        </w:rPr>
        <w:t xml:space="preserve">注 </w:t>
      </w:r>
      <w:r>
        <w:rPr>
          <w:rFonts w:ascii="Times New Roman" w:eastAsia="Times New Roman"/>
          <w:spacing w:val="-4"/>
          <w:sz w:val="18"/>
        </w:rPr>
        <w:t>4</w:t>
      </w:r>
      <w:r>
        <w:rPr>
          <w:spacing w:val="-4"/>
          <w:sz w:val="18"/>
        </w:rPr>
        <w:t>：维持生命必要之日常生活活动，全需他人扶助系指食物摄取、大小便始末、穿脱衣服、起居、步行、</w:t>
      </w:r>
      <w:r>
        <w:rPr>
          <w:spacing w:val="-2"/>
          <w:sz w:val="18"/>
        </w:rPr>
        <w:t>入浴等，皆不能自己为之，需要他人帮助。</w:t>
      </w:r>
    </w:p>
    <w:p>
      <w:pPr>
        <w:spacing w:before="0" w:line="242" w:lineRule="auto"/>
        <w:ind w:left="258" w:right="846" w:firstLine="0"/>
        <w:jc w:val="left"/>
        <w:rPr>
          <w:sz w:val="18"/>
        </w:rPr>
      </w:pPr>
      <w:r>
        <w:rPr>
          <w:spacing w:val="-2"/>
          <w:sz w:val="18"/>
        </w:rPr>
        <w:t>以上所谓永久完全系指自事故发生之日起经过一百八十天后，机能仍然完全丧失，但眼球摘除等明显无法复原之情况，不在此限。</w:t>
      </w:r>
    </w:p>
    <w:p>
      <w:pPr>
        <w:spacing w:before="2" w:line="242" w:lineRule="auto"/>
        <w:ind w:left="257" w:right="635" w:hanging="1"/>
        <w:jc w:val="both"/>
        <w:rPr>
          <w:sz w:val="18"/>
        </w:rPr>
      </w:pPr>
      <w:bookmarkStart w:id="26" w:name="_bookmark26"/>
      <w:bookmarkEnd w:id="26"/>
      <w:r>
        <w:rPr>
          <w:rFonts w:ascii="Times New Roman" w:eastAsia="Times New Roman"/>
          <w:sz w:val="18"/>
          <w:vertAlign w:val="superscript"/>
        </w:rPr>
        <w:t>22</w:t>
      </w:r>
      <w:r>
        <w:rPr>
          <w:rFonts w:ascii="Times New Roman" w:eastAsia="Times New Roman"/>
          <w:sz w:val="18"/>
          <w:vertAlign w:val="baseline"/>
        </w:rPr>
        <w:t xml:space="preserve"> </w:t>
      </w:r>
      <w:r>
        <w:rPr>
          <w:b/>
          <w:sz w:val="18"/>
          <w:vertAlign w:val="baseline"/>
        </w:rPr>
        <w:t>保险单周年日：</w:t>
      </w:r>
      <w:r>
        <w:rPr>
          <w:sz w:val="18"/>
          <w:vertAlign w:val="baseline"/>
        </w:rPr>
        <w:t>指本合同生效日之后每年的对应日。若当月无本合同生效日的对应日，则为当月的最后</w:t>
      </w:r>
      <w:r>
        <w:rPr>
          <w:spacing w:val="-4"/>
          <w:sz w:val="18"/>
          <w:vertAlign w:val="baseline"/>
        </w:rPr>
        <w:t>一日。</w:t>
      </w:r>
    </w:p>
    <w:p>
      <w:pPr>
        <w:spacing w:before="1" w:line="242" w:lineRule="auto"/>
        <w:ind w:left="257" w:right="630" w:firstLine="0"/>
        <w:jc w:val="both"/>
        <w:rPr>
          <w:sz w:val="18"/>
        </w:rPr>
      </w:pPr>
      <w:bookmarkStart w:id="27" w:name="_bookmark27"/>
      <w:bookmarkEnd w:id="27"/>
      <w:r>
        <w:rPr>
          <w:rFonts w:ascii="Times New Roman" w:eastAsia="Times New Roman"/>
          <w:sz w:val="18"/>
          <w:vertAlign w:val="superscript"/>
        </w:rPr>
        <w:t>23</w:t>
      </w:r>
      <w:r>
        <w:rPr>
          <w:rFonts w:ascii="Times New Roman" w:eastAsia="Times New Roman"/>
          <w:sz w:val="18"/>
          <w:vertAlign w:val="baseline"/>
        </w:rPr>
        <w:t xml:space="preserve"> </w:t>
      </w:r>
      <w:r>
        <w:rPr>
          <w:b/>
          <w:sz w:val="18"/>
          <w:vertAlign w:val="baseline"/>
        </w:rPr>
        <w:t>末期疾病状态：</w:t>
      </w:r>
      <w:r>
        <w:rPr>
          <w:sz w:val="18"/>
          <w:vertAlign w:val="baseline"/>
        </w:rPr>
        <w:t>是指被保险人经本公司认可的医院的专科医生确诊，其所患疾病依现有医疗技术无法治</w:t>
      </w:r>
      <w:r>
        <w:rPr>
          <w:spacing w:val="-2"/>
          <w:sz w:val="18"/>
          <w:vertAlign w:val="baseline"/>
        </w:rPr>
        <w:t>愈且依据医学及临床经验认定其平均存活期间在六个月以下，积极治疗已被放弃，所有治疗措施仅以减轻被保险人痛苦为目的。</w:t>
      </w:r>
    </w:p>
    <w:p>
      <w:pPr>
        <w:spacing w:after="0" w:line="242" w:lineRule="auto"/>
        <w:jc w:val="both"/>
        <w:rPr>
          <w:sz w:val="18"/>
        </w:rPr>
        <w:sectPr>
          <w:pgSz w:w="11910" w:h="16840"/>
          <w:pgMar w:top="1400" w:right="1160" w:bottom="1340" w:left="1540" w:header="0" w:footer="1142" w:gutter="0"/>
          <w:cols w:space="720" w:num="1"/>
        </w:sectPr>
      </w:pPr>
    </w:p>
    <w:p>
      <w:pPr>
        <w:pStyle w:val="3"/>
        <w:spacing w:before="62"/>
        <w:ind w:left="677"/>
        <w:rPr>
          <w:rFonts w:ascii="黑体" w:eastAsia="黑体"/>
        </w:rPr>
      </w:pPr>
      <w:r>
        <w:rPr>
          <w:spacing w:val="-2"/>
        </w:rPr>
        <w:t>交保险费（无息）的</w:t>
      </w:r>
      <w:r>
        <w:rPr>
          <w:rFonts w:ascii="Times New Roman" w:eastAsia="Times New Roman"/>
          <w:spacing w:val="-2"/>
        </w:rPr>
        <w:t>100%</w:t>
      </w:r>
      <w:r>
        <w:rPr>
          <w:spacing w:val="-2"/>
        </w:rPr>
        <w:t>给付身故保险金，</w:t>
      </w:r>
      <w:r>
        <w:rPr>
          <w:rFonts w:ascii="黑体" w:eastAsia="黑体"/>
          <w:spacing w:val="-4"/>
        </w:rPr>
        <w:t>本合同终止。</w:t>
      </w:r>
    </w:p>
    <w:p>
      <w:pPr>
        <w:pStyle w:val="10"/>
        <w:numPr>
          <w:ilvl w:val="0"/>
          <w:numId w:val="8"/>
        </w:numPr>
        <w:tabs>
          <w:tab w:val="left" w:pos="677"/>
          <w:tab w:val="left" w:pos="678"/>
        </w:tabs>
        <w:spacing w:before="43" w:after="0" w:line="278" w:lineRule="auto"/>
        <w:ind w:left="677" w:right="634" w:hanging="420"/>
        <w:jc w:val="left"/>
        <w:rPr>
          <w:rFonts w:ascii="黑体" w:eastAsia="黑体"/>
          <w:sz w:val="21"/>
        </w:rPr>
      </w:pPr>
      <w:r>
        <w:rPr>
          <w:spacing w:val="-5"/>
          <w:sz w:val="21"/>
        </w:rPr>
        <w:t>若被保险人于年满十八周岁后的首个保险单周年日零时之后身故，我们按本合同的基本</w:t>
      </w:r>
      <w:r>
        <w:rPr>
          <w:spacing w:val="-2"/>
          <w:sz w:val="21"/>
        </w:rPr>
        <w:t>保险金额给付身故保险金，</w:t>
      </w:r>
      <w:r>
        <w:rPr>
          <w:rFonts w:ascii="黑体" w:eastAsia="黑体"/>
          <w:spacing w:val="-2"/>
          <w:sz w:val="21"/>
        </w:rPr>
        <w:t>本合同终止。</w:t>
      </w:r>
    </w:p>
    <w:p>
      <w:pPr>
        <w:pStyle w:val="3"/>
        <w:spacing w:before="4"/>
        <w:ind w:left="0"/>
        <w:rPr>
          <w:rFonts w:ascii="黑体"/>
          <w:sz w:val="24"/>
        </w:rPr>
      </w:pPr>
    </w:p>
    <w:p>
      <w:pPr>
        <w:pStyle w:val="3"/>
        <w:rPr>
          <w:rFonts w:ascii="黑体" w:eastAsia="黑体"/>
        </w:rPr>
      </w:pPr>
      <w:r>
        <w:rPr>
          <w:rFonts w:ascii="黑体" w:eastAsia="黑体"/>
        </w:rPr>
        <w:t>本合同各项保险责任的等待期均为自本合同生效日或复效日（以较迟者为准）</w:t>
      </w:r>
      <w:r>
        <w:rPr>
          <w:rFonts w:ascii="黑体" w:eastAsia="黑体"/>
          <w:spacing w:val="-2"/>
        </w:rPr>
        <w:t>起九十天。</w:t>
      </w:r>
    </w:p>
    <w:p>
      <w:pPr>
        <w:pStyle w:val="3"/>
        <w:spacing w:before="2"/>
        <w:ind w:left="0"/>
        <w:rPr>
          <w:rFonts w:ascii="黑体"/>
          <w:sz w:val="22"/>
        </w:rPr>
      </w:pPr>
    </w:p>
    <w:p>
      <w:pPr>
        <w:pStyle w:val="3"/>
        <w:spacing w:before="71" w:line="278" w:lineRule="auto"/>
        <w:ind w:right="528"/>
        <w:rPr>
          <w:rFonts w:ascii="黑体" w:eastAsia="黑体"/>
        </w:rPr>
      </w:pPr>
      <w:r>
        <w:rPr>
          <w:rFonts w:ascii="黑体" w:eastAsia="黑体"/>
          <w:color w:val="000000"/>
          <w:spacing w:val="-10"/>
          <w:shd w:val="clear" w:color="auto" w:fill="DADADA"/>
        </w:rPr>
        <w:t>若被保险人同时符合本合同多项疾病定义，我们仅按其中一项赔付，多项疾病分属轻症疾病、</w:t>
      </w:r>
      <w:r>
        <w:rPr>
          <w:rFonts w:ascii="黑体" w:eastAsia="黑体"/>
          <w:color w:val="000000"/>
          <w:spacing w:val="-2"/>
          <w:shd w:val="clear" w:color="auto" w:fill="DADADA"/>
        </w:rPr>
        <w:t>中症疾病或重大疾病的，我们仅按其中最严重的一项保险责任进行赔付。</w:t>
      </w:r>
    </w:p>
    <w:p>
      <w:pPr>
        <w:pStyle w:val="3"/>
        <w:spacing w:line="278" w:lineRule="auto"/>
        <w:ind w:right="633"/>
        <w:rPr>
          <w:rFonts w:ascii="黑体" w:eastAsia="黑体"/>
        </w:rPr>
      </w:pPr>
      <w:r>
        <w:rPr>
          <w:rFonts w:ascii="黑体" w:eastAsia="黑体"/>
          <w:color w:val="000000"/>
          <w:spacing w:val="-4"/>
          <w:shd w:val="clear" w:color="auto" w:fill="DADADA"/>
        </w:rPr>
        <w:t>重大疾病保险金、高残保险金、生命关爱保险金以及身故保险金四项保险责任不可兼得，我</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们将按最先发生者承担其中一项保险责任，同时不再承担其余三项保险责任。</w:t>
      </w:r>
    </w:p>
    <w:p>
      <w:pPr>
        <w:pStyle w:val="3"/>
        <w:spacing w:line="278" w:lineRule="auto"/>
        <w:ind w:right="634"/>
        <w:rPr>
          <w:rFonts w:ascii="黑体" w:eastAsia="黑体"/>
        </w:rPr>
      </w:pPr>
      <w:r>
        <w:rPr>
          <w:rFonts w:ascii="黑体" w:eastAsia="黑体"/>
          <w:spacing w:val="-7"/>
        </w:rPr>
        <w:t>若被保险人符合首次重大疾病保险金给付条件，同时又符合高残保险金或生命关爱保险金的</w:t>
      </w:r>
      <w:r>
        <w:rPr>
          <w:rFonts w:ascii="黑体" w:eastAsia="黑体"/>
          <w:spacing w:val="-2"/>
        </w:rPr>
        <w:t>给付条件，为了保障您和被保险人的利益，我们按重大疾病保险金责任给付。</w:t>
      </w:r>
    </w:p>
    <w:p>
      <w:pPr>
        <w:pStyle w:val="3"/>
        <w:spacing w:line="278" w:lineRule="auto"/>
        <w:ind w:right="633"/>
        <w:jc w:val="both"/>
        <w:rPr>
          <w:rFonts w:ascii="黑体" w:eastAsia="黑体"/>
        </w:rPr>
      </w:pPr>
      <w:r>
        <w:rPr>
          <w:rFonts w:ascii="黑体" w:eastAsia="黑体"/>
          <w:color w:val="000000"/>
          <w:spacing w:val="-4"/>
          <w:shd w:val="clear" w:color="auto" w:fill="DADADA"/>
        </w:rPr>
        <w:t>若被保险人确诊本合同所定义的轻症疾病或中症疾病之前已经发生符合重大疾病保险金、高</w:t>
      </w:r>
      <w:r>
        <w:rPr>
          <w:rFonts w:ascii="黑体" w:eastAsia="黑体"/>
          <w:color w:val="000000"/>
          <w:shd w:val="clear" w:color="auto" w:fill="DADADA"/>
        </w:rPr>
        <w:t xml:space="preserve">                                                                                                                                                            残保险金或生命关爱保险金的</w:t>
      </w:r>
      <w:r>
        <w:rPr>
          <w:rFonts w:hint="eastAsia" w:ascii="黑体" w:eastAsia="黑体"/>
          <w:b/>
          <w:color w:val="000000"/>
          <w:w w:val="99"/>
          <w:shd w:val="clear" w:color="auto" w:fill="DADADA"/>
        </w:rPr>
        <w:t>保险事故</w:t>
      </w:r>
      <w:r>
        <w:rPr>
          <w:rFonts w:hint="eastAsia" w:ascii="黑体" w:eastAsia="黑体"/>
          <w:b/>
          <w:color w:val="000000"/>
          <w:spacing w:val="-43"/>
          <w:shd w:val="clear" w:color="auto" w:fill="DADADA"/>
        </w:rPr>
        <w:t xml:space="preserve"> </w:t>
      </w:r>
      <w:r>
        <w:fldChar w:fldCharType="begin"/>
      </w:r>
      <w:r>
        <w:instrText xml:space="preserve"> HYPERLINK \l "_bookmark29" </w:instrText>
      </w:r>
      <w:r>
        <w:fldChar w:fldCharType="separate"/>
      </w:r>
      <w:r>
        <w:rPr>
          <w:rFonts w:ascii="Times New Roman" w:eastAsia="Times New Roman"/>
          <w:b/>
          <w:color w:val="000000"/>
          <w:w w:val="100"/>
          <w:shd w:val="clear" w:color="auto" w:fill="DADADA"/>
          <w:vertAlign w:val="superscript"/>
        </w:rPr>
        <w:t>2</w:t>
      </w:r>
      <w:r>
        <w:rPr>
          <w:rFonts w:ascii="Times New Roman" w:eastAsia="Times New Roman"/>
          <w:b/>
          <w:color w:val="000000"/>
          <w:spacing w:val="5"/>
          <w:w w:val="100"/>
          <w:shd w:val="clear" w:color="auto" w:fill="DADADA"/>
          <w:vertAlign w:val="superscript"/>
        </w:rPr>
        <w:t>4</w:t>
      </w:r>
      <w:r>
        <w:rPr>
          <w:rFonts w:ascii="Times New Roman" w:eastAsia="Times New Roman"/>
          <w:b/>
          <w:color w:val="000000"/>
          <w:spacing w:val="5"/>
          <w:w w:val="100"/>
          <w:shd w:val="clear" w:color="auto" w:fill="DADADA"/>
          <w:vertAlign w:val="superscript"/>
        </w:rPr>
        <w:fldChar w:fldCharType="end"/>
      </w:r>
      <w:r>
        <w:rPr>
          <w:rFonts w:ascii="黑体" w:eastAsia="黑体"/>
          <w:color w:val="000000"/>
          <w:spacing w:val="-10"/>
          <w:shd w:val="clear" w:color="auto" w:fill="DADADA"/>
          <w:vertAlign w:val="baseline"/>
        </w:rPr>
        <w:t>而未申请理赔，则我们在给付本条第三至八项保险金时，将扣除已经给付的轻症疾病或中症疾病保险金数额。</w:t>
      </w:r>
    </w:p>
    <w:p>
      <w:pPr>
        <w:pStyle w:val="3"/>
        <w:spacing w:before="3"/>
        <w:ind w:left="0"/>
        <w:rPr>
          <w:rFonts w:ascii="黑体"/>
          <w:sz w:val="24"/>
        </w:rPr>
      </w:pPr>
    </w:p>
    <w:p>
      <w:pPr>
        <w:pStyle w:val="3"/>
        <w:tabs>
          <w:tab w:val="left" w:pos="1517"/>
        </w:tabs>
        <w:spacing w:before="1"/>
        <w:rPr>
          <w:rFonts w:ascii="黑体" w:eastAsia="黑体"/>
        </w:rPr>
      </w:pPr>
      <w:bookmarkStart w:id="28" w:name="_bookmark28"/>
      <w:bookmarkEnd w:id="28"/>
      <w:r>
        <w:t>第四</w:t>
      </w:r>
      <w:r>
        <w:rPr>
          <w:spacing w:val="-10"/>
        </w:rPr>
        <w:t>条</w:t>
      </w:r>
      <w:r>
        <w:tab/>
      </w:r>
      <w:r>
        <w:rPr>
          <w:rFonts w:ascii="黑体" w:eastAsia="黑体"/>
        </w:rPr>
        <w:t>责任免</w:t>
      </w:r>
      <w:r>
        <w:rPr>
          <w:rFonts w:ascii="黑体" w:eastAsia="黑体"/>
          <w:spacing w:val="-10"/>
        </w:rPr>
        <w:t>除</w:t>
      </w:r>
    </w:p>
    <w:p>
      <w:pPr>
        <w:pStyle w:val="3"/>
        <w:spacing w:before="42" w:line="278" w:lineRule="auto"/>
        <w:ind w:right="635"/>
        <w:rPr>
          <w:rFonts w:ascii="黑体" w:eastAsia="黑体"/>
        </w:rPr>
      </w:pPr>
      <w:r>
        <w:rPr>
          <w:rFonts w:ascii="黑体" w:eastAsia="黑体"/>
          <w:color w:val="000000"/>
          <w:spacing w:val="-4"/>
          <w:shd w:val="clear" w:color="auto" w:fill="DADADA"/>
        </w:rPr>
        <w:t>一、被保险人因下列情形之一而身故或达到本合同所定义的身体高度残疾的，我们不承担给</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付身故保险金、高残保险金的责任：</w:t>
      </w:r>
    </w:p>
    <w:p>
      <w:pPr>
        <w:pStyle w:val="10"/>
        <w:numPr>
          <w:ilvl w:val="0"/>
          <w:numId w:val="9"/>
        </w:numPr>
        <w:tabs>
          <w:tab w:val="left" w:pos="677"/>
          <w:tab w:val="left" w:pos="678"/>
        </w:tabs>
        <w:spacing w:before="0" w:after="0" w:line="269" w:lineRule="exact"/>
        <w:ind w:left="677" w:right="0" w:hanging="421"/>
        <w:jc w:val="left"/>
        <w:rPr>
          <w:rFonts w:ascii="黑体" w:eastAsia="黑体"/>
          <w:sz w:val="21"/>
        </w:rPr>
      </w:pPr>
      <w:r>
        <w:rPr>
          <w:rFonts w:ascii="黑体" w:eastAsia="黑体"/>
          <w:color w:val="000000"/>
          <w:spacing w:val="-1"/>
          <w:sz w:val="21"/>
          <w:shd w:val="clear" w:color="auto" w:fill="DADADA"/>
        </w:rPr>
        <w:t>投保人对被保险人的故意杀害、故意伤害；</w:t>
      </w:r>
    </w:p>
    <w:p>
      <w:pPr>
        <w:pStyle w:val="10"/>
        <w:numPr>
          <w:ilvl w:val="0"/>
          <w:numId w:val="9"/>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spacing w:val="-1"/>
          <w:sz w:val="21"/>
          <w:shd w:val="clear" w:color="auto" w:fill="DADADA"/>
        </w:rPr>
        <w:t>被保险人故意犯罪或抗拒依法采取的刑事强制措施；</w:t>
      </w:r>
    </w:p>
    <w:p>
      <w:pPr>
        <w:pStyle w:val="10"/>
        <w:numPr>
          <w:ilvl w:val="0"/>
          <w:numId w:val="9"/>
        </w:numPr>
        <w:tabs>
          <w:tab w:val="left" w:pos="677"/>
          <w:tab w:val="left" w:pos="678"/>
        </w:tabs>
        <w:spacing w:before="43" w:after="0" w:line="278" w:lineRule="auto"/>
        <w:ind w:left="677" w:right="635" w:hanging="421"/>
        <w:jc w:val="left"/>
        <w:rPr>
          <w:rFonts w:ascii="黑体" w:eastAsia="黑体"/>
          <w:sz w:val="21"/>
        </w:rPr>
      </w:pPr>
      <w:r>
        <w:rPr>
          <w:rFonts w:ascii="黑体" w:eastAsia="黑体"/>
          <w:color w:val="000000"/>
          <w:spacing w:val="-6"/>
          <w:sz w:val="21"/>
          <w:shd w:val="clear" w:color="auto" w:fill="DADADA"/>
        </w:rPr>
        <w:t xml:space="preserve">被保险人故意自伤、或自本合同成立或者本合同效力恢复之日起 </w:t>
      </w:r>
      <w:r>
        <w:rPr>
          <w:rFonts w:ascii="Times New Roman" w:eastAsia="Times New Roman"/>
          <w:color w:val="000000"/>
          <w:spacing w:val="-4"/>
          <w:sz w:val="21"/>
          <w:shd w:val="clear" w:color="auto" w:fill="DADADA"/>
        </w:rPr>
        <w:t xml:space="preserve">2 </w:t>
      </w:r>
      <w:r>
        <w:rPr>
          <w:rFonts w:ascii="黑体" w:eastAsia="黑体"/>
          <w:color w:val="000000"/>
          <w:spacing w:val="-4"/>
          <w:sz w:val="21"/>
          <w:shd w:val="clear" w:color="auto" w:fill="DADADA"/>
        </w:rPr>
        <w:t>年内自杀，</w:t>
      </w:r>
      <w:r>
        <w:rPr>
          <w:rFonts w:ascii="黑体" w:eastAsia="黑体"/>
          <w:color w:val="000000"/>
          <w:spacing w:val="-4"/>
          <w:sz w:val="21"/>
        </w:rPr>
        <w:t>但被保险</w:t>
      </w:r>
      <w:r>
        <w:rPr>
          <w:rFonts w:ascii="黑体" w:eastAsia="黑体"/>
          <w:color w:val="000000"/>
          <w:spacing w:val="-2"/>
          <w:sz w:val="21"/>
        </w:rPr>
        <w:t>人自杀时为无民事行为能力人的除外；</w:t>
      </w:r>
    </w:p>
    <w:p>
      <w:pPr>
        <w:pStyle w:val="10"/>
        <w:numPr>
          <w:ilvl w:val="0"/>
          <w:numId w:val="9"/>
        </w:numPr>
        <w:tabs>
          <w:tab w:val="left" w:pos="677"/>
          <w:tab w:val="left" w:pos="678"/>
        </w:tabs>
        <w:spacing w:before="0" w:after="0" w:line="269" w:lineRule="exact"/>
        <w:ind w:left="677" w:right="0" w:hanging="421"/>
        <w:jc w:val="left"/>
        <w:rPr>
          <w:rFonts w:ascii="黑体" w:eastAsia="黑体"/>
          <w:sz w:val="21"/>
        </w:rPr>
      </w:pPr>
      <w:r>
        <w:rPr>
          <w:rFonts w:ascii="黑体" w:eastAsia="黑体"/>
          <w:color w:val="000000"/>
          <w:w w:val="95"/>
          <w:sz w:val="21"/>
          <w:shd w:val="clear" w:color="auto" w:fill="DADADA"/>
        </w:rPr>
        <w:t>被保险人服用、吸食或注射</w:t>
      </w:r>
      <w:r>
        <w:rPr>
          <w:rFonts w:hint="eastAsia" w:ascii="黑体" w:eastAsia="黑体"/>
          <w:b/>
          <w:color w:val="000000"/>
          <w:w w:val="95"/>
          <w:sz w:val="21"/>
          <w:shd w:val="clear" w:color="auto" w:fill="DADADA"/>
        </w:rPr>
        <w:t>毒品</w:t>
      </w:r>
      <w:r>
        <w:rPr>
          <w:rFonts w:hint="eastAsia" w:ascii="黑体" w:eastAsia="黑体"/>
          <w:b/>
          <w:color w:val="000000"/>
          <w:spacing w:val="47"/>
          <w:w w:val="150"/>
          <w:sz w:val="21"/>
          <w:shd w:val="clear" w:color="auto" w:fill="DADADA"/>
        </w:rPr>
        <w:t xml:space="preserve"> </w:t>
      </w:r>
      <w:r>
        <w:fldChar w:fldCharType="begin"/>
      </w:r>
      <w:r>
        <w:instrText xml:space="preserve"> HYPERLINK \l "_bookmark30" </w:instrText>
      </w:r>
      <w:r>
        <w:fldChar w:fldCharType="separate"/>
      </w:r>
      <w:r>
        <w:rPr>
          <w:rFonts w:ascii="Times New Roman" w:eastAsia="Times New Roman"/>
          <w:b/>
          <w:color w:val="000000"/>
          <w:spacing w:val="-5"/>
          <w:w w:val="95"/>
          <w:sz w:val="21"/>
          <w:shd w:val="clear" w:color="auto" w:fill="DADADA"/>
          <w:vertAlign w:val="superscript"/>
        </w:rPr>
        <w:t>25</w:t>
      </w:r>
      <w:r>
        <w:rPr>
          <w:rFonts w:ascii="Times New Roman" w:eastAsia="Times New Roman"/>
          <w:b/>
          <w:color w:val="000000"/>
          <w:spacing w:val="-5"/>
          <w:w w:val="95"/>
          <w:sz w:val="21"/>
          <w:shd w:val="clear" w:color="auto" w:fill="DADADA"/>
          <w:vertAlign w:val="superscript"/>
        </w:rPr>
        <w:fldChar w:fldCharType="end"/>
      </w:r>
      <w:r>
        <w:rPr>
          <w:rFonts w:ascii="黑体" w:eastAsia="黑体"/>
          <w:color w:val="000000"/>
          <w:spacing w:val="-5"/>
          <w:w w:val="95"/>
          <w:sz w:val="21"/>
          <w:shd w:val="clear" w:color="auto" w:fill="DADADA"/>
          <w:vertAlign w:val="baseline"/>
        </w:rPr>
        <w:t>；</w:t>
      </w:r>
    </w:p>
    <w:p>
      <w:pPr>
        <w:pStyle w:val="10"/>
        <w:numPr>
          <w:ilvl w:val="0"/>
          <w:numId w:val="9"/>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w w:val="95"/>
          <w:sz w:val="21"/>
          <w:shd w:val="clear" w:color="auto" w:fill="DADADA"/>
        </w:rPr>
        <w:t>被保险人</w:t>
      </w:r>
      <w:r>
        <w:rPr>
          <w:rFonts w:hint="eastAsia" w:ascii="黑体" w:eastAsia="黑体"/>
          <w:b/>
          <w:color w:val="000000"/>
          <w:w w:val="95"/>
          <w:sz w:val="21"/>
          <w:shd w:val="clear" w:color="auto" w:fill="DADADA"/>
        </w:rPr>
        <w:t>酒后驾驶</w:t>
      </w:r>
      <w:r>
        <w:rPr>
          <w:rFonts w:hint="eastAsia" w:ascii="黑体" w:eastAsia="黑体"/>
          <w:b/>
          <w:color w:val="000000"/>
          <w:spacing w:val="-3"/>
          <w:sz w:val="21"/>
          <w:shd w:val="clear" w:color="auto" w:fill="DADADA"/>
        </w:rPr>
        <w:t xml:space="preserve"> </w:t>
      </w:r>
      <w:r>
        <w:fldChar w:fldCharType="begin"/>
      </w:r>
      <w:r>
        <w:instrText xml:space="preserve"> HYPERLINK \l "_bookmark31" </w:instrText>
      </w:r>
      <w:r>
        <w:fldChar w:fldCharType="separate"/>
      </w:r>
      <w:r>
        <w:rPr>
          <w:rFonts w:ascii="Times New Roman" w:eastAsia="Times New Roman"/>
          <w:b/>
          <w:color w:val="000000"/>
          <w:w w:val="95"/>
          <w:sz w:val="21"/>
          <w:shd w:val="clear" w:color="auto" w:fill="DADADA"/>
          <w:vertAlign w:val="superscript"/>
        </w:rPr>
        <w:t>26</w:t>
      </w:r>
      <w:r>
        <w:rPr>
          <w:rFonts w:ascii="Times New Roman" w:eastAsia="Times New Roman"/>
          <w:b/>
          <w:color w:val="000000"/>
          <w:w w:val="95"/>
          <w:sz w:val="21"/>
          <w:shd w:val="clear" w:color="auto" w:fill="DADADA"/>
          <w:vertAlign w:val="superscript"/>
        </w:rPr>
        <w:fldChar w:fldCharType="end"/>
      </w:r>
      <w:r>
        <w:rPr>
          <w:rFonts w:ascii="黑体" w:eastAsia="黑体"/>
          <w:color w:val="000000"/>
          <w:spacing w:val="-105"/>
          <w:w w:val="95"/>
          <w:sz w:val="21"/>
          <w:shd w:val="clear" w:color="auto" w:fill="DADADA"/>
          <w:vertAlign w:val="baseline"/>
        </w:rPr>
        <w:t>、</w:t>
      </w:r>
      <w:r>
        <w:rPr>
          <w:rFonts w:hint="eastAsia" w:ascii="黑体" w:eastAsia="黑体"/>
          <w:b/>
          <w:color w:val="000000"/>
          <w:w w:val="95"/>
          <w:sz w:val="21"/>
          <w:shd w:val="clear" w:color="auto" w:fill="DADADA"/>
          <w:vertAlign w:val="baseline"/>
        </w:rPr>
        <w:t>无合法有效驾驶证驾驶</w:t>
      </w:r>
      <w:r>
        <w:rPr>
          <w:rFonts w:hint="eastAsia" w:ascii="黑体" w:eastAsia="黑体"/>
          <w:b/>
          <w:color w:val="000000"/>
          <w:spacing w:val="-3"/>
          <w:sz w:val="21"/>
          <w:shd w:val="clear" w:color="auto" w:fill="DADADA"/>
          <w:vertAlign w:val="baseline"/>
        </w:rPr>
        <w:t xml:space="preserve"> </w:t>
      </w:r>
      <w:r>
        <w:fldChar w:fldCharType="begin"/>
      </w:r>
      <w:r>
        <w:instrText xml:space="preserve"> HYPERLINK \l "_bookmark32" </w:instrText>
      </w:r>
      <w:r>
        <w:fldChar w:fldCharType="separate"/>
      </w:r>
      <w:r>
        <w:rPr>
          <w:rFonts w:ascii="Times New Roman" w:eastAsia="Times New Roman"/>
          <w:b/>
          <w:color w:val="000000"/>
          <w:spacing w:val="35"/>
          <w:w w:val="95"/>
          <w:sz w:val="21"/>
          <w:shd w:val="clear" w:color="auto" w:fill="DADADA"/>
          <w:vertAlign w:val="superscript"/>
        </w:rPr>
        <w:t>27</w:t>
      </w:r>
      <w:r>
        <w:rPr>
          <w:rFonts w:ascii="Times New Roman" w:eastAsia="Times New Roman"/>
          <w:b/>
          <w:color w:val="000000"/>
          <w:spacing w:val="35"/>
          <w:w w:val="95"/>
          <w:sz w:val="21"/>
          <w:shd w:val="clear" w:color="auto" w:fill="DADADA"/>
          <w:vertAlign w:val="superscript"/>
        </w:rPr>
        <w:fldChar w:fldCharType="end"/>
      </w:r>
      <w:r>
        <w:rPr>
          <w:rFonts w:ascii="黑体" w:eastAsia="黑体"/>
          <w:color w:val="000000"/>
          <w:spacing w:val="-70"/>
          <w:w w:val="95"/>
          <w:sz w:val="21"/>
          <w:shd w:val="clear" w:color="auto" w:fill="DADADA"/>
          <w:vertAlign w:val="baseline"/>
        </w:rPr>
        <w:t>，</w:t>
      </w:r>
      <w:r>
        <w:rPr>
          <w:rFonts w:ascii="黑体" w:eastAsia="黑体"/>
          <w:color w:val="000000"/>
          <w:w w:val="95"/>
          <w:sz w:val="21"/>
          <w:shd w:val="clear" w:color="auto" w:fill="DADADA"/>
          <w:vertAlign w:val="baseline"/>
        </w:rPr>
        <w:t>或驾驶</w:t>
      </w:r>
      <w:r>
        <w:rPr>
          <w:rFonts w:hint="eastAsia" w:ascii="黑体" w:eastAsia="黑体"/>
          <w:b/>
          <w:color w:val="000000"/>
          <w:w w:val="95"/>
          <w:sz w:val="21"/>
          <w:shd w:val="clear" w:color="auto" w:fill="DADADA"/>
          <w:vertAlign w:val="baseline"/>
        </w:rPr>
        <w:t>无合法有效行驶证</w:t>
      </w:r>
      <w:r>
        <w:rPr>
          <w:rFonts w:hint="eastAsia" w:ascii="黑体" w:eastAsia="黑体"/>
          <w:b/>
          <w:color w:val="000000"/>
          <w:spacing w:val="-2"/>
          <w:sz w:val="21"/>
          <w:shd w:val="clear" w:color="auto" w:fill="DADADA"/>
          <w:vertAlign w:val="baseline"/>
        </w:rPr>
        <w:t xml:space="preserve"> </w:t>
      </w:r>
      <w:r>
        <w:fldChar w:fldCharType="begin"/>
      </w:r>
      <w:r>
        <w:instrText xml:space="preserve"> HYPERLINK \l "_bookmark33" </w:instrText>
      </w:r>
      <w:r>
        <w:fldChar w:fldCharType="separate"/>
      </w:r>
      <w:r>
        <w:rPr>
          <w:rFonts w:ascii="Times New Roman" w:eastAsia="Times New Roman"/>
          <w:b/>
          <w:color w:val="000000"/>
          <w:w w:val="95"/>
          <w:sz w:val="21"/>
          <w:shd w:val="clear" w:color="auto" w:fill="DADADA"/>
          <w:vertAlign w:val="superscript"/>
        </w:rPr>
        <w:t>28</w:t>
      </w:r>
      <w:r>
        <w:rPr>
          <w:rFonts w:ascii="Times New Roman" w:eastAsia="Times New Roman"/>
          <w:b/>
          <w:color w:val="000000"/>
          <w:w w:val="95"/>
          <w:sz w:val="21"/>
          <w:shd w:val="clear" w:color="auto" w:fill="DADADA"/>
          <w:vertAlign w:val="superscript"/>
        </w:rPr>
        <w:fldChar w:fldCharType="end"/>
      </w:r>
      <w:r>
        <w:rPr>
          <w:rFonts w:ascii="黑体" w:eastAsia="黑体"/>
          <w:color w:val="000000"/>
          <w:w w:val="95"/>
          <w:sz w:val="21"/>
          <w:shd w:val="clear" w:color="auto" w:fill="DADADA"/>
          <w:vertAlign w:val="baseline"/>
        </w:rPr>
        <w:t>的</w:t>
      </w:r>
      <w:r>
        <w:rPr>
          <w:rFonts w:hint="eastAsia" w:ascii="黑体" w:eastAsia="黑体"/>
          <w:b/>
          <w:color w:val="000000"/>
          <w:w w:val="95"/>
          <w:sz w:val="21"/>
          <w:shd w:val="clear" w:color="auto" w:fill="DADADA"/>
          <w:vertAlign w:val="baseline"/>
        </w:rPr>
        <w:t>机动车</w:t>
      </w:r>
      <w:r>
        <w:rPr>
          <w:rFonts w:hint="eastAsia" w:ascii="黑体" w:eastAsia="黑体"/>
          <w:b/>
          <w:color w:val="000000"/>
          <w:spacing w:val="-6"/>
          <w:sz w:val="21"/>
          <w:shd w:val="clear" w:color="auto" w:fill="DADADA"/>
          <w:vertAlign w:val="baseline"/>
        </w:rPr>
        <w:t xml:space="preserve"> </w:t>
      </w:r>
      <w:r>
        <w:fldChar w:fldCharType="begin"/>
      </w:r>
      <w:r>
        <w:instrText xml:space="preserve"> HYPERLINK \l "_bookmark34" </w:instrText>
      </w:r>
      <w:r>
        <w:fldChar w:fldCharType="separate"/>
      </w:r>
      <w:r>
        <w:rPr>
          <w:rFonts w:ascii="Times New Roman" w:eastAsia="Times New Roman"/>
          <w:b/>
          <w:color w:val="000000"/>
          <w:spacing w:val="-5"/>
          <w:w w:val="95"/>
          <w:sz w:val="21"/>
          <w:shd w:val="clear" w:color="auto" w:fill="DADADA"/>
          <w:vertAlign w:val="superscript"/>
        </w:rPr>
        <w:t>29</w:t>
      </w:r>
      <w:r>
        <w:rPr>
          <w:rFonts w:ascii="Times New Roman" w:eastAsia="Times New Roman"/>
          <w:b/>
          <w:color w:val="000000"/>
          <w:spacing w:val="-5"/>
          <w:w w:val="95"/>
          <w:sz w:val="21"/>
          <w:shd w:val="clear" w:color="auto" w:fill="DADADA"/>
          <w:vertAlign w:val="superscript"/>
        </w:rPr>
        <w:fldChar w:fldCharType="end"/>
      </w:r>
      <w:r>
        <w:rPr>
          <w:rFonts w:ascii="黑体" w:eastAsia="黑体"/>
          <w:color w:val="000000"/>
          <w:spacing w:val="-5"/>
          <w:w w:val="95"/>
          <w:sz w:val="21"/>
          <w:shd w:val="clear" w:color="auto" w:fill="DADADA"/>
          <w:vertAlign w:val="baseline"/>
        </w:rPr>
        <w:t>；</w:t>
      </w:r>
    </w:p>
    <w:p>
      <w:pPr>
        <w:pStyle w:val="10"/>
        <w:numPr>
          <w:ilvl w:val="0"/>
          <w:numId w:val="9"/>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spacing w:val="-1"/>
          <w:sz w:val="21"/>
          <w:shd w:val="clear" w:color="auto" w:fill="DADADA"/>
        </w:rPr>
        <w:t>战争、军事冲突、暴乱或武装叛乱；</w:t>
      </w:r>
    </w:p>
    <w:p>
      <w:pPr>
        <w:pStyle w:val="10"/>
        <w:numPr>
          <w:ilvl w:val="0"/>
          <w:numId w:val="9"/>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spacing w:val="-1"/>
          <w:sz w:val="21"/>
          <w:shd w:val="clear" w:color="auto" w:fill="DADADA"/>
        </w:rPr>
        <w:t>核爆炸、核辐射或核污染。</w:t>
      </w:r>
    </w:p>
    <w:p>
      <w:pPr>
        <w:pStyle w:val="3"/>
        <w:spacing w:before="43" w:line="278" w:lineRule="auto"/>
        <w:ind w:right="635"/>
        <w:rPr>
          <w:rFonts w:ascii="黑体" w:eastAsia="黑体"/>
        </w:rPr>
      </w:pPr>
      <w:r>
        <w:rPr>
          <w:rFonts w:ascii="黑体" w:eastAsia="黑体"/>
          <w:color w:val="000000"/>
          <w:spacing w:val="-9"/>
          <w:shd w:val="clear" w:color="auto" w:fill="DADADA"/>
        </w:rPr>
        <w:t xml:space="preserve">发生上述第 </w:t>
      </w:r>
      <w:r>
        <w:rPr>
          <w:rFonts w:ascii="Times New Roman" w:eastAsia="Times New Roman"/>
          <w:color w:val="000000"/>
          <w:spacing w:val="-4"/>
          <w:shd w:val="clear" w:color="auto" w:fill="DADADA"/>
        </w:rPr>
        <w:t xml:space="preserve">1 </w:t>
      </w:r>
      <w:r>
        <w:rPr>
          <w:rFonts w:ascii="黑体" w:eastAsia="黑体"/>
          <w:color w:val="000000"/>
          <w:spacing w:val="-4"/>
          <w:shd w:val="clear" w:color="auto" w:fill="DADADA"/>
        </w:rPr>
        <w:t>项情形导致被保险人身故的，本合同及其附加合同终止，我们向被保险人的继</w:t>
      </w:r>
      <w:r>
        <w:rPr>
          <w:rFonts w:ascii="黑体" w:eastAsia="黑体"/>
          <w:color w:val="000000"/>
          <w:spacing w:val="-2"/>
          <w:shd w:val="clear" w:color="auto" w:fill="DADADA"/>
        </w:rPr>
        <w:t>承人退还本合同的现金价值。</w:t>
      </w:r>
    </w:p>
    <w:p>
      <w:pPr>
        <w:pStyle w:val="3"/>
        <w:spacing w:line="278" w:lineRule="auto"/>
        <w:ind w:right="634"/>
        <w:rPr>
          <w:rFonts w:ascii="黑体" w:eastAsia="黑体"/>
        </w:rPr>
      </w:pPr>
      <w:r>
        <w:rPr>
          <w:rFonts w:ascii="黑体" w:eastAsia="黑体"/>
          <w:color w:val="000000"/>
          <w:spacing w:val="-9"/>
          <w:shd w:val="clear" w:color="auto" w:fill="DADADA"/>
        </w:rPr>
        <w:t xml:space="preserve">发生上述第 </w:t>
      </w:r>
      <w:r>
        <w:rPr>
          <w:rFonts w:ascii="Times New Roman" w:eastAsia="Times New Roman"/>
          <w:color w:val="000000"/>
          <w:shd w:val="clear" w:color="auto" w:fill="DADADA"/>
        </w:rPr>
        <w:t>1</w:t>
      </w:r>
      <w:r>
        <w:rPr>
          <w:rFonts w:ascii="Times New Roman" w:eastAsia="Times New Roman"/>
          <w:color w:val="000000"/>
          <w:spacing w:val="-14"/>
          <w:shd w:val="clear" w:color="auto" w:fill="DADADA"/>
        </w:rPr>
        <w:t xml:space="preserve"> </w:t>
      </w:r>
      <w:r>
        <w:rPr>
          <w:rFonts w:ascii="黑体" w:eastAsia="黑体"/>
          <w:color w:val="000000"/>
          <w:spacing w:val="-4"/>
          <w:shd w:val="clear" w:color="auto" w:fill="DADADA"/>
        </w:rPr>
        <w:t>项情形导致被保险人达到本合同所定义的身体高度残疾的，本合同及其附加合</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同终止，我们向被保险人退还本合同的现金价值。</w:t>
      </w:r>
    </w:p>
    <w:p>
      <w:pPr>
        <w:pStyle w:val="3"/>
        <w:spacing w:before="4"/>
        <w:ind w:left="0"/>
        <w:rPr>
          <w:rFonts w:ascii="黑体"/>
          <w:sz w:val="22"/>
        </w:rPr>
      </w:pPr>
      <w:r>
        <w:drawing>
          <wp:anchor distT="0" distB="0" distL="0" distR="0" simplePos="0" relativeHeight="251660288" behindDoc="0" locked="0" layoutInCell="1" allowOverlap="1">
            <wp:simplePos x="0" y="0"/>
            <wp:positionH relativeFrom="page">
              <wp:posOffset>1141095</wp:posOffset>
            </wp:positionH>
            <wp:positionV relativeFrom="paragraph">
              <wp:posOffset>196850</wp:posOffset>
            </wp:positionV>
            <wp:extent cx="1828800" cy="6985"/>
            <wp:effectExtent l="0" t="0" r="0" b="0"/>
            <wp:wrapTopAndBottom/>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13" cstate="print"/>
                    <a:stretch>
                      <a:fillRect/>
                    </a:stretch>
                  </pic:blipFill>
                  <pic:spPr>
                    <a:xfrm>
                      <a:off x="0" y="0"/>
                      <a:ext cx="1828799" cy="6858"/>
                    </a:xfrm>
                    <a:prstGeom prst="rect">
                      <a:avLst/>
                    </a:prstGeom>
                  </pic:spPr>
                </pic:pic>
              </a:graphicData>
            </a:graphic>
          </wp:anchor>
        </w:drawing>
      </w:r>
    </w:p>
    <w:p>
      <w:pPr>
        <w:spacing w:before="90"/>
        <w:ind w:left="257" w:right="0" w:firstLine="0"/>
        <w:jc w:val="both"/>
        <w:rPr>
          <w:sz w:val="18"/>
        </w:rPr>
      </w:pPr>
      <w:bookmarkStart w:id="29" w:name="_bookmark29"/>
      <w:bookmarkEnd w:id="29"/>
      <w:r>
        <w:rPr>
          <w:rFonts w:ascii="Times New Roman" w:eastAsia="Times New Roman"/>
          <w:sz w:val="18"/>
          <w:vertAlign w:val="superscript"/>
        </w:rPr>
        <w:t>24</w:t>
      </w:r>
      <w:r>
        <w:rPr>
          <w:rFonts w:ascii="Times New Roman" w:eastAsia="Times New Roman"/>
          <w:spacing w:val="37"/>
          <w:sz w:val="18"/>
          <w:vertAlign w:val="baseline"/>
        </w:rPr>
        <w:t xml:space="preserve"> </w:t>
      </w:r>
      <w:r>
        <w:rPr>
          <w:b/>
          <w:sz w:val="18"/>
          <w:vertAlign w:val="baseline"/>
        </w:rPr>
        <w:t>保险事故：</w:t>
      </w:r>
      <w:r>
        <w:rPr>
          <w:spacing w:val="-1"/>
          <w:sz w:val="18"/>
          <w:vertAlign w:val="baseline"/>
        </w:rPr>
        <w:t>指保险合同约定的保险责任范围内的事故。</w:t>
      </w:r>
    </w:p>
    <w:p>
      <w:pPr>
        <w:spacing w:before="3" w:line="242" w:lineRule="auto"/>
        <w:ind w:left="257" w:right="630" w:firstLine="0"/>
        <w:jc w:val="both"/>
        <w:rPr>
          <w:sz w:val="18"/>
        </w:rPr>
      </w:pPr>
      <w:bookmarkStart w:id="30" w:name="_bookmark30"/>
      <w:bookmarkEnd w:id="30"/>
      <w:r>
        <w:rPr>
          <w:rFonts w:ascii="Times New Roman" w:eastAsia="Times New Roman"/>
          <w:spacing w:val="-2"/>
          <w:sz w:val="18"/>
          <w:vertAlign w:val="superscript"/>
        </w:rPr>
        <w:t>25</w:t>
      </w:r>
      <w:r>
        <w:rPr>
          <w:rFonts w:ascii="Times New Roman" w:eastAsia="Times New Roman"/>
          <w:spacing w:val="-2"/>
          <w:sz w:val="18"/>
          <w:vertAlign w:val="baseline"/>
        </w:rPr>
        <w:t xml:space="preserve"> </w:t>
      </w:r>
      <w:r>
        <w:rPr>
          <w:b/>
          <w:spacing w:val="-2"/>
          <w:sz w:val="18"/>
          <w:vertAlign w:val="baseline"/>
        </w:rPr>
        <w:t>毒品</w:t>
      </w:r>
      <w:r>
        <w:rPr>
          <w:spacing w:val="-2"/>
          <w:sz w:val="18"/>
          <w:vertAlign w:val="baseline"/>
        </w:rPr>
        <w:t>：指中华人民共和国刑法规定的鸦片、海洛因、甲基苯丙胺（冰毒</w:t>
      </w:r>
      <w:r>
        <w:rPr>
          <w:spacing w:val="-90"/>
          <w:sz w:val="18"/>
          <w:vertAlign w:val="baseline"/>
        </w:rPr>
        <w:t>）</w:t>
      </w:r>
      <w:r>
        <w:rPr>
          <w:spacing w:val="-2"/>
          <w:sz w:val="18"/>
          <w:vertAlign w:val="baseline"/>
        </w:rPr>
        <w:t>、吗啡、大麻、可卡因以及国家规定管制的其他能够使人形成瘾癖的麻醉药品和精神药品，但不包括由医生开具并遵医嘱使用的用于治疗疾病但含有毒品成分的处方药品。</w:t>
      </w:r>
    </w:p>
    <w:p>
      <w:pPr>
        <w:spacing w:before="1" w:line="242" w:lineRule="auto"/>
        <w:ind w:left="257" w:right="635" w:firstLine="0"/>
        <w:jc w:val="both"/>
        <w:rPr>
          <w:sz w:val="18"/>
        </w:rPr>
      </w:pPr>
      <w:bookmarkStart w:id="31" w:name="_bookmark31"/>
      <w:bookmarkEnd w:id="31"/>
      <w:r>
        <w:rPr>
          <w:rFonts w:ascii="Times New Roman" w:eastAsia="Times New Roman"/>
          <w:sz w:val="18"/>
          <w:vertAlign w:val="superscript"/>
        </w:rPr>
        <w:t>26</w:t>
      </w:r>
      <w:r>
        <w:rPr>
          <w:rFonts w:ascii="Times New Roman" w:eastAsia="Times New Roman"/>
          <w:sz w:val="18"/>
          <w:vertAlign w:val="baseline"/>
        </w:rPr>
        <w:t xml:space="preserve"> </w:t>
      </w:r>
      <w:r>
        <w:rPr>
          <w:b/>
          <w:sz w:val="18"/>
          <w:vertAlign w:val="baseline"/>
        </w:rPr>
        <w:t>酒后驾驶</w:t>
      </w:r>
      <w:r>
        <w:rPr>
          <w:sz w:val="18"/>
          <w:vertAlign w:val="baseline"/>
        </w:rPr>
        <w:t>：指经检测或鉴定，发生事故时车辆驾驶人员每百毫升血液中的酒精含量达到或超过一定的标</w:t>
      </w:r>
      <w:r>
        <w:rPr>
          <w:spacing w:val="-2"/>
          <w:sz w:val="18"/>
          <w:vertAlign w:val="baseline"/>
        </w:rPr>
        <w:t>准，公安机关交通管理部门依据《道路交通安全法》的规定认定为饮酒后驾驶或醉酒后驾驶。</w:t>
      </w:r>
    </w:p>
    <w:p>
      <w:pPr>
        <w:spacing w:before="1"/>
        <w:ind w:left="257" w:right="0" w:firstLine="0"/>
        <w:jc w:val="both"/>
        <w:rPr>
          <w:sz w:val="18"/>
        </w:rPr>
      </w:pPr>
      <w:bookmarkStart w:id="32" w:name="_bookmark32"/>
      <w:bookmarkEnd w:id="32"/>
      <w:r>
        <w:rPr>
          <w:rFonts w:ascii="Times New Roman" w:eastAsia="Times New Roman"/>
          <w:sz w:val="18"/>
          <w:vertAlign w:val="superscript"/>
        </w:rPr>
        <w:t>27</w:t>
      </w:r>
      <w:r>
        <w:rPr>
          <w:rFonts w:ascii="Times New Roman" w:eastAsia="Times New Roman"/>
          <w:spacing w:val="30"/>
          <w:sz w:val="18"/>
          <w:vertAlign w:val="baseline"/>
        </w:rPr>
        <w:t xml:space="preserve"> </w:t>
      </w:r>
      <w:r>
        <w:rPr>
          <w:b/>
          <w:sz w:val="18"/>
          <w:vertAlign w:val="baseline"/>
        </w:rPr>
        <w:t>无合法有效驾驶证驾驶</w:t>
      </w:r>
      <w:r>
        <w:rPr>
          <w:spacing w:val="-2"/>
          <w:sz w:val="18"/>
          <w:vertAlign w:val="baseline"/>
        </w:rPr>
        <w:t>：指下列情形之一：</w:t>
      </w:r>
    </w:p>
    <w:p>
      <w:pPr>
        <w:pStyle w:val="10"/>
        <w:numPr>
          <w:ilvl w:val="1"/>
          <w:numId w:val="9"/>
        </w:numPr>
        <w:tabs>
          <w:tab w:val="left" w:pos="898"/>
          <w:tab w:val="left" w:pos="899"/>
        </w:tabs>
        <w:spacing w:before="3" w:after="0" w:line="240" w:lineRule="auto"/>
        <w:ind w:left="898" w:right="0" w:hanging="358"/>
        <w:jc w:val="left"/>
        <w:rPr>
          <w:sz w:val="18"/>
        </w:rPr>
      </w:pPr>
      <w:r>
        <w:rPr>
          <w:w w:val="95"/>
          <w:sz w:val="18"/>
        </w:rPr>
        <w:t>没有取得驾驶资格</w:t>
      </w:r>
      <w:r>
        <w:rPr>
          <w:spacing w:val="-10"/>
          <w:w w:val="95"/>
          <w:sz w:val="18"/>
        </w:rPr>
        <w:t>；</w:t>
      </w:r>
    </w:p>
    <w:p>
      <w:pPr>
        <w:pStyle w:val="10"/>
        <w:numPr>
          <w:ilvl w:val="1"/>
          <w:numId w:val="9"/>
        </w:numPr>
        <w:tabs>
          <w:tab w:val="left" w:pos="898"/>
          <w:tab w:val="left" w:pos="899"/>
        </w:tabs>
        <w:spacing w:before="2" w:after="0" w:line="240" w:lineRule="auto"/>
        <w:ind w:left="898" w:right="0" w:hanging="358"/>
        <w:jc w:val="left"/>
        <w:rPr>
          <w:sz w:val="18"/>
        </w:rPr>
      </w:pPr>
      <w:r>
        <w:rPr>
          <w:w w:val="95"/>
          <w:sz w:val="18"/>
        </w:rPr>
        <w:t>驾驶与驾驶证准驾车型不相符合的车辆</w:t>
      </w:r>
      <w:r>
        <w:rPr>
          <w:spacing w:val="-10"/>
          <w:w w:val="95"/>
          <w:sz w:val="18"/>
        </w:rPr>
        <w:t>；</w:t>
      </w:r>
    </w:p>
    <w:p>
      <w:pPr>
        <w:pStyle w:val="10"/>
        <w:numPr>
          <w:ilvl w:val="1"/>
          <w:numId w:val="9"/>
        </w:numPr>
        <w:tabs>
          <w:tab w:val="left" w:pos="898"/>
          <w:tab w:val="left" w:pos="899"/>
        </w:tabs>
        <w:spacing w:before="4" w:after="0" w:line="240" w:lineRule="auto"/>
        <w:ind w:left="898" w:right="0" w:hanging="358"/>
        <w:jc w:val="left"/>
        <w:rPr>
          <w:sz w:val="18"/>
        </w:rPr>
      </w:pPr>
      <w:r>
        <w:rPr>
          <w:w w:val="95"/>
          <w:sz w:val="18"/>
        </w:rPr>
        <w:t>持审验不合格的驾驶证驾驶</w:t>
      </w:r>
      <w:r>
        <w:rPr>
          <w:spacing w:val="-10"/>
          <w:w w:val="95"/>
          <w:sz w:val="18"/>
        </w:rPr>
        <w:t>；</w:t>
      </w:r>
    </w:p>
    <w:p>
      <w:pPr>
        <w:pStyle w:val="10"/>
        <w:numPr>
          <w:ilvl w:val="1"/>
          <w:numId w:val="9"/>
        </w:numPr>
        <w:tabs>
          <w:tab w:val="left" w:pos="898"/>
          <w:tab w:val="left" w:pos="899"/>
        </w:tabs>
        <w:spacing w:before="2" w:after="0" w:line="240" w:lineRule="auto"/>
        <w:ind w:left="898" w:right="0" w:hanging="358"/>
        <w:jc w:val="left"/>
        <w:rPr>
          <w:sz w:val="18"/>
        </w:rPr>
      </w:pPr>
      <w:r>
        <w:rPr>
          <w:w w:val="95"/>
          <w:sz w:val="18"/>
        </w:rPr>
        <w:t>持学习驾驶证学习驾车时，无教练员随车指导，或不按指定时间、路线学习驾车</w:t>
      </w:r>
      <w:r>
        <w:rPr>
          <w:spacing w:val="-10"/>
          <w:w w:val="95"/>
          <w:sz w:val="18"/>
        </w:rPr>
        <w:t>。</w:t>
      </w:r>
    </w:p>
    <w:p>
      <w:pPr>
        <w:spacing w:before="3"/>
        <w:ind w:left="257" w:right="0" w:firstLine="0"/>
        <w:jc w:val="left"/>
        <w:rPr>
          <w:sz w:val="18"/>
        </w:rPr>
      </w:pPr>
      <w:bookmarkStart w:id="33" w:name="_bookmark33"/>
      <w:bookmarkEnd w:id="33"/>
      <w:r>
        <w:rPr>
          <w:rFonts w:ascii="Times New Roman" w:eastAsia="Times New Roman"/>
          <w:sz w:val="18"/>
          <w:vertAlign w:val="superscript"/>
        </w:rPr>
        <w:t>28</w:t>
      </w:r>
      <w:r>
        <w:rPr>
          <w:rFonts w:ascii="Times New Roman" w:eastAsia="Times New Roman"/>
          <w:spacing w:val="33"/>
          <w:sz w:val="18"/>
          <w:vertAlign w:val="baseline"/>
        </w:rPr>
        <w:t xml:space="preserve"> </w:t>
      </w:r>
      <w:r>
        <w:rPr>
          <w:b/>
          <w:sz w:val="18"/>
          <w:vertAlign w:val="baseline"/>
        </w:rPr>
        <w:t>无合法有效行驶证</w:t>
      </w:r>
      <w:r>
        <w:rPr>
          <w:spacing w:val="-2"/>
          <w:sz w:val="18"/>
          <w:vertAlign w:val="baseline"/>
        </w:rPr>
        <w:t>：指下列情形之一：</w:t>
      </w:r>
    </w:p>
    <w:p>
      <w:pPr>
        <w:pStyle w:val="10"/>
        <w:numPr>
          <w:ilvl w:val="0"/>
          <w:numId w:val="10"/>
        </w:numPr>
        <w:tabs>
          <w:tab w:val="left" w:pos="901"/>
          <w:tab w:val="left" w:pos="902"/>
        </w:tabs>
        <w:spacing w:before="2" w:after="0" w:line="240" w:lineRule="auto"/>
        <w:ind w:left="902" w:right="0" w:hanging="361"/>
        <w:jc w:val="left"/>
        <w:rPr>
          <w:sz w:val="18"/>
        </w:rPr>
      </w:pPr>
      <w:r>
        <w:rPr>
          <w:w w:val="95"/>
          <w:sz w:val="18"/>
        </w:rPr>
        <w:t>机动车被依法注销登记的</w:t>
      </w:r>
      <w:r>
        <w:rPr>
          <w:spacing w:val="-10"/>
          <w:w w:val="95"/>
          <w:sz w:val="18"/>
        </w:rPr>
        <w:t>；</w:t>
      </w:r>
    </w:p>
    <w:p>
      <w:pPr>
        <w:pStyle w:val="10"/>
        <w:numPr>
          <w:ilvl w:val="0"/>
          <w:numId w:val="10"/>
        </w:numPr>
        <w:tabs>
          <w:tab w:val="left" w:pos="898"/>
          <w:tab w:val="left" w:pos="899"/>
        </w:tabs>
        <w:spacing w:before="4" w:after="0" w:line="240" w:lineRule="auto"/>
        <w:ind w:left="898" w:right="0" w:hanging="358"/>
        <w:jc w:val="left"/>
        <w:rPr>
          <w:sz w:val="18"/>
        </w:rPr>
      </w:pPr>
      <w:r>
        <w:rPr>
          <w:w w:val="95"/>
          <w:sz w:val="18"/>
        </w:rPr>
        <w:t>未依法按时进行或通过机动车安全技术检验</w:t>
      </w:r>
      <w:r>
        <w:rPr>
          <w:spacing w:val="-10"/>
          <w:w w:val="95"/>
          <w:sz w:val="18"/>
        </w:rPr>
        <w:t>。</w:t>
      </w:r>
    </w:p>
    <w:p>
      <w:pPr>
        <w:spacing w:before="2" w:line="242" w:lineRule="auto"/>
        <w:ind w:left="257" w:right="634" w:firstLine="0"/>
        <w:jc w:val="left"/>
        <w:rPr>
          <w:sz w:val="18"/>
        </w:rPr>
      </w:pPr>
      <w:bookmarkStart w:id="34" w:name="_bookmark34"/>
      <w:bookmarkEnd w:id="34"/>
      <w:r>
        <w:rPr>
          <w:rFonts w:ascii="Times New Roman" w:eastAsia="Times New Roman"/>
          <w:sz w:val="18"/>
          <w:vertAlign w:val="superscript"/>
        </w:rPr>
        <w:t>29</w:t>
      </w:r>
      <w:r>
        <w:rPr>
          <w:rFonts w:ascii="Times New Roman" w:eastAsia="Times New Roman"/>
          <w:spacing w:val="13"/>
          <w:sz w:val="18"/>
          <w:vertAlign w:val="baseline"/>
        </w:rPr>
        <w:t xml:space="preserve"> </w:t>
      </w:r>
      <w:r>
        <w:rPr>
          <w:b/>
          <w:sz w:val="18"/>
          <w:vertAlign w:val="baseline"/>
        </w:rPr>
        <w:t>机动车</w:t>
      </w:r>
      <w:r>
        <w:rPr>
          <w:sz w:val="18"/>
          <w:vertAlign w:val="baseline"/>
        </w:rPr>
        <w:t>：指以动力装置驱动或者牵引，上道路行驶的供人员乘用或者用于运送物品以及进行工程专项作</w:t>
      </w:r>
      <w:r>
        <w:rPr>
          <w:spacing w:val="-2"/>
          <w:sz w:val="18"/>
          <w:vertAlign w:val="baseline"/>
        </w:rPr>
        <w:t>业的轮式车辆。</w:t>
      </w:r>
    </w:p>
    <w:p>
      <w:pPr>
        <w:spacing w:after="0" w:line="242" w:lineRule="auto"/>
        <w:jc w:val="left"/>
        <w:rPr>
          <w:sz w:val="18"/>
        </w:rPr>
        <w:sectPr>
          <w:pgSz w:w="11910" w:h="16840"/>
          <w:pgMar w:top="1380" w:right="1160" w:bottom="1340" w:left="1540" w:header="0" w:footer="1142" w:gutter="0"/>
          <w:cols w:space="720" w:num="1"/>
        </w:sectPr>
      </w:pPr>
    </w:p>
    <w:p>
      <w:pPr>
        <w:pStyle w:val="3"/>
        <w:spacing w:before="42" w:line="278" w:lineRule="auto"/>
        <w:ind w:right="634"/>
        <w:rPr>
          <w:rFonts w:ascii="黑体" w:eastAsia="黑体"/>
        </w:rPr>
      </w:pPr>
      <w:r>
        <w:rPr>
          <w:rFonts w:ascii="黑体" w:eastAsia="黑体"/>
          <w:color w:val="000000"/>
          <w:spacing w:val="-5"/>
          <w:shd w:val="clear" w:color="auto" w:fill="DADADA"/>
        </w:rPr>
        <w:t>发生上述其他情形导致被保险人身故或达到本合同所定义的身体高度残疾的，本合同及其附</w:t>
      </w:r>
      <w:r>
        <w:rPr>
          <w:rFonts w:ascii="黑体" w:eastAsia="黑体"/>
          <w:color w:val="000000"/>
          <w:spacing w:val="-2"/>
          <w:shd w:val="clear" w:color="auto" w:fill="DADADA"/>
        </w:rPr>
        <w:t>加合同终止，我们向您退还本合同的现金价值。</w:t>
      </w:r>
    </w:p>
    <w:p>
      <w:pPr>
        <w:pStyle w:val="3"/>
        <w:spacing w:before="10"/>
        <w:ind w:left="0"/>
        <w:rPr>
          <w:rFonts w:ascii="黑体"/>
          <w:sz w:val="18"/>
        </w:rPr>
      </w:pPr>
    </w:p>
    <w:p>
      <w:pPr>
        <w:pStyle w:val="3"/>
        <w:spacing w:before="71" w:line="278" w:lineRule="auto"/>
        <w:ind w:right="633"/>
        <w:jc w:val="both"/>
        <w:rPr>
          <w:rFonts w:ascii="黑体" w:hAnsi="黑体" w:eastAsia="黑体"/>
        </w:rPr>
      </w:pPr>
      <w:r>
        <w:rPr>
          <w:rFonts w:ascii="黑体" w:hAnsi="黑体" w:eastAsia="黑体"/>
          <w:color w:val="000000"/>
          <w:spacing w:val="-4"/>
          <w:shd w:val="clear" w:color="auto" w:fill="DADADA"/>
        </w:rPr>
        <w:t>二、被保险人因下列情形之一而发生本合同所定义的轻症疾病、中症疾病、重大疾病或达到</w:t>
      </w:r>
      <w:r>
        <w:rPr>
          <w:rFonts w:ascii="黑体" w:hAnsi="黑体" w:eastAsia="黑体"/>
          <w:color w:val="000000"/>
          <w:spacing w:val="40"/>
          <w:shd w:val="clear" w:color="auto" w:fill="DADADA"/>
        </w:rPr>
        <w:t xml:space="preserve"> </w:t>
      </w:r>
      <w:r>
        <w:rPr>
          <w:rFonts w:ascii="黑体" w:hAnsi="黑体" w:eastAsia="黑体"/>
          <w:color w:val="000000"/>
          <w:spacing w:val="-4"/>
          <w:shd w:val="clear" w:color="auto" w:fill="DADADA"/>
        </w:rPr>
        <w:t>末期疾病状态的，我们不承担给付轻症疾病保险金、中症疾病保险金、重大疾病保险金、恶性肿瘤</w:t>
      </w:r>
      <w:r>
        <w:rPr>
          <w:rFonts w:ascii="Times New Roman" w:hAnsi="Times New Roman" w:eastAsia="Times New Roman"/>
          <w:color w:val="000000"/>
          <w:spacing w:val="-4"/>
          <w:shd w:val="clear" w:color="auto" w:fill="DADADA"/>
        </w:rPr>
        <w:t>——</w:t>
      </w:r>
      <w:r>
        <w:rPr>
          <w:rFonts w:ascii="黑体" w:hAnsi="黑体" w:eastAsia="黑体"/>
          <w:color w:val="000000"/>
          <w:spacing w:val="-4"/>
          <w:shd w:val="clear" w:color="auto" w:fill="DADADA"/>
        </w:rPr>
        <w:t>重度后续医疗保险金、严重阿尔茨海默病后续医疗保险金、严重原发性帕金森病</w:t>
      </w:r>
      <w:r>
        <w:rPr>
          <w:rFonts w:ascii="黑体" w:hAnsi="黑体" w:eastAsia="黑体"/>
          <w:color w:val="000000"/>
          <w:spacing w:val="-2"/>
          <w:shd w:val="clear" w:color="auto" w:fill="DADADA"/>
        </w:rPr>
        <w:t>后续医疗保险金以及生命关爱保险金的责任：</w:t>
      </w:r>
    </w:p>
    <w:p>
      <w:pPr>
        <w:pStyle w:val="10"/>
        <w:numPr>
          <w:ilvl w:val="0"/>
          <w:numId w:val="11"/>
        </w:numPr>
        <w:tabs>
          <w:tab w:val="left" w:pos="678"/>
        </w:tabs>
        <w:spacing w:before="0" w:after="0" w:line="269" w:lineRule="exact"/>
        <w:ind w:left="677" w:right="0" w:hanging="421"/>
        <w:jc w:val="both"/>
        <w:rPr>
          <w:rFonts w:ascii="黑体" w:eastAsia="黑体"/>
          <w:sz w:val="21"/>
        </w:rPr>
      </w:pPr>
      <w:r>
        <w:rPr>
          <w:rFonts w:ascii="黑体" w:eastAsia="黑体"/>
          <w:color w:val="000000"/>
          <w:spacing w:val="-1"/>
          <w:sz w:val="21"/>
          <w:shd w:val="clear" w:color="auto" w:fill="DADADA"/>
        </w:rPr>
        <w:t>投保人对被保险人的故意杀害、故意伤害；</w:t>
      </w:r>
    </w:p>
    <w:p>
      <w:pPr>
        <w:pStyle w:val="10"/>
        <w:numPr>
          <w:ilvl w:val="0"/>
          <w:numId w:val="11"/>
        </w:numPr>
        <w:tabs>
          <w:tab w:val="left" w:pos="678"/>
        </w:tabs>
        <w:spacing w:before="43" w:after="0" w:line="240" w:lineRule="auto"/>
        <w:ind w:left="677" w:right="0" w:hanging="421"/>
        <w:jc w:val="both"/>
        <w:rPr>
          <w:rFonts w:ascii="黑体" w:eastAsia="黑体"/>
          <w:sz w:val="21"/>
        </w:rPr>
      </w:pPr>
      <w:r>
        <w:rPr>
          <w:rFonts w:ascii="黑体" w:eastAsia="黑体"/>
          <w:color w:val="000000"/>
          <w:spacing w:val="-1"/>
          <w:sz w:val="21"/>
          <w:shd w:val="clear" w:color="auto" w:fill="DADADA"/>
        </w:rPr>
        <w:t>被保险人故意犯罪或抗拒依法采取的刑事强制措施；</w:t>
      </w:r>
    </w:p>
    <w:p>
      <w:pPr>
        <w:pStyle w:val="10"/>
        <w:numPr>
          <w:ilvl w:val="0"/>
          <w:numId w:val="11"/>
        </w:numPr>
        <w:tabs>
          <w:tab w:val="left" w:pos="677"/>
          <w:tab w:val="left" w:pos="678"/>
        </w:tabs>
        <w:spacing w:before="43" w:after="0" w:line="278" w:lineRule="auto"/>
        <w:ind w:left="677" w:right="635" w:hanging="421"/>
        <w:jc w:val="left"/>
        <w:rPr>
          <w:rFonts w:ascii="黑体" w:eastAsia="黑体"/>
          <w:sz w:val="21"/>
        </w:rPr>
      </w:pPr>
      <w:r>
        <w:rPr>
          <w:rFonts w:ascii="黑体" w:eastAsia="黑体"/>
          <w:color w:val="000000"/>
          <w:spacing w:val="-6"/>
          <w:sz w:val="21"/>
          <w:shd w:val="clear" w:color="auto" w:fill="DADADA"/>
        </w:rPr>
        <w:t xml:space="preserve">被保险人故意自伤、或自本合同成立或者本合同效力恢复之日起 </w:t>
      </w:r>
      <w:r>
        <w:rPr>
          <w:rFonts w:ascii="Times New Roman" w:eastAsia="Times New Roman"/>
          <w:color w:val="000000"/>
          <w:spacing w:val="-4"/>
          <w:sz w:val="21"/>
          <w:shd w:val="clear" w:color="auto" w:fill="DADADA"/>
        </w:rPr>
        <w:t xml:space="preserve">2 </w:t>
      </w:r>
      <w:r>
        <w:rPr>
          <w:rFonts w:ascii="黑体" w:eastAsia="黑体"/>
          <w:color w:val="000000"/>
          <w:spacing w:val="-4"/>
          <w:sz w:val="21"/>
          <w:shd w:val="clear" w:color="auto" w:fill="DADADA"/>
        </w:rPr>
        <w:t>年内自杀，</w:t>
      </w:r>
      <w:r>
        <w:rPr>
          <w:rFonts w:ascii="黑体" w:eastAsia="黑体"/>
          <w:color w:val="000000"/>
          <w:spacing w:val="-4"/>
          <w:sz w:val="21"/>
        </w:rPr>
        <w:t>但被保险</w:t>
      </w:r>
      <w:r>
        <w:rPr>
          <w:rFonts w:ascii="黑体" w:eastAsia="黑体"/>
          <w:color w:val="000000"/>
          <w:spacing w:val="-2"/>
          <w:sz w:val="21"/>
        </w:rPr>
        <w:t>人自杀时为无民事行为能力人的除外；</w:t>
      </w:r>
    </w:p>
    <w:p>
      <w:pPr>
        <w:pStyle w:val="10"/>
        <w:numPr>
          <w:ilvl w:val="0"/>
          <w:numId w:val="11"/>
        </w:numPr>
        <w:tabs>
          <w:tab w:val="left" w:pos="677"/>
          <w:tab w:val="left" w:pos="678"/>
        </w:tabs>
        <w:spacing w:before="0" w:after="0" w:line="269" w:lineRule="exact"/>
        <w:ind w:left="677" w:right="0" w:hanging="421"/>
        <w:jc w:val="left"/>
        <w:rPr>
          <w:rFonts w:ascii="黑体" w:eastAsia="黑体"/>
          <w:sz w:val="21"/>
        </w:rPr>
      </w:pPr>
      <w:r>
        <w:rPr>
          <w:rFonts w:ascii="黑体" w:eastAsia="黑体"/>
          <w:color w:val="000000"/>
          <w:spacing w:val="-1"/>
          <w:sz w:val="21"/>
          <w:shd w:val="clear" w:color="auto" w:fill="DADADA"/>
        </w:rPr>
        <w:t>被保险人服用、吸食或注射毒品；</w:t>
      </w:r>
    </w:p>
    <w:p>
      <w:pPr>
        <w:pStyle w:val="10"/>
        <w:numPr>
          <w:ilvl w:val="0"/>
          <w:numId w:val="11"/>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spacing w:val="-1"/>
          <w:sz w:val="21"/>
          <w:shd w:val="clear" w:color="auto" w:fill="DADADA"/>
        </w:rPr>
        <w:t>被保险人酒后驾驶、无合法有效驾驶证驾驶，或驾驶无合法有效行驶证的机动车；</w:t>
      </w:r>
    </w:p>
    <w:p>
      <w:pPr>
        <w:pStyle w:val="10"/>
        <w:numPr>
          <w:ilvl w:val="0"/>
          <w:numId w:val="11"/>
        </w:numPr>
        <w:tabs>
          <w:tab w:val="left" w:pos="677"/>
          <w:tab w:val="left" w:pos="678"/>
        </w:tabs>
        <w:spacing w:before="43" w:after="0" w:line="278" w:lineRule="auto"/>
        <w:ind w:left="677" w:right="634" w:hanging="420"/>
        <w:jc w:val="left"/>
        <w:rPr>
          <w:rFonts w:ascii="黑体" w:eastAsia="黑体"/>
          <w:sz w:val="21"/>
        </w:rPr>
      </w:pPr>
      <w:r>
        <w:rPr>
          <w:rFonts w:ascii="黑体" w:eastAsia="黑体"/>
          <w:color w:val="000000"/>
          <w:spacing w:val="-4"/>
          <w:sz w:val="21"/>
          <w:shd w:val="clear" w:color="auto" w:fill="DADADA"/>
        </w:rPr>
        <w:t>被保险人</w:t>
      </w:r>
      <w:r>
        <w:rPr>
          <w:rFonts w:hint="eastAsia" w:ascii="黑体" w:eastAsia="黑体"/>
          <w:b/>
          <w:color w:val="000000"/>
          <w:spacing w:val="-4"/>
          <w:sz w:val="21"/>
          <w:shd w:val="clear" w:color="auto" w:fill="DADADA"/>
        </w:rPr>
        <w:t>感染艾滋病病毒或患</w:t>
      </w:r>
      <w:r>
        <w:rPr>
          <w:rFonts w:hint="eastAsia" w:ascii="黑体" w:eastAsia="黑体"/>
          <w:b/>
          <w:color w:val="000000"/>
          <w:spacing w:val="-9"/>
          <w:sz w:val="21"/>
          <w:shd w:val="clear" w:color="auto" w:fill="DADADA"/>
        </w:rPr>
        <w:t xml:space="preserve">艾滋病 </w:t>
      </w:r>
      <w:r>
        <w:fldChar w:fldCharType="begin"/>
      </w:r>
      <w:r>
        <w:instrText xml:space="preserve"> HYPERLINK \l "_bookmark38" </w:instrText>
      </w:r>
      <w:r>
        <w:fldChar w:fldCharType="separate"/>
      </w:r>
      <w:r>
        <w:rPr>
          <w:rFonts w:ascii="Times New Roman" w:eastAsia="Times New Roman"/>
          <w:b/>
          <w:color w:val="000000"/>
          <w:spacing w:val="-4"/>
          <w:sz w:val="21"/>
          <w:shd w:val="clear" w:color="auto" w:fill="DADADA"/>
          <w:vertAlign w:val="superscript"/>
        </w:rPr>
        <w:t>30</w:t>
      </w:r>
      <w:r>
        <w:rPr>
          <w:rFonts w:ascii="Times New Roman" w:eastAsia="Times New Roman"/>
          <w:b/>
          <w:color w:val="000000"/>
          <w:spacing w:val="-4"/>
          <w:sz w:val="21"/>
          <w:shd w:val="clear" w:color="auto" w:fill="DADADA"/>
          <w:vertAlign w:val="superscript"/>
        </w:rPr>
        <w:fldChar w:fldCharType="end"/>
      </w:r>
      <w:r>
        <w:rPr>
          <w:rFonts w:ascii="黑体" w:eastAsia="黑体"/>
          <w:color w:val="000000"/>
          <w:spacing w:val="-4"/>
          <w:sz w:val="21"/>
          <w:vertAlign w:val="baseline"/>
        </w:rPr>
        <w:t>（不包括《附表三：重大疾病种类表》中的第四</w:t>
      </w:r>
      <w:r>
        <w:rPr>
          <w:rFonts w:ascii="黑体" w:eastAsia="黑体"/>
          <w:color w:val="000000"/>
          <w:spacing w:val="-2"/>
          <w:sz w:val="21"/>
          <w:vertAlign w:val="baseline"/>
        </w:rPr>
        <w:t>十四项、第五十三项、第七十七项</w:t>
      </w:r>
      <w:r>
        <w:rPr>
          <w:rFonts w:ascii="黑体" w:eastAsia="黑体"/>
          <w:color w:val="000000"/>
          <w:spacing w:val="-106"/>
          <w:sz w:val="21"/>
          <w:vertAlign w:val="baseline"/>
        </w:rPr>
        <w:t>）；</w:t>
      </w:r>
    </w:p>
    <w:p>
      <w:pPr>
        <w:pStyle w:val="10"/>
        <w:numPr>
          <w:ilvl w:val="0"/>
          <w:numId w:val="11"/>
        </w:numPr>
        <w:tabs>
          <w:tab w:val="left" w:pos="677"/>
          <w:tab w:val="left" w:pos="678"/>
        </w:tabs>
        <w:spacing w:before="0" w:after="0" w:line="269" w:lineRule="exact"/>
        <w:ind w:left="677" w:right="0" w:hanging="421"/>
        <w:jc w:val="left"/>
        <w:rPr>
          <w:rFonts w:ascii="黑体" w:eastAsia="黑体"/>
          <w:sz w:val="21"/>
        </w:rPr>
      </w:pPr>
      <w:r>
        <w:rPr>
          <w:rFonts w:ascii="黑体" w:eastAsia="黑体"/>
          <w:color w:val="000000"/>
          <w:spacing w:val="-1"/>
          <w:sz w:val="21"/>
          <w:shd w:val="clear" w:color="auto" w:fill="DADADA"/>
        </w:rPr>
        <w:t>战争、军事冲突、暴乱或武装叛乱；</w:t>
      </w:r>
    </w:p>
    <w:p>
      <w:pPr>
        <w:pStyle w:val="10"/>
        <w:numPr>
          <w:ilvl w:val="0"/>
          <w:numId w:val="11"/>
        </w:numPr>
        <w:tabs>
          <w:tab w:val="left" w:pos="677"/>
          <w:tab w:val="left" w:pos="678"/>
        </w:tabs>
        <w:spacing w:before="43" w:after="0" w:line="240" w:lineRule="auto"/>
        <w:ind w:left="677" w:right="0" w:hanging="421"/>
        <w:jc w:val="left"/>
        <w:rPr>
          <w:rFonts w:ascii="黑体" w:eastAsia="黑体"/>
          <w:sz w:val="21"/>
        </w:rPr>
      </w:pPr>
      <w:r>
        <w:rPr>
          <w:rFonts w:ascii="黑体" w:eastAsia="黑体"/>
          <w:color w:val="000000"/>
          <w:spacing w:val="-1"/>
          <w:sz w:val="21"/>
          <w:shd w:val="clear" w:color="auto" w:fill="DADADA"/>
        </w:rPr>
        <w:t>核爆炸、核辐射或核污染；</w:t>
      </w:r>
    </w:p>
    <w:p>
      <w:pPr>
        <w:pStyle w:val="10"/>
        <w:numPr>
          <w:ilvl w:val="0"/>
          <w:numId w:val="11"/>
        </w:numPr>
        <w:tabs>
          <w:tab w:val="left" w:pos="678"/>
        </w:tabs>
        <w:spacing w:before="42" w:after="0" w:line="278" w:lineRule="auto"/>
        <w:ind w:left="677" w:right="633" w:hanging="420"/>
        <w:jc w:val="both"/>
        <w:rPr>
          <w:rFonts w:ascii="黑体" w:eastAsia="黑体"/>
          <w:sz w:val="21"/>
        </w:rPr>
      </w:pPr>
      <w:r>
        <w:rPr>
          <w:rFonts w:hint="eastAsia" w:ascii="黑体" w:eastAsia="黑体"/>
          <w:b/>
          <w:color w:val="000000"/>
          <w:w w:val="95"/>
          <w:sz w:val="21"/>
          <w:shd w:val="clear" w:color="auto" w:fill="DADADA"/>
        </w:rPr>
        <w:t>遗传性疾病</w:t>
      </w:r>
      <w:r>
        <w:rPr>
          <w:rFonts w:hint="eastAsia" w:ascii="黑体" w:eastAsia="黑体"/>
          <w:b/>
          <w:color w:val="000000"/>
          <w:spacing w:val="36"/>
          <w:sz w:val="21"/>
          <w:shd w:val="clear" w:color="auto" w:fill="DADADA"/>
        </w:rPr>
        <w:t xml:space="preserve"> </w:t>
      </w:r>
      <w:r>
        <w:fldChar w:fldCharType="begin"/>
      </w:r>
      <w:r>
        <w:instrText xml:space="preserve"> HYPERLINK \l "_bookmark39" </w:instrText>
      </w:r>
      <w:r>
        <w:fldChar w:fldCharType="separate"/>
      </w:r>
      <w:r>
        <w:rPr>
          <w:rFonts w:ascii="Times New Roman" w:eastAsia="Times New Roman"/>
          <w:b/>
          <w:color w:val="000000"/>
          <w:w w:val="95"/>
          <w:sz w:val="21"/>
          <w:shd w:val="clear" w:color="auto" w:fill="DADADA"/>
          <w:vertAlign w:val="superscript"/>
        </w:rPr>
        <w:t>31</w:t>
      </w:r>
      <w:r>
        <w:rPr>
          <w:rFonts w:ascii="Times New Roman" w:eastAsia="Times New Roman"/>
          <w:b/>
          <w:color w:val="000000"/>
          <w:w w:val="95"/>
          <w:sz w:val="21"/>
          <w:shd w:val="clear" w:color="auto" w:fill="DADADA"/>
          <w:vertAlign w:val="superscript"/>
        </w:rPr>
        <w:fldChar w:fldCharType="end"/>
      </w:r>
      <w:r>
        <w:rPr>
          <w:rFonts w:hint="eastAsia" w:ascii="黑体" w:eastAsia="黑体"/>
          <w:b/>
          <w:color w:val="000000"/>
          <w:w w:val="95"/>
          <w:sz w:val="21"/>
          <w:shd w:val="clear" w:color="auto" w:fill="DADADA"/>
          <w:vertAlign w:val="baseline"/>
        </w:rPr>
        <w:t>，先天性畸</w:t>
      </w:r>
      <w:r>
        <w:rPr>
          <w:rFonts w:hint="eastAsia" w:ascii="黑体" w:eastAsia="黑体"/>
          <w:b/>
          <w:color w:val="000000"/>
          <w:spacing w:val="-15"/>
          <w:w w:val="95"/>
          <w:sz w:val="21"/>
          <w:shd w:val="clear" w:color="auto" w:fill="DADADA"/>
          <w:vertAlign w:val="baseline"/>
        </w:rPr>
        <w:t>形、变形</w:t>
      </w:r>
      <w:r>
        <w:rPr>
          <w:rFonts w:hint="eastAsia" w:ascii="黑体" w:eastAsia="黑体"/>
          <w:b/>
          <w:color w:val="000000"/>
          <w:w w:val="95"/>
          <w:sz w:val="21"/>
          <w:shd w:val="clear" w:color="auto" w:fill="DADADA"/>
          <w:vertAlign w:val="baseline"/>
        </w:rPr>
        <w:t>或染色体异常</w:t>
      </w:r>
      <w:r>
        <w:rPr>
          <w:rFonts w:hint="eastAsia" w:ascii="黑体" w:eastAsia="黑体"/>
          <w:b/>
          <w:color w:val="000000"/>
          <w:sz w:val="21"/>
          <w:shd w:val="clear" w:color="auto" w:fill="DADADA"/>
          <w:vertAlign w:val="baseline"/>
        </w:rPr>
        <w:t xml:space="preserve"> </w:t>
      </w:r>
      <w:r>
        <w:fldChar w:fldCharType="begin"/>
      </w:r>
      <w:r>
        <w:instrText xml:space="preserve"> HYPERLINK \l "_bookmark40" </w:instrText>
      </w:r>
      <w:r>
        <w:fldChar w:fldCharType="separate"/>
      </w:r>
      <w:r>
        <w:rPr>
          <w:rFonts w:ascii="Times New Roman" w:eastAsia="Times New Roman"/>
          <w:b/>
          <w:color w:val="000000"/>
          <w:w w:val="95"/>
          <w:sz w:val="21"/>
          <w:shd w:val="clear" w:color="auto" w:fill="DADADA"/>
          <w:vertAlign w:val="superscript"/>
        </w:rPr>
        <w:t>32</w:t>
      </w:r>
      <w:r>
        <w:rPr>
          <w:rFonts w:ascii="Times New Roman" w:eastAsia="Times New Roman"/>
          <w:b/>
          <w:color w:val="000000"/>
          <w:w w:val="95"/>
          <w:sz w:val="21"/>
          <w:shd w:val="clear" w:color="auto" w:fill="DADADA"/>
          <w:vertAlign w:val="superscript"/>
        </w:rPr>
        <w:fldChar w:fldCharType="end"/>
      </w:r>
      <w:r>
        <w:rPr>
          <w:rFonts w:ascii="黑体" w:eastAsia="黑体"/>
          <w:color w:val="000000"/>
          <w:w w:val="95"/>
          <w:sz w:val="21"/>
          <w:shd w:val="clear" w:color="auto" w:fill="DADADA"/>
          <w:vertAlign w:val="baseline"/>
        </w:rPr>
        <w:t>（</w:t>
      </w:r>
      <w:r>
        <w:rPr>
          <w:rFonts w:ascii="黑体" w:eastAsia="黑体"/>
          <w:color w:val="000000"/>
          <w:w w:val="95"/>
          <w:sz w:val="21"/>
          <w:vertAlign w:val="baseline"/>
        </w:rPr>
        <w:t>不包</w:t>
      </w:r>
      <w:r>
        <w:rPr>
          <w:rFonts w:ascii="黑体" w:eastAsia="黑体"/>
          <w:color w:val="000000"/>
          <w:spacing w:val="-61"/>
          <w:w w:val="95"/>
          <w:sz w:val="21"/>
          <w:vertAlign w:val="baseline"/>
        </w:rPr>
        <w:t>括</w:t>
      </w:r>
      <w:r>
        <w:rPr>
          <w:rFonts w:ascii="黑体" w:eastAsia="黑体"/>
          <w:color w:val="000000"/>
          <w:w w:val="95"/>
          <w:sz w:val="21"/>
          <w:vertAlign w:val="baseline"/>
        </w:rPr>
        <w:t>《附表二</w:t>
      </w:r>
      <w:r>
        <w:rPr>
          <w:rFonts w:ascii="黑体" w:eastAsia="黑体"/>
          <w:color w:val="000000"/>
          <w:spacing w:val="-60"/>
          <w:w w:val="95"/>
          <w:sz w:val="21"/>
          <w:vertAlign w:val="baseline"/>
        </w:rPr>
        <w:t>：</w:t>
      </w:r>
      <w:r>
        <w:rPr>
          <w:rFonts w:ascii="黑体" w:eastAsia="黑体"/>
          <w:color w:val="000000"/>
          <w:w w:val="95"/>
          <w:sz w:val="21"/>
          <w:vertAlign w:val="baseline"/>
        </w:rPr>
        <w:t>中症疾病种类表》</w:t>
      </w:r>
      <w:r>
        <w:rPr>
          <w:rFonts w:ascii="黑体" w:eastAsia="黑体"/>
          <w:color w:val="000000"/>
          <w:spacing w:val="-6"/>
          <w:sz w:val="21"/>
          <w:vertAlign w:val="baseline"/>
        </w:rPr>
        <w:t>中的第十二项、第十四项</w:t>
      </w:r>
      <w:r>
        <w:rPr>
          <w:rFonts w:ascii="黑体" w:eastAsia="黑体"/>
          <w:color w:val="000000"/>
          <w:spacing w:val="-19"/>
          <w:sz w:val="21"/>
          <w:vertAlign w:val="baseline"/>
        </w:rPr>
        <w:t>，《附表三：重大疾病种类表》中的第四十七项、第五十七项、</w:t>
      </w:r>
      <w:r>
        <w:rPr>
          <w:rFonts w:ascii="黑体" w:eastAsia="黑体"/>
          <w:color w:val="000000"/>
          <w:spacing w:val="-2"/>
          <w:sz w:val="21"/>
          <w:vertAlign w:val="baseline"/>
        </w:rPr>
        <w:t>第六十九项、第八十一项、第九十三项</w:t>
      </w:r>
      <w:r>
        <w:rPr>
          <w:rFonts w:ascii="黑体" w:eastAsia="黑体"/>
          <w:color w:val="000000"/>
          <w:spacing w:val="-105"/>
          <w:sz w:val="21"/>
          <w:vertAlign w:val="baseline"/>
        </w:rPr>
        <w:t>）。</w:t>
      </w:r>
    </w:p>
    <w:tbl>
      <w:tblPr>
        <w:tblStyle w:val="7"/>
        <w:tblW w:w="0" w:type="auto"/>
        <w:tblInd w:w="26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40"/>
        <w:gridCol w:w="840"/>
        <w:gridCol w:w="3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8312" w:type="dxa"/>
            <w:gridSpan w:val="3"/>
            <w:tcBorders>
              <w:bottom w:val="single" w:color="FFFFFF" w:sz="18" w:space="0"/>
            </w:tcBorders>
            <w:shd w:val="clear" w:color="auto" w:fill="DADADA"/>
          </w:tcPr>
          <w:p>
            <w:pPr>
              <w:pStyle w:val="11"/>
              <w:spacing w:before="1" w:line="248" w:lineRule="exact"/>
              <w:ind w:left="0"/>
              <w:rPr>
                <w:rFonts w:ascii="黑体" w:eastAsia="黑体"/>
                <w:sz w:val="21"/>
              </w:rPr>
            </w:pPr>
            <w:r>
              <w:rPr>
                <w:rFonts w:ascii="黑体" w:eastAsia="黑体"/>
                <w:spacing w:val="-8"/>
                <w:sz w:val="21"/>
              </w:rPr>
              <w:t xml:space="preserve">发生上述第 </w:t>
            </w:r>
            <w:r>
              <w:rPr>
                <w:rFonts w:ascii="Times New Roman" w:eastAsia="Times New Roman"/>
                <w:spacing w:val="-4"/>
                <w:sz w:val="21"/>
              </w:rPr>
              <w:t>1</w:t>
            </w:r>
            <w:r>
              <w:rPr>
                <w:rFonts w:ascii="Times New Roman" w:eastAsia="Times New Roman"/>
                <w:spacing w:val="32"/>
                <w:sz w:val="21"/>
              </w:rPr>
              <w:t xml:space="preserve"> </w:t>
            </w:r>
            <w:r>
              <w:rPr>
                <w:rFonts w:ascii="黑体" w:eastAsia="黑体"/>
                <w:spacing w:val="-5"/>
                <w:sz w:val="21"/>
              </w:rPr>
              <w:t>项情形导致被保险人发生本合同所定义的轻症疾病、中症疾病、重大疾病或达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80" w:type="dxa"/>
            <w:gridSpan w:val="2"/>
            <w:tcBorders>
              <w:top w:val="single" w:color="FFFFFF" w:sz="18" w:space="0"/>
              <w:bottom w:val="single" w:color="FFFFFF" w:sz="18" w:space="0"/>
            </w:tcBorders>
            <w:shd w:val="clear" w:color="auto" w:fill="DADADA"/>
          </w:tcPr>
          <w:p>
            <w:pPr>
              <w:pStyle w:val="11"/>
              <w:spacing w:line="247" w:lineRule="exact"/>
              <w:ind w:left="0" w:right="-15"/>
              <w:rPr>
                <w:rFonts w:ascii="黑体" w:eastAsia="黑体"/>
                <w:sz w:val="21"/>
              </w:rPr>
            </w:pPr>
            <w:r>
              <w:rPr>
                <w:rFonts w:ascii="黑体" w:eastAsia="黑体"/>
                <w:spacing w:val="-1"/>
                <w:sz w:val="21"/>
              </w:rPr>
              <w:t>到末期疾病状态，本合同及其附加合同终止，我们向被保险人退还本合同的现金价值。</w:t>
            </w:r>
          </w:p>
        </w:tc>
        <w:tc>
          <w:tcPr>
            <w:tcW w:w="332" w:type="dxa"/>
            <w:tcBorders>
              <w:top w:val="single" w:color="FFFFFF" w:sz="18" w:space="0"/>
              <w:bottom w:val="single" w:color="FFFFFF" w:sz="18" w:space="0"/>
            </w:tcBorders>
          </w:tcPr>
          <w:p>
            <w:pPr>
              <w:pStyle w:val="11"/>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8312" w:type="dxa"/>
            <w:gridSpan w:val="3"/>
            <w:tcBorders>
              <w:top w:val="single" w:color="FFFFFF" w:sz="18" w:space="0"/>
              <w:bottom w:val="single" w:color="FFFFFF" w:sz="18" w:space="0"/>
            </w:tcBorders>
            <w:shd w:val="clear" w:color="auto" w:fill="DADADA"/>
          </w:tcPr>
          <w:p>
            <w:pPr>
              <w:pStyle w:val="11"/>
              <w:spacing w:line="247" w:lineRule="exact"/>
              <w:ind w:left="0"/>
              <w:rPr>
                <w:rFonts w:ascii="黑体" w:eastAsia="黑体"/>
                <w:sz w:val="21"/>
              </w:rPr>
            </w:pPr>
            <w:r>
              <w:rPr>
                <w:rFonts w:ascii="黑体" w:eastAsia="黑体"/>
                <w:spacing w:val="-5"/>
                <w:sz w:val="21"/>
              </w:rPr>
              <w:t>发生上述其他情形导致被保险人发生本合同所定义的轻症疾病、中症疾病、重大疾病或达到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40" w:type="dxa"/>
            <w:tcBorders>
              <w:top w:val="single" w:color="FFFFFF" w:sz="18" w:space="0"/>
            </w:tcBorders>
            <w:shd w:val="clear" w:color="auto" w:fill="DADADA"/>
          </w:tcPr>
          <w:p>
            <w:pPr>
              <w:pStyle w:val="11"/>
              <w:spacing w:line="250" w:lineRule="exact"/>
              <w:ind w:left="0" w:right="-15"/>
              <w:rPr>
                <w:rFonts w:ascii="黑体" w:eastAsia="黑体"/>
                <w:sz w:val="21"/>
              </w:rPr>
            </w:pPr>
            <w:r>
              <w:rPr>
                <w:rFonts w:ascii="黑体" w:eastAsia="黑体"/>
                <w:spacing w:val="-1"/>
                <w:sz w:val="21"/>
              </w:rPr>
              <w:t>末期疾病状态，本合同及其附加合同终止，我们向您退还本合同的现金价值。</w:t>
            </w:r>
          </w:p>
        </w:tc>
        <w:tc>
          <w:tcPr>
            <w:tcW w:w="1172" w:type="dxa"/>
            <w:gridSpan w:val="2"/>
            <w:tcBorders>
              <w:top w:val="single" w:color="FFFFFF" w:sz="18" w:space="0"/>
            </w:tcBorders>
          </w:tcPr>
          <w:p>
            <w:pPr>
              <w:pStyle w:val="11"/>
              <w:ind w:left="0"/>
              <w:rPr>
                <w:rFonts w:ascii="Times New Roman"/>
                <w:sz w:val="18"/>
              </w:rPr>
            </w:pPr>
          </w:p>
        </w:tc>
      </w:tr>
    </w:tbl>
    <w:p>
      <w:pPr>
        <w:pStyle w:val="3"/>
        <w:spacing w:before="7"/>
        <w:ind w:left="0"/>
        <w:rPr>
          <w:rFonts w:ascii="黑体"/>
          <w:sz w:val="27"/>
        </w:rPr>
      </w:pPr>
    </w:p>
    <w:p>
      <w:pPr>
        <w:pStyle w:val="3"/>
        <w:jc w:val="both"/>
        <w:rPr>
          <w:rFonts w:ascii="黑体" w:eastAsia="黑体"/>
        </w:rPr>
      </w:pPr>
      <w:bookmarkStart w:id="35" w:name="_bookmark35"/>
      <w:bookmarkEnd w:id="35"/>
      <w:r>
        <w:t>第五条</w:t>
      </w:r>
      <w:r>
        <w:rPr>
          <w:spacing w:val="52"/>
          <w:w w:val="150"/>
        </w:rPr>
        <w:t xml:space="preserve">   </w:t>
      </w:r>
      <w:r>
        <w:rPr>
          <w:rFonts w:ascii="黑体" w:eastAsia="黑体"/>
          <w:spacing w:val="-2"/>
        </w:rPr>
        <w:t>其他免责条款</w:t>
      </w:r>
    </w:p>
    <w:p>
      <w:pPr>
        <w:pStyle w:val="3"/>
        <w:spacing w:before="43" w:line="278" w:lineRule="auto"/>
        <w:ind w:right="633"/>
        <w:jc w:val="both"/>
        <w:rPr>
          <w:rFonts w:ascii="黑体" w:hAnsi="黑体" w:eastAsia="黑体"/>
        </w:rPr>
      </w:pPr>
      <w:r>
        <w:rPr>
          <w:rFonts w:ascii="黑体" w:hAnsi="黑体" w:eastAsia="黑体"/>
          <w:spacing w:val="-26"/>
        </w:rPr>
        <w:t>除第四条“责任免除”外，本合同中还有一些免除我们责任的条款，详见第三条“保险责任”、</w:t>
      </w:r>
      <w:r>
        <w:rPr>
          <w:rFonts w:ascii="黑体" w:hAnsi="黑体" w:eastAsia="黑体"/>
          <w:spacing w:val="-18"/>
        </w:rPr>
        <w:t>第十三条“合同效力恢复”、第十六条“保险事故通知”、第二十一条“如实告知”、第二十</w:t>
      </w:r>
      <w:r>
        <w:rPr>
          <w:rFonts w:ascii="黑体" w:hAnsi="黑体" w:eastAsia="黑体"/>
          <w:spacing w:val="-11"/>
        </w:rPr>
        <w:t xml:space="preserve">二条“年龄性别错误”、第七章“附表”以及“脚注 </w:t>
      </w:r>
      <w:r>
        <w:rPr>
          <w:rFonts w:ascii="Times New Roman" w:hAnsi="Times New Roman" w:eastAsia="Times New Roman"/>
        </w:rPr>
        <w:t xml:space="preserve">2 </w:t>
      </w:r>
      <w:r>
        <w:rPr>
          <w:rFonts w:ascii="黑体" w:hAnsi="黑体" w:eastAsia="黑体"/>
        </w:rPr>
        <w:t>意外伤害</w:t>
      </w:r>
      <w:r>
        <w:rPr>
          <w:rFonts w:ascii="Times New Roman" w:hAnsi="Times New Roman" w:eastAsia="Times New Roman"/>
        </w:rPr>
        <w:t>”</w:t>
      </w:r>
      <w:r>
        <w:rPr>
          <w:rFonts w:ascii="黑体" w:hAnsi="黑体" w:eastAsia="黑体"/>
        </w:rPr>
        <w:t>中背景突出显示的内容。</w:t>
      </w:r>
    </w:p>
    <w:p>
      <w:pPr>
        <w:pStyle w:val="3"/>
        <w:spacing w:before="4"/>
        <w:ind w:left="0"/>
        <w:rPr>
          <w:rFonts w:ascii="黑体"/>
          <w:sz w:val="24"/>
        </w:rPr>
      </w:pPr>
    </w:p>
    <w:p>
      <w:pPr>
        <w:pStyle w:val="2"/>
        <w:ind w:left="0" w:right="375"/>
      </w:pPr>
      <w:bookmarkStart w:id="36" w:name="_bookmark36"/>
      <w:bookmarkEnd w:id="36"/>
      <w:r>
        <w:rPr>
          <w:w w:val="95"/>
        </w:rPr>
        <w:t>第三章</w:t>
      </w:r>
      <w:r>
        <w:rPr>
          <w:spacing w:val="74"/>
          <w:w w:val="150"/>
        </w:rPr>
        <w:t xml:space="preserve"> </w:t>
      </w:r>
      <w:r>
        <w:rPr>
          <w:w w:val="95"/>
        </w:rPr>
        <w:t>基本保险金额、保险费及宽限</w:t>
      </w:r>
      <w:r>
        <w:rPr>
          <w:spacing w:val="-10"/>
          <w:w w:val="95"/>
        </w:rPr>
        <w:t>期</w:t>
      </w:r>
    </w:p>
    <w:p>
      <w:pPr>
        <w:pStyle w:val="3"/>
        <w:spacing w:before="9"/>
        <w:ind w:left="0"/>
        <w:rPr>
          <w:b/>
          <w:sz w:val="27"/>
        </w:rPr>
      </w:pPr>
    </w:p>
    <w:p>
      <w:pPr>
        <w:pStyle w:val="3"/>
        <w:tabs>
          <w:tab w:val="left" w:pos="1517"/>
        </w:tabs>
      </w:pPr>
      <w:bookmarkStart w:id="37" w:name="_bookmark37"/>
      <w:bookmarkEnd w:id="37"/>
      <w:r>
        <w:t>第六</w:t>
      </w:r>
      <w:r>
        <w:rPr>
          <w:spacing w:val="-10"/>
        </w:rPr>
        <w:t>条</w:t>
      </w:r>
      <w:r>
        <w:tab/>
      </w:r>
      <w:r>
        <w:t>基本保险金</w:t>
      </w:r>
      <w:r>
        <w:rPr>
          <w:spacing w:val="-10"/>
        </w:rPr>
        <w:t>额</w:t>
      </w:r>
    </w:p>
    <w:p>
      <w:pPr>
        <w:pStyle w:val="3"/>
        <w:spacing w:before="43"/>
      </w:pPr>
      <w:r>
        <w:rPr>
          <w:spacing w:val="-1"/>
        </w:rPr>
        <w:t>一、本合同的基本保险金额由您与我们约定并于保险单上载明。</w:t>
      </w:r>
    </w:p>
    <w:p>
      <w:pPr>
        <w:pStyle w:val="3"/>
        <w:spacing w:before="43" w:line="278" w:lineRule="auto"/>
        <w:ind w:left="677" w:right="634" w:hanging="420"/>
      </w:pPr>
      <w:r>
        <w:rPr>
          <w:spacing w:val="-8"/>
        </w:rPr>
        <w:t>二、为未成年子女投保的人身保险，因被保险人身故给付的保险金总和不得超过国务院保险</w:t>
      </w:r>
      <w:r>
        <w:rPr>
          <w:spacing w:val="-2"/>
        </w:rPr>
        <w:t>监督管理机构规定的限额，身故保险金总和约定也不得超过前述限额。</w:t>
      </w:r>
    </w:p>
    <w:p>
      <w:pPr>
        <w:pStyle w:val="3"/>
        <w:spacing w:before="1"/>
        <w:ind w:left="0"/>
        <w:rPr>
          <w:sz w:val="28"/>
        </w:rPr>
      </w:pPr>
      <w:r>
        <w:drawing>
          <wp:anchor distT="0" distB="0" distL="0" distR="0" simplePos="0" relativeHeight="251660288" behindDoc="0" locked="0" layoutInCell="1" allowOverlap="1">
            <wp:simplePos x="0" y="0"/>
            <wp:positionH relativeFrom="page">
              <wp:posOffset>1141095</wp:posOffset>
            </wp:positionH>
            <wp:positionV relativeFrom="paragraph">
              <wp:posOffset>243840</wp:posOffset>
            </wp:positionV>
            <wp:extent cx="1828800" cy="6985"/>
            <wp:effectExtent l="0" t="0" r="0" b="0"/>
            <wp:wrapTopAndBottom/>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a:picLocks noChangeAspect="1"/>
                    </pic:cNvPicPr>
                  </pic:nvPicPr>
                  <pic:blipFill>
                    <a:blip r:embed="rId11" cstate="print"/>
                    <a:stretch>
                      <a:fillRect/>
                    </a:stretch>
                  </pic:blipFill>
                  <pic:spPr>
                    <a:xfrm>
                      <a:off x="0" y="0"/>
                      <a:ext cx="1828800" cy="6857"/>
                    </a:xfrm>
                    <a:prstGeom prst="rect">
                      <a:avLst/>
                    </a:prstGeom>
                  </pic:spPr>
                </pic:pic>
              </a:graphicData>
            </a:graphic>
          </wp:anchor>
        </w:drawing>
      </w:r>
    </w:p>
    <w:p>
      <w:pPr>
        <w:spacing w:before="91" w:line="242" w:lineRule="auto"/>
        <w:ind w:left="257" w:right="634" w:firstLine="0"/>
        <w:jc w:val="left"/>
        <w:rPr>
          <w:sz w:val="18"/>
        </w:rPr>
      </w:pPr>
      <w:bookmarkStart w:id="38" w:name="_bookmark38"/>
      <w:bookmarkEnd w:id="38"/>
      <w:r>
        <w:rPr>
          <w:rFonts w:ascii="Times New Roman" w:eastAsia="Times New Roman"/>
          <w:sz w:val="18"/>
          <w:vertAlign w:val="superscript"/>
        </w:rPr>
        <w:t>30</w:t>
      </w:r>
      <w:r>
        <w:rPr>
          <w:rFonts w:ascii="Times New Roman" w:eastAsia="Times New Roman"/>
          <w:spacing w:val="14"/>
          <w:sz w:val="18"/>
          <w:vertAlign w:val="baseline"/>
        </w:rPr>
        <w:t xml:space="preserve"> </w:t>
      </w:r>
      <w:r>
        <w:rPr>
          <w:b/>
          <w:sz w:val="18"/>
          <w:vertAlign w:val="baseline"/>
        </w:rPr>
        <w:t>感染艾滋病病毒或患艾滋病</w:t>
      </w:r>
      <w:r>
        <w:rPr>
          <w:spacing w:val="-3"/>
          <w:sz w:val="18"/>
          <w:vertAlign w:val="baseline"/>
        </w:rPr>
        <w:t xml:space="preserve">：艾滋病病毒指人类免疫缺陷病毒，英文缩写为 </w:t>
      </w:r>
      <w:r>
        <w:rPr>
          <w:rFonts w:ascii="Times New Roman" w:eastAsia="Times New Roman"/>
          <w:sz w:val="18"/>
          <w:vertAlign w:val="baseline"/>
        </w:rPr>
        <w:t>HIV</w:t>
      </w:r>
      <w:r>
        <w:rPr>
          <w:sz w:val="18"/>
          <w:vertAlign w:val="baseline"/>
        </w:rPr>
        <w:t>。艾滋病指人类免疫缺</w:t>
      </w:r>
      <w:r>
        <w:rPr>
          <w:spacing w:val="-2"/>
          <w:sz w:val="18"/>
          <w:vertAlign w:val="baseline"/>
        </w:rPr>
        <w:t xml:space="preserve">陷病毒引起的获得性免疫缺陷综合征，英文缩写为 </w:t>
      </w:r>
      <w:r>
        <w:rPr>
          <w:rFonts w:ascii="Times New Roman" w:eastAsia="Times New Roman"/>
          <w:sz w:val="18"/>
          <w:vertAlign w:val="baseline"/>
        </w:rPr>
        <w:t>AIDS</w:t>
      </w:r>
      <w:r>
        <w:rPr>
          <w:sz w:val="18"/>
          <w:vertAlign w:val="baseline"/>
        </w:rPr>
        <w:t>。</w:t>
      </w:r>
    </w:p>
    <w:p>
      <w:pPr>
        <w:spacing w:before="1" w:line="242" w:lineRule="auto"/>
        <w:ind w:left="257" w:right="630" w:firstLine="0"/>
        <w:jc w:val="left"/>
        <w:rPr>
          <w:sz w:val="18"/>
        </w:rPr>
      </w:pPr>
      <w:r>
        <w:rPr>
          <w:spacing w:val="-2"/>
          <w:sz w:val="18"/>
        </w:rPr>
        <w:t>在人体血液或其他样本中检测到艾滋病病毒或其抗体呈阳性，没有出现临床症状或体征的，为感染艾滋病病毒；如果同时出现了明显临床症状或体征的，为患艾滋病。</w:t>
      </w:r>
    </w:p>
    <w:p>
      <w:pPr>
        <w:spacing w:before="1" w:line="242" w:lineRule="auto"/>
        <w:ind w:left="257" w:right="633" w:firstLine="0"/>
        <w:jc w:val="left"/>
        <w:rPr>
          <w:sz w:val="18"/>
        </w:rPr>
      </w:pPr>
      <w:bookmarkStart w:id="39" w:name="_bookmark39"/>
      <w:bookmarkEnd w:id="39"/>
      <w:r>
        <w:rPr>
          <w:rFonts w:ascii="Times New Roman" w:eastAsia="Times New Roman"/>
          <w:sz w:val="18"/>
          <w:vertAlign w:val="superscript"/>
        </w:rPr>
        <w:t>31</w:t>
      </w:r>
      <w:r>
        <w:rPr>
          <w:rFonts w:ascii="Times New Roman" w:eastAsia="Times New Roman"/>
          <w:spacing w:val="13"/>
          <w:sz w:val="18"/>
          <w:vertAlign w:val="baseline"/>
        </w:rPr>
        <w:t xml:space="preserve"> </w:t>
      </w:r>
      <w:r>
        <w:rPr>
          <w:b/>
          <w:sz w:val="18"/>
          <w:vertAlign w:val="baseline"/>
        </w:rPr>
        <w:t>遗传性疾病</w:t>
      </w:r>
      <w:r>
        <w:rPr>
          <w:sz w:val="18"/>
          <w:vertAlign w:val="baseline"/>
        </w:rPr>
        <w:t>：指生殖细胞或受精卵的遗传物质（染色体和基因）发生突变或畸变所引起的疾病，通常具</w:t>
      </w:r>
      <w:r>
        <w:rPr>
          <w:spacing w:val="-2"/>
          <w:sz w:val="18"/>
          <w:vertAlign w:val="baseline"/>
        </w:rPr>
        <w:t>有由亲代传至后代的垂直传递的特征。</w:t>
      </w:r>
    </w:p>
    <w:p>
      <w:pPr>
        <w:spacing w:before="1" w:line="242" w:lineRule="auto"/>
        <w:ind w:left="257" w:right="544" w:hanging="1"/>
        <w:jc w:val="left"/>
        <w:rPr>
          <w:sz w:val="18"/>
        </w:rPr>
      </w:pPr>
      <w:bookmarkStart w:id="40" w:name="_bookmark40"/>
      <w:bookmarkEnd w:id="40"/>
      <w:r>
        <w:rPr>
          <w:rFonts w:ascii="Times New Roman" w:eastAsia="Times New Roman"/>
          <w:sz w:val="18"/>
          <w:vertAlign w:val="superscript"/>
        </w:rPr>
        <w:t>32</w:t>
      </w:r>
      <w:r>
        <w:rPr>
          <w:rFonts w:ascii="Times New Roman" w:eastAsia="Times New Roman"/>
          <w:spacing w:val="1"/>
          <w:sz w:val="18"/>
          <w:vertAlign w:val="baseline"/>
        </w:rPr>
        <w:t xml:space="preserve">  </w:t>
      </w:r>
      <w:r>
        <w:rPr>
          <w:b/>
          <w:spacing w:val="2"/>
          <w:w w:val="99"/>
          <w:sz w:val="18"/>
          <w:vertAlign w:val="baseline"/>
        </w:rPr>
        <w:t>先天性畸形、变形或染色体异常</w:t>
      </w:r>
      <w:r>
        <w:rPr>
          <w:spacing w:val="1"/>
          <w:sz w:val="18"/>
          <w:vertAlign w:val="baseline"/>
        </w:rPr>
        <w:t>：指被保险人出生时就具有的畸形、变形或染色体异常。先天性畸形、</w:t>
      </w:r>
      <w:r>
        <w:rPr>
          <w:sz w:val="18"/>
          <w:vertAlign w:val="baseline"/>
        </w:rPr>
        <w:t>变形和染色体异常依照世界卫生组织《疾病和有关健康问题的国际统计分类》第十次修订版</w:t>
      </w:r>
      <w:r>
        <w:rPr>
          <w:spacing w:val="-1"/>
          <w:sz w:val="18"/>
          <w:vertAlign w:val="baseline"/>
        </w:rPr>
        <w:t>（</w:t>
      </w:r>
      <w:r>
        <w:rPr>
          <w:rFonts w:ascii="Times New Roman" w:eastAsia="Times New Roman"/>
          <w:w w:val="99"/>
          <w:sz w:val="18"/>
          <w:vertAlign w:val="baseline"/>
        </w:rPr>
        <w:t>ICD-</w:t>
      </w:r>
      <w:r>
        <w:rPr>
          <w:rFonts w:ascii="Times New Roman" w:eastAsia="Times New Roman"/>
          <w:sz w:val="18"/>
          <w:vertAlign w:val="baseline"/>
        </w:rPr>
        <w:t>10</w:t>
      </w:r>
      <w:r>
        <w:rPr>
          <w:spacing w:val="-2"/>
          <w:sz w:val="18"/>
          <w:vertAlign w:val="baseline"/>
        </w:rPr>
        <w:t>）确</w:t>
      </w:r>
      <w:r>
        <w:rPr>
          <w:sz w:val="18"/>
          <w:vertAlign w:val="baseline"/>
        </w:rPr>
        <w:t>定。</w:t>
      </w:r>
    </w:p>
    <w:p>
      <w:pPr>
        <w:spacing w:after="0" w:line="242" w:lineRule="auto"/>
        <w:jc w:val="left"/>
        <w:rPr>
          <w:sz w:val="18"/>
        </w:rPr>
        <w:sectPr>
          <w:pgSz w:w="11910" w:h="16840"/>
          <w:pgMar w:top="1400" w:right="1160" w:bottom="1340" w:left="1540" w:header="0" w:footer="1142" w:gutter="0"/>
          <w:cols w:space="720" w:num="1"/>
        </w:sectPr>
      </w:pPr>
    </w:p>
    <w:p>
      <w:pPr>
        <w:pStyle w:val="3"/>
        <w:spacing w:before="42" w:line="278" w:lineRule="auto"/>
        <w:ind w:left="677" w:right="635" w:hanging="420"/>
        <w:rPr>
          <w:rFonts w:ascii="黑体" w:eastAsia="黑体"/>
        </w:rPr>
      </w:pPr>
      <w:r>
        <w:rPr>
          <w:spacing w:val="-4"/>
        </w:rPr>
        <w:t>三、</w:t>
      </w:r>
      <w:r>
        <w:rPr>
          <w:rFonts w:ascii="黑体" w:eastAsia="黑体"/>
          <w:spacing w:val="-4"/>
        </w:rPr>
        <w:t>在本合同有效期内，您可以书面申请减少本合同的基本保险金额，但减少后的基本保险</w:t>
      </w:r>
      <w:r>
        <w:rPr>
          <w:rFonts w:ascii="黑体" w:eastAsia="黑体"/>
          <w:spacing w:val="-2"/>
        </w:rPr>
        <w:t>金额不得低于变更时我们规定的最低基本保险金额，减少部分按您解除合同处理。</w:t>
      </w:r>
    </w:p>
    <w:p>
      <w:pPr>
        <w:pStyle w:val="3"/>
        <w:spacing w:before="4"/>
        <w:ind w:left="0"/>
        <w:rPr>
          <w:rFonts w:ascii="黑体"/>
          <w:sz w:val="24"/>
        </w:rPr>
      </w:pPr>
    </w:p>
    <w:p>
      <w:pPr>
        <w:pStyle w:val="3"/>
        <w:tabs>
          <w:tab w:val="left" w:pos="1517"/>
        </w:tabs>
      </w:pPr>
      <w:bookmarkStart w:id="41" w:name="_bookmark41"/>
      <w:bookmarkEnd w:id="41"/>
      <w:r>
        <w:t>第七</w:t>
      </w:r>
      <w:r>
        <w:rPr>
          <w:spacing w:val="-10"/>
        </w:rPr>
        <w:t>条</w:t>
      </w:r>
      <w:r>
        <w:tab/>
      </w:r>
      <w:r>
        <w:t>保险费及宽限</w:t>
      </w:r>
      <w:r>
        <w:rPr>
          <w:spacing w:val="-10"/>
        </w:rPr>
        <w:t>期</w:t>
      </w:r>
    </w:p>
    <w:p>
      <w:pPr>
        <w:pStyle w:val="3"/>
        <w:spacing w:before="43"/>
      </w:pPr>
      <w:r>
        <w:rPr>
          <w:spacing w:val="-1"/>
        </w:rPr>
        <w:t>您应按本合同约定的保险费交费期间、应付日、交费方式等交付本合同的保险费。</w:t>
      </w:r>
    </w:p>
    <w:p>
      <w:pPr>
        <w:pStyle w:val="3"/>
        <w:spacing w:before="43" w:line="278" w:lineRule="auto"/>
        <w:ind w:right="632"/>
        <w:jc w:val="both"/>
      </w:pPr>
      <w:r>
        <w:rPr>
          <w:spacing w:val="-4"/>
        </w:rPr>
        <w:t>分期支付保险费的，在您交纳首期保险费后，您应在保险费应付日或应付日前交付以后各期保险费。</w:t>
      </w:r>
      <w:r>
        <w:rPr>
          <w:rFonts w:ascii="黑体" w:eastAsia="黑体"/>
          <w:spacing w:val="-4"/>
        </w:rPr>
        <w:t>若到期未交付保险费，自保险费应付日的次日零时起六十日为宽限期</w:t>
      </w:r>
      <w:r>
        <w:rPr>
          <w:spacing w:val="-4"/>
        </w:rPr>
        <w:t>。宽限期内本合同继续有效，若被保险人发生保险事故，我们仍承担保险责任，</w:t>
      </w:r>
      <w:r>
        <w:rPr>
          <w:rFonts w:ascii="黑体" w:eastAsia="黑体"/>
          <w:spacing w:val="-4"/>
        </w:rPr>
        <w:t>但给付保险金时须扣除已</w:t>
      </w:r>
      <w:r>
        <w:rPr>
          <w:rFonts w:ascii="黑体" w:eastAsia="黑体"/>
          <w:spacing w:val="-2"/>
        </w:rPr>
        <w:t>到期而未交的保险费</w:t>
      </w:r>
      <w:r>
        <w:rPr>
          <w:spacing w:val="-2"/>
        </w:rPr>
        <w:t>。</w:t>
      </w:r>
    </w:p>
    <w:p>
      <w:pPr>
        <w:pStyle w:val="3"/>
        <w:spacing w:line="278" w:lineRule="auto"/>
        <w:ind w:right="635"/>
        <w:rPr>
          <w:rFonts w:ascii="黑体" w:eastAsia="黑体"/>
        </w:rPr>
      </w:pPr>
      <w:r>
        <w:rPr>
          <w:rFonts w:ascii="黑体" w:eastAsia="黑体"/>
          <w:spacing w:val="-4"/>
        </w:rPr>
        <w:t>除本合同另有约定外，宽限期期满日保险费仍未交付的，本合同及其附加合同自宽限期期满</w:t>
      </w:r>
      <w:r>
        <w:rPr>
          <w:rFonts w:ascii="黑体" w:eastAsia="黑体"/>
          <w:spacing w:val="-2"/>
        </w:rPr>
        <w:t>日的次日零时起效力中止。</w:t>
      </w:r>
    </w:p>
    <w:p>
      <w:pPr>
        <w:pStyle w:val="3"/>
        <w:spacing w:before="4"/>
        <w:ind w:left="0"/>
        <w:rPr>
          <w:rFonts w:ascii="黑体"/>
          <w:sz w:val="24"/>
        </w:rPr>
      </w:pPr>
    </w:p>
    <w:p>
      <w:pPr>
        <w:pStyle w:val="3"/>
        <w:tabs>
          <w:tab w:val="left" w:pos="1517"/>
        </w:tabs>
      </w:pPr>
      <w:bookmarkStart w:id="42" w:name="_bookmark42"/>
      <w:bookmarkEnd w:id="42"/>
      <w:r>
        <w:t>第八</w:t>
      </w:r>
      <w:r>
        <w:rPr>
          <w:spacing w:val="-10"/>
        </w:rPr>
        <w:t>条</w:t>
      </w:r>
      <w:r>
        <w:tab/>
      </w:r>
      <w:r>
        <w:t>保险费自动垫</w:t>
      </w:r>
      <w:r>
        <w:rPr>
          <w:spacing w:val="-10"/>
        </w:rPr>
        <w:t>交</w:t>
      </w:r>
    </w:p>
    <w:p>
      <w:pPr>
        <w:pStyle w:val="3"/>
        <w:spacing w:before="43" w:line="278" w:lineRule="auto"/>
        <w:ind w:right="424"/>
        <w:rPr>
          <w:rFonts w:ascii="黑体" w:eastAsia="黑体"/>
        </w:rPr>
      </w:pPr>
      <w:r>
        <w:t>宽限期期满日保险费仍未交付的，且本合同的</w:t>
      </w:r>
      <w:r>
        <w:rPr>
          <w:b/>
        </w:rPr>
        <w:t>现金价值净额</w:t>
      </w:r>
      <w:r>
        <w:rPr>
          <w:b/>
          <w:spacing w:val="-21"/>
        </w:rPr>
        <w:t xml:space="preserve"> </w:t>
      </w:r>
      <w:r>
        <w:fldChar w:fldCharType="begin"/>
      </w:r>
      <w:r>
        <w:instrText xml:space="preserve"> HYPERLINK \l "_bookmark48" </w:instrText>
      </w:r>
      <w:r>
        <w:fldChar w:fldCharType="separate"/>
      </w:r>
      <w:r>
        <w:rPr>
          <w:rFonts w:ascii="Times New Roman" w:eastAsia="Times New Roman"/>
          <w:b/>
          <w:vertAlign w:val="superscript"/>
        </w:rPr>
        <w:t>33</w:t>
      </w:r>
      <w:r>
        <w:rPr>
          <w:rFonts w:ascii="Times New Roman" w:eastAsia="Times New Roman"/>
          <w:b/>
          <w:vertAlign w:val="superscript"/>
        </w:rPr>
        <w:fldChar w:fldCharType="end"/>
      </w:r>
      <w:r>
        <w:rPr>
          <w:vertAlign w:val="baseline"/>
        </w:rPr>
        <w:t>足以垫交到期应交保险费，</w:t>
      </w:r>
      <w:r>
        <w:rPr>
          <w:rFonts w:ascii="黑体" w:eastAsia="黑体"/>
          <w:vertAlign w:val="baseline"/>
        </w:rPr>
        <w:t xml:space="preserve">除 </w:t>
      </w:r>
      <w:r>
        <w:rPr>
          <w:rFonts w:ascii="黑体" w:eastAsia="黑体"/>
          <w:spacing w:val="-7"/>
          <w:vertAlign w:val="baseline"/>
        </w:rPr>
        <w:t>您在宽限期期满日前有书面反对声明外，则我们以该现金价值净额自动垫交到期应交保险费</w:t>
      </w:r>
      <w:r>
        <w:rPr>
          <w:spacing w:val="-2"/>
          <w:vertAlign w:val="baseline"/>
        </w:rPr>
        <w:t>，</w:t>
      </w:r>
      <w:r>
        <w:rPr>
          <w:rFonts w:ascii="黑体" w:eastAsia="黑体"/>
          <w:spacing w:val="-2"/>
          <w:vertAlign w:val="baseline"/>
        </w:rPr>
        <w:t>所垫交的保险费视同保单借款，</w:t>
      </w:r>
      <w:r>
        <w:rPr>
          <w:spacing w:val="-2"/>
          <w:vertAlign w:val="baseline"/>
        </w:rPr>
        <w:t>本合同及其附加合同继续有效；</w:t>
      </w:r>
      <w:r>
        <w:rPr>
          <w:rFonts w:ascii="黑体" w:eastAsia="黑体"/>
          <w:spacing w:val="-2"/>
          <w:vertAlign w:val="baseline"/>
        </w:rPr>
        <w:t>若前项现金价值净额不足以 垫交到期应交保险费时，本合同及其附加合同效力中止。</w:t>
      </w:r>
    </w:p>
    <w:p>
      <w:pPr>
        <w:pStyle w:val="3"/>
        <w:spacing w:line="269" w:lineRule="exact"/>
      </w:pPr>
      <w:r>
        <w:rPr>
          <w:spacing w:val="-1"/>
        </w:rPr>
        <w:t>若本合同附有附加合同，保险费的自动垫交也包括附加合同的保险费。</w:t>
      </w:r>
    </w:p>
    <w:p>
      <w:pPr>
        <w:pStyle w:val="3"/>
        <w:spacing w:before="9"/>
        <w:ind w:left="0"/>
        <w:rPr>
          <w:sz w:val="27"/>
        </w:rPr>
      </w:pPr>
    </w:p>
    <w:p>
      <w:pPr>
        <w:pStyle w:val="3"/>
        <w:tabs>
          <w:tab w:val="left" w:pos="1517"/>
        </w:tabs>
      </w:pPr>
      <w:bookmarkStart w:id="43" w:name="_bookmark43"/>
      <w:bookmarkEnd w:id="43"/>
      <w:r>
        <w:t>第九</w:t>
      </w:r>
      <w:r>
        <w:rPr>
          <w:spacing w:val="-10"/>
        </w:rPr>
        <w:t>条</w:t>
      </w:r>
      <w:r>
        <w:tab/>
      </w:r>
      <w:r>
        <w:t>保单借</w:t>
      </w:r>
      <w:r>
        <w:rPr>
          <w:spacing w:val="-10"/>
        </w:rPr>
        <w:t>款</w:t>
      </w:r>
    </w:p>
    <w:p>
      <w:pPr>
        <w:pStyle w:val="3"/>
        <w:spacing w:before="43" w:line="278" w:lineRule="auto"/>
        <w:ind w:right="635"/>
      </w:pPr>
      <w:r>
        <w:rPr>
          <w:spacing w:val="-4"/>
        </w:rPr>
        <w:t>若本合同有效且具有现金价值，您可以书面申请保单借款。最高借款金额不得超过申请时现</w:t>
      </w:r>
      <w:r>
        <w:rPr>
          <w:spacing w:val="-2"/>
        </w:rPr>
        <w:t>金价值净额的</w:t>
      </w:r>
      <w:r>
        <w:rPr>
          <w:rFonts w:ascii="Times New Roman" w:eastAsia="Times New Roman"/>
          <w:spacing w:val="-2"/>
        </w:rPr>
        <w:t>80%</w:t>
      </w:r>
      <w:r>
        <w:rPr>
          <w:spacing w:val="-2"/>
        </w:rPr>
        <w:t>，每次借款期限最长为六个月。</w:t>
      </w:r>
    </w:p>
    <w:p>
      <w:pPr>
        <w:pStyle w:val="3"/>
        <w:spacing w:line="278" w:lineRule="auto"/>
        <w:ind w:right="633"/>
        <w:rPr>
          <w:rFonts w:ascii="黑体" w:eastAsia="黑体"/>
        </w:rPr>
      </w:pPr>
      <w:r>
        <w:rPr>
          <w:rFonts w:ascii="黑体" w:eastAsia="黑体"/>
          <w:spacing w:val="-4"/>
        </w:rPr>
        <w:t>当自动垫交的保险费及</w:t>
      </w:r>
      <w:r>
        <w:rPr>
          <w:b/>
          <w:spacing w:val="-10"/>
        </w:rPr>
        <w:t xml:space="preserve">利息 </w:t>
      </w:r>
      <w:r>
        <w:fldChar w:fldCharType="begin"/>
      </w:r>
      <w:r>
        <w:instrText xml:space="preserve"> HYPERLINK \l "_bookmark49" </w:instrText>
      </w:r>
      <w:r>
        <w:fldChar w:fldCharType="separate"/>
      </w:r>
      <w:r>
        <w:rPr>
          <w:rFonts w:ascii="Times New Roman" w:eastAsia="Times New Roman"/>
          <w:b/>
          <w:spacing w:val="-4"/>
          <w:vertAlign w:val="superscript"/>
        </w:rPr>
        <w:t>34</w:t>
      </w:r>
      <w:r>
        <w:rPr>
          <w:rFonts w:ascii="Times New Roman" w:eastAsia="Times New Roman"/>
          <w:b/>
          <w:spacing w:val="-4"/>
          <w:vertAlign w:val="superscript"/>
        </w:rPr>
        <w:fldChar w:fldCharType="end"/>
      </w:r>
      <w:r>
        <w:rPr>
          <w:rFonts w:ascii="黑体" w:eastAsia="黑体"/>
          <w:spacing w:val="-4"/>
          <w:vertAlign w:val="baseline"/>
        </w:rPr>
        <w:t>、保单借款及利息达到现金价值时，本合同及其附加合同效力中止。</w:t>
      </w:r>
    </w:p>
    <w:p>
      <w:pPr>
        <w:pStyle w:val="3"/>
        <w:spacing w:before="3"/>
        <w:ind w:left="0"/>
        <w:rPr>
          <w:rFonts w:ascii="黑体"/>
          <w:sz w:val="24"/>
        </w:rPr>
      </w:pPr>
    </w:p>
    <w:p>
      <w:pPr>
        <w:pStyle w:val="3"/>
        <w:tabs>
          <w:tab w:val="left" w:pos="1517"/>
        </w:tabs>
        <w:spacing w:before="1"/>
      </w:pPr>
      <w:bookmarkStart w:id="44" w:name="_bookmark44"/>
      <w:bookmarkEnd w:id="44"/>
      <w:r>
        <w:t>第十</w:t>
      </w:r>
      <w:r>
        <w:rPr>
          <w:spacing w:val="-10"/>
        </w:rPr>
        <w:t>条</w:t>
      </w:r>
      <w:r>
        <w:tab/>
      </w:r>
      <w:r>
        <w:t>欠款扣</w:t>
      </w:r>
      <w:r>
        <w:rPr>
          <w:spacing w:val="-10"/>
        </w:rPr>
        <w:t>除</w:t>
      </w:r>
    </w:p>
    <w:p>
      <w:pPr>
        <w:pStyle w:val="3"/>
        <w:spacing w:before="43" w:line="278" w:lineRule="auto"/>
        <w:ind w:right="633"/>
        <w:rPr>
          <w:rFonts w:ascii="黑体" w:eastAsia="黑体"/>
        </w:rPr>
      </w:pPr>
      <w:r>
        <w:rPr>
          <w:rFonts w:ascii="黑体" w:eastAsia="黑体"/>
          <w:spacing w:val="-4"/>
        </w:rPr>
        <w:t>我们给付各项保险金、退还现金价值或退还保险费时，应先扣除所欠交的保险费、自动垫交</w:t>
      </w:r>
      <w:r>
        <w:rPr>
          <w:rFonts w:ascii="黑体" w:eastAsia="黑体"/>
          <w:spacing w:val="-2"/>
        </w:rPr>
        <w:t>的保险费、保单借款、其他未还款项及相应利息。</w:t>
      </w:r>
    </w:p>
    <w:p>
      <w:pPr>
        <w:tabs>
          <w:tab w:val="left" w:pos="1517"/>
        </w:tabs>
        <w:spacing w:before="22" w:line="624" w:lineRule="exact"/>
        <w:ind w:left="257" w:right="2005" w:firstLine="1372"/>
        <w:jc w:val="left"/>
        <w:rPr>
          <w:sz w:val="21"/>
        </w:rPr>
      </w:pPr>
      <w:bookmarkStart w:id="45" w:name="_bookmark45"/>
      <w:bookmarkEnd w:id="45"/>
      <w:r>
        <w:rPr>
          <w:b/>
          <w:sz w:val="21"/>
        </w:rPr>
        <w:t>第四章</w:t>
      </w:r>
      <w:r>
        <w:rPr>
          <w:b/>
          <w:spacing w:val="-27"/>
          <w:sz w:val="21"/>
        </w:rPr>
        <w:t xml:space="preserve"> </w:t>
      </w:r>
      <w:r>
        <w:rPr>
          <w:b/>
          <w:sz w:val="21"/>
        </w:rPr>
        <w:t>保险期间、保险合同成立与生效、复效、解除及终止</w:t>
      </w:r>
      <w:bookmarkStart w:id="46" w:name="_bookmark46"/>
      <w:bookmarkEnd w:id="46"/>
      <w:r>
        <w:rPr>
          <w:spacing w:val="-4"/>
          <w:sz w:val="21"/>
        </w:rPr>
        <w:t>第十一条</w:t>
      </w:r>
      <w:r>
        <w:rPr>
          <w:sz w:val="21"/>
        </w:rPr>
        <w:tab/>
      </w:r>
      <w:r>
        <w:rPr>
          <w:spacing w:val="-4"/>
          <w:sz w:val="21"/>
        </w:rPr>
        <w:t>保险期间</w:t>
      </w:r>
    </w:p>
    <w:p>
      <w:pPr>
        <w:pStyle w:val="3"/>
        <w:spacing w:line="246" w:lineRule="exact"/>
      </w:pPr>
      <w:r>
        <w:rPr>
          <w:spacing w:val="-1"/>
        </w:rPr>
        <w:t>本合同的保险期间为终身。</w:t>
      </w:r>
    </w:p>
    <w:p>
      <w:pPr>
        <w:pStyle w:val="3"/>
        <w:spacing w:before="9"/>
        <w:ind w:left="0"/>
        <w:rPr>
          <w:sz w:val="27"/>
        </w:rPr>
      </w:pPr>
    </w:p>
    <w:p>
      <w:pPr>
        <w:pStyle w:val="3"/>
        <w:jc w:val="both"/>
      </w:pPr>
      <w:bookmarkStart w:id="47" w:name="_bookmark47"/>
      <w:bookmarkEnd w:id="47"/>
      <w:r>
        <w:t>第十二条</w:t>
      </w:r>
      <w:r>
        <w:rPr>
          <w:spacing w:val="52"/>
          <w:w w:val="150"/>
        </w:rPr>
        <w:t xml:space="preserve">  </w:t>
      </w:r>
      <w:r>
        <w:rPr>
          <w:spacing w:val="-2"/>
        </w:rPr>
        <w:t>保险合同成立与生效</w:t>
      </w:r>
    </w:p>
    <w:p>
      <w:pPr>
        <w:pStyle w:val="3"/>
        <w:spacing w:before="43" w:line="278" w:lineRule="auto"/>
        <w:ind w:right="529"/>
        <w:jc w:val="both"/>
      </w:pPr>
      <w:r>
        <w:rPr>
          <w:spacing w:val="-2"/>
        </w:rPr>
        <w:t>您提出保险申请、我们同意承保，本合同成立。我们将签发保险单作为本合同成立的标志。除本合同另有约定外，本合同自我们收到首期保险费并签发保险单的次日零时起开始生效。本合同的成立日、生效日均载明于保险单上。</w:t>
      </w:r>
    </w:p>
    <w:p>
      <w:pPr>
        <w:pStyle w:val="3"/>
        <w:spacing w:line="278" w:lineRule="auto"/>
        <w:ind w:right="2646"/>
      </w:pPr>
      <w:r>
        <w:rPr>
          <w:spacing w:val="-2"/>
        </w:rPr>
        <w:t>保险单周年日、保险单年度、保险费应付日均以生效日为基准计算。除本合同另有约定外，我们自生效日零时起开始承担保险责任。</w:t>
      </w:r>
    </w:p>
    <w:p>
      <w:pPr>
        <w:pStyle w:val="3"/>
        <w:ind w:left="0"/>
        <w:rPr>
          <w:sz w:val="20"/>
        </w:rPr>
      </w:pPr>
    </w:p>
    <w:p>
      <w:pPr>
        <w:pStyle w:val="3"/>
        <w:ind w:left="0"/>
        <w:rPr>
          <w:sz w:val="20"/>
        </w:rPr>
      </w:pPr>
      <w:r>
        <w:drawing>
          <wp:anchor distT="0" distB="0" distL="0" distR="0" simplePos="0" relativeHeight="251660288" behindDoc="0" locked="0" layoutInCell="1" allowOverlap="1">
            <wp:simplePos x="0" y="0"/>
            <wp:positionH relativeFrom="page">
              <wp:posOffset>1141095</wp:posOffset>
            </wp:positionH>
            <wp:positionV relativeFrom="paragraph">
              <wp:posOffset>177800</wp:posOffset>
            </wp:positionV>
            <wp:extent cx="1828800" cy="6985"/>
            <wp:effectExtent l="0" t="0" r="0" b="0"/>
            <wp:wrapTopAndBottom/>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a:picLocks noChangeAspect="1"/>
                    </pic:cNvPicPr>
                  </pic:nvPicPr>
                  <pic:blipFill>
                    <a:blip r:embed="rId11" cstate="print"/>
                    <a:stretch>
                      <a:fillRect/>
                    </a:stretch>
                  </pic:blipFill>
                  <pic:spPr>
                    <a:xfrm>
                      <a:off x="0" y="0"/>
                      <a:ext cx="1828799" cy="6858"/>
                    </a:xfrm>
                    <a:prstGeom prst="rect">
                      <a:avLst/>
                    </a:prstGeom>
                  </pic:spPr>
                </pic:pic>
              </a:graphicData>
            </a:graphic>
          </wp:anchor>
        </w:drawing>
      </w:r>
    </w:p>
    <w:p>
      <w:pPr>
        <w:spacing w:before="90"/>
        <w:ind w:left="257" w:right="0" w:firstLine="0"/>
        <w:jc w:val="left"/>
        <w:rPr>
          <w:sz w:val="18"/>
        </w:rPr>
      </w:pPr>
      <w:bookmarkStart w:id="48" w:name="_bookmark48"/>
      <w:bookmarkEnd w:id="48"/>
      <w:r>
        <w:rPr>
          <w:rFonts w:ascii="Times New Roman" w:eastAsia="Times New Roman"/>
          <w:sz w:val="18"/>
          <w:vertAlign w:val="superscript"/>
        </w:rPr>
        <w:t>33</w:t>
      </w:r>
      <w:r>
        <w:rPr>
          <w:rFonts w:ascii="Times New Roman" w:eastAsia="Times New Roman"/>
          <w:spacing w:val="36"/>
          <w:sz w:val="18"/>
          <w:vertAlign w:val="baseline"/>
        </w:rPr>
        <w:t xml:space="preserve"> </w:t>
      </w:r>
      <w:r>
        <w:rPr>
          <w:b/>
          <w:sz w:val="18"/>
          <w:vertAlign w:val="baseline"/>
        </w:rPr>
        <w:t>现金价值净额</w:t>
      </w:r>
      <w:r>
        <w:rPr>
          <w:spacing w:val="-1"/>
          <w:sz w:val="18"/>
          <w:vertAlign w:val="baseline"/>
        </w:rPr>
        <w:t>：指本合同的现金价值在扣除自动垫交的保险费及利息、保单借款及利息后的净额。</w:t>
      </w:r>
    </w:p>
    <w:p>
      <w:pPr>
        <w:spacing w:before="2" w:line="242" w:lineRule="auto"/>
        <w:ind w:left="257" w:right="635" w:firstLine="0"/>
        <w:jc w:val="left"/>
        <w:rPr>
          <w:sz w:val="18"/>
        </w:rPr>
      </w:pPr>
      <w:bookmarkStart w:id="49" w:name="_bookmark49"/>
      <w:bookmarkEnd w:id="49"/>
      <w:r>
        <w:rPr>
          <w:rFonts w:ascii="Times New Roman" w:eastAsia="Times New Roman"/>
          <w:sz w:val="18"/>
          <w:vertAlign w:val="superscript"/>
        </w:rPr>
        <w:t>34</w:t>
      </w:r>
      <w:r>
        <w:rPr>
          <w:rFonts w:ascii="Times New Roman" w:eastAsia="Times New Roman"/>
          <w:spacing w:val="13"/>
          <w:sz w:val="18"/>
          <w:vertAlign w:val="baseline"/>
        </w:rPr>
        <w:t xml:space="preserve"> </w:t>
      </w:r>
      <w:r>
        <w:rPr>
          <w:b/>
          <w:sz w:val="18"/>
          <w:vertAlign w:val="baseline"/>
        </w:rPr>
        <w:t>利息</w:t>
      </w:r>
      <w:r>
        <w:rPr>
          <w:sz w:val="18"/>
          <w:vertAlign w:val="baseline"/>
        </w:rPr>
        <w:t>：按借款利率计算，其中借款利率参照同期中国人民银行六个月期贷款利率并结合我们自身资金成</w:t>
      </w:r>
      <w:r>
        <w:rPr>
          <w:spacing w:val="-2"/>
          <w:sz w:val="18"/>
          <w:vertAlign w:val="baseline"/>
        </w:rPr>
        <w:t>本及风险管控能力确定。</w:t>
      </w:r>
    </w:p>
    <w:p>
      <w:pPr>
        <w:spacing w:after="0" w:line="242" w:lineRule="auto"/>
        <w:jc w:val="left"/>
        <w:rPr>
          <w:sz w:val="18"/>
        </w:rPr>
        <w:sectPr>
          <w:footerReference r:id="rId6" w:type="default"/>
          <w:pgSz w:w="11910" w:h="16840"/>
          <w:pgMar w:top="1400" w:right="1160" w:bottom="1500" w:left="1540" w:header="0" w:footer="1307" w:gutter="0"/>
          <w:cols w:space="720" w:num="1"/>
        </w:sectPr>
      </w:pPr>
    </w:p>
    <w:p>
      <w:pPr>
        <w:pStyle w:val="3"/>
        <w:tabs>
          <w:tab w:val="left" w:pos="1517"/>
        </w:tabs>
        <w:spacing w:before="42"/>
      </w:pPr>
      <w:bookmarkStart w:id="50" w:name="_bookmark50"/>
      <w:bookmarkEnd w:id="50"/>
      <w:r>
        <w:t>第十三</w:t>
      </w:r>
      <w:r>
        <w:rPr>
          <w:spacing w:val="-10"/>
        </w:rPr>
        <w:t>条</w:t>
      </w:r>
      <w:r>
        <w:tab/>
      </w:r>
      <w:r>
        <w:t>合同效力恢</w:t>
      </w:r>
      <w:r>
        <w:rPr>
          <w:spacing w:val="-10"/>
        </w:rPr>
        <w:t>复</w:t>
      </w:r>
    </w:p>
    <w:p>
      <w:pPr>
        <w:pStyle w:val="3"/>
        <w:spacing w:before="43" w:line="278" w:lineRule="auto"/>
        <w:ind w:right="529"/>
      </w:pPr>
      <w:r>
        <w:rPr>
          <w:spacing w:val="-2"/>
        </w:rPr>
        <w:t>自本合同效力中止之日起二年内，您可书面申请恢复本合同效力。您交清所欠交的保险费、自动垫交的保险费、保单借款、其他未还款项及相应利息，经我们审核同意并于保险单上批注后的次日零时起，本合同效力恢复。</w:t>
      </w:r>
    </w:p>
    <w:p>
      <w:pPr>
        <w:pStyle w:val="3"/>
        <w:spacing w:line="269" w:lineRule="exact"/>
        <w:rPr>
          <w:rFonts w:ascii="黑体" w:eastAsia="黑体"/>
        </w:rPr>
      </w:pPr>
      <w:r>
        <w:rPr>
          <w:rFonts w:ascii="黑体" w:eastAsia="黑体"/>
          <w:color w:val="000000"/>
          <w:spacing w:val="-1"/>
          <w:shd w:val="clear" w:color="auto" w:fill="DADADA"/>
        </w:rPr>
        <w:t>本合同效力中止期间，我们对所发生的保险事故不承担给付保险金的责任。</w:t>
      </w:r>
    </w:p>
    <w:p>
      <w:pPr>
        <w:pStyle w:val="3"/>
        <w:spacing w:before="43" w:line="278" w:lineRule="auto"/>
        <w:ind w:right="635"/>
        <w:rPr>
          <w:rFonts w:ascii="黑体" w:eastAsia="黑体"/>
        </w:rPr>
      </w:pPr>
      <w:r>
        <w:rPr>
          <w:rFonts w:ascii="黑体" w:eastAsia="黑体"/>
          <w:spacing w:val="-4"/>
        </w:rPr>
        <w:t>若自本合同效力中止之日起二年内双方未达成合同效力恢复协议的，我们有权解除合同，并</w:t>
      </w:r>
      <w:r>
        <w:rPr>
          <w:rFonts w:ascii="黑体" w:eastAsia="黑体"/>
          <w:spacing w:val="-2"/>
        </w:rPr>
        <w:t>向您退还本合同的现金价值。</w:t>
      </w:r>
    </w:p>
    <w:p>
      <w:pPr>
        <w:pStyle w:val="3"/>
        <w:spacing w:before="4"/>
        <w:ind w:left="0"/>
        <w:rPr>
          <w:rFonts w:ascii="黑体"/>
          <w:sz w:val="24"/>
        </w:rPr>
      </w:pPr>
    </w:p>
    <w:p>
      <w:pPr>
        <w:pStyle w:val="3"/>
        <w:tabs>
          <w:tab w:val="left" w:pos="1517"/>
        </w:tabs>
      </w:pPr>
      <w:bookmarkStart w:id="51" w:name="_bookmark51"/>
      <w:bookmarkEnd w:id="51"/>
      <w:r>
        <w:t>第十四</w:t>
      </w:r>
      <w:r>
        <w:rPr>
          <w:spacing w:val="-10"/>
        </w:rPr>
        <w:t>条</w:t>
      </w:r>
      <w:r>
        <w:tab/>
      </w:r>
      <w:r>
        <w:t>投保人解除合</w:t>
      </w:r>
      <w:r>
        <w:rPr>
          <w:spacing w:val="-10"/>
        </w:rPr>
        <w:t>同</w:t>
      </w:r>
    </w:p>
    <w:p>
      <w:pPr>
        <w:pStyle w:val="3"/>
        <w:spacing w:before="43" w:line="278" w:lineRule="auto"/>
        <w:ind w:right="2646"/>
      </w:pPr>
      <w:r>
        <w:rPr>
          <w:spacing w:val="-2"/>
        </w:rPr>
        <w:t>在本合同有效期内，您在犹豫期后请出具下列文件申请解除本合同：一、保险合同；</w:t>
      </w:r>
    </w:p>
    <w:p>
      <w:pPr>
        <w:pStyle w:val="3"/>
      </w:pPr>
      <w:r>
        <w:rPr>
          <w:spacing w:val="-1"/>
        </w:rPr>
        <w:t>二、解除合同申请书；</w:t>
      </w:r>
    </w:p>
    <w:p>
      <w:pPr>
        <w:spacing w:before="42"/>
        <w:ind w:left="257" w:right="0" w:firstLine="0"/>
        <w:jc w:val="left"/>
        <w:rPr>
          <w:b/>
          <w:sz w:val="21"/>
        </w:rPr>
      </w:pPr>
      <w:r>
        <w:rPr>
          <w:w w:val="95"/>
          <w:sz w:val="21"/>
        </w:rPr>
        <w:t>三、您的</w:t>
      </w:r>
      <w:r>
        <w:rPr>
          <w:b/>
          <w:w w:val="95"/>
          <w:sz w:val="21"/>
        </w:rPr>
        <w:t>有效身份证件</w:t>
      </w:r>
      <w:r>
        <w:rPr>
          <w:b/>
          <w:spacing w:val="60"/>
          <w:sz w:val="21"/>
        </w:rPr>
        <w:t xml:space="preserve"> </w:t>
      </w:r>
      <w:r>
        <w:fldChar w:fldCharType="begin"/>
      </w:r>
      <w:r>
        <w:instrText xml:space="preserve"> HYPERLINK \l "_bookmark56" </w:instrText>
      </w:r>
      <w:r>
        <w:fldChar w:fldCharType="separate"/>
      </w:r>
      <w:r>
        <w:rPr>
          <w:rFonts w:ascii="Times New Roman" w:eastAsia="Times New Roman"/>
          <w:b/>
          <w:w w:val="95"/>
          <w:sz w:val="21"/>
          <w:vertAlign w:val="superscript"/>
        </w:rPr>
        <w:t>35</w:t>
      </w:r>
      <w:r>
        <w:rPr>
          <w:rFonts w:ascii="Times New Roman" w:eastAsia="Times New Roman"/>
          <w:b/>
          <w:w w:val="95"/>
          <w:sz w:val="21"/>
          <w:vertAlign w:val="superscript"/>
        </w:rPr>
        <w:fldChar w:fldCharType="end"/>
      </w:r>
      <w:r>
        <w:rPr>
          <w:b/>
          <w:spacing w:val="-10"/>
          <w:w w:val="95"/>
          <w:sz w:val="21"/>
          <w:vertAlign w:val="baseline"/>
        </w:rPr>
        <w:t>。</w:t>
      </w:r>
    </w:p>
    <w:p>
      <w:pPr>
        <w:pStyle w:val="3"/>
        <w:spacing w:before="43" w:line="278" w:lineRule="auto"/>
        <w:ind w:right="530"/>
        <w:rPr>
          <w:rFonts w:ascii="黑体" w:eastAsia="黑体"/>
        </w:rPr>
      </w:pPr>
      <w:r>
        <w:rPr>
          <w:spacing w:val="-2"/>
        </w:rPr>
        <w:t>自我们收到解除合同申请书时，本合同终止。我们自收到解除合同申请书之日起三十日内，向您退还本合同的现金价值。</w:t>
      </w:r>
      <w:r>
        <w:rPr>
          <w:rFonts w:ascii="黑体" w:eastAsia="黑体"/>
          <w:spacing w:val="-2"/>
        </w:rPr>
        <w:t>您在犹豫期后解除本合同会遭受一定损失。</w:t>
      </w:r>
    </w:p>
    <w:p>
      <w:pPr>
        <w:pStyle w:val="3"/>
        <w:spacing w:before="5"/>
        <w:ind w:left="0"/>
        <w:rPr>
          <w:rFonts w:ascii="黑体"/>
          <w:sz w:val="24"/>
        </w:rPr>
      </w:pPr>
    </w:p>
    <w:p>
      <w:pPr>
        <w:pStyle w:val="3"/>
        <w:tabs>
          <w:tab w:val="left" w:pos="1517"/>
        </w:tabs>
      </w:pPr>
      <w:bookmarkStart w:id="52" w:name="_bookmark52"/>
      <w:bookmarkEnd w:id="52"/>
      <w:r>
        <w:t>第十五</w:t>
      </w:r>
      <w:r>
        <w:rPr>
          <w:spacing w:val="-10"/>
        </w:rPr>
        <w:t>条</w:t>
      </w:r>
      <w:r>
        <w:tab/>
      </w:r>
      <w:r>
        <w:t>合同效力终</w:t>
      </w:r>
      <w:r>
        <w:rPr>
          <w:spacing w:val="-10"/>
        </w:rPr>
        <w:t>止</w:t>
      </w:r>
    </w:p>
    <w:p>
      <w:pPr>
        <w:pStyle w:val="3"/>
        <w:spacing w:before="43" w:line="278" w:lineRule="auto"/>
        <w:ind w:right="5166"/>
      </w:pPr>
      <w:r>
        <w:rPr>
          <w:spacing w:val="-2"/>
        </w:rPr>
        <w:t>发生下列情形之一时，本合同效力终止：</w:t>
      </w:r>
      <w:r>
        <w:t>一、 您申请解除本合同；</w:t>
      </w:r>
    </w:p>
    <w:p>
      <w:pPr>
        <w:pStyle w:val="3"/>
        <w:spacing w:line="278" w:lineRule="auto"/>
        <w:ind w:right="4599"/>
      </w:pPr>
      <w:r>
        <w:t>二、 本合同效力中止且未能按第十三条办理；三、 重大疾病保险金给付次数达到两次；</w:t>
      </w:r>
    </w:p>
    <w:p>
      <w:pPr>
        <w:pStyle w:val="3"/>
        <w:spacing w:line="278" w:lineRule="auto"/>
        <w:ind w:left="825" w:right="634" w:hanging="568"/>
      </w:pPr>
      <w:r>
        <w:rPr>
          <w:spacing w:val="-3"/>
        </w:rPr>
        <w:t>四、 被保险人达到本合同所定义的身体高度残疾标准，且不符合首次重大疾病保险金给付</w:t>
      </w:r>
      <w:r>
        <w:rPr>
          <w:spacing w:val="-4"/>
        </w:rPr>
        <w:t>条件；</w:t>
      </w:r>
    </w:p>
    <w:p>
      <w:pPr>
        <w:pStyle w:val="3"/>
        <w:spacing w:line="278" w:lineRule="auto"/>
        <w:ind w:right="424"/>
      </w:pPr>
      <w:r>
        <w:rPr>
          <w:spacing w:val="-3"/>
        </w:rPr>
        <w:t>五、 被保险人达到本合同所定义的末期疾病状态，且不符合首次重大疾病保险金给付条件；</w:t>
      </w:r>
      <w:r>
        <w:t>六、 被保险人身故；</w:t>
      </w:r>
    </w:p>
    <w:p>
      <w:pPr>
        <w:pStyle w:val="3"/>
      </w:pPr>
      <w:r>
        <w:rPr>
          <w:spacing w:val="-1"/>
        </w:rPr>
        <w:t>七、 本合同约定的其他终止情形。</w:t>
      </w:r>
    </w:p>
    <w:p>
      <w:pPr>
        <w:pStyle w:val="3"/>
        <w:spacing w:before="1"/>
        <w:ind w:left="0"/>
        <w:rPr>
          <w:sz w:val="22"/>
        </w:rPr>
      </w:pPr>
    </w:p>
    <w:p>
      <w:pPr>
        <w:pStyle w:val="2"/>
        <w:spacing w:before="71"/>
        <w:ind w:left="2847" w:right="3224"/>
      </w:pPr>
      <w:bookmarkStart w:id="53" w:name="_bookmark53"/>
      <w:bookmarkEnd w:id="53"/>
      <w:r>
        <w:rPr>
          <w:w w:val="95"/>
        </w:rPr>
        <w:t>第五章</w:t>
      </w:r>
      <w:r>
        <w:rPr>
          <w:spacing w:val="45"/>
        </w:rPr>
        <w:t xml:space="preserve"> </w:t>
      </w:r>
      <w:r>
        <w:rPr>
          <w:w w:val="95"/>
        </w:rPr>
        <w:t>保险金申</w:t>
      </w:r>
      <w:r>
        <w:rPr>
          <w:spacing w:val="-10"/>
          <w:w w:val="95"/>
        </w:rPr>
        <w:t>请</w:t>
      </w:r>
    </w:p>
    <w:p>
      <w:pPr>
        <w:pStyle w:val="3"/>
        <w:tabs>
          <w:tab w:val="left" w:pos="1259"/>
        </w:tabs>
        <w:spacing w:before="43"/>
        <w:ind w:left="0" w:right="6169"/>
        <w:jc w:val="center"/>
      </w:pPr>
      <w:bookmarkStart w:id="54" w:name="_bookmark54"/>
      <w:bookmarkEnd w:id="54"/>
      <w:r>
        <w:t>第十六</w:t>
      </w:r>
      <w:r>
        <w:rPr>
          <w:spacing w:val="-10"/>
        </w:rPr>
        <w:t>条</w:t>
      </w:r>
      <w:r>
        <w:tab/>
      </w:r>
      <w:r>
        <w:t>保险事故通</w:t>
      </w:r>
      <w:r>
        <w:rPr>
          <w:spacing w:val="-10"/>
        </w:rPr>
        <w:t>知</w:t>
      </w:r>
    </w:p>
    <w:p>
      <w:pPr>
        <w:pStyle w:val="3"/>
        <w:spacing w:before="43" w:line="278" w:lineRule="auto"/>
        <w:ind w:right="635"/>
      </w:pPr>
      <w:r>
        <w:rPr>
          <w:spacing w:val="-4"/>
        </w:rPr>
        <w:t>您或受益人应于知道保险事故发生之日起十日内通知我们。否则，您或受益人应承担由于通</w:t>
      </w:r>
      <w:r>
        <w:t>知迟延致使我们增加的勘查、检验等项费用，但因</w:t>
      </w:r>
      <w:r>
        <w:rPr>
          <w:b/>
        </w:rPr>
        <w:t>不可抗力</w:t>
      </w:r>
      <w:r>
        <w:fldChar w:fldCharType="begin"/>
      </w:r>
      <w:r>
        <w:instrText xml:space="preserve"> HYPERLINK \l "_bookmark57" </w:instrText>
      </w:r>
      <w:r>
        <w:fldChar w:fldCharType="separate"/>
      </w:r>
      <w:r>
        <w:rPr>
          <w:rFonts w:ascii="Times New Roman" w:eastAsia="Times New Roman"/>
          <w:b/>
          <w:vertAlign w:val="superscript"/>
        </w:rPr>
        <w:t>36</w:t>
      </w:r>
      <w:r>
        <w:rPr>
          <w:rFonts w:ascii="Times New Roman" w:eastAsia="Times New Roman"/>
          <w:b/>
          <w:vertAlign w:val="superscript"/>
        </w:rPr>
        <w:fldChar w:fldCharType="end"/>
      </w:r>
      <w:r>
        <w:rPr>
          <w:vertAlign w:val="baseline"/>
        </w:rPr>
        <w:t>导致的迟延除外。</w:t>
      </w:r>
    </w:p>
    <w:p>
      <w:pPr>
        <w:pStyle w:val="3"/>
        <w:spacing w:line="278" w:lineRule="auto"/>
        <w:ind w:right="633"/>
      </w:pPr>
      <w:r>
        <w:rPr>
          <w:rFonts w:ascii="黑体" w:eastAsia="黑体"/>
          <w:color w:val="000000"/>
          <w:spacing w:val="-5"/>
          <w:shd w:val="clear" w:color="auto" w:fill="DADADA"/>
        </w:rPr>
        <w:t>如果您或受益人故意或者因重大过失未及时通知，致使保险事故的性质、原因、损失程度等</w:t>
      </w:r>
      <w:r>
        <w:rPr>
          <w:rFonts w:ascii="黑体" w:eastAsia="黑体"/>
          <w:color w:val="000000"/>
          <w:shd w:val="clear" w:color="auto" w:fill="DADADA"/>
        </w:rPr>
        <w:t xml:space="preserve">                                                                                                                                                            </w:t>
      </w:r>
      <w:r>
        <w:rPr>
          <w:rFonts w:ascii="黑体" w:eastAsia="黑体"/>
          <w:color w:val="000000"/>
          <w:spacing w:val="-7"/>
          <w:shd w:val="clear" w:color="auto" w:fill="DADADA"/>
        </w:rPr>
        <w:t>难以确定的，我们对无法确定的部分，不承担给付保险金的责任</w:t>
      </w:r>
      <w:r>
        <w:rPr>
          <w:color w:val="000000"/>
          <w:spacing w:val="-29"/>
          <w:shd w:val="clear" w:color="auto" w:fill="DADADA"/>
        </w:rPr>
        <w:t>，</w:t>
      </w:r>
      <w:r>
        <w:rPr>
          <w:color w:val="000000"/>
          <w:spacing w:val="-1"/>
        </w:rPr>
        <w:t>但我们通过其他途径已经及时知道或者应当及时知道保险事故发生或者虽未及时通知但不影响我们确定保险事故的性质、原因、损失程度的除外。</w:t>
      </w:r>
    </w:p>
    <w:p>
      <w:pPr>
        <w:pStyle w:val="3"/>
        <w:spacing w:before="3"/>
        <w:ind w:left="0"/>
        <w:rPr>
          <w:sz w:val="24"/>
        </w:rPr>
      </w:pPr>
    </w:p>
    <w:p>
      <w:pPr>
        <w:pStyle w:val="3"/>
        <w:tabs>
          <w:tab w:val="left" w:pos="1517"/>
        </w:tabs>
        <w:spacing w:before="1"/>
      </w:pPr>
      <w:bookmarkStart w:id="55" w:name="_bookmark55"/>
      <w:bookmarkEnd w:id="55"/>
      <w:r>
        <w:t>第十七</w:t>
      </w:r>
      <w:r>
        <w:rPr>
          <w:spacing w:val="-10"/>
        </w:rPr>
        <w:t>条</w:t>
      </w:r>
      <w:r>
        <w:tab/>
      </w:r>
      <w:r>
        <w:t>诉讼时</w:t>
      </w:r>
      <w:r>
        <w:rPr>
          <w:spacing w:val="-10"/>
        </w:rPr>
        <w:t>效</w:t>
      </w:r>
    </w:p>
    <w:p>
      <w:pPr>
        <w:pStyle w:val="3"/>
        <w:spacing w:before="43" w:line="278" w:lineRule="auto"/>
        <w:ind w:right="531"/>
      </w:pPr>
      <w:r>
        <w:rPr>
          <w:spacing w:val="-2"/>
        </w:rPr>
        <w:t>人寿保险以外的其他保险的被保险人或者受益人向我们请求给付保险金的诉讼时效为二年，自其知道或者应当知道保险事故发生之日起计算。</w:t>
      </w:r>
    </w:p>
    <w:p>
      <w:pPr>
        <w:pStyle w:val="3"/>
        <w:spacing w:line="278" w:lineRule="auto"/>
        <w:ind w:right="634"/>
      </w:pPr>
      <w:r>
        <w:rPr>
          <w:spacing w:val="-5"/>
        </w:rPr>
        <w:t>人寿保险的被保险人或者受益人向我们请求给付保险金的诉讼时效期间为五年，自其知道或</w:t>
      </w:r>
      <w:r>
        <w:rPr>
          <w:spacing w:val="-2"/>
        </w:rPr>
        <w:t>者应当知道保险事故发生之日起计算。</w:t>
      </w:r>
    </w:p>
    <w:p>
      <w:pPr>
        <w:pStyle w:val="3"/>
        <w:spacing w:before="5"/>
        <w:ind w:left="0"/>
        <w:rPr>
          <w:sz w:val="25"/>
        </w:rPr>
      </w:pPr>
    </w:p>
    <w:p>
      <w:pPr>
        <w:spacing w:before="0" w:line="242" w:lineRule="auto"/>
        <w:ind w:left="257" w:right="635" w:hanging="1"/>
        <w:jc w:val="left"/>
        <w:rPr>
          <w:sz w:val="18"/>
        </w:rPr>
      </w:pPr>
      <w:bookmarkStart w:id="56" w:name="_bookmark56"/>
      <w:bookmarkEnd w:id="56"/>
      <w:r>
        <w:rPr>
          <w:rFonts w:ascii="Times New Roman" w:eastAsia="Times New Roman"/>
          <w:sz w:val="18"/>
          <w:vertAlign w:val="superscript"/>
        </w:rPr>
        <w:t>35</w:t>
      </w:r>
      <w:r>
        <w:rPr>
          <w:rFonts w:ascii="Times New Roman" w:eastAsia="Times New Roman"/>
          <w:spacing w:val="14"/>
          <w:sz w:val="18"/>
          <w:vertAlign w:val="baseline"/>
        </w:rPr>
        <w:t xml:space="preserve"> </w:t>
      </w:r>
      <w:r>
        <w:rPr>
          <w:b/>
          <w:sz w:val="18"/>
          <w:vertAlign w:val="baseline"/>
        </w:rPr>
        <w:t>有效身份证件：</w:t>
      </w:r>
      <w:r>
        <w:rPr>
          <w:sz w:val="18"/>
          <w:vertAlign w:val="baseline"/>
        </w:rPr>
        <w:t>指由政府主管部门规定的证明其身份的证件，如居民身份证、户口簿、按规定可使用的</w:t>
      </w:r>
      <w:r>
        <w:rPr>
          <w:spacing w:val="-4"/>
          <w:sz w:val="18"/>
          <w:vertAlign w:val="baseline"/>
        </w:rPr>
        <w:t>护照等。</w:t>
      </w:r>
    </w:p>
    <w:p>
      <w:pPr>
        <w:spacing w:before="1"/>
        <w:ind w:left="257" w:right="0" w:firstLine="0"/>
        <w:jc w:val="left"/>
        <w:rPr>
          <w:sz w:val="18"/>
        </w:rPr>
      </w:pPr>
      <w:bookmarkStart w:id="57" w:name="_bookmark57"/>
      <w:bookmarkEnd w:id="57"/>
      <w:r>
        <w:rPr>
          <w:rFonts w:ascii="Times New Roman" w:eastAsia="Times New Roman"/>
          <w:sz w:val="18"/>
          <w:vertAlign w:val="superscript"/>
        </w:rPr>
        <w:t>36</w:t>
      </w:r>
      <w:r>
        <w:rPr>
          <w:rFonts w:ascii="Times New Roman" w:eastAsia="Times New Roman"/>
          <w:spacing w:val="37"/>
          <w:sz w:val="18"/>
          <w:vertAlign w:val="baseline"/>
        </w:rPr>
        <w:t xml:space="preserve"> </w:t>
      </w:r>
      <w:r>
        <w:rPr>
          <w:b/>
          <w:sz w:val="18"/>
          <w:vertAlign w:val="baseline"/>
        </w:rPr>
        <w:t>不可抗力：</w:t>
      </w:r>
      <w:r>
        <w:rPr>
          <w:spacing w:val="-1"/>
          <w:sz w:val="18"/>
          <w:vertAlign w:val="baseline"/>
        </w:rPr>
        <w:t>指无法预见、不可避免并不能克服的客观情况。</w:t>
      </w:r>
    </w:p>
    <w:p>
      <w:pPr>
        <w:spacing w:after="0"/>
        <w:jc w:val="left"/>
        <w:rPr>
          <w:sz w:val="18"/>
        </w:rPr>
        <w:sectPr>
          <w:footerReference r:id="rId7" w:type="default"/>
          <w:pgSz w:w="11910" w:h="16840"/>
          <w:pgMar w:top="1400" w:right="1160" w:bottom="1500" w:left="1540" w:header="0" w:footer="1307" w:gutter="0"/>
          <w:cols w:space="720" w:num="1"/>
        </w:sectPr>
      </w:pPr>
    </w:p>
    <w:p>
      <w:pPr>
        <w:pStyle w:val="3"/>
        <w:spacing w:before="1"/>
        <w:ind w:left="0"/>
        <w:rPr>
          <w:sz w:val="8"/>
        </w:rPr>
      </w:pPr>
    </w:p>
    <w:p>
      <w:pPr>
        <w:pStyle w:val="3"/>
        <w:tabs>
          <w:tab w:val="left" w:pos="1517"/>
        </w:tabs>
        <w:spacing w:before="70" w:line="278" w:lineRule="auto"/>
        <w:ind w:right="6636"/>
      </w:pPr>
      <w:bookmarkStart w:id="58" w:name="_bookmark58"/>
      <w:bookmarkEnd w:id="58"/>
      <w:r>
        <w:rPr>
          <w:spacing w:val="-4"/>
        </w:rPr>
        <w:t>第十八条</w:t>
      </w:r>
      <w:r>
        <w:tab/>
      </w:r>
      <w:r>
        <w:rPr>
          <w:spacing w:val="-4"/>
        </w:rPr>
        <w:t>保险金申请</w:t>
      </w:r>
      <w:r>
        <w:rPr>
          <w:spacing w:val="-2"/>
        </w:rPr>
        <w:t>一、身故保险金</w:t>
      </w:r>
    </w:p>
    <w:p>
      <w:pPr>
        <w:pStyle w:val="3"/>
      </w:pPr>
      <w:r>
        <w:rPr>
          <w:spacing w:val="-1"/>
        </w:rPr>
        <w:t>在申请身故保险金时，申请人须填写保险金给付申请书，并提供下列证明和资料：</w:t>
      </w:r>
    </w:p>
    <w:p>
      <w:pPr>
        <w:pStyle w:val="10"/>
        <w:numPr>
          <w:ilvl w:val="0"/>
          <w:numId w:val="12"/>
        </w:numPr>
        <w:tabs>
          <w:tab w:val="left" w:pos="677"/>
          <w:tab w:val="left" w:pos="678"/>
        </w:tabs>
        <w:spacing w:before="43" w:after="0" w:line="240" w:lineRule="auto"/>
        <w:ind w:left="677" w:right="0" w:hanging="421"/>
        <w:jc w:val="left"/>
        <w:rPr>
          <w:sz w:val="21"/>
        </w:rPr>
      </w:pPr>
      <w:r>
        <w:rPr>
          <w:spacing w:val="-2"/>
          <w:sz w:val="21"/>
        </w:rPr>
        <w:t>保险合同；</w:t>
      </w:r>
    </w:p>
    <w:p>
      <w:pPr>
        <w:pStyle w:val="10"/>
        <w:numPr>
          <w:ilvl w:val="0"/>
          <w:numId w:val="12"/>
        </w:numPr>
        <w:tabs>
          <w:tab w:val="left" w:pos="677"/>
          <w:tab w:val="left" w:pos="678"/>
        </w:tabs>
        <w:spacing w:before="43" w:after="0" w:line="240" w:lineRule="auto"/>
        <w:ind w:left="677" w:right="0" w:hanging="421"/>
        <w:jc w:val="left"/>
        <w:rPr>
          <w:sz w:val="21"/>
        </w:rPr>
      </w:pPr>
      <w:r>
        <w:rPr>
          <w:spacing w:val="-1"/>
          <w:sz w:val="21"/>
        </w:rPr>
        <w:t>申请人的有效身份证件；</w:t>
      </w:r>
    </w:p>
    <w:p>
      <w:pPr>
        <w:pStyle w:val="10"/>
        <w:numPr>
          <w:ilvl w:val="0"/>
          <w:numId w:val="12"/>
        </w:numPr>
        <w:tabs>
          <w:tab w:val="left" w:pos="677"/>
          <w:tab w:val="left" w:pos="678"/>
        </w:tabs>
        <w:spacing w:before="43" w:after="0" w:line="278" w:lineRule="auto"/>
        <w:ind w:left="677" w:right="634"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10"/>
        <w:numPr>
          <w:ilvl w:val="0"/>
          <w:numId w:val="12"/>
        </w:numPr>
        <w:tabs>
          <w:tab w:val="left" w:pos="677"/>
          <w:tab w:val="left" w:pos="678"/>
        </w:tabs>
        <w:spacing w:before="0" w:after="0" w:line="278" w:lineRule="auto"/>
        <w:ind w:left="257" w:right="2226" w:firstLine="0"/>
        <w:jc w:val="left"/>
        <w:rPr>
          <w:sz w:val="21"/>
        </w:rPr>
      </w:pPr>
      <w:r>
        <w:rPr>
          <w:spacing w:val="-2"/>
          <w:sz w:val="21"/>
        </w:rPr>
        <w:t>所能提供的与确认保险事故的性质、原因等有关的其他证明和资料。二、高残保险金</w:t>
      </w:r>
    </w:p>
    <w:p>
      <w:pPr>
        <w:pStyle w:val="3"/>
      </w:pPr>
      <w:r>
        <w:rPr>
          <w:spacing w:val="-1"/>
        </w:rPr>
        <w:t>在申请高残保险金时，申请人须填写保险金给付申请书，并提供下列证明和资料：</w:t>
      </w:r>
    </w:p>
    <w:p>
      <w:pPr>
        <w:pStyle w:val="10"/>
        <w:numPr>
          <w:ilvl w:val="0"/>
          <w:numId w:val="13"/>
        </w:numPr>
        <w:tabs>
          <w:tab w:val="left" w:pos="677"/>
          <w:tab w:val="left" w:pos="678"/>
        </w:tabs>
        <w:spacing w:before="43" w:after="0" w:line="240" w:lineRule="auto"/>
        <w:ind w:left="677" w:right="0" w:hanging="421"/>
        <w:jc w:val="left"/>
        <w:rPr>
          <w:sz w:val="21"/>
        </w:rPr>
      </w:pPr>
      <w:r>
        <w:rPr>
          <w:spacing w:val="-2"/>
          <w:sz w:val="21"/>
        </w:rPr>
        <w:t>保险合同；</w:t>
      </w:r>
    </w:p>
    <w:p>
      <w:pPr>
        <w:pStyle w:val="10"/>
        <w:numPr>
          <w:ilvl w:val="0"/>
          <w:numId w:val="13"/>
        </w:numPr>
        <w:tabs>
          <w:tab w:val="left" w:pos="677"/>
          <w:tab w:val="left" w:pos="678"/>
        </w:tabs>
        <w:spacing w:before="43" w:after="0" w:line="240" w:lineRule="auto"/>
        <w:ind w:left="677" w:right="0" w:hanging="421"/>
        <w:jc w:val="left"/>
        <w:rPr>
          <w:sz w:val="21"/>
        </w:rPr>
      </w:pPr>
      <w:r>
        <w:rPr>
          <w:spacing w:val="-1"/>
          <w:sz w:val="21"/>
        </w:rPr>
        <w:t>申请人的有效身份证件；</w:t>
      </w:r>
    </w:p>
    <w:p>
      <w:pPr>
        <w:pStyle w:val="10"/>
        <w:numPr>
          <w:ilvl w:val="0"/>
          <w:numId w:val="13"/>
        </w:numPr>
        <w:tabs>
          <w:tab w:val="left" w:pos="678"/>
        </w:tabs>
        <w:spacing w:before="43" w:after="0" w:line="278" w:lineRule="auto"/>
        <w:ind w:left="677" w:right="632" w:hanging="420"/>
        <w:jc w:val="both"/>
        <w:rPr>
          <w:sz w:val="21"/>
        </w:rPr>
      </w:pPr>
      <w:r>
        <w:rPr>
          <w:spacing w:val="-2"/>
          <w:sz w:val="21"/>
        </w:rPr>
        <w:t>国家卫生行政部门医院等级分类中的二级或二级以上医院或者由双方认可的其他医疗机构（或鉴定机构）出具的被保险人伤残程度的资料或身体伤残程度鉴定书；</w:t>
      </w:r>
    </w:p>
    <w:p>
      <w:pPr>
        <w:pStyle w:val="10"/>
        <w:numPr>
          <w:ilvl w:val="0"/>
          <w:numId w:val="13"/>
        </w:numPr>
        <w:tabs>
          <w:tab w:val="left" w:pos="678"/>
        </w:tabs>
        <w:spacing w:before="0" w:after="0" w:line="240" w:lineRule="auto"/>
        <w:ind w:left="677" w:right="0" w:hanging="421"/>
        <w:jc w:val="both"/>
        <w:rPr>
          <w:sz w:val="21"/>
        </w:rPr>
      </w:pPr>
      <w:r>
        <w:rPr>
          <w:spacing w:val="-1"/>
          <w:sz w:val="21"/>
        </w:rPr>
        <w:t>所能提供的与确认保险事故的性质、原因等有关的其他证明和资料。</w:t>
      </w:r>
    </w:p>
    <w:p>
      <w:pPr>
        <w:pStyle w:val="3"/>
        <w:spacing w:before="43" w:line="278" w:lineRule="auto"/>
        <w:ind w:right="633"/>
        <w:jc w:val="both"/>
      </w:pPr>
      <w:r>
        <w:rPr>
          <w:spacing w:val="-4"/>
        </w:rPr>
        <w:t>三、轻症疾病保险金、中症疾病保险金、重大疾病保险金、恶性肿瘤——重度后续医疗保险金、严重阿尔茨海默病后续医疗保险金、严重原发性帕金森病后续医疗保险金、生命关爱保</w:t>
      </w:r>
      <w:r>
        <w:rPr>
          <w:spacing w:val="-6"/>
        </w:rPr>
        <w:t>险金</w:t>
      </w:r>
    </w:p>
    <w:p>
      <w:pPr>
        <w:pStyle w:val="3"/>
        <w:spacing w:line="278" w:lineRule="auto"/>
        <w:ind w:right="633"/>
        <w:jc w:val="both"/>
      </w:pPr>
      <w:r>
        <w:rPr>
          <w:spacing w:val="-4"/>
        </w:rPr>
        <w:t>在申请轻症疾病保险金、中症疾病保险金、重大疾病保险金、恶性肿瘤——重度后续医疗保险金、严重阿尔茨海默病后续医疗保险金、严重原发性帕金森病后续医疗保险金、生命关爱</w:t>
      </w:r>
      <w:r>
        <w:rPr>
          <w:spacing w:val="-2"/>
        </w:rPr>
        <w:t>保险金时，申请人须填写保险金给付申请书，并提供下列证明和资料：</w:t>
      </w:r>
    </w:p>
    <w:p>
      <w:pPr>
        <w:pStyle w:val="10"/>
        <w:numPr>
          <w:ilvl w:val="0"/>
          <w:numId w:val="14"/>
        </w:numPr>
        <w:tabs>
          <w:tab w:val="left" w:pos="678"/>
        </w:tabs>
        <w:spacing w:before="0" w:after="0" w:line="240" w:lineRule="auto"/>
        <w:ind w:left="677" w:right="0" w:hanging="421"/>
        <w:jc w:val="both"/>
        <w:rPr>
          <w:sz w:val="21"/>
        </w:rPr>
      </w:pPr>
      <w:r>
        <w:rPr>
          <w:spacing w:val="-2"/>
          <w:sz w:val="21"/>
        </w:rPr>
        <w:t>保险合同；</w:t>
      </w:r>
    </w:p>
    <w:p>
      <w:pPr>
        <w:pStyle w:val="10"/>
        <w:numPr>
          <w:ilvl w:val="0"/>
          <w:numId w:val="14"/>
        </w:numPr>
        <w:tabs>
          <w:tab w:val="left" w:pos="678"/>
        </w:tabs>
        <w:spacing w:before="43" w:after="0" w:line="240" w:lineRule="auto"/>
        <w:ind w:left="677" w:right="0" w:hanging="421"/>
        <w:jc w:val="both"/>
        <w:rPr>
          <w:sz w:val="21"/>
        </w:rPr>
      </w:pPr>
      <w:r>
        <w:rPr>
          <w:spacing w:val="-1"/>
          <w:sz w:val="21"/>
        </w:rPr>
        <w:t>申请人的有效身份证件；</w:t>
      </w:r>
    </w:p>
    <w:p>
      <w:pPr>
        <w:pStyle w:val="10"/>
        <w:numPr>
          <w:ilvl w:val="0"/>
          <w:numId w:val="14"/>
        </w:numPr>
        <w:tabs>
          <w:tab w:val="left" w:pos="678"/>
        </w:tabs>
        <w:spacing w:before="43" w:after="0" w:line="278" w:lineRule="auto"/>
        <w:ind w:left="677" w:right="634" w:hanging="420"/>
        <w:jc w:val="both"/>
        <w:rPr>
          <w:sz w:val="21"/>
        </w:rPr>
      </w:pPr>
      <w:r>
        <w:rPr>
          <w:spacing w:val="-4"/>
          <w:sz w:val="21"/>
        </w:rPr>
        <w:t>我们认可的医院出具的被保险人病历、病理、血液及其他科学方法检验报告的诊断证明文件；</w:t>
      </w:r>
    </w:p>
    <w:p>
      <w:pPr>
        <w:pStyle w:val="10"/>
        <w:numPr>
          <w:ilvl w:val="0"/>
          <w:numId w:val="14"/>
        </w:numPr>
        <w:tabs>
          <w:tab w:val="left" w:pos="678"/>
        </w:tabs>
        <w:spacing w:before="0" w:after="0" w:line="240" w:lineRule="auto"/>
        <w:ind w:left="677" w:right="0" w:hanging="421"/>
        <w:jc w:val="both"/>
        <w:rPr>
          <w:sz w:val="21"/>
        </w:rPr>
      </w:pPr>
      <w:r>
        <w:rPr>
          <w:spacing w:val="-1"/>
          <w:sz w:val="21"/>
        </w:rPr>
        <w:t>所能提供的与确认保险事故的性质、原因、损失程度等相关的其他证明或资料。</w:t>
      </w:r>
    </w:p>
    <w:p>
      <w:pPr>
        <w:pStyle w:val="3"/>
        <w:spacing w:before="8"/>
        <w:ind w:left="0"/>
        <w:rPr>
          <w:sz w:val="27"/>
        </w:rPr>
      </w:pPr>
    </w:p>
    <w:p>
      <w:pPr>
        <w:pStyle w:val="3"/>
        <w:spacing w:before="1"/>
      </w:pPr>
      <w:r>
        <w:rPr>
          <w:spacing w:val="-1"/>
        </w:rPr>
        <w:t>保险金作为被保险人遗产时，必须提供可证明合法继承权的相关权利文件。</w:t>
      </w:r>
    </w:p>
    <w:p>
      <w:pPr>
        <w:pStyle w:val="3"/>
        <w:spacing w:before="43"/>
      </w:pPr>
      <w:r>
        <w:rPr>
          <w:spacing w:val="-1"/>
        </w:rPr>
        <w:t>以上证明和资料不完整的，我们将及时一次性通知申请人补充提供有关证明或资料。</w:t>
      </w:r>
    </w:p>
    <w:p>
      <w:pPr>
        <w:pStyle w:val="3"/>
        <w:spacing w:before="8"/>
        <w:ind w:left="0"/>
        <w:rPr>
          <w:sz w:val="27"/>
        </w:rPr>
      </w:pPr>
    </w:p>
    <w:p>
      <w:pPr>
        <w:pStyle w:val="3"/>
        <w:spacing w:before="1"/>
        <w:jc w:val="both"/>
      </w:pPr>
      <w:bookmarkStart w:id="59" w:name="_bookmark59"/>
      <w:bookmarkEnd w:id="59"/>
      <w:r>
        <w:t>第十九条</w:t>
      </w:r>
      <w:r>
        <w:rPr>
          <w:spacing w:val="52"/>
          <w:w w:val="150"/>
        </w:rPr>
        <w:t xml:space="preserve">  </w:t>
      </w:r>
      <w:r>
        <w:rPr>
          <w:spacing w:val="-2"/>
        </w:rPr>
        <w:t>保险金给付</w:t>
      </w:r>
    </w:p>
    <w:p>
      <w:pPr>
        <w:pStyle w:val="3"/>
        <w:spacing w:before="43" w:line="278" w:lineRule="auto"/>
        <w:ind w:right="633"/>
        <w:jc w:val="both"/>
      </w:pPr>
      <w:r>
        <w:rPr>
          <w:spacing w:val="-4"/>
        </w:rPr>
        <w:t>我们在收到保险金给付申请书及合同约定的证明和资料后，将在五个工作日内作出核定；情形复杂的，在三十日内作出核定。对属于保险责任的，我们在与受益人达成给付保险金的协</w:t>
      </w:r>
      <w:r>
        <w:rPr>
          <w:spacing w:val="-2"/>
        </w:rPr>
        <w:t>议后十日内，履行给付保险金义务。</w:t>
      </w:r>
    </w:p>
    <w:p>
      <w:pPr>
        <w:pStyle w:val="3"/>
      </w:pPr>
      <w:r>
        <w:rPr>
          <w:spacing w:val="-1"/>
        </w:rPr>
        <w:t>我们未及时履行前款规定义务的，除支付保险金外，应当赔偿受益人因此受到的损失。</w:t>
      </w:r>
    </w:p>
    <w:p>
      <w:pPr>
        <w:pStyle w:val="3"/>
        <w:spacing w:before="42" w:line="278" w:lineRule="auto"/>
        <w:ind w:right="634"/>
      </w:pPr>
      <w:r>
        <w:rPr>
          <w:spacing w:val="-11"/>
        </w:rPr>
        <w:t>对不属于保险责任的，我们自作出核定之日起三日内向受益人发出拒绝给付保险金通知书并</w:t>
      </w:r>
      <w:r>
        <w:rPr>
          <w:spacing w:val="-2"/>
        </w:rPr>
        <w:t>说明理由。</w:t>
      </w:r>
    </w:p>
    <w:p>
      <w:pPr>
        <w:pStyle w:val="3"/>
        <w:spacing w:line="278" w:lineRule="auto"/>
        <w:ind w:right="529"/>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3"/>
        <w:spacing w:before="5"/>
        <w:ind w:left="0"/>
        <w:rPr>
          <w:sz w:val="24"/>
        </w:rPr>
      </w:pPr>
    </w:p>
    <w:p>
      <w:pPr>
        <w:pStyle w:val="3"/>
        <w:tabs>
          <w:tab w:val="left" w:pos="1517"/>
        </w:tabs>
      </w:pPr>
      <w:bookmarkStart w:id="60" w:name="_bookmark60"/>
      <w:bookmarkEnd w:id="60"/>
      <w:r>
        <w:t>第二十</w:t>
      </w:r>
      <w:r>
        <w:rPr>
          <w:spacing w:val="-10"/>
        </w:rPr>
        <w:t>条</w:t>
      </w:r>
      <w:r>
        <w:tab/>
      </w:r>
      <w:r>
        <w:t>失踪处</w:t>
      </w:r>
      <w:r>
        <w:rPr>
          <w:spacing w:val="-10"/>
        </w:rPr>
        <w:t>理</w:t>
      </w:r>
    </w:p>
    <w:p>
      <w:pPr>
        <w:pStyle w:val="3"/>
        <w:spacing w:before="43"/>
      </w:pPr>
      <w:r>
        <w:rPr>
          <w:spacing w:val="-5"/>
        </w:rPr>
        <w:t>被保险人在本合同有效期内失踪，若经法院宣告死亡，我们按照法院判决宣告日期确定被保</w:t>
      </w:r>
    </w:p>
    <w:p>
      <w:pPr>
        <w:spacing w:after="0"/>
        <w:sectPr>
          <w:footerReference r:id="rId8" w:type="default"/>
          <w:pgSz w:w="11910" w:h="16840"/>
          <w:pgMar w:top="1580" w:right="1160" w:bottom="1460" w:left="1540" w:header="0" w:footer="1264" w:gutter="0"/>
          <w:cols w:space="720" w:num="1"/>
        </w:sectPr>
      </w:pPr>
    </w:p>
    <w:p>
      <w:pPr>
        <w:pStyle w:val="3"/>
        <w:spacing w:before="42"/>
      </w:pPr>
      <w:r>
        <w:rPr>
          <w:spacing w:val="-2"/>
        </w:rPr>
        <w:t>险人身故时间。</w:t>
      </w:r>
    </w:p>
    <w:p>
      <w:pPr>
        <w:pStyle w:val="3"/>
        <w:spacing w:before="43" w:line="278" w:lineRule="auto"/>
        <w:ind w:right="634"/>
      </w:pPr>
      <w:r>
        <w:rPr>
          <w:spacing w:val="-9"/>
        </w:rPr>
        <w:t>若被保险人在宣告死亡后生还，身故保险金受益人应于知道被保险人生还之日起三十日内退</w:t>
      </w:r>
      <w:r>
        <w:rPr>
          <w:spacing w:val="-2"/>
        </w:rPr>
        <w:t>还我们已给付的身故保险金。</w:t>
      </w:r>
    </w:p>
    <w:p>
      <w:pPr>
        <w:pStyle w:val="3"/>
        <w:spacing w:before="4"/>
        <w:ind w:left="0"/>
        <w:rPr>
          <w:sz w:val="24"/>
        </w:rPr>
      </w:pPr>
    </w:p>
    <w:p>
      <w:pPr>
        <w:pStyle w:val="2"/>
        <w:ind w:left="2847" w:right="3222"/>
      </w:pPr>
      <w:bookmarkStart w:id="61" w:name="_bookmark61"/>
      <w:bookmarkEnd w:id="61"/>
      <w:r>
        <w:rPr>
          <w:w w:val="95"/>
        </w:rPr>
        <w:t>第六章</w:t>
      </w:r>
      <w:r>
        <w:rPr>
          <w:spacing w:val="36"/>
        </w:rPr>
        <w:t xml:space="preserve"> </w:t>
      </w:r>
      <w:r>
        <w:rPr>
          <w:w w:val="95"/>
        </w:rPr>
        <w:t>一般条</w:t>
      </w:r>
      <w:r>
        <w:rPr>
          <w:spacing w:val="-10"/>
          <w:w w:val="95"/>
        </w:rPr>
        <w:t>款</w:t>
      </w:r>
    </w:p>
    <w:p>
      <w:pPr>
        <w:pStyle w:val="3"/>
        <w:spacing w:before="9"/>
        <w:ind w:left="0"/>
        <w:rPr>
          <w:b/>
          <w:sz w:val="27"/>
        </w:rPr>
      </w:pPr>
    </w:p>
    <w:p>
      <w:pPr>
        <w:pStyle w:val="3"/>
        <w:tabs>
          <w:tab w:val="left" w:pos="1517"/>
        </w:tabs>
      </w:pPr>
      <w:bookmarkStart w:id="62" w:name="_bookmark62"/>
      <w:bookmarkEnd w:id="62"/>
      <w:r>
        <w:t>第二十一</w:t>
      </w:r>
      <w:r>
        <w:rPr>
          <w:spacing w:val="-10"/>
        </w:rPr>
        <w:t>条</w:t>
      </w:r>
      <w:r>
        <w:tab/>
      </w:r>
      <w:r>
        <w:t>如实告</w:t>
      </w:r>
      <w:r>
        <w:rPr>
          <w:spacing w:val="-10"/>
        </w:rPr>
        <w:t>知</w:t>
      </w:r>
    </w:p>
    <w:p>
      <w:pPr>
        <w:pStyle w:val="3"/>
        <w:spacing w:before="43"/>
      </w:pPr>
      <w:r>
        <w:rPr>
          <w:spacing w:val="-1"/>
        </w:rPr>
        <w:t>订立本合同时，我们应向您说明本合同的内容。</w:t>
      </w:r>
    </w:p>
    <w:p>
      <w:pPr>
        <w:pStyle w:val="3"/>
        <w:spacing w:before="43" w:line="278" w:lineRule="auto"/>
        <w:ind w:right="634"/>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3"/>
      </w:pPr>
      <w:r>
        <w:rPr>
          <w:spacing w:val="-1"/>
        </w:rPr>
        <w:t>我们就您和被保险人的有关情况提出询问，您应当如实告知。</w:t>
      </w:r>
    </w:p>
    <w:p>
      <w:pPr>
        <w:pStyle w:val="3"/>
        <w:spacing w:before="43" w:line="278" w:lineRule="auto"/>
        <w:ind w:right="634"/>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3"/>
        <w:spacing w:line="278" w:lineRule="auto"/>
        <w:ind w:right="635"/>
        <w:rPr>
          <w:rFonts w:ascii="黑体" w:eastAsia="黑体"/>
        </w:rPr>
      </w:pPr>
      <w:r>
        <w:rPr>
          <w:rFonts w:ascii="黑体" w:eastAsia="黑体"/>
          <w:color w:val="000000"/>
          <w:spacing w:val="-4"/>
          <w:shd w:val="clear" w:color="auto" w:fill="DADADA"/>
        </w:rPr>
        <w:t>如果您故意不履行如实告知义务，对于本合同解除前发生的保险事故，我们不承担给付保险</w:t>
      </w:r>
      <w:r>
        <w:rPr>
          <w:rFonts w:ascii="黑体" w:eastAsia="黑体"/>
          <w:color w:val="000000"/>
          <w:spacing w:val="-2"/>
          <w:shd w:val="clear" w:color="auto" w:fill="DADADA"/>
        </w:rPr>
        <w:t>金的责任，并不退还保险费。</w:t>
      </w:r>
    </w:p>
    <w:p>
      <w:pPr>
        <w:pStyle w:val="3"/>
        <w:spacing w:line="278" w:lineRule="auto"/>
        <w:ind w:right="635"/>
        <w:rPr>
          <w:rFonts w:ascii="黑体" w:eastAsia="黑体"/>
        </w:rPr>
      </w:pPr>
      <w:r>
        <w:rPr>
          <w:rFonts w:ascii="黑体" w:eastAsia="黑体"/>
          <w:color w:val="000000"/>
          <w:spacing w:val="-4"/>
          <w:shd w:val="clear" w:color="auto" w:fill="DADADA"/>
        </w:rPr>
        <w:t>如果您因重大过失未履行如实告知义务，对保险事故的发生有严重影响的，对于本合同解除</w:t>
      </w:r>
      <w:r>
        <w:rPr>
          <w:rFonts w:ascii="黑体" w:eastAsia="黑体"/>
          <w:color w:val="000000"/>
          <w:spacing w:val="-2"/>
          <w:shd w:val="clear" w:color="auto" w:fill="DADADA"/>
        </w:rPr>
        <w:t>前发生的保险事故，我们不承担给付保险金的责任，但应当退还保险费。</w:t>
      </w:r>
    </w:p>
    <w:p>
      <w:pPr>
        <w:pStyle w:val="3"/>
        <w:spacing w:line="278" w:lineRule="auto"/>
        <w:ind w:right="531"/>
      </w:pPr>
      <w:r>
        <w:rPr>
          <w:spacing w:val="-2"/>
        </w:rPr>
        <w:t>我们在合同订立时已经知道您未如实告知的情况的，我们不得解除合同；发生保险事故的，我们承担给付保险金的责任。</w:t>
      </w:r>
    </w:p>
    <w:p>
      <w:pPr>
        <w:pStyle w:val="3"/>
        <w:spacing w:line="278" w:lineRule="auto"/>
        <w:ind w:right="633"/>
        <w:jc w:val="both"/>
      </w:pPr>
      <w:r>
        <w:rPr>
          <w:spacing w:val="-4"/>
        </w:rPr>
        <w:t>本条规定的合同解除权，自我们知道有解除事由之日起，超过三十日不行使而消灭。自本合同成立之日起超过二年的，我们不得解除合同；发生保险事故的，我们承担给付保险金的责</w:t>
      </w:r>
      <w:r>
        <w:rPr>
          <w:spacing w:val="-6"/>
        </w:rPr>
        <w:t>任。</w:t>
      </w:r>
    </w:p>
    <w:p>
      <w:pPr>
        <w:pStyle w:val="3"/>
        <w:spacing w:before="3"/>
        <w:ind w:left="0"/>
        <w:rPr>
          <w:sz w:val="24"/>
        </w:rPr>
      </w:pPr>
    </w:p>
    <w:p>
      <w:pPr>
        <w:pStyle w:val="3"/>
        <w:jc w:val="both"/>
      </w:pPr>
      <w:bookmarkStart w:id="63" w:name="_bookmark63"/>
      <w:bookmarkEnd w:id="63"/>
      <w:r>
        <w:rPr>
          <w:spacing w:val="7"/>
        </w:rPr>
        <w:t>第二十二条 年龄性别错误</w:t>
      </w:r>
    </w:p>
    <w:p>
      <w:pPr>
        <w:pStyle w:val="3"/>
        <w:spacing w:before="43" w:line="278" w:lineRule="auto"/>
        <w:ind w:right="635"/>
        <w:jc w:val="both"/>
      </w:pPr>
      <w:r>
        <w:rPr>
          <w:spacing w:val="-4"/>
        </w:rPr>
        <w:t>您在申请投保时，应将被保险人有效身份证件载明的出生日期和性别在投保单上填明。该被保险人的投保年龄以有效身份证件载明的出生日期计算的周岁年龄为准。若发生错误，我们</w:t>
      </w:r>
      <w:r>
        <w:rPr>
          <w:spacing w:val="-2"/>
        </w:rPr>
        <w:t>依下列约定处理：</w:t>
      </w:r>
    </w:p>
    <w:p>
      <w:pPr>
        <w:pStyle w:val="3"/>
        <w:spacing w:line="278" w:lineRule="auto"/>
        <w:ind w:left="677" w:right="635" w:hanging="420"/>
        <w:rPr>
          <w:rFonts w:ascii="黑体" w:eastAsia="黑体"/>
        </w:rPr>
      </w:pPr>
      <w:r>
        <w:rPr>
          <w:rFonts w:ascii="黑体" w:eastAsia="黑体"/>
          <w:spacing w:val="-4"/>
        </w:rPr>
        <w:t>一、您申报的被保险人年龄不真实，并且其真实年龄不符合本合同约定投保年龄限制的，在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3"/>
        <w:spacing w:line="278" w:lineRule="auto"/>
        <w:ind w:left="677" w:right="633"/>
        <w:jc w:val="both"/>
      </w:pPr>
      <w:r>
        <w:rPr>
          <w:spacing w:val="-4"/>
        </w:rPr>
        <w:t>本款规定的合同解除权，自我们知道有解除事由之日起，超过三十日不行使而消灭。自本合同成立之日起超过二年的，我们不得解除合同；发生保险事故的，我们承担给付保</w:t>
      </w:r>
      <w:r>
        <w:rPr>
          <w:spacing w:val="-2"/>
        </w:rPr>
        <w:t>险金的责任。</w:t>
      </w:r>
    </w:p>
    <w:p>
      <w:pPr>
        <w:pStyle w:val="3"/>
        <w:spacing w:line="278" w:lineRule="auto"/>
        <w:ind w:left="677" w:right="635" w:hanging="420"/>
        <w:jc w:val="both"/>
        <w:rPr>
          <w:rFonts w:ascii="黑体" w:eastAsia="黑体"/>
        </w:rPr>
      </w:pPr>
      <w:r>
        <w:rPr>
          <w:rFonts w:ascii="黑体" w:eastAsia="黑体"/>
          <w:spacing w:val="-4"/>
        </w:rPr>
        <w:t>二、</w:t>
      </w:r>
      <w:r>
        <w:rPr>
          <w:rFonts w:ascii="黑体" w:eastAsia="黑体"/>
          <w:color w:val="000000"/>
          <w:spacing w:val="-4"/>
          <w:shd w:val="clear" w:color="auto" w:fill="DADADA"/>
        </w:rPr>
        <w:t>您申报的被保险人年龄或性别不真实，致使您实付保险费少于应付保险费的，我们有权</w:t>
      </w:r>
      <w:r>
        <w:rPr>
          <w:rFonts w:ascii="黑体" w:eastAsia="黑体"/>
          <w:color w:val="000000"/>
          <w:spacing w:val="40"/>
          <w:shd w:val="clear" w:color="auto" w:fill="DADADA"/>
        </w:rPr>
        <w:t xml:space="preserve"> </w:t>
      </w:r>
      <w:r>
        <w:rPr>
          <w:rFonts w:ascii="黑体" w:eastAsia="黑体"/>
          <w:color w:val="000000"/>
          <w:spacing w:val="-4"/>
          <w:shd w:val="clear" w:color="auto" w:fill="DADADA"/>
        </w:rPr>
        <w:t>更正并要求您补交保险费。若已经发生保险事故，在给付保险金时按实付保险费和应付</w:t>
      </w:r>
      <w:r>
        <w:rPr>
          <w:rFonts w:ascii="黑体" w:eastAsia="黑体"/>
          <w:color w:val="000000"/>
          <w:spacing w:val="-2"/>
          <w:shd w:val="clear" w:color="auto" w:fill="DADADA"/>
        </w:rPr>
        <w:t>保险费的比例给付。</w:t>
      </w:r>
    </w:p>
    <w:p>
      <w:pPr>
        <w:pStyle w:val="3"/>
        <w:spacing w:line="278" w:lineRule="auto"/>
        <w:ind w:left="677" w:right="635" w:hanging="420"/>
      </w:pPr>
      <w:r>
        <w:rPr>
          <w:spacing w:val="-4"/>
        </w:rPr>
        <w:t>三、您申报的被保险人年龄或性别不真实，致使您实付保险费多于应付保险费的，我们会将</w:t>
      </w:r>
      <w:r>
        <w:rPr>
          <w:spacing w:val="-2"/>
        </w:rPr>
        <w:t>多收的保险费无息退还给您。</w:t>
      </w:r>
    </w:p>
    <w:p>
      <w:pPr>
        <w:pStyle w:val="3"/>
        <w:spacing w:before="3"/>
        <w:ind w:left="0"/>
        <w:rPr>
          <w:sz w:val="24"/>
        </w:rPr>
      </w:pPr>
    </w:p>
    <w:p>
      <w:pPr>
        <w:pStyle w:val="3"/>
        <w:jc w:val="both"/>
      </w:pPr>
      <w:bookmarkStart w:id="64" w:name="_bookmark64"/>
      <w:bookmarkEnd w:id="64"/>
      <w:r>
        <w:t>第二十三条</w:t>
      </w:r>
      <w:r>
        <w:rPr>
          <w:spacing w:val="52"/>
          <w:w w:val="150"/>
        </w:rPr>
        <w:t xml:space="preserve"> </w:t>
      </w:r>
      <w:r>
        <w:rPr>
          <w:spacing w:val="-4"/>
        </w:rPr>
        <w:t>犹豫期</w:t>
      </w:r>
    </w:p>
    <w:p>
      <w:pPr>
        <w:pStyle w:val="3"/>
        <w:spacing w:before="43" w:line="278" w:lineRule="auto"/>
        <w:ind w:right="633"/>
        <w:jc w:val="both"/>
      </w:pPr>
      <w:r>
        <w:rPr>
          <w:spacing w:val="-4"/>
        </w:rPr>
        <w:t>自您签收本合同起十五日内为犹豫期。在犹豫期内，若未发生保险金给付，您可以书面申请解除本合同。自我们收到解除申请时起（若为邮寄，则以寄发邮戳为准</w:t>
      </w:r>
      <w:r>
        <w:rPr>
          <w:spacing w:val="-77"/>
        </w:rPr>
        <w:t>）</w:t>
      </w:r>
      <w:r>
        <w:rPr>
          <w:spacing w:val="-14"/>
        </w:rPr>
        <w:t>，本合同自始无效。</w:t>
      </w:r>
      <w:r>
        <w:rPr>
          <w:spacing w:val="-2"/>
        </w:rPr>
        <w:t>您向我们退回保险合同，我们无息向您退还已收到的保险费。</w:t>
      </w:r>
    </w:p>
    <w:p>
      <w:pPr>
        <w:spacing w:after="0" w:line="278" w:lineRule="auto"/>
        <w:jc w:val="both"/>
        <w:sectPr>
          <w:pgSz w:w="11910" w:h="16840"/>
          <w:pgMar w:top="1400" w:right="1160" w:bottom="1540" w:left="1540" w:header="0" w:footer="1264" w:gutter="0"/>
          <w:cols w:space="720" w:num="1"/>
        </w:sectPr>
      </w:pPr>
    </w:p>
    <w:p>
      <w:pPr>
        <w:pStyle w:val="3"/>
        <w:spacing w:before="42"/>
        <w:jc w:val="both"/>
      </w:pPr>
      <w:bookmarkStart w:id="65" w:name="_bookmark65"/>
      <w:bookmarkEnd w:id="65"/>
      <w:r>
        <w:t>第二十四条</w:t>
      </w:r>
      <w:r>
        <w:rPr>
          <w:spacing w:val="52"/>
          <w:w w:val="150"/>
        </w:rPr>
        <w:t xml:space="preserve"> </w:t>
      </w:r>
      <w:r>
        <w:rPr>
          <w:spacing w:val="-2"/>
        </w:rPr>
        <w:t>受益人指定与变更</w:t>
      </w:r>
    </w:p>
    <w:p>
      <w:pPr>
        <w:pStyle w:val="3"/>
        <w:spacing w:before="43" w:line="278" w:lineRule="auto"/>
        <w:ind w:right="633"/>
        <w:jc w:val="both"/>
      </w:pPr>
      <w:r>
        <w:rPr>
          <w:spacing w:val="-4"/>
        </w:rPr>
        <w:t>除本合同另有约定外，轻症疾病保险金、中症疾病保险金、重大疾病保险金、恶性肿瘤——重度后续医疗保险金、严重阿尔茨海默病后续医疗保险金、严重原发性帕金森病后续医疗保</w:t>
      </w:r>
      <w:r>
        <w:rPr>
          <w:spacing w:val="-2"/>
        </w:rPr>
        <w:t>险金、高残保险金、生命关爱保险金受益人为被保险人本人。</w:t>
      </w:r>
    </w:p>
    <w:p>
      <w:pPr>
        <w:pStyle w:val="3"/>
        <w:spacing w:line="278" w:lineRule="auto"/>
        <w:ind w:right="634"/>
      </w:pPr>
      <w:r>
        <w:rPr>
          <w:spacing w:val="-6"/>
        </w:rPr>
        <w:t>您或被保险人可以指定或变更身故保险金受益人，但您指定或变更上述保险金受益人须征得</w:t>
      </w:r>
      <w:r>
        <w:rPr>
          <w:spacing w:val="-2"/>
        </w:rPr>
        <w:t>被保险人书面同意。变更受益人须书面通知我们，并经我们在保险单上批注。</w:t>
      </w:r>
    </w:p>
    <w:p>
      <w:pPr>
        <w:pStyle w:val="3"/>
        <w:spacing w:line="278" w:lineRule="auto"/>
        <w:ind w:right="633"/>
      </w:pPr>
      <w:r>
        <w:rPr>
          <w:spacing w:val="-4"/>
        </w:rPr>
        <w:t>若受益人为数人时，您或被保险人应确定受益顺序和受益份额；未确定受益份额的，各受益</w:t>
      </w:r>
      <w:r>
        <w:rPr>
          <w:spacing w:val="-2"/>
        </w:rPr>
        <w:t>人享有相等份额的受益权。</w:t>
      </w:r>
    </w:p>
    <w:p>
      <w:pPr>
        <w:pStyle w:val="3"/>
      </w:pPr>
      <w:r>
        <w:rPr>
          <w:spacing w:val="-1"/>
        </w:rPr>
        <w:t>被保险人为无民事行为能力人或限制民事行为能力人的，可以由其监护人指定受益人。</w:t>
      </w:r>
    </w:p>
    <w:p>
      <w:pPr>
        <w:pStyle w:val="3"/>
        <w:spacing w:before="42" w:line="278" w:lineRule="auto"/>
        <w:ind w:right="633"/>
      </w:pPr>
      <w:r>
        <w:rPr>
          <w:spacing w:val="-4"/>
        </w:rPr>
        <w:t>被保险人身故后，有下列情形之一的，保险金作为被保险人的遗产，由我们依照《中华人民</w:t>
      </w:r>
      <w:r>
        <w:rPr>
          <w:spacing w:val="-2"/>
        </w:rPr>
        <w:t>共和国继承法》的规定履行给付保险金的义务：</w:t>
      </w:r>
    </w:p>
    <w:p>
      <w:pPr>
        <w:pStyle w:val="3"/>
        <w:spacing w:line="278" w:lineRule="auto"/>
        <w:ind w:right="3697"/>
      </w:pPr>
      <w:r>
        <w:rPr>
          <w:spacing w:val="-2"/>
        </w:rPr>
        <w:t>一、没有指定受益人，或者受益人指定不明无法确定的；二、受益人先于被保险人身故，没有其他受益人的；</w:t>
      </w:r>
    </w:p>
    <w:p>
      <w:pPr>
        <w:pStyle w:val="3"/>
      </w:pPr>
      <w:r>
        <w:rPr>
          <w:spacing w:val="-1"/>
        </w:rPr>
        <w:t>三、受益人依法丧失受益权或者放弃受益权，没有其他受益人的。</w:t>
      </w:r>
    </w:p>
    <w:p>
      <w:pPr>
        <w:pStyle w:val="3"/>
        <w:spacing w:before="9"/>
        <w:ind w:left="0"/>
        <w:rPr>
          <w:sz w:val="27"/>
        </w:rPr>
      </w:pPr>
    </w:p>
    <w:p>
      <w:pPr>
        <w:pStyle w:val="3"/>
        <w:spacing w:line="278" w:lineRule="auto"/>
        <w:ind w:right="635"/>
      </w:pPr>
      <w:r>
        <w:rPr>
          <w:spacing w:val="-4"/>
        </w:rPr>
        <w:t>若受益人与被保险人在同一事件中身故，且不能确定身故先后顺序的，则推定受益人先于被</w:t>
      </w:r>
      <w:r>
        <w:rPr>
          <w:spacing w:val="-2"/>
        </w:rPr>
        <w:t>保险人身故。</w:t>
      </w:r>
    </w:p>
    <w:p>
      <w:pPr>
        <w:pStyle w:val="3"/>
        <w:spacing w:line="278" w:lineRule="auto"/>
        <w:ind w:right="634"/>
        <w:rPr>
          <w:rFonts w:ascii="黑体" w:eastAsia="黑体"/>
        </w:rPr>
      </w:pPr>
      <w:r>
        <w:rPr>
          <w:rFonts w:ascii="黑体" w:eastAsia="黑体"/>
          <w:spacing w:val="-4"/>
        </w:rPr>
        <w:t>受益人故意造成被保险人身故、伤残、疾病的，或者故意杀害被保险人未遂的，该受益人丧</w:t>
      </w:r>
      <w:r>
        <w:rPr>
          <w:rFonts w:ascii="黑体" w:eastAsia="黑体"/>
          <w:spacing w:val="-2"/>
        </w:rPr>
        <w:t>失受益权。</w:t>
      </w:r>
    </w:p>
    <w:p>
      <w:pPr>
        <w:pStyle w:val="3"/>
        <w:spacing w:before="4"/>
        <w:ind w:left="0"/>
        <w:rPr>
          <w:rFonts w:ascii="黑体"/>
          <w:sz w:val="24"/>
        </w:rPr>
      </w:pPr>
    </w:p>
    <w:p>
      <w:pPr>
        <w:pStyle w:val="3"/>
        <w:tabs>
          <w:tab w:val="left" w:pos="1517"/>
        </w:tabs>
        <w:spacing w:before="1"/>
      </w:pPr>
      <w:bookmarkStart w:id="66" w:name="_bookmark66"/>
      <w:bookmarkEnd w:id="66"/>
      <w:r>
        <w:t>第二十五</w:t>
      </w:r>
      <w:r>
        <w:rPr>
          <w:spacing w:val="-10"/>
        </w:rPr>
        <w:t>条</w:t>
      </w:r>
      <w:r>
        <w:tab/>
      </w:r>
      <w:r>
        <w:t>合同内容变</w:t>
      </w:r>
      <w:r>
        <w:rPr>
          <w:spacing w:val="-10"/>
        </w:rPr>
        <w:t>更</w:t>
      </w:r>
    </w:p>
    <w:p>
      <w:pPr>
        <w:pStyle w:val="3"/>
        <w:spacing w:before="43" w:line="278" w:lineRule="auto"/>
        <w:ind w:right="633"/>
      </w:pPr>
      <w:r>
        <w:rPr>
          <w:spacing w:val="-4"/>
        </w:rPr>
        <w:t>在本合同有效期内，经与我们协商一致，您可以变更本合同的有关内容，并经我们在保险单上批注。</w:t>
      </w:r>
    </w:p>
    <w:p>
      <w:pPr>
        <w:pStyle w:val="3"/>
        <w:spacing w:before="4"/>
        <w:ind w:left="0"/>
        <w:rPr>
          <w:sz w:val="24"/>
        </w:rPr>
      </w:pPr>
    </w:p>
    <w:p>
      <w:pPr>
        <w:pStyle w:val="3"/>
        <w:tabs>
          <w:tab w:val="left" w:pos="1517"/>
        </w:tabs>
      </w:pPr>
      <w:bookmarkStart w:id="67" w:name="_bookmark67"/>
      <w:bookmarkEnd w:id="67"/>
      <w:r>
        <w:t>第二十六</w:t>
      </w:r>
      <w:r>
        <w:rPr>
          <w:spacing w:val="-10"/>
        </w:rPr>
        <w:t>条</w:t>
      </w:r>
      <w:r>
        <w:tab/>
      </w:r>
      <w:r>
        <w:t>通讯地址变</w:t>
      </w:r>
      <w:r>
        <w:rPr>
          <w:spacing w:val="-10"/>
        </w:rPr>
        <w:t>更</w:t>
      </w:r>
    </w:p>
    <w:p>
      <w:pPr>
        <w:pStyle w:val="3"/>
        <w:spacing w:before="43" w:line="278" w:lineRule="auto"/>
        <w:ind w:right="633"/>
      </w:pPr>
      <w:r>
        <w:rPr>
          <w:spacing w:val="-4"/>
        </w:rPr>
        <w:t>您的通讯地址变更时，应及时书面通知我们。您不作前项通知时，我们按本合同所载的最新</w:t>
      </w:r>
      <w:r>
        <w:rPr>
          <w:spacing w:val="-2"/>
        </w:rPr>
        <w:t>通讯地址发送的通知，视为已送达您。</w:t>
      </w:r>
    </w:p>
    <w:p>
      <w:pPr>
        <w:pStyle w:val="3"/>
        <w:spacing w:before="4"/>
        <w:ind w:left="0"/>
        <w:rPr>
          <w:sz w:val="24"/>
        </w:rPr>
      </w:pPr>
    </w:p>
    <w:p>
      <w:pPr>
        <w:pStyle w:val="3"/>
        <w:tabs>
          <w:tab w:val="left" w:pos="1517"/>
        </w:tabs>
      </w:pPr>
      <w:bookmarkStart w:id="68" w:name="_bookmark68"/>
      <w:bookmarkEnd w:id="68"/>
      <w:r>
        <w:t>第二十七</w:t>
      </w:r>
      <w:r>
        <w:rPr>
          <w:spacing w:val="-10"/>
        </w:rPr>
        <w:t>条</w:t>
      </w:r>
      <w:r>
        <w:tab/>
      </w:r>
      <w:r>
        <w:t>司法鉴</w:t>
      </w:r>
      <w:r>
        <w:rPr>
          <w:spacing w:val="-10"/>
        </w:rPr>
        <w:t>定</w:t>
      </w:r>
    </w:p>
    <w:p>
      <w:pPr>
        <w:pStyle w:val="3"/>
        <w:spacing w:before="43"/>
      </w:pPr>
      <w:r>
        <w:rPr>
          <w:spacing w:val="-1"/>
        </w:rPr>
        <w:t>我们有权要求司法鉴定机构对保险事故进行鉴定。</w:t>
      </w:r>
    </w:p>
    <w:p>
      <w:pPr>
        <w:pStyle w:val="3"/>
        <w:spacing w:before="9"/>
        <w:ind w:left="0"/>
        <w:rPr>
          <w:sz w:val="27"/>
        </w:rPr>
      </w:pPr>
    </w:p>
    <w:p>
      <w:pPr>
        <w:pStyle w:val="3"/>
        <w:tabs>
          <w:tab w:val="left" w:pos="1517"/>
        </w:tabs>
        <w:spacing w:before="1"/>
      </w:pPr>
      <w:bookmarkStart w:id="69" w:name="_bookmark69"/>
      <w:bookmarkEnd w:id="69"/>
      <w:r>
        <w:t>第二十八</w:t>
      </w:r>
      <w:r>
        <w:rPr>
          <w:spacing w:val="-10"/>
        </w:rPr>
        <w:t>条</w:t>
      </w:r>
      <w:r>
        <w:tab/>
      </w:r>
      <w:r>
        <w:t>争议处</w:t>
      </w:r>
      <w:r>
        <w:rPr>
          <w:spacing w:val="-10"/>
        </w:rPr>
        <w:t>理</w:t>
      </w:r>
    </w:p>
    <w:p>
      <w:pPr>
        <w:pStyle w:val="3"/>
        <w:spacing w:before="43" w:line="278" w:lineRule="auto"/>
        <w:ind w:right="634"/>
      </w:pPr>
      <w:r>
        <w:rPr>
          <w:spacing w:val="-8"/>
        </w:rPr>
        <w:t>本合同受中华人民共和国的法律管辖。合同争议解决方式由当事人在合同约定从下列两种方</w:t>
      </w:r>
      <w:r>
        <w:rPr>
          <w:spacing w:val="-2"/>
        </w:rPr>
        <w:t>式中选择一种：</w:t>
      </w:r>
    </w:p>
    <w:p>
      <w:pPr>
        <w:pStyle w:val="3"/>
        <w:spacing w:line="278" w:lineRule="auto"/>
        <w:ind w:right="634"/>
      </w:pPr>
      <w:r>
        <w:rPr>
          <w:spacing w:val="-20"/>
        </w:rPr>
        <w:t>一、因履行本合同发生的争议，由当事人协商解决，协商不成的，提交××仲裁委员会仲裁；</w:t>
      </w:r>
      <w:r>
        <w:rPr>
          <w:spacing w:val="-2"/>
        </w:rPr>
        <w:t>二、因履行本合同发生的争议，由当事人协商解决，协商不成的，依法向人民法院起诉。</w:t>
      </w:r>
    </w:p>
    <w:p>
      <w:pPr>
        <w:spacing w:after="0" w:line="278" w:lineRule="auto"/>
        <w:sectPr>
          <w:pgSz w:w="11910" w:h="16840"/>
          <w:pgMar w:top="1400" w:right="1160" w:bottom="1540" w:left="1540" w:header="0" w:footer="1264" w:gutter="0"/>
          <w:cols w:space="720" w:num="1"/>
        </w:sectPr>
      </w:pPr>
    </w:p>
    <w:p>
      <w:pPr>
        <w:pStyle w:val="2"/>
        <w:spacing w:before="42"/>
        <w:ind w:left="3843"/>
        <w:jc w:val="left"/>
      </w:pPr>
      <w:bookmarkStart w:id="70" w:name="_bookmark70"/>
      <w:bookmarkEnd w:id="70"/>
      <w:r>
        <w:rPr>
          <w:w w:val="95"/>
        </w:rPr>
        <w:t>第七章</w:t>
      </w:r>
      <w:r>
        <w:rPr>
          <w:spacing w:val="17"/>
        </w:rPr>
        <w:t xml:space="preserve"> </w:t>
      </w:r>
      <w:r>
        <w:rPr>
          <w:w w:val="95"/>
        </w:rPr>
        <w:t>附</w:t>
      </w:r>
      <w:r>
        <w:rPr>
          <w:spacing w:val="-10"/>
          <w:w w:val="95"/>
        </w:rPr>
        <w:t>表</w:t>
      </w:r>
    </w:p>
    <w:p>
      <w:pPr>
        <w:spacing w:before="43"/>
        <w:ind w:left="257" w:right="0" w:firstLine="0"/>
        <w:jc w:val="left"/>
        <w:rPr>
          <w:b/>
          <w:sz w:val="21"/>
        </w:rPr>
      </w:pPr>
      <w:bookmarkStart w:id="71" w:name="_bookmark71"/>
      <w:bookmarkEnd w:id="71"/>
      <w:r>
        <w:rPr>
          <w:b/>
          <w:w w:val="95"/>
          <w:sz w:val="21"/>
        </w:rPr>
        <w:t>附表一：轻症疾病种类</w:t>
      </w:r>
      <w:r>
        <w:rPr>
          <w:b/>
          <w:spacing w:val="-10"/>
          <w:w w:val="95"/>
          <w:sz w:val="21"/>
        </w:rPr>
        <w:t>表</w:t>
      </w:r>
    </w:p>
    <w:p>
      <w:pPr>
        <w:pStyle w:val="3"/>
        <w:spacing w:before="43" w:line="278" w:lineRule="auto"/>
        <w:ind w:right="634"/>
        <w:jc w:val="both"/>
      </w:pPr>
      <w:r>
        <w:rPr>
          <w:spacing w:val="-5"/>
        </w:rPr>
        <w:t>以下第一至三项轻症疾病是中国保险行业协会与中国医师协会联合发布的《重大疾病保险的</w:t>
      </w:r>
      <w:r>
        <w:t>疾病定义使用规范（</w:t>
      </w:r>
      <w:r>
        <w:rPr>
          <w:rFonts w:ascii="Times New Roman" w:hAnsi="Times New Roman" w:eastAsia="Times New Roman"/>
        </w:rPr>
        <w:t>2020</w:t>
      </w:r>
      <w:r>
        <w:rPr>
          <w:rFonts w:ascii="Times New Roman" w:hAnsi="Times New Roman" w:eastAsia="Times New Roman"/>
          <w:spacing w:val="-14"/>
        </w:rPr>
        <w:t xml:space="preserve"> </w:t>
      </w:r>
      <w:r>
        <w:t>年修订版</w:t>
      </w:r>
      <w:r>
        <w:rPr>
          <w:spacing w:val="-106"/>
        </w:rPr>
        <w:t>）</w:t>
      </w:r>
      <w:r>
        <w:rPr>
          <w:spacing w:val="-123"/>
        </w:rPr>
        <w:t>》</w:t>
      </w:r>
      <w:r>
        <w:t>（</w:t>
      </w:r>
      <w:r>
        <w:rPr>
          <w:spacing w:val="-8"/>
        </w:rPr>
        <w:t>以下简称“规范”</w:t>
      </w:r>
      <w:r>
        <w:rPr>
          <w:spacing w:val="-62"/>
        </w:rPr>
        <w:t>）</w:t>
      </w:r>
      <w:r>
        <w:t>中制定了规范定义的疾病，第四</w:t>
      </w:r>
      <w:r>
        <w:rPr>
          <w:spacing w:val="-2"/>
        </w:rPr>
        <w:t>至四十项轻症疾病是我们在规范之外增加的疾病。</w:t>
      </w:r>
    </w:p>
    <w:p>
      <w:pPr>
        <w:pStyle w:val="3"/>
        <w:spacing w:line="278" w:lineRule="auto"/>
        <w:ind w:right="1806"/>
        <w:rPr>
          <w:rFonts w:ascii="黑体" w:eastAsia="黑体"/>
        </w:rPr>
      </w:pPr>
      <w:r>
        <w:rPr>
          <w:rFonts w:ascii="黑体" w:eastAsia="黑体"/>
          <w:spacing w:val="-2"/>
        </w:rPr>
        <w:t>被保险人发生符合以下疾病定义所述条件的疾病，应当由专科医生明确诊断。以下疾病名称仅供理解使用，具体保障范围以每项疾病具体定义为准。</w:t>
      </w: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951" w:type="dxa"/>
            <w:tcBorders>
              <w:bottom w:val="nil"/>
            </w:tcBorders>
          </w:tcPr>
          <w:p>
            <w:pPr>
              <w:pStyle w:val="11"/>
              <w:ind w:left="0"/>
              <w:rPr>
                <w:rFonts w:ascii="Times New Roman"/>
                <w:sz w:val="18"/>
              </w:rPr>
            </w:pPr>
          </w:p>
        </w:tc>
        <w:tc>
          <w:tcPr>
            <w:tcW w:w="6804" w:type="dxa"/>
            <w:tcBorders>
              <w:bottom w:val="nil"/>
            </w:tcBorders>
          </w:tcPr>
          <w:p>
            <w:pPr>
              <w:pStyle w:val="11"/>
              <w:spacing w:line="268" w:lineRule="exact"/>
              <w:rPr>
                <w:sz w:val="21"/>
              </w:rPr>
            </w:pPr>
            <w:r>
              <w:rPr>
                <w:spacing w:val="-1"/>
                <w:sz w:val="21"/>
              </w:rPr>
              <w:t>指恶性细胞不受控制的进行性增长和扩散，浸润和破坏周围正常组织，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1" w:type="dxa"/>
            <w:tcBorders>
              <w:top w:val="nil"/>
              <w:bottom w:val="nil"/>
            </w:tcBorders>
          </w:tcPr>
          <w:p>
            <w:pPr>
              <w:pStyle w:val="11"/>
              <w:ind w:left="0"/>
              <w:rPr>
                <w:rFonts w:ascii="Times New Roman"/>
                <w:sz w:val="18"/>
              </w:rPr>
            </w:pPr>
          </w:p>
        </w:tc>
        <w:tc>
          <w:tcPr>
            <w:tcW w:w="6804" w:type="dxa"/>
            <w:tcBorders>
              <w:top w:val="nil"/>
              <w:bottom w:val="nil"/>
            </w:tcBorders>
          </w:tcPr>
          <w:p>
            <w:pPr>
              <w:pStyle w:val="11"/>
              <w:rPr>
                <w:b/>
                <w:sz w:val="21"/>
              </w:rPr>
            </w:pPr>
            <w:r>
              <w:rPr>
                <w:w w:val="95"/>
                <w:sz w:val="21"/>
              </w:rPr>
              <w:t>可以经血管、淋巴管和体腔扩散转移到身体其他部位，病灶经</w:t>
            </w:r>
            <w:r>
              <w:rPr>
                <w:b/>
                <w:w w:val="95"/>
                <w:sz w:val="21"/>
              </w:rPr>
              <w:t>组织病</w:t>
            </w:r>
            <w:r>
              <w:rPr>
                <w:b/>
                <w:spacing w:val="-10"/>
                <w:w w:val="95"/>
                <w:sz w:val="21"/>
              </w:rPr>
              <w:t>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1" w:type="dxa"/>
            <w:tcBorders>
              <w:top w:val="nil"/>
              <w:bottom w:val="nil"/>
            </w:tcBorders>
          </w:tcPr>
          <w:p>
            <w:pPr>
              <w:pStyle w:val="11"/>
              <w:ind w:left="0"/>
              <w:rPr>
                <w:rFonts w:ascii="Times New Roman"/>
                <w:sz w:val="18"/>
              </w:rPr>
            </w:pPr>
          </w:p>
        </w:tc>
        <w:tc>
          <w:tcPr>
            <w:tcW w:w="6804" w:type="dxa"/>
            <w:tcBorders>
              <w:top w:val="nil"/>
              <w:bottom w:val="nil"/>
            </w:tcBorders>
          </w:tcPr>
          <w:p>
            <w:pPr>
              <w:pStyle w:val="11"/>
              <w:rPr>
                <w:sz w:val="21"/>
              </w:rPr>
            </w:pPr>
            <w:r>
              <w:rPr>
                <w:b/>
                <w:spacing w:val="7"/>
                <w:sz w:val="21"/>
              </w:rPr>
              <w:t xml:space="preserve">学检查 </w:t>
            </w:r>
            <w:r>
              <w:fldChar w:fldCharType="begin"/>
            </w:r>
            <w:r>
              <w:instrText xml:space="preserve"> HYPERLINK \l "_bookmark72" </w:instrText>
            </w:r>
            <w:r>
              <w:fldChar w:fldCharType="separate"/>
            </w:r>
            <w:r>
              <w:rPr>
                <w:rFonts w:ascii="Times New Roman" w:eastAsia="Times New Roman"/>
                <w:b/>
                <w:sz w:val="21"/>
                <w:vertAlign w:val="superscript"/>
              </w:rPr>
              <w:t>37</w:t>
            </w:r>
            <w:r>
              <w:rPr>
                <w:rFonts w:ascii="Times New Roman" w:eastAsia="Times New Roman"/>
                <w:b/>
                <w:sz w:val="21"/>
                <w:vertAlign w:val="superscript"/>
              </w:rPr>
              <w:fldChar w:fldCharType="end"/>
            </w:r>
            <w:r>
              <w:rPr>
                <w:sz w:val="21"/>
                <w:vertAlign w:val="baseline"/>
              </w:rPr>
              <w:t>（涵盖骨髓病理学检查）</w:t>
            </w:r>
            <w:r>
              <w:rPr>
                <w:spacing w:val="-1"/>
                <w:sz w:val="21"/>
                <w:vertAlign w:val="baseline"/>
              </w:rPr>
              <w:t>结果明确诊断，临床诊断属于世界卫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1951" w:type="dxa"/>
            <w:tcBorders>
              <w:top w:val="nil"/>
              <w:bottom w:val="nil"/>
            </w:tcBorders>
          </w:tcPr>
          <w:p>
            <w:pPr>
              <w:pStyle w:val="11"/>
              <w:spacing w:before="160" w:line="278" w:lineRule="auto"/>
              <w:ind w:left="765" w:right="123" w:hanging="630"/>
              <w:rPr>
                <w:sz w:val="21"/>
              </w:rPr>
            </w:pPr>
            <w:r>
              <w:rPr>
                <w:spacing w:val="-2"/>
                <w:sz w:val="21"/>
              </w:rPr>
              <w:t>一、恶性肿瘤——</w:t>
            </w:r>
            <w:r>
              <w:rPr>
                <w:spacing w:val="-6"/>
                <w:sz w:val="21"/>
              </w:rPr>
              <w:t>轻度</w:t>
            </w:r>
          </w:p>
        </w:tc>
        <w:tc>
          <w:tcPr>
            <w:tcW w:w="6804" w:type="dxa"/>
            <w:tcBorders>
              <w:top w:val="nil"/>
              <w:bottom w:val="nil"/>
            </w:tcBorders>
          </w:tcPr>
          <w:p>
            <w:pPr>
              <w:pStyle w:val="11"/>
              <w:spacing w:line="278" w:lineRule="auto"/>
              <w:ind w:right="94" w:hanging="1"/>
              <w:jc w:val="both"/>
              <w:rPr>
                <w:sz w:val="21"/>
              </w:rPr>
            </w:pPr>
            <w:r>
              <w:rPr>
                <w:sz w:val="21"/>
              </w:rPr>
              <w:t>生组织（</w:t>
            </w:r>
            <w:r>
              <w:rPr>
                <w:rFonts w:ascii="Times New Roman" w:eastAsia="Times New Roman"/>
                <w:sz w:val="21"/>
              </w:rPr>
              <w:t>WHO</w:t>
            </w:r>
            <w:r>
              <w:rPr>
                <w:sz w:val="21"/>
              </w:rPr>
              <w:t>，</w:t>
            </w:r>
            <w:r>
              <w:rPr>
                <w:rFonts w:ascii="Times New Roman" w:eastAsia="Times New Roman"/>
                <w:sz w:val="21"/>
              </w:rPr>
              <w:t xml:space="preserve">World Health Organization) </w:t>
            </w:r>
            <w:r>
              <w:rPr>
                <w:sz w:val="21"/>
              </w:rPr>
              <w:t>《疾病和有关健康问题的国</w:t>
            </w:r>
            <w:r>
              <w:rPr>
                <w:spacing w:val="-2"/>
                <w:sz w:val="21"/>
              </w:rPr>
              <w:t>际统计分类》第十次修订版（</w:t>
            </w:r>
            <w:r>
              <w:rPr>
                <w:rFonts w:ascii="Times New Roman" w:eastAsia="Times New Roman"/>
                <w:b/>
                <w:spacing w:val="-2"/>
                <w:sz w:val="21"/>
              </w:rPr>
              <w:t>ICD-10</w:t>
            </w:r>
            <w:r>
              <w:fldChar w:fldCharType="begin"/>
            </w:r>
            <w:r>
              <w:instrText xml:space="preserve"> HYPERLINK \l "_bookmark73" </w:instrText>
            </w:r>
            <w:r>
              <w:fldChar w:fldCharType="separate"/>
            </w:r>
            <w:r>
              <w:rPr>
                <w:rFonts w:ascii="Times New Roman" w:eastAsia="Times New Roman"/>
                <w:b/>
                <w:spacing w:val="-2"/>
                <w:sz w:val="21"/>
                <w:vertAlign w:val="superscript"/>
              </w:rPr>
              <w:t>38</w:t>
            </w:r>
            <w:r>
              <w:rPr>
                <w:rFonts w:ascii="Times New Roman" w:eastAsia="Times New Roman"/>
                <w:b/>
                <w:spacing w:val="-2"/>
                <w:sz w:val="21"/>
                <w:vertAlign w:val="superscript"/>
              </w:rPr>
              <w:fldChar w:fldCharType="end"/>
            </w:r>
            <w:r>
              <w:rPr>
                <w:spacing w:val="-2"/>
                <w:sz w:val="21"/>
                <w:vertAlign w:val="baseline"/>
              </w:rPr>
              <w:t>）的恶性肿瘤类别及《国际疾病</w:t>
            </w:r>
            <w:r>
              <w:rPr>
                <w:spacing w:val="-14"/>
                <w:sz w:val="21"/>
                <w:vertAlign w:val="baseline"/>
              </w:rPr>
              <w:t>分类肿瘤学专辑》第三版</w:t>
            </w:r>
            <w:r>
              <w:rPr>
                <w:sz w:val="21"/>
                <w:vertAlign w:val="baseline"/>
              </w:rPr>
              <w:t>（</w:t>
            </w:r>
            <w:r>
              <w:rPr>
                <w:rFonts w:ascii="Times New Roman" w:eastAsia="Times New Roman"/>
                <w:b/>
                <w:sz w:val="21"/>
                <w:vertAlign w:val="baseline"/>
              </w:rPr>
              <w:t>ICD-O-3</w:t>
            </w:r>
            <w:r>
              <w:fldChar w:fldCharType="begin"/>
            </w:r>
            <w:r>
              <w:instrText xml:space="preserve"> HYPERLINK \l "_bookmark74" </w:instrText>
            </w:r>
            <w:r>
              <w:fldChar w:fldCharType="separate"/>
            </w:r>
            <w:r>
              <w:rPr>
                <w:rFonts w:ascii="Times New Roman" w:eastAsia="Times New Roman"/>
                <w:b/>
                <w:sz w:val="21"/>
                <w:vertAlign w:val="superscript"/>
              </w:rPr>
              <w:t>39</w:t>
            </w:r>
            <w:r>
              <w:rPr>
                <w:rFonts w:ascii="Times New Roman" w:eastAsia="Times New Roman"/>
                <w:b/>
                <w:sz w:val="21"/>
                <w:vertAlign w:val="superscript"/>
              </w:rPr>
              <w:fldChar w:fldCharType="end"/>
            </w:r>
            <w:r>
              <w:rPr>
                <w:rFonts w:ascii="Times New Roman" w:eastAsia="Times New Roman"/>
                <w:spacing w:val="12"/>
                <w:sz w:val="21"/>
                <w:vertAlign w:val="baseline"/>
              </w:rPr>
              <w:t xml:space="preserve">) </w:t>
            </w:r>
            <w:r>
              <w:rPr>
                <w:sz w:val="21"/>
                <w:vertAlign w:val="baseline"/>
              </w:rPr>
              <w:t>的肿瘤形态学编码属于</w:t>
            </w:r>
            <w:r>
              <w:rPr>
                <w:spacing w:val="-54"/>
                <w:sz w:val="21"/>
                <w:vertAlign w:val="baseline"/>
              </w:rPr>
              <w:t xml:space="preserve"> </w:t>
            </w:r>
            <w:r>
              <w:rPr>
                <w:rFonts w:ascii="Times New Roman" w:eastAsia="Times New Roman"/>
                <w:sz w:val="21"/>
                <w:vertAlign w:val="baseline"/>
              </w:rPr>
              <w:t>3</w:t>
            </w:r>
            <w:r>
              <w:rPr>
                <w:spacing w:val="-68"/>
                <w:sz w:val="21"/>
                <w:vertAlign w:val="baseline"/>
              </w:rPr>
              <w:t>、</w:t>
            </w:r>
            <w:r>
              <w:rPr>
                <w:rFonts w:ascii="Times New Roman" w:eastAsia="Times New Roman"/>
                <w:sz w:val="21"/>
                <w:vertAlign w:val="baseline"/>
              </w:rPr>
              <w:t>6</w:t>
            </w:r>
            <w:r>
              <w:rPr>
                <w:spacing w:val="-69"/>
                <w:sz w:val="21"/>
                <w:vertAlign w:val="baseline"/>
              </w:rPr>
              <w:t>、</w:t>
            </w:r>
            <w:r>
              <w:rPr>
                <w:rFonts w:ascii="Times New Roman" w:eastAsia="Times New Roman"/>
                <w:sz w:val="21"/>
                <w:vertAlign w:val="baseline"/>
              </w:rPr>
              <w:t>9</w:t>
            </w:r>
            <w:r>
              <w:rPr>
                <w:rFonts w:ascii="Times New Roman" w:eastAsia="Times New Roman"/>
                <w:spacing w:val="-5"/>
                <w:sz w:val="21"/>
                <w:vertAlign w:val="baseline"/>
              </w:rPr>
              <w:t xml:space="preserve"> (</w:t>
            </w:r>
            <w:r>
              <w:rPr>
                <w:spacing w:val="-10"/>
                <w:sz w:val="21"/>
                <w:vertAlign w:val="baseline"/>
              </w:rPr>
              <w:t>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951" w:type="dxa"/>
            <w:tcBorders>
              <w:top w:val="nil"/>
              <w:bottom w:val="nil"/>
            </w:tcBorders>
          </w:tcPr>
          <w:p>
            <w:pPr>
              <w:pStyle w:val="11"/>
              <w:ind w:left="0"/>
              <w:rPr>
                <w:rFonts w:ascii="Times New Roman"/>
                <w:sz w:val="18"/>
              </w:rPr>
            </w:pPr>
          </w:p>
        </w:tc>
        <w:tc>
          <w:tcPr>
            <w:tcW w:w="6804" w:type="dxa"/>
            <w:tcBorders>
              <w:top w:val="nil"/>
              <w:bottom w:val="nil"/>
            </w:tcBorders>
          </w:tcPr>
          <w:p>
            <w:pPr>
              <w:pStyle w:val="11"/>
              <w:spacing w:line="261" w:lineRule="exact"/>
              <w:rPr>
                <w:sz w:val="21"/>
              </w:rPr>
            </w:pPr>
            <w:r>
              <w:rPr>
                <w:sz w:val="21"/>
              </w:rPr>
              <w:t>性肿瘤）</w:t>
            </w:r>
            <w:r>
              <w:rPr>
                <w:spacing w:val="-1"/>
                <w:sz w:val="21"/>
              </w:rPr>
              <w:t>范畴，但不在“恶性肿瘤——重度”保障范围的疾病。且特指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1" w:type="dxa"/>
            <w:tcBorders>
              <w:top w:val="nil"/>
              <w:bottom w:val="nil"/>
            </w:tcBorders>
          </w:tcPr>
          <w:p>
            <w:pPr>
              <w:pStyle w:val="11"/>
              <w:ind w:left="0"/>
              <w:rPr>
                <w:rFonts w:ascii="Times New Roman"/>
                <w:sz w:val="18"/>
              </w:rPr>
            </w:pPr>
          </w:p>
        </w:tc>
        <w:tc>
          <w:tcPr>
            <w:tcW w:w="6804" w:type="dxa"/>
            <w:tcBorders>
              <w:top w:val="nil"/>
              <w:bottom w:val="nil"/>
            </w:tcBorders>
          </w:tcPr>
          <w:p>
            <w:pPr>
              <w:pStyle w:val="11"/>
              <w:rPr>
                <w:sz w:val="21"/>
              </w:rPr>
            </w:pPr>
            <w:r>
              <w:rPr>
                <w:spacing w:val="-2"/>
                <w:sz w:val="21"/>
              </w:rPr>
              <w:t>下列六项之一：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951" w:type="dxa"/>
            <w:tcBorders>
              <w:top w:val="nil"/>
            </w:tcBorders>
          </w:tcPr>
          <w:p>
            <w:pPr>
              <w:pStyle w:val="11"/>
              <w:ind w:left="0"/>
              <w:rPr>
                <w:rFonts w:ascii="Times New Roman"/>
                <w:sz w:val="18"/>
              </w:rPr>
            </w:pPr>
          </w:p>
        </w:tc>
        <w:tc>
          <w:tcPr>
            <w:tcW w:w="6804" w:type="dxa"/>
            <w:tcBorders>
              <w:top w:val="nil"/>
            </w:tcBorders>
          </w:tcPr>
          <w:p>
            <w:pPr>
              <w:pStyle w:val="11"/>
              <w:spacing w:before="4"/>
              <w:rPr>
                <w:sz w:val="21"/>
              </w:rPr>
            </w:pPr>
            <w:r>
              <w:rPr>
                <w:rFonts w:ascii="Times New Roman" w:eastAsia="Times New Roman"/>
                <w:sz w:val="21"/>
              </w:rPr>
              <w:t>(1)</w:t>
            </w:r>
            <w:r>
              <w:rPr>
                <w:rFonts w:ascii="Times New Roman" w:eastAsia="Times New Roman"/>
                <w:spacing w:val="-10"/>
                <w:sz w:val="21"/>
              </w:rPr>
              <w:t xml:space="preserve"> </w:t>
            </w:r>
            <w:r>
              <w:rPr>
                <w:rFonts w:ascii="Times New Roman" w:eastAsia="Times New Roman"/>
                <w:b/>
                <w:sz w:val="21"/>
              </w:rPr>
              <w:t>TNM</w:t>
            </w:r>
            <w:r>
              <w:rPr>
                <w:rFonts w:ascii="Times New Roman" w:eastAsia="Times New Roman"/>
                <w:b/>
                <w:spacing w:val="-2"/>
                <w:sz w:val="21"/>
              </w:rPr>
              <w:t xml:space="preserve"> </w:t>
            </w:r>
            <w:r>
              <w:rPr>
                <w:b/>
                <w:sz w:val="21"/>
              </w:rPr>
              <w:t>分期</w:t>
            </w:r>
            <w:r>
              <w:rPr>
                <w:b/>
                <w:spacing w:val="-43"/>
                <w:sz w:val="21"/>
              </w:rPr>
              <w:t xml:space="preserve"> </w:t>
            </w:r>
            <w:r>
              <w:fldChar w:fldCharType="begin"/>
            </w:r>
            <w:r>
              <w:instrText xml:space="preserve"> HYPERLINK \l "_bookmark75" </w:instrText>
            </w:r>
            <w:r>
              <w:fldChar w:fldCharType="separate"/>
            </w:r>
            <w:r>
              <w:rPr>
                <w:rFonts w:ascii="Times New Roman" w:eastAsia="Times New Roman"/>
                <w:b/>
                <w:sz w:val="21"/>
                <w:vertAlign w:val="superscript"/>
              </w:rPr>
              <w:t>40</w:t>
            </w:r>
            <w:r>
              <w:rPr>
                <w:rFonts w:ascii="Times New Roman" w:eastAsia="Times New Roman"/>
                <w:b/>
                <w:sz w:val="21"/>
                <w:vertAlign w:val="superscript"/>
              </w:rPr>
              <w:fldChar w:fldCharType="end"/>
            </w:r>
            <w:r>
              <w:rPr>
                <w:spacing w:val="-27"/>
                <w:sz w:val="21"/>
                <w:vertAlign w:val="baseline"/>
              </w:rPr>
              <w:t xml:space="preserve">为 </w:t>
            </w:r>
            <w:r>
              <w:rPr>
                <w:rFonts w:ascii="Times New Roman" w:eastAsia="Times New Roman"/>
                <w:sz w:val="21"/>
                <w:vertAlign w:val="baseline"/>
              </w:rPr>
              <w:t>I</w:t>
            </w:r>
            <w:r>
              <w:rPr>
                <w:rFonts w:ascii="Times New Roman" w:eastAsia="Times New Roman"/>
                <w:spacing w:val="-2"/>
                <w:sz w:val="21"/>
                <w:vertAlign w:val="baseline"/>
              </w:rPr>
              <w:t xml:space="preserve"> </w:t>
            </w:r>
            <w:r>
              <w:rPr>
                <w:spacing w:val="-2"/>
                <w:sz w:val="21"/>
                <w:vertAlign w:val="baseline"/>
              </w:rPr>
              <w:t>期的甲状腺癌；</w:t>
            </w:r>
          </w:p>
        </w:tc>
      </w:tr>
    </w:tbl>
    <w:p>
      <w:pPr>
        <w:pStyle w:val="3"/>
        <w:spacing w:before="7"/>
        <w:ind w:left="0"/>
        <w:rPr>
          <w:rFonts w:ascii="黑体"/>
          <w:sz w:val="11"/>
        </w:rPr>
      </w:pPr>
      <w:r>
        <w:drawing>
          <wp:anchor distT="0" distB="0" distL="0" distR="0" simplePos="0" relativeHeight="251660288" behindDoc="0" locked="0" layoutInCell="1" allowOverlap="1">
            <wp:simplePos x="0" y="0"/>
            <wp:positionH relativeFrom="page">
              <wp:posOffset>1141095</wp:posOffset>
            </wp:positionH>
            <wp:positionV relativeFrom="paragraph">
              <wp:posOffset>109220</wp:posOffset>
            </wp:positionV>
            <wp:extent cx="1828800" cy="6985"/>
            <wp:effectExtent l="0" t="0" r="0" b="0"/>
            <wp:wrapTopAndBottom/>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a:picLocks noChangeAspect="1"/>
                    </pic:cNvPicPr>
                  </pic:nvPicPr>
                  <pic:blipFill>
                    <a:blip r:embed="rId13" cstate="print"/>
                    <a:stretch>
                      <a:fillRect/>
                    </a:stretch>
                  </pic:blipFill>
                  <pic:spPr>
                    <a:xfrm>
                      <a:off x="0" y="0"/>
                      <a:ext cx="1828799" cy="6858"/>
                    </a:xfrm>
                    <a:prstGeom prst="rect">
                      <a:avLst/>
                    </a:prstGeom>
                  </pic:spPr>
                </pic:pic>
              </a:graphicData>
            </a:graphic>
          </wp:anchor>
        </w:drawing>
      </w:r>
    </w:p>
    <w:p>
      <w:pPr>
        <w:spacing w:before="91" w:line="242" w:lineRule="auto"/>
        <w:ind w:left="257" w:right="635" w:hanging="1"/>
        <w:jc w:val="both"/>
        <w:rPr>
          <w:sz w:val="18"/>
        </w:rPr>
      </w:pPr>
      <w:bookmarkStart w:id="72" w:name="_bookmark72"/>
      <w:bookmarkEnd w:id="72"/>
      <w:r>
        <w:rPr>
          <w:rFonts w:ascii="Times New Roman" w:eastAsia="Times New Roman"/>
          <w:sz w:val="18"/>
          <w:vertAlign w:val="superscript"/>
        </w:rPr>
        <w:t>37</w:t>
      </w:r>
      <w:r>
        <w:rPr>
          <w:rFonts w:ascii="Times New Roman" w:eastAsia="Times New Roman"/>
          <w:sz w:val="18"/>
          <w:vertAlign w:val="baseline"/>
        </w:rPr>
        <w:t xml:space="preserve"> </w:t>
      </w:r>
      <w:r>
        <w:rPr>
          <w:b/>
          <w:sz w:val="18"/>
          <w:vertAlign w:val="baseline"/>
        </w:rPr>
        <w:t>组织病理学检查：</w:t>
      </w:r>
      <w:r>
        <w:rPr>
          <w:sz w:val="18"/>
          <w:vertAlign w:val="baseline"/>
        </w:rPr>
        <w:t>组织病理学检查是通过局部切除、钳取、穿刺等手术方法，从患者机体采取病变组织</w:t>
      </w:r>
      <w:r>
        <w:rPr>
          <w:spacing w:val="-2"/>
          <w:sz w:val="18"/>
          <w:vertAlign w:val="baseline"/>
        </w:rPr>
        <w:t>块，经过包埋、切片后，进行病理检查的方法。</w:t>
      </w:r>
    </w:p>
    <w:p>
      <w:pPr>
        <w:spacing w:before="1" w:line="242" w:lineRule="auto"/>
        <w:ind w:left="257" w:right="666" w:firstLine="0"/>
        <w:jc w:val="left"/>
        <w:rPr>
          <w:rFonts w:ascii="黑体" w:eastAsia="黑体"/>
          <w:sz w:val="18"/>
        </w:rPr>
      </w:pPr>
      <w:r>
        <w:rPr>
          <w:rFonts w:ascii="黑体" w:eastAsia="黑体"/>
          <w:spacing w:val="-2"/>
          <w:sz w:val="18"/>
        </w:rPr>
        <w:t>通过采集病变部位脱落细胞、细针吸取病变部位细胞、体腔积液分离病变细胞等方式获取病变细胞，制成涂片，进行病理检查的方法，属于细胞病理学检查，不属于组织病理学检查。</w:t>
      </w:r>
    </w:p>
    <w:p>
      <w:pPr>
        <w:spacing w:before="1" w:line="242" w:lineRule="auto"/>
        <w:ind w:left="257" w:right="707" w:hanging="1"/>
        <w:jc w:val="both"/>
        <w:rPr>
          <w:sz w:val="18"/>
        </w:rPr>
      </w:pPr>
      <w:bookmarkStart w:id="73" w:name="_bookmark73"/>
      <w:bookmarkEnd w:id="73"/>
      <w:r>
        <w:rPr>
          <w:rFonts w:ascii="Times New Roman" w:eastAsia="Times New Roman"/>
          <w:spacing w:val="-4"/>
          <w:sz w:val="18"/>
          <w:vertAlign w:val="superscript"/>
        </w:rPr>
        <w:t>38</w:t>
      </w:r>
      <w:r>
        <w:rPr>
          <w:rFonts w:ascii="Times New Roman" w:eastAsia="Times New Roman"/>
          <w:spacing w:val="-4"/>
          <w:sz w:val="18"/>
          <w:vertAlign w:val="baseline"/>
        </w:rPr>
        <w:t xml:space="preserve"> </w:t>
      </w:r>
      <w:r>
        <w:rPr>
          <w:rFonts w:ascii="Times New Roman" w:eastAsia="Times New Roman"/>
          <w:b/>
          <w:spacing w:val="-4"/>
          <w:sz w:val="18"/>
          <w:vertAlign w:val="baseline"/>
        </w:rPr>
        <w:t>ICD-10</w:t>
      </w:r>
      <w:r>
        <w:rPr>
          <w:b/>
          <w:spacing w:val="-4"/>
          <w:sz w:val="18"/>
          <w:vertAlign w:val="baseline"/>
        </w:rPr>
        <w:t>：</w:t>
      </w:r>
      <w:r>
        <w:rPr>
          <w:spacing w:val="-4"/>
          <w:sz w:val="18"/>
          <w:vertAlign w:val="baseline"/>
        </w:rPr>
        <w:t>《疾病和有关健康问题的国际统计分类》第十次修订版（</w:t>
      </w:r>
      <w:r>
        <w:rPr>
          <w:rFonts w:ascii="Times New Roman" w:eastAsia="Times New Roman"/>
          <w:spacing w:val="-4"/>
          <w:sz w:val="18"/>
          <w:vertAlign w:val="baseline"/>
        </w:rPr>
        <w:t>ICD-10</w:t>
      </w:r>
      <w:r>
        <w:rPr>
          <w:spacing w:val="-4"/>
          <w:sz w:val="18"/>
          <w:vertAlign w:val="baseline"/>
        </w:rPr>
        <w:t>），是世界卫生组织（</w:t>
      </w:r>
      <w:r>
        <w:rPr>
          <w:rFonts w:ascii="Times New Roman" w:eastAsia="Times New Roman"/>
          <w:spacing w:val="-4"/>
          <w:sz w:val="18"/>
          <w:vertAlign w:val="baseline"/>
        </w:rPr>
        <w:t>WHO</w:t>
      </w:r>
      <w:r>
        <w:rPr>
          <w:spacing w:val="-4"/>
          <w:sz w:val="18"/>
          <w:vertAlign w:val="baseline"/>
        </w:rPr>
        <w:t>）</w:t>
      </w:r>
      <w:r>
        <w:rPr>
          <w:spacing w:val="2"/>
          <w:sz w:val="18"/>
          <w:vertAlign w:val="baseline"/>
        </w:rPr>
        <w:t>发布的国际通用的疾病分类方法。如果出现</w:t>
      </w:r>
      <w:r>
        <w:rPr>
          <w:rFonts w:ascii="Times New Roman" w:eastAsia="Times New Roman"/>
          <w:sz w:val="18"/>
          <w:vertAlign w:val="baseline"/>
        </w:rPr>
        <w:t xml:space="preserve">ICD-10 </w:t>
      </w:r>
      <w:r>
        <w:rPr>
          <w:spacing w:val="44"/>
          <w:sz w:val="18"/>
          <w:vertAlign w:val="baseline"/>
        </w:rPr>
        <w:t>与</w:t>
      </w:r>
      <w:r>
        <w:rPr>
          <w:rFonts w:ascii="Times New Roman" w:eastAsia="Times New Roman"/>
          <w:sz w:val="18"/>
          <w:vertAlign w:val="baseline"/>
        </w:rPr>
        <w:t xml:space="preserve">ICD-O-3 </w:t>
      </w:r>
      <w:r>
        <w:rPr>
          <w:sz w:val="18"/>
          <w:vertAlign w:val="baseline"/>
        </w:rPr>
        <w:t>不一致的情况</w:t>
      </w:r>
      <w:r>
        <w:rPr>
          <w:spacing w:val="22"/>
          <w:sz w:val="18"/>
          <w:vertAlign w:val="baseline"/>
        </w:rPr>
        <w:t>，以</w:t>
      </w:r>
      <w:r>
        <w:rPr>
          <w:rFonts w:ascii="Times New Roman" w:eastAsia="Times New Roman"/>
          <w:sz w:val="18"/>
          <w:vertAlign w:val="baseline"/>
        </w:rPr>
        <w:t xml:space="preserve">ICD-O-3 </w:t>
      </w:r>
      <w:r>
        <w:rPr>
          <w:sz w:val="18"/>
          <w:vertAlign w:val="baseline"/>
        </w:rPr>
        <w:t>为准。</w:t>
      </w:r>
    </w:p>
    <w:p>
      <w:pPr>
        <w:spacing w:before="1" w:line="242" w:lineRule="auto"/>
        <w:ind w:left="257" w:right="634" w:firstLine="0"/>
        <w:jc w:val="both"/>
        <w:rPr>
          <w:sz w:val="18"/>
        </w:rPr>
      </w:pPr>
      <w:bookmarkStart w:id="74" w:name="_bookmark74"/>
      <w:bookmarkEnd w:id="74"/>
      <w:r>
        <w:rPr>
          <w:rFonts w:ascii="Times New Roman" w:eastAsia="Times New Roman"/>
          <w:spacing w:val="-2"/>
          <w:sz w:val="18"/>
          <w:vertAlign w:val="superscript"/>
        </w:rPr>
        <w:t>39</w:t>
      </w:r>
      <w:r>
        <w:rPr>
          <w:rFonts w:ascii="Times New Roman" w:eastAsia="Times New Roman"/>
          <w:spacing w:val="-2"/>
          <w:sz w:val="18"/>
          <w:vertAlign w:val="baseline"/>
        </w:rPr>
        <w:t xml:space="preserve"> </w:t>
      </w:r>
      <w:r>
        <w:rPr>
          <w:rFonts w:ascii="Times New Roman" w:eastAsia="Times New Roman"/>
          <w:b/>
          <w:spacing w:val="-2"/>
          <w:sz w:val="18"/>
          <w:vertAlign w:val="baseline"/>
        </w:rPr>
        <w:t>ICD-O-</w:t>
      </w:r>
      <w:r>
        <w:rPr>
          <w:rFonts w:ascii="Times New Roman" w:eastAsia="Times New Roman"/>
          <w:b/>
          <w:sz w:val="18"/>
          <w:vertAlign w:val="baseline"/>
        </w:rPr>
        <w:t>3</w:t>
      </w:r>
      <w:r>
        <w:rPr>
          <w:b/>
          <w:spacing w:val="-111"/>
          <w:sz w:val="18"/>
          <w:vertAlign w:val="baseline"/>
        </w:rPr>
        <w:t>：</w:t>
      </w:r>
      <w:r>
        <w:rPr>
          <w:spacing w:val="-2"/>
          <w:sz w:val="18"/>
          <w:vertAlign w:val="baseline"/>
        </w:rPr>
        <w:t>《国际疾病分类肿瘤学专辑》第三版（</w:t>
      </w:r>
      <w:r>
        <w:rPr>
          <w:rFonts w:ascii="Times New Roman" w:eastAsia="Times New Roman"/>
          <w:spacing w:val="-2"/>
          <w:sz w:val="18"/>
          <w:vertAlign w:val="baseline"/>
        </w:rPr>
        <w:t>ICD-O-3</w:t>
      </w:r>
      <w:r>
        <w:rPr>
          <w:spacing w:val="-2"/>
          <w:sz w:val="18"/>
          <w:vertAlign w:val="baseline"/>
        </w:rPr>
        <w:t>）</w:t>
      </w:r>
      <w:r>
        <w:rPr>
          <w:spacing w:val="-9"/>
          <w:sz w:val="18"/>
          <w:vertAlign w:val="baseline"/>
        </w:rPr>
        <w:t xml:space="preserve">，是 </w:t>
      </w:r>
      <w:r>
        <w:rPr>
          <w:rFonts w:ascii="Times New Roman" w:eastAsia="Times New Roman"/>
          <w:spacing w:val="-2"/>
          <w:sz w:val="18"/>
          <w:vertAlign w:val="baseline"/>
        </w:rPr>
        <w:t>WHO</w:t>
      </w:r>
      <w:r>
        <w:rPr>
          <w:rFonts w:ascii="Times New Roman" w:eastAsia="Times New Roman"/>
          <w:spacing w:val="-8"/>
          <w:sz w:val="18"/>
          <w:vertAlign w:val="baseline"/>
        </w:rPr>
        <w:t xml:space="preserve"> </w:t>
      </w:r>
      <w:r>
        <w:rPr>
          <w:spacing w:val="-2"/>
          <w:sz w:val="18"/>
          <w:vertAlign w:val="baseline"/>
        </w:rPr>
        <w:t>发布的针对</w:t>
      </w:r>
      <w:r>
        <w:rPr>
          <w:rFonts w:ascii="Times New Roman" w:eastAsia="Times New Roman"/>
          <w:spacing w:val="-2"/>
          <w:sz w:val="18"/>
          <w:vertAlign w:val="baseline"/>
        </w:rPr>
        <w:t>ICD</w:t>
      </w:r>
      <w:r>
        <w:rPr>
          <w:rFonts w:ascii="Times New Roman" w:eastAsia="Times New Roman"/>
          <w:spacing w:val="-7"/>
          <w:sz w:val="18"/>
          <w:vertAlign w:val="baseline"/>
        </w:rPr>
        <w:t xml:space="preserve"> </w:t>
      </w:r>
      <w:r>
        <w:rPr>
          <w:spacing w:val="-2"/>
          <w:sz w:val="18"/>
          <w:vertAlign w:val="baseline"/>
        </w:rPr>
        <w:t>中肿瘤形态学组织</w:t>
      </w:r>
      <w:r>
        <w:rPr>
          <w:sz w:val="18"/>
          <w:vertAlign w:val="baseline"/>
        </w:rPr>
        <w:t>学细胞类型、动态、分化程度的补充编码。其中形态学编码：</w:t>
      </w:r>
      <w:r>
        <w:rPr>
          <w:rFonts w:ascii="Times New Roman" w:eastAsia="Times New Roman"/>
          <w:sz w:val="18"/>
          <w:vertAlign w:val="baseline"/>
        </w:rPr>
        <w:t>0</w:t>
      </w:r>
      <w:r>
        <w:rPr>
          <w:rFonts w:ascii="Times New Roman" w:eastAsia="Times New Roman"/>
          <w:spacing w:val="-1"/>
          <w:sz w:val="18"/>
          <w:vertAlign w:val="baseline"/>
        </w:rPr>
        <w:t xml:space="preserve"> </w:t>
      </w:r>
      <w:r>
        <w:rPr>
          <w:sz w:val="18"/>
          <w:vertAlign w:val="baseline"/>
        </w:rPr>
        <w:t>代表良性肿瘤；</w:t>
      </w:r>
      <w:r>
        <w:rPr>
          <w:rFonts w:ascii="Times New Roman" w:eastAsia="Times New Roman"/>
          <w:sz w:val="18"/>
          <w:vertAlign w:val="baseline"/>
        </w:rPr>
        <w:t>1</w:t>
      </w:r>
      <w:r>
        <w:rPr>
          <w:rFonts w:ascii="Times New Roman" w:eastAsia="Times New Roman"/>
          <w:spacing w:val="-1"/>
          <w:sz w:val="18"/>
          <w:vertAlign w:val="baseline"/>
        </w:rPr>
        <w:t xml:space="preserve"> </w:t>
      </w:r>
      <w:r>
        <w:rPr>
          <w:sz w:val="18"/>
          <w:vertAlign w:val="baseline"/>
        </w:rPr>
        <w:t>代表动态未定性肿瘤；</w:t>
      </w:r>
      <w:r>
        <w:rPr>
          <w:rFonts w:ascii="Times New Roman" w:eastAsia="Times New Roman"/>
          <w:sz w:val="18"/>
          <w:vertAlign w:val="baseline"/>
        </w:rPr>
        <w:t>2</w:t>
      </w:r>
      <w:r>
        <w:rPr>
          <w:w w:val="95"/>
          <w:sz w:val="18"/>
          <w:vertAlign w:val="baseline"/>
        </w:rPr>
        <w:t>代表原位癌和非侵袭性癌；</w:t>
      </w:r>
      <w:r>
        <w:rPr>
          <w:rFonts w:ascii="Times New Roman" w:eastAsia="Times New Roman"/>
          <w:w w:val="95"/>
          <w:sz w:val="18"/>
          <w:vertAlign w:val="baseline"/>
        </w:rPr>
        <w:t>3</w:t>
      </w:r>
      <w:r>
        <w:rPr>
          <w:rFonts w:ascii="Times New Roman" w:eastAsia="Times New Roman"/>
          <w:spacing w:val="31"/>
          <w:sz w:val="18"/>
          <w:vertAlign w:val="baseline"/>
        </w:rPr>
        <w:t xml:space="preserve"> </w:t>
      </w:r>
      <w:r>
        <w:rPr>
          <w:w w:val="95"/>
          <w:sz w:val="18"/>
          <w:vertAlign w:val="baseline"/>
        </w:rPr>
        <w:t>代表恶性肿瘤（原发性）；</w:t>
      </w:r>
      <w:r>
        <w:rPr>
          <w:rFonts w:ascii="Times New Roman" w:eastAsia="Times New Roman"/>
          <w:w w:val="95"/>
          <w:sz w:val="18"/>
          <w:vertAlign w:val="baseline"/>
        </w:rPr>
        <w:t>6</w:t>
      </w:r>
      <w:r>
        <w:rPr>
          <w:rFonts w:ascii="Times New Roman" w:eastAsia="Times New Roman"/>
          <w:spacing w:val="31"/>
          <w:sz w:val="18"/>
          <w:vertAlign w:val="baseline"/>
        </w:rPr>
        <w:t xml:space="preserve"> </w:t>
      </w:r>
      <w:r>
        <w:rPr>
          <w:w w:val="95"/>
          <w:sz w:val="18"/>
          <w:vertAlign w:val="baseline"/>
        </w:rPr>
        <w:t>代表恶性肿瘤（转移性）；</w:t>
      </w:r>
      <w:r>
        <w:rPr>
          <w:rFonts w:ascii="Times New Roman" w:eastAsia="Times New Roman"/>
          <w:w w:val="95"/>
          <w:sz w:val="18"/>
          <w:vertAlign w:val="baseline"/>
        </w:rPr>
        <w:t>9</w:t>
      </w:r>
      <w:r>
        <w:rPr>
          <w:rFonts w:ascii="Times New Roman" w:eastAsia="Times New Roman"/>
          <w:spacing w:val="31"/>
          <w:sz w:val="18"/>
          <w:vertAlign w:val="baseline"/>
        </w:rPr>
        <w:t xml:space="preserve"> </w:t>
      </w:r>
      <w:r>
        <w:rPr>
          <w:w w:val="95"/>
          <w:sz w:val="18"/>
          <w:vertAlign w:val="baseline"/>
        </w:rPr>
        <w:t>代表恶性肿瘤（原发</w:t>
      </w:r>
      <w:r>
        <w:rPr>
          <w:sz w:val="18"/>
          <w:vertAlign w:val="baseline"/>
        </w:rPr>
        <w:t>性或转移性未肯定</w:t>
      </w:r>
      <w:r>
        <w:rPr>
          <w:spacing w:val="-90"/>
          <w:sz w:val="18"/>
          <w:vertAlign w:val="baseline"/>
        </w:rPr>
        <w:t>）</w:t>
      </w:r>
      <w:r>
        <w:rPr>
          <w:spacing w:val="-3"/>
          <w:sz w:val="18"/>
          <w:vertAlign w:val="baseline"/>
        </w:rPr>
        <w:t xml:space="preserve">。如果出现 </w:t>
      </w:r>
      <w:r>
        <w:rPr>
          <w:rFonts w:ascii="Times New Roman" w:eastAsia="Times New Roman"/>
          <w:sz w:val="18"/>
          <w:vertAlign w:val="baseline"/>
        </w:rPr>
        <w:t xml:space="preserve">ICD-10 </w:t>
      </w:r>
      <w:r>
        <w:rPr>
          <w:spacing w:val="44"/>
          <w:sz w:val="18"/>
          <w:vertAlign w:val="baseline"/>
        </w:rPr>
        <w:t>与</w:t>
      </w:r>
      <w:r>
        <w:rPr>
          <w:rFonts w:ascii="Times New Roman" w:eastAsia="Times New Roman"/>
          <w:sz w:val="18"/>
          <w:vertAlign w:val="baseline"/>
        </w:rPr>
        <w:t xml:space="preserve">ICD-O-3 </w:t>
      </w:r>
      <w:r>
        <w:rPr>
          <w:sz w:val="18"/>
          <w:vertAlign w:val="baseline"/>
        </w:rPr>
        <w:t>不一致的情况</w:t>
      </w:r>
      <w:r>
        <w:rPr>
          <w:spacing w:val="22"/>
          <w:sz w:val="18"/>
          <w:vertAlign w:val="baseline"/>
        </w:rPr>
        <w:t>，以</w:t>
      </w:r>
      <w:r>
        <w:rPr>
          <w:rFonts w:ascii="Times New Roman" w:eastAsia="Times New Roman"/>
          <w:sz w:val="18"/>
          <w:vertAlign w:val="baseline"/>
        </w:rPr>
        <w:t xml:space="preserve">ICD-O-3 </w:t>
      </w:r>
      <w:r>
        <w:rPr>
          <w:sz w:val="18"/>
          <w:vertAlign w:val="baseline"/>
        </w:rPr>
        <w:t>为准。</w:t>
      </w:r>
    </w:p>
    <w:p>
      <w:pPr>
        <w:spacing w:before="5" w:line="208" w:lineRule="auto"/>
        <w:ind w:left="257" w:right="635" w:hanging="1"/>
        <w:jc w:val="both"/>
        <w:rPr>
          <w:sz w:val="18"/>
        </w:rPr>
      </w:pPr>
      <w:bookmarkStart w:id="75" w:name="_bookmark75"/>
      <w:bookmarkEnd w:id="75"/>
      <w:r>
        <w:rPr>
          <w:rFonts w:ascii="Times New Roman" w:eastAsia="Times New Roman"/>
          <w:sz w:val="18"/>
          <w:vertAlign w:val="superscript"/>
        </w:rPr>
        <w:t>40</w:t>
      </w:r>
      <w:r>
        <w:rPr>
          <w:rFonts w:ascii="Times New Roman" w:eastAsia="Times New Roman"/>
          <w:spacing w:val="-4"/>
          <w:sz w:val="18"/>
          <w:vertAlign w:val="baseline"/>
        </w:rPr>
        <w:t xml:space="preserve"> </w:t>
      </w:r>
      <w:r>
        <w:rPr>
          <w:rFonts w:ascii="Times New Roman" w:eastAsia="Times New Roman"/>
          <w:b/>
          <w:sz w:val="18"/>
          <w:vertAlign w:val="baseline"/>
        </w:rPr>
        <w:t>TNM</w:t>
      </w:r>
      <w:r>
        <w:rPr>
          <w:rFonts w:ascii="Times New Roman" w:eastAsia="Times New Roman"/>
          <w:b/>
          <w:spacing w:val="-1"/>
          <w:sz w:val="18"/>
          <w:vertAlign w:val="baseline"/>
        </w:rPr>
        <w:t xml:space="preserve"> </w:t>
      </w:r>
      <w:r>
        <w:rPr>
          <w:b/>
          <w:sz w:val="18"/>
          <w:vertAlign w:val="baseline"/>
        </w:rPr>
        <w:t>分期：</w:t>
      </w:r>
      <w:r>
        <w:rPr>
          <w:rFonts w:ascii="Times New Roman" w:eastAsia="Times New Roman"/>
          <w:sz w:val="18"/>
          <w:vertAlign w:val="baseline"/>
        </w:rPr>
        <w:t>TNM</w:t>
      </w:r>
      <w:r>
        <w:rPr>
          <w:rFonts w:ascii="Times New Roman" w:eastAsia="Times New Roman"/>
          <w:spacing w:val="-4"/>
          <w:sz w:val="18"/>
          <w:vertAlign w:val="baseline"/>
        </w:rPr>
        <w:t xml:space="preserve"> </w:t>
      </w:r>
      <w:r>
        <w:rPr>
          <w:spacing w:val="-5"/>
          <w:sz w:val="18"/>
          <w:vertAlign w:val="baseline"/>
        </w:rPr>
        <w:t xml:space="preserve">分期采用 </w:t>
      </w:r>
      <w:r>
        <w:rPr>
          <w:rFonts w:ascii="Times New Roman" w:eastAsia="Times New Roman"/>
          <w:sz w:val="18"/>
          <w:vertAlign w:val="baseline"/>
        </w:rPr>
        <w:t>AJCC</w:t>
      </w:r>
      <w:r>
        <w:rPr>
          <w:rFonts w:ascii="Times New Roman" w:eastAsia="Times New Roman"/>
          <w:spacing w:val="-3"/>
          <w:sz w:val="18"/>
          <w:vertAlign w:val="baseline"/>
        </w:rPr>
        <w:t xml:space="preserve"> </w:t>
      </w:r>
      <w:r>
        <w:rPr>
          <w:sz w:val="18"/>
          <w:vertAlign w:val="baseline"/>
        </w:rPr>
        <w:t xml:space="preserve">癌症分期手册标准。该标准由美国癌症联合委员会与国际抗癌联合会 </w:t>
      </w:r>
      <w:r>
        <w:rPr>
          <w:rFonts w:ascii="Times New Roman" w:eastAsia="Times New Roman"/>
          <w:sz w:val="18"/>
          <w:vertAlign w:val="baseline"/>
        </w:rPr>
        <w:t>TNM</w:t>
      </w:r>
      <w:r>
        <w:rPr>
          <w:rFonts w:ascii="Times New Roman" w:eastAsia="Times New Roman"/>
          <w:spacing w:val="-12"/>
          <w:sz w:val="18"/>
          <w:vertAlign w:val="baseline"/>
        </w:rPr>
        <w:t xml:space="preserve"> </w:t>
      </w:r>
      <w:r>
        <w:rPr>
          <w:sz w:val="18"/>
          <w:vertAlign w:val="baseline"/>
        </w:rPr>
        <w:t>委员会联合制定，是目前肿瘤医学分期的国际通用标准。</w:t>
      </w:r>
      <w:r>
        <w:rPr>
          <w:rFonts w:ascii="Times New Roman" w:eastAsia="Times New Roman"/>
          <w:sz w:val="18"/>
          <w:vertAlign w:val="baseline"/>
        </w:rPr>
        <w:t>T</w:t>
      </w:r>
      <w:r>
        <w:rPr>
          <w:rFonts w:ascii="Times New Roman" w:eastAsia="Times New Roman"/>
          <w:spacing w:val="-11"/>
          <w:sz w:val="18"/>
          <w:vertAlign w:val="baseline"/>
        </w:rPr>
        <w:t xml:space="preserve"> </w:t>
      </w:r>
      <w:r>
        <w:rPr>
          <w:sz w:val="18"/>
          <w:vertAlign w:val="baseline"/>
        </w:rPr>
        <w:t>指原发肿瘤的大小、形态等；</w:t>
      </w:r>
      <w:r>
        <w:rPr>
          <w:rFonts w:ascii="Times New Roman" w:eastAsia="Times New Roman"/>
          <w:sz w:val="18"/>
          <w:vertAlign w:val="baseline"/>
        </w:rPr>
        <w:t>N</w:t>
      </w:r>
      <w:r>
        <w:rPr>
          <w:rFonts w:ascii="Times New Roman" w:eastAsia="Times New Roman"/>
          <w:spacing w:val="-11"/>
          <w:sz w:val="18"/>
          <w:vertAlign w:val="baseline"/>
        </w:rPr>
        <w:t xml:space="preserve"> </w:t>
      </w:r>
      <w:r>
        <w:rPr>
          <w:sz w:val="18"/>
          <w:vertAlign w:val="baseline"/>
        </w:rPr>
        <w:t>指淋巴结的转移情况；</w:t>
      </w:r>
      <w:r>
        <w:rPr>
          <w:rFonts w:ascii="Times New Roman" w:eastAsia="Times New Roman"/>
          <w:sz w:val="18"/>
          <w:vertAlign w:val="baseline"/>
        </w:rPr>
        <w:t xml:space="preserve">M </w:t>
      </w:r>
      <w:r>
        <w:rPr>
          <w:sz w:val="18"/>
          <w:vertAlign w:val="baseline"/>
        </w:rPr>
        <w:t>指有无其他脏器的转移情况。</w:t>
      </w:r>
    </w:p>
    <w:p>
      <w:pPr>
        <w:spacing w:before="0" w:line="206" w:lineRule="auto"/>
        <w:ind w:left="257" w:right="634" w:firstLine="0"/>
        <w:jc w:val="left"/>
        <w:rPr>
          <w:sz w:val="18"/>
        </w:rPr>
      </w:pPr>
      <w:r>
        <w:rPr>
          <w:b/>
          <w:spacing w:val="-2"/>
          <w:sz w:val="18"/>
        </w:rPr>
        <w:t>甲状</w:t>
      </w:r>
      <w:r>
        <w:rPr>
          <w:b/>
          <w:spacing w:val="-13"/>
          <w:sz w:val="18"/>
        </w:rPr>
        <w:t xml:space="preserve">腺癌的 </w:t>
      </w:r>
      <w:r>
        <w:rPr>
          <w:rFonts w:ascii="Times New Roman" w:eastAsia="Times New Roman"/>
          <w:b/>
          <w:spacing w:val="-2"/>
          <w:sz w:val="18"/>
        </w:rPr>
        <w:t xml:space="preserve">TNM </w:t>
      </w:r>
      <w:r>
        <w:rPr>
          <w:b/>
          <w:spacing w:val="-2"/>
          <w:sz w:val="18"/>
        </w:rPr>
        <w:t>分期</w:t>
      </w:r>
      <w:r>
        <w:rPr>
          <w:spacing w:val="-9"/>
          <w:sz w:val="18"/>
        </w:rPr>
        <w:t xml:space="preserve">：甲状腺癌的 </w:t>
      </w:r>
      <w:r>
        <w:rPr>
          <w:rFonts w:ascii="Times New Roman" w:eastAsia="Times New Roman"/>
          <w:spacing w:val="-2"/>
          <w:sz w:val="18"/>
        </w:rPr>
        <w:t xml:space="preserve">TNM </w:t>
      </w:r>
      <w:r>
        <w:rPr>
          <w:spacing w:val="-7"/>
          <w:sz w:val="18"/>
        </w:rPr>
        <w:t xml:space="preserve">分期采用目前现行的 </w:t>
      </w:r>
      <w:r>
        <w:rPr>
          <w:rFonts w:ascii="Times New Roman" w:eastAsia="Times New Roman"/>
          <w:spacing w:val="-2"/>
          <w:sz w:val="18"/>
        </w:rPr>
        <w:t xml:space="preserve">AJCC </w:t>
      </w:r>
      <w:r>
        <w:rPr>
          <w:spacing w:val="-2"/>
          <w:sz w:val="18"/>
        </w:rPr>
        <w:t>第八版定义标准，我国国家卫生健康</w:t>
      </w:r>
      <w:r>
        <w:rPr>
          <w:spacing w:val="-4"/>
          <w:sz w:val="18"/>
        </w:rPr>
        <w:t xml:space="preserve">委员会 </w:t>
      </w:r>
      <w:r>
        <w:rPr>
          <w:rFonts w:ascii="Times New Roman" w:eastAsia="Times New Roman"/>
          <w:sz w:val="18"/>
        </w:rPr>
        <w:t xml:space="preserve">2018 </w:t>
      </w:r>
      <w:r>
        <w:rPr>
          <w:sz w:val="18"/>
        </w:rPr>
        <w:t>年发布的《甲状腺癌诊疗规范（</w:t>
      </w:r>
      <w:r>
        <w:rPr>
          <w:rFonts w:ascii="Times New Roman" w:eastAsia="Times New Roman"/>
          <w:sz w:val="18"/>
        </w:rPr>
        <w:t xml:space="preserve">2018 </w:t>
      </w:r>
      <w:r>
        <w:rPr>
          <w:sz w:val="18"/>
        </w:rPr>
        <w:t>年版</w:t>
      </w:r>
      <w:r>
        <w:rPr>
          <w:spacing w:val="-90"/>
          <w:sz w:val="18"/>
        </w:rPr>
        <w:t>）</w:t>
      </w:r>
      <w:r>
        <w:rPr>
          <w:sz w:val="18"/>
        </w:rPr>
        <w:t>》也采用此定义标准，具体见下：</w:t>
      </w:r>
    </w:p>
    <w:p>
      <w:pPr>
        <w:spacing w:before="0" w:line="193" w:lineRule="exact"/>
        <w:ind w:left="257" w:right="0" w:firstLine="0"/>
        <w:jc w:val="left"/>
        <w:rPr>
          <w:sz w:val="18"/>
        </w:rPr>
      </w:pPr>
      <w:r>
        <w:rPr>
          <w:w w:val="95"/>
          <w:sz w:val="18"/>
        </w:rPr>
        <w:t>甲状腺乳头状癌、滤泡癌、低分化癌、</w:t>
      </w:r>
      <w:r>
        <w:rPr>
          <w:rFonts w:ascii="Times New Roman" w:hAnsi="Times New Roman" w:eastAsia="Times New Roman"/>
          <w:w w:val="95"/>
          <w:sz w:val="18"/>
        </w:rPr>
        <w:t>Hürthle</w:t>
      </w:r>
      <w:r>
        <w:rPr>
          <w:rFonts w:ascii="Times New Roman" w:hAnsi="Times New Roman" w:eastAsia="Times New Roman"/>
          <w:spacing w:val="65"/>
          <w:w w:val="150"/>
          <w:sz w:val="18"/>
        </w:rPr>
        <w:t xml:space="preserve">  </w:t>
      </w:r>
      <w:r>
        <w:rPr>
          <w:w w:val="95"/>
          <w:sz w:val="18"/>
        </w:rPr>
        <w:t>细胞癌和未分化</w:t>
      </w:r>
      <w:r>
        <w:rPr>
          <w:spacing w:val="-10"/>
          <w:w w:val="95"/>
          <w:sz w:val="18"/>
        </w:rPr>
        <w:t>癌</w:t>
      </w:r>
    </w:p>
    <w:p>
      <w:pPr>
        <w:spacing w:before="8" w:line="208" w:lineRule="auto"/>
        <w:ind w:left="257" w:right="5757" w:hanging="1"/>
        <w:jc w:val="left"/>
        <w:rPr>
          <w:rFonts w:ascii="Times New Roman" w:hAnsi="Times New Roman" w:eastAsia="Times New Roman"/>
          <w:sz w:val="18"/>
        </w:rPr>
      </w:pPr>
      <w:r>
        <w:rPr>
          <w:rFonts w:ascii="Times New Roman" w:hAnsi="Times New Roman" w:eastAsia="Times New Roman"/>
          <w:spacing w:val="-2"/>
          <w:sz w:val="18"/>
        </w:rPr>
        <w:t>pT</w:t>
      </w:r>
      <w:r>
        <w:rPr>
          <w:rFonts w:ascii="Times New Roman" w:hAnsi="Times New Roman" w:eastAsia="Times New Roman"/>
          <w:spacing w:val="-2"/>
          <w:sz w:val="18"/>
          <w:vertAlign w:val="subscript"/>
        </w:rPr>
        <w:t>X</w:t>
      </w:r>
      <w:r>
        <w:rPr>
          <w:spacing w:val="-2"/>
          <w:sz w:val="18"/>
          <w:vertAlign w:val="baseline"/>
        </w:rPr>
        <w:t>：原发肿瘤不能评估</w:t>
      </w:r>
      <w:r>
        <w:rPr>
          <w:spacing w:val="80"/>
          <w:w w:val="150"/>
          <w:sz w:val="18"/>
          <w:vertAlign w:val="baseline"/>
        </w:rPr>
        <w:t xml:space="preserve">     </w:t>
      </w:r>
      <w:r>
        <w:rPr>
          <w:rFonts w:ascii="Times New Roman" w:hAnsi="Times New Roman" w:eastAsia="Times New Roman"/>
          <w:spacing w:val="-2"/>
          <w:sz w:val="18"/>
          <w:vertAlign w:val="baseline"/>
        </w:rPr>
        <w:t>pT</w:t>
      </w:r>
      <w:r>
        <w:rPr>
          <w:rFonts w:ascii="Times New Roman" w:hAnsi="Times New Roman" w:eastAsia="Times New Roman"/>
          <w:spacing w:val="-2"/>
          <w:sz w:val="18"/>
          <w:vertAlign w:val="subscript"/>
        </w:rPr>
        <w:t>0</w:t>
      </w:r>
      <w:r>
        <w:rPr>
          <w:spacing w:val="-2"/>
          <w:sz w:val="18"/>
          <w:vertAlign w:val="baseline"/>
        </w:rPr>
        <w:t>：无肿瘤证据</w:t>
      </w:r>
      <w:r>
        <w:rPr>
          <w:spacing w:val="80"/>
          <w:w w:val="150"/>
          <w:sz w:val="18"/>
          <w:vertAlign w:val="baseline"/>
        </w:rPr>
        <w:t xml:space="preserve">       </w:t>
      </w:r>
      <w:r>
        <w:rPr>
          <w:rFonts w:ascii="Times New Roman" w:hAnsi="Times New Roman" w:eastAsia="Times New Roman"/>
          <w:spacing w:val="-2"/>
          <w:sz w:val="18"/>
          <w:vertAlign w:val="baseline"/>
        </w:rPr>
        <w:t>pT</w:t>
      </w:r>
      <w:r>
        <w:rPr>
          <w:rFonts w:ascii="Times New Roman" w:hAnsi="Times New Roman" w:eastAsia="Times New Roman"/>
          <w:spacing w:val="-2"/>
          <w:sz w:val="18"/>
          <w:vertAlign w:val="subscript"/>
        </w:rPr>
        <w:t>1</w:t>
      </w:r>
      <w:r>
        <w:rPr>
          <w:spacing w:val="-2"/>
          <w:sz w:val="18"/>
          <w:vertAlign w:val="baseline"/>
        </w:rPr>
        <w:t>：肿瘤局限在甲状腺内，最大径</w:t>
      </w:r>
      <w:r>
        <w:rPr>
          <w:rFonts w:ascii="Times New Roman" w:hAnsi="Times New Roman" w:eastAsia="Times New Roman"/>
          <w:spacing w:val="-2"/>
          <w:sz w:val="18"/>
          <w:vertAlign w:val="baseline"/>
        </w:rPr>
        <w:t>≤2cm</w:t>
      </w:r>
    </w:p>
    <w:p>
      <w:pPr>
        <w:spacing w:before="0" w:line="190" w:lineRule="exact"/>
        <w:ind w:left="707" w:right="0" w:firstLine="0"/>
        <w:jc w:val="left"/>
        <w:rPr>
          <w:rFonts w:ascii="Times New Roman" w:hAnsi="Times New Roman" w:eastAsia="Times New Roman"/>
          <w:sz w:val="18"/>
        </w:rPr>
      </w:pPr>
      <w:r>
        <w:rPr>
          <w:rFonts w:ascii="Times New Roman" w:hAnsi="Times New Roman" w:eastAsia="Times New Roman"/>
          <w:sz w:val="18"/>
        </w:rPr>
        <w:t>T</w:t>
      </w:r>
      <w:r>
        <w:rPr>
          <w:rFonts w:ascii="Times New Roman" w:hAnsi="Times New Roman" w:eastAsia="Times New Roman"/>
          <w:sz w:val="18"/>
          <w:vertAlign w:val="subscript"/>
        </w:rPr>
        <w:t>1a</w:t>
      </w:r>
      <w:r>
        <w:rPr>
          <w:rFonts w:ascii="Times New Roman" w:hAnsi="Times New Roman" w:eastAsia="Times New Roman"/>
          <w:spacing w:val="-16"/>
          <w:sz w:val="18"/>
          <w:vertAlign w:val="baseline"/>
        </w:rPr>
        <w:t xml:space="preserve"> </w:t>
      </w:r>
      <w:r>
        <w:rPr>
          <w:sz w:val="18"/>
          <w:vertAlign w:val="baseline"/>
        </w:rPr>
        <w:t>肿瘤最大径</w:t>
      </w:r>
      <w:r>
        <w:rPr>
          <w:rFonts w:ascii="Times New Roman" w:hAnsi="Times New Roman" w:eastAsia="Times New Roman"/>
          <w:spacing w:val="-4"/>
          <w:sz w:val="18"/>
          <w:vertAlign w:val="baseline"/>
        </w:rPr>
        <w:t>≤1cm</w:t>
      </w:r>
    </w:p>
    <w:p>
      <w:pPr>
        <w:spacing w:before="7" w:line="208" w:lineRule="auto"/>
        <w:ind w:left="257" w:right="5889" w:firstLine="450"/>
        <w:jc w:val="left"/>
        <w:rPr>
          <w:rFonts w:ascii="Times New Roman" w:hAnsi="Times New Roman" w:eastAsia="Times New Roman"/>
          <w:sz w:val="18"/>
        </w:rPr>
      </w:pPr>
      <w:r>
        <w:rPr>
          <w:rFonts w:ascii="Times New Roman" w:hAnsi="Times New Roman" w:eastAsia="Times New Roman"/>
          <w:spacing w:val="-2"/>
          <w:sz w:val="18"/>
        </w:rPr>
        <w:t>T</w:t>
      </w:r>
      <w:r>
        <w:rPr>
          <w:rFonts w:ascii="Times New Roman" w:hAnsi="Times New Roman" w:eastAsia="Times New Roman"/>
          <w:spacing w:val="-2"/>
          <w:sz w:val="18"/>
          <w:vertAlign w:val="subscript"/>
        </w:rPr>
        <w:t>1b</w:t>
      </w:r>
      <w:r>
        <w:rPr>
          <w:rFonts w:ascii="Times New Roman" w:hAnsi="Times New Roman" w:eastAsia="Times New Roman"/>
          <w:spacing w:val="-15"/>
          <w:sz w:val="18"/>
          <w:vertAlign w:val="baseline"/>
        </w:rPr>
        <w:t xml:space="preserve"> </w:t>
      </w:r>
      <w:r>
        <w:rPr>
          <w:spacing w:val="-2"/>
          <w:sz w:val="18"/>
          <w:vertAlign w:val="baseline"/>
        </w:rPr>
        <w:t>肿瘤最大径＞</w:t>
      </w:r>
      <w:r>
        <w:rPr>
          <w:rFonts w:ascii="Times New Roman" w:hAnsi="Times New Roman" w:eastAsia="Times New Roman"/>
          <w:spacing w:val="-2"/>
          <w:sz w:val="18"/>
          <w:vertAlign w:val="baseline"/>
        </w:rPr>
        <w:t>1cm</w:t>
      </w:r>
      <w:r>
        <w:rPr>
          <w:spacing w:val="-2"/>
          <w:sz w:val="18"/>
          <w:vertAlign w:val="baseline"/>
        </w:rPr>
        <w:t>，</w:t>
      </w:r>
      <w:r>
        <w:rPr>
          <w:rFonts w:ascii="Times New Roman" w:hAnsi="Times New Roman" w:eastAsia="Times New Roman"/>
          <w:spacing w:val="-2"/>
          <w:sz w:val="18"/>
          <w:vertAlign w:val="baseline"/>
        </w:rPr>
        <w:t xml:space="preserve">≤2cm </w:t>
      </w:r>
      <w:r>
        <w:rPr>
          <w:rFonts w:ascii="Times New Roman" w:hAnsi="Times New Roman" w:eastAsia="Times New Roman"/>
          <w:sz w:val="18"/>
          <w:vertAlign w:val="baseline"/>
        </w:rPr>
        <w:t>pT</w:t>
      </w:r>
      <w:r>
        <w:rPr>
          <w:rFonts w:ascii="Times New Roman" w:hAnsi="Times New Roman" w:eastAsia="Times New Roman"/>
          <w:sz w:val="18"/>
          <w:vertAlign w:val="subscript"/>
        </w:rPr>
        <w:t>2</w:t>
      </w:r>
      <w:r>
        <w:rPr>
          <w:spacing w:val="-11"/>
          <w:sz w:val="18"/>
          <w:vertAlign w:val="baseline"/>
        </w:rPr>
        <w:t xml:space="preserve">：肿瘤 </w:t>
      </w:r>
      <w:r>
        <w:rPr>
          <w:rFonts w:ascii="Times New Roman" w:hAnsi="Times New Roman" w:eastAsia="Times New Roman"/>
          <w:sz w:val="18"/>
          <w:vertAlign w:val="baseline"/>
        </w:rPr>
        <w:t>2</w:t>
      </w:r>
      <w:r>
        <w:rPr>
          <w:sz w:val="18"/>
          <w:vertAlign w:val="baseline"/>
        </w:rPr>
        <w:t>～</w:t>
      </w:r>
      <w:r>
        <w:rPr>
          <w:rFonts w:ascii="Times New Roman" w:hAnsi="Times New Roman" w:eastAsia="Times New Roman"/>
          <w:sz w:val="18"/>
          <w:vertAlign w:val="baseline"/>
        </w:rPr>
        <w:t>4cm</w:t>
      </w:r>
    </w:p>
    <w:p>
      <w:pPr>
        <w:spacing w:before="0" w:line="208" w:lineRule="auto"/>
        <w:ind w:left="257" w:right="4137" w:firstLine="0"/>
        <w:jc w:val="left"/>
        <w:rPr>
          <w:sz w:val="18"/>
        </w:rPr>
      </w:pPr>
      <w:r>
        <w:rPr>
          <w:rFonts w:ascii="Times New Roman" w:eastAsia="Times New Roman"/>
          <w:spacing w:val="-2"/>
          <w:sz w:val="18"/>
        </w:rPr>
        <w:t>pT</w:t>
      </w:r>
      <w:r>
        <w:rPr>
          <w:rFonts w:ascii="Times New Roman" w:eastAsia="Times New Roman"/>
          <w:spacing w:val="-2"/>
          <w:sz w:val="18"/>
          <w:vertAlign w:val="subscript"/>
        </w:rPr>
        <w:t>3</w:t>
      </w:r>
      <w:r>
        <w:rPr>
          <w:spacing w:val="-2"/>
          <w:sz w:val="18"/>
          <w:vertAlign w:val="baseline"/>
        </w:rPr>
        <w:t>：肿瘤</w:t>
      </w:r>
      <w:r>
        <w:rPr>
          <w:rFonts w:ascii="Times New Roman" w:eastAsia="Times New Roman"/>
          <w:spacing w:val="-2"/>
          <w:sz w:val="18"/>
          <w:vertAlign w:val="baseline"/>
        </w:rPr>
        <w:t>&gt;4cm</w:t>
      </w:r>
      <w:r>
        <w:rPr>
          <w:spacing w:val="-2"/>
          <w:sz w:val="18"/>
          <w:vertAlign w:val="baseline"/>
        </w:rPr>
        <w:t xml:space="preserve">，局限于甲状腺内或大体侵犯甲状腺外带状肌 </w:t>
      </w:r>
      <w:r>
        <w:rPr>
          <w:rFonts w:ascii="Times New Roman" w:eastAsia="Times New Roman"/>
          <w:spacing w:val="-2"/>
          <w:sz w:val="18"/>
          <w:vertAlign w:val="baseline"/>
        </w:rPr>
        <w:t>pT</w:t>
      </w:r>
      <w:r>
        <w:rPr>
          <w:rFonts w:ascii="Times New Roman" w:eastAsia="Times New Roman"/>
          <w:spacing w:val="-2"/>
          <w:sz w:val="18"/>
          <w:vertAlign w:val="subscript"/>
        </w:rPr>
        <w:t>3a</w:t>
      </w:r>
      <w:r>
        <w:rPr>
          <w:spacing w:val="-2"/>
          <w:sz w:val="18"/>
          <w:vertAlign w:val="baseline"/>
        </w:rPr>
        <w:t>：肿瘤</w:t>
      </w:r>
      <w:r>
        <w:rPr>
          <w:rFonts w:ascii="Times New Roman" w:eastAsia="Times New Roman"/>
          <w:spacing w:val="-2"/>
          <w:sz w:val="18"/>
          <w:vertAlign w:val="baseline"/>
        </w:rPr>
        <w:t>&gt;4cm</w:t>
      </w:r>
      <w:r>
        <w:rPr>
          <w:spacing w:val="-2"/>
          <w:sz w:val="18"/>
          <w:vertAlign w:val="baseline"/>
        </w:rPr>
        <w:t>，局限于甲状腺内</w:t>
      </w:r>
      <w:r>
        <w:rPr>
          <w:spacing w:val="80"/>
          <w:w w:val="150"/>
          <w:sz w:val="18"/>
          <w:vertAlign w:val="baseline"/>
        </w:rPr>
        <w:t xml:space="preserve">        </w:t>
      </w:r>
      <w:r>
        <w:rPr>
          <w:rFonts w:ascii="Times New Roman" w:eastAsia="Times New Roman"/>
          <w:spacing w:val="-2"/>
          <w:sz w:val="18"/>
          <w:vertAlign w:val="baseline"/>
        </w:rPr>
        <w:t>pT</w:t>
      </w:r>
      <w:r>
        <w:rPr>
          <w:rFonts w:ascii="Times New Roman" w:eastAsia="Times New Roman"/>
          <w:spacing w:val="-2"/>
          <w:sz w:val="18"/>
          <w:vertAlign w:val="subscript"/>
        </w:rPr>
        <w:t>3b</w:t>
      </w:r>
      <w:r>
        <w:rPr>
          <w:spacing w:val="-2"/>
          <w:sz w:val="18"/>
          <w:vertAlign w:val="baseline"/>
        </w:rPr>
        <w:t>：大体侵犯甲状腺外带状肌，无论肿瘤大小</w:t>
      </w:r>
    </w:p>
    <w:p>
      <w:pPr>
        <w:spacing w:before="0" w:line="208" w:lineRule="auto"/>
        <w:ind w:left="257" w:right="3276" w:firstLine="450"/>
        <w:jc w:val="left"/>
        <w:rPr>
          <w:sz w:val="18"/>
        </w:rPr>
      </w:pPr>
      <w:r>
        <w:rPr>
          <w:spacing w:val="-2"/>
          <w:sz w:val="18"/>
        </w:rPr>
        <w:t xml:space="preserve">带状肌包括：胸骨舌骨肌、胸骨甲状肌、甲状舌骨肌、肩胛舌骨肌 </w:t>
      </w:r>
      <w:r>
        <w:rPr>
          <w:rFonts w:ascii="Times New Roman" w:eastAsia="Times New Roman"/>
          <w:spacing w:val="-2"/>
          <w:sz w:val="18"/>
        </w:rPr>
        <w:t>pT</w:t>
      </w:r>
      <w:r>
        <w:rPr>
          <w:rFonts w:ascii="Times New Roman" w:eastAsia="Times New Roman"/>
          <w:spacing w:val="-2"/>
          <w:sz w:val="18"/>
          <w:vertAlign w:val="subscript"/>
        </w:rPr>
        <w:t>4</w:t>
      </w:r>
      <w:r>
        <w:rPr>
          <w:spacing w:val="-2"/>
          <w:sz w:val="18"/>
          <w:vertAlign w:val="baseline"/>
        </w:rPr>
        <w:t>：大体侵犯甲状腺外带状肌外</w:t>
      </w:r>
      <w:r>
        <w:rPr>
          <w:spacing w:val="80"/>
          <w:w w:val="150"/>
          <w:sz w:val="18"/>
          <w:vertAlign w:val="baseline"/>
        </w:rPr>
        <w:t xml:space="preserve">             </w:t>
      </w:r>
      <w:r>
        <w:rPr>
          <w:rFonts w:ascii="Times New Roman" w:eastAsia="Times New Roman"/>
          <w:spacing w:val="-2"/>
          <w:sz w:val="18"/>
          <w:vertAlign w:val="baseline"/>
        </w:rPr>
        <w:t>pT</w:t>
      </w:r>
      <w:r>
        <w:rPr>
          <w:rFonts w:ascii="Times New Roman" w:eastAsia="Times New Roman"/>
          <w:spacing w:val="-2"/>
          <w:sz w:val="18"/>
          <w:vertAlign w:val="subscript"/>
        </w:rPr>
        <w:t>4a</w:t>
      </w:r>
      <w:r>
        <w:rPr>
          <w:spacing w:val="-2"/>
          <w:sz w:val="18"/>
          <w:vertAlign w:val="baseline"/>
        </w:rPr>
        <w:t>：侵犯喉、气管、食管、喉反神经及皮下软组织</w:t>
      </w:r>
      <w:r>
        <w:rPr>
          <w:spacing w:val="80"/>
          <w:w w:val="150"/>
          <w:sz w:val="18"/>
          <w:vertAlign w:val="baseline"/>
        </w:rPr>
        <w:t xml:space="preserve">      </w:t>
      </w:r>
      <w:r>
        <w:rPr>
          <w:rFonts w:ascii="Times New Roman" w:eastAsia="Times New Roman"/>
          <w:spacing w:val="-2"/>
          <w:sz w:val="18"/>
          <w:vertAlign w:val="baseline"/>
        </w:rPr>
        <w:t>pT</w:t>
      </w:r>
      <w:r>
        <w:rPr>
          <w:rFonts w:ascii="Times New Roman" w:eastAsia="Times New Roman"/>
          <w:spacing w:val="-2"/>
          <w:sz w:val="18"/>
          <w:vertAlign w:val="subscript"/>
        </w:rPr>
        <w:t>4b</w:t>
      </w:r>
      <w:r>
        <w:rPr>
          <w:spacing w:val="-2"/>
          <w:sz w:val="18"/>
          <w:vertAlign w:val="baseline"/>
        </w:rPr>
        <w:t>：侵犯椎前筋膜，或包裹颈动脉、纵隔血管</w:t>
      </w:r>
    </w:p>
    <w:p>
      <w:pPr>
        <w:spacing w:before="0" w:line="208" w:lineRule="auto"/>
        <w:ind w:left="257" w:right="7040" w:firstLine="0"/>
        <w:jc w:val="left"/>
        <w:rPr>
          <w:sz w:val="18"/>
        </w:rPr>
      </w:pPr>
      <w:r>
        <w:rPr>
          <w:spacing w:val="-2"/>
          <w:sz w:val="18"/>
        </w:rPr>
        <w:t>甲状腺髓样癌</w:t>
      </w:r>
      <w:r>
        <w:rPr>
          <w:spacing w:val="80"/>
          <w:w w:val="150"/>
          <w:sz w:val="18"/>
        </w:rPr>
        <w:t xml:space="preserve">  </w:t>
      </w:r>
      <w:r>
        <w:rPr>
          <w:rFonts w:ascii="Times New Roman" w:eastAsia="Times New Roman"/>
          <w:spacing w:val="-2"/>
          <w:sz w:val="18"/>
        </w:rPr>
        <w:t>pT</w:t>
      </w:r>
      <w:r>
        <w:rPr>
          <w:rFonts w:ascii="Times New Roman" w:eastAsia="Times New Roman"/>
          <w:spacing w:val="-2"/>
          <w:sz w:val="18"/>
          <w:vertAlign w:val="subscript"/>
        </w:rPr>
        <w:t>X</w:t>
      </w:r>
      <w:r>
        <w:rPr>
          <w:spacing w:val="-2"/>
          <w:sz w:val="18"/>
          <w:vertAlign w:val="baseline"/>
        </w:rPr>
        <w:t xml:space="preserve">：原发肿瘤不能评估 </w:t>
      </w:r>
      <w:r>
        <w:rPr>
          <w:rFonts w:ascii="Times New Roman" w:eastAsia="Times New Roman"/>
          <w:spacing w:val="-2"/>
          <w:sz w:val="18"/>
          <w:vertAlign w:val="baseline"/>
        </w:rPr>
        <w:t>pT</w:t>
      </w:r>
      <w:r>
        <w:rPr>
          <w:rFonts w:ascii="Times New Roman" w:eastAsia="Times New Roman"/>
          <w:spacing w:val="-2"/>
          <w:sz w:val="18"/>
          <w:vertAlign w:val="subscript"/>
        </w:rPr>
        <w:t>0</w:t>
      </w:r>
      <w:r>
        <w:rPr>
          <w:spacing w:val="-2"/>
          <w:sz w:val="18"/>
          <w:vertAlign w:val="baseline"/>
        </w:rPr>
        <w:t>：无肿瘤证据</w:t>
      </w:r>
    </w:p>
    <w:p>
      <w:pPr>
        <w:spacing w:before="0" w:line="208" w:lineRule="auto"/>
        <w:ind w:left="707" w:right="5603" w:hanging="450"/>
        <w:jc w:val="left"/>
        <w:rPr>
          <w:rFonts w:ascii="Times New Roman" w:hAnsi="Times New Roman" w:eastAsia="Times New Roman"/>
          <w:sz w:val="18"/>
        </w:rPr>
      </w:pPr>
      <w:r>
        <w:rPr>
          <w:rFonts w:ascii="Times New Roman" w:hAnsi="Times New Roman" w:eastAsia="Times New Roman"/>
          <w:spacing w:val="-2"/>
          <w:sz w:val="18"/>
        </w:rPr>
        <w:t>pT</w:t>
      </w:r>
      <w:r>
        <w:rPr>
          <w:rFonts w:ascii="Times New Roman" w:hAnsi="Times New Roman" w:eastAsia="Times New Roman"/>
          <w:spacing w:val="-2"/>
          <w:sz w:val="18"/>
          <w:vertAlign w:val="subscript"/>
        </w:rPr>
        <w:t>1</w:t>
      </w:r>
      <w:r>
        <w:rPr>
          <w:spacing w:val="-2"/>
          <w:sz w:val="18"/>
          <w:vertAlign w:val="baseline"/>
        </w:rPr>
        <w:t>：肿瘤局限在甲状腺内，最大径</w:t>
      </w:r>
      <w:r>
        <w:rPr>
          <w:rFonts w:ascii="Times New Roman" w:hAnsi="Times New Roman" w:eastAsia="Times New Roman"/>
          <w:spacing w:val="-2"/>
          <w:sz w:val="18"/>
          <w:vertAlign w:val="baseline"/>
        </w:rPr>
        <w:t xml:space="preserve">≤2cm </w:t>
      </w:r>
      <w:r>
        <w:rPr>
          <w:rFonts w:ascii="Times New Roman" w:hAnsi="Times New Roman" w:eastAsia="Times New Roman"/>
          <w:sz w:val="18"/>
          <w:vertAlign w:val="baseline"/>
        </w:rPr>
        <w:t>T</w:t>
      </w:r>
      <w:r>
        <w:rPr>
          <w:rFonts w:ascii="Times New Roman" w:hAnsi="Times New Roman" w:eastAsia="Times New Roman"/>
          <w:sz w:val="18"/>
          <w:vertAlign w:val="subscript"/>
        </w:rPr>
        <w:t>1a</w:t>
      </w:r>
      <w:r>
        <w:rPr>
          <w:rFonts w:ascii="Times New Roman" w:hAnsi="Times New Roman" w:eastAsia="Times New Roman"/>
          <w:spacing w:val="-16"/>
          <w:sz w:val="18"/>
          <w:vertAlign w:val="baseline"/>
        </w:rPr>
        <w:t xml:space="preserve"> </w:t>
      </w:r>
      <w:r>
        <w:rPr>
          <w:sz w:val="18"/>
          <w:vertAlign w:val="baseline"/>
        </w:rPr>
        <w:t>肿瘤最大径</w:t>
      </w:r>
      <w:r>
        <w:rPr>
          <w:rFonts w:ascii="Times New Roman" w:hAnsi="Times New Roman" w:eastAsia="Times New Roman"/>
          <w:sz w:val="18"/>
          <w:vertAlign w:val="baseline"/>
        </w:rPr>
        <w:t>≤1cm</w:t>
      </w:r>
    </w:p>
    <w:p>
      <w:pPr>
        <w:spacing w:before="0" w:line="206" w:lineRule="auto"/>
        <w:ind w:left="257" w:right="5889" w:firstLine="450"/>
        <w:jc w:val="left"/>
        <w:rPr>
          <w:rFonts w:ascii="Times New Roman" w:hAnsi="Times New Roman" w:eastAsia="Times New Roman"/>
          <w:sz w:val="18"/>
        </w:rPr>
      </w:pPr>
      <w:r>
        <w:rPr>
          <w:rFonts w:ascii="Times New Roman" w:hAnsi="Times New Roman" w:eastAsia="Times New Roman"/>
          <w:spacing w:val="-2"/>
          <w:sz w:val="18"/>
        </w:rPr>
        <w:t>T</w:t>
      </w:r>
      <w:r>
        <w:rPr>
          <w:rFonts w:ascii="Times New Roman" w:hAnsi="Times New Roman" w:eastAsia="Times New Roman"/>
          <w:spacing w:val="-2"/>
          <w:sz w:val="18"/>
          <w:vertAlign w:val="subscript"/>
        </w:rPr>
        <w:t>1b</w:t>
      </w:r>
      <w:r>
        <w:rPr>
          <w:rFonts w:ascii="Times New Roman" w:hAnsi="Times New Roman" w:eastAsia="Times New Roman"/>
          <w:spacing w:val="-15"/>
          <w:sz w:val="18"/>
          <w:vertAlign w:val="baseline"/>
        </w:rPr>
        <w:t xml:space="preserve"> </w:t>
      </w:r>
      <w:r>
        <w:rPr>
          <w:spacing w:val="-2"/>
          <w:sz w:val="18"/>
          <w:vertAlign w:val="baseline"/>
        </w:rPr>
        <w:t>肿瘤最大径＞</w:t>
      </w:r>
      <w:r>
        <w:rPr>
          <w:rFonts w:ascii="Times New Roman" w:hAnsi="Times New Roman" w:eastAsia="Times New Roman"/>
          <w:spacing w:val="-2"/>
          <w:sz w:val="18"/>
          <w:vertAlign w:val="baseline"/>
        </w:rPr>
        <w:t>1cm</w:t>
      </w:r>
      <w:r>
        <w:rPr>
          <w:spacing w:val="-2"/>
          <w:sz w:val="18"/>
          <w:vertAlign w:val="baseline"/>
        </w:rPr>
        <w:t>，</w:t>
      </w:r>
      <w:r>
        <w:rPr>
          <w:rFonts w:ascii="Times New Roman" w:hAnsi="Times New Roman" w:eastAsia="Times New Roman"/>
          <w:spacing w:val="-2"/>
          <w:sz w:val="18"/>
          <w:vertAlign w:val="baseline"/>
        </w:rPr>
        <w:t xml:space="preserve">≤2cm </w:t>
      </w:r>
      <w:r>
        <w:rPr>
          <w:rFonts w:ascii="Times New Roman" w:hAnsi="Times New Roman" w:eastAsia="Times New Roman"/>
          <w:sz w:val="18"/>
          <w:vertAlign w:val="baseline"/>
        </w:rPr>
        <w:t>pT</w:t>
      </w:r>
      <w:r>
        <w:rPr>
          <w:rFonts w:ascii="Times New Roman" w:hAnsi="Times New Roman" w:eastAsia="Times New Roman"/>
          <w:sz w:val="18"/>
          <w:vertAlign w:val="subscript"/>
        </w:rPr>
        <w:t>2</w:t>
      </w:r>
      <w:r>
        <w:rPr>
          <w:spacing w:val="-11"/>
          <w:sz w:val="18"/>
          <w:vertAlign w:val="baseline"/>
        </w:rPr>
        <w:t xml:space="preserve">：肿瘤 </w:t>
      </w:r>
      <w:r>
        <w:rPr>
          <w:rFonts w:ascii="Times New Roman" w:hAnsi="Times New Roman" w:eastAsia="Times New Roman"/>
          <w:sz w:val="18"/>
          <w:vertAlign w:val="baseline"/>
        </w:rPr>
        <w:t>2</w:t>
      </w:r>
      <w:r>
        <w:rPr>
          <w:sz w:val="18"/>
          <w:vertAlign w:val="baseline"/>
        </w:rPr>
        <w:t>～</w:t>
      </w:r>
      <w:r>
        <w:rPr>
          <w:rFonts w:ascii="Times New Roman" w:hAnsi="Times New Roman" w:eastAsia="Times New Roman"/>
          <w:sz w:val="18"/>
          <w:vertAlign w:val="baseline"/>
        </w:rPr>
        <w:t>4cm</w:t>
      </w:r>
    </w:p>
    <w:p>
      <w:pPr>
        <w:spacing w:before="0" w:line="208" w:lineRule="auto"/>
        <w:ind w:left="257" w:right="4137" w:firstLine="0"/>
        <w:jc w:val="left"/>
        <w:rPr>
          <w:sz w:val="18"/>
        </w:rPr>
      </w:pPr>
      <w:r>
        <w:rPr>
          <w:rFonts w:ascii="Times New Roman" w:eastAsia="Times New Roman"/>
          <w:spacing w:val="-2"/>
          <w:sz w:val="18"/>
        </w:rPr>
        <w:t>pT</w:t>
      </w:r>
      <w:r>
        <w:rPr>
          <w:rFonts w:ascii="Times New Roman" w:eastAsia="Times New Roman"/>
          <w:spacing w:val="-2"/>
          <w:sz w:val="18"/>
          <w:vertAlign w:val="subscript"/>
        </w:rPr>
        <w:t>3</w:t>
      </w:r>
      <w:r>
        <w:rPr>
          <w:spacing w:val="-2"/>
          <w:sz w:val="18"/>
          <w:vertAlign w:val="baseline"/>
        </w:rPr>
        <w:t>：肿瘤</w:t>
      </w:r>
      <w:r>
        <w:rPr>
          <w:rFonts w:ascii="Times New Roman" w:eastAsia="Times New Roman"/>
          <w:spacing w:val="-2"/>
          <w:sz w:val="18"/>
          <w:vertAlign w:val="baseline"/>
        </w:rPr>
        <w:t>&gt;4cm</w:t>
      </w:r>
      <w:r>
        <w:rPr>
          <w:spacing w:val="-2"/>
          <w:sz w:val="18"/>
          <w:vertAlign w:val="baseline"/>
        </w:rPr>
        <w:t xml:space="preserve">，局限于甲状腺内或大体侵犯甲状腺外带状肌 </w:t>
      </w:r>
      <w:r>
        <w:rPr>
          <w:rFonts w:ascii="Times New Roman" w:eastAsia="Times New Roman"/>
          <w:spacing w:val="-2"/>
          <w:sz w:val="18"/>
          <w:vertAlign w:val="baseline"/>
        </w:rPr>
        <w:t>pT</w:t>
      </w:r>
      <w:r>
        <w:rPr>
          <w:rFonts w:ascii="Times New Roman" w:eastAsia="Times New Roman"/>
          <w:spacing w:val="-2"/>
          <w:sz w:val="18"/>
          <w:vertAlign w:val="subscript"/>
        </w:rPr>
        <w:t>3a</w:t>
      </w:r>
      <w:r>
        <w:rPr>
          <w:spacing w:val="-2"/>
          <w:sz w:val="18"/>
          <w:vertAlign w:val="baseline"/>
        </w:rPr>
        <w:t>：肿瘤</w:t>
      </w:r>
      <w:r>
        <w:rPr>
          <w:rFonts w:ascii="Times New Roman" w:eastAsia="Times New Roman"/>
          <w:spacing w:val="-2"/>
          <w:sz w:val="18"/>
          <w:vertAlign w:val="baseline"/>
        </w:rPr>
        <w:t>&gt;4cm</w:t>
      </w:r>
      <w:r>
        <w:rPr>
          <w:spacing w:val="-2"/>
          <w:sz w:val="18"/>
          <w:vertAlign w:val="baseline"/>
        </w:rPr>
        <w:t>，局限于甲状腺内</w:t>
      </w:r>
      <w:r>
        <w:rPr>
          <w:spacing w:val="80"/>
          <w:w w:val="150"/>
          <w:sz w:val="18"/>
          <w:vertAlign w:val="baseline"/>
        </w:rPr>
        <w:t xml:space="preserve">        </w:t>
      </w:r>
      <w:r>
        <w:rPr>
          <w:rFonts w:ascii="Times New Roman" w:eastAsia="Times New Roman"/>
          <w:spacing w:val="-2"/>
          <w:sz w:val="18"/>
          <w:vertAlign w:val="baseline"/>
        </w:rPr>
        <w:t>pT</w:t>
      </w:r>
      <w:r>
        <w:rPr>
          <w:rFonts w:ascii="Times New Roman" w:eastAsia="Times New Roman"/>
          <w:spacing w:val="-2"/>
          <w:sz w:val="18"/>
          <w:vertAlign w:val="subscript"/>
        </w:rPr>
        <w:t>3b</w:t>
      </w:r>
      <w:r>
        <w:rPr>
          <w:spacing w:val="-2"/>
          <w:sz w:val="18"/>
          <w:vertAlign w:val="baseline"/>
        </w:rPr>
        <w:t>：大体侵犯甲状腺外带状肌，无论肿瘤大小</w:t>
      </w:r>
    </w:p>
    <w:p>
      <w:pPr>
        <w:spacing w:before="0" w:line="190" w:lineRule="exact"/>
        <w:ind w:left="707" w:right="0" w:firstLine="0"/>
        <w:jc w:val="left"/>
        <w:rPr>
          <w:sz w:val="18"/>
        </w:rPr>
      </w:pPr>
      <w:r>
        <w:rPr>
          <w:spacing w:val="-1"/>
          <w:sz w:val="18"/>
        </w:rPr>
        <w:t>带状肌包括：胸骨舌骨肌、胸骨甲状肌、甲状舌骨肌、肩胛舌骨肌</w:t>
      </w:r>
    </w:p>
    <w:p>
      <w:pPr>
        <w:spacing w:before="0" w:line="215" w:lineRule="exact"/>
        <w:ind w:left="257" w:right="0" w:firstLine="0"/>
        <w:jc w:val="left"/>
        <w:rPr>
          <w:sz w:val="18"/>
        </w:rPr>
      </w:pPr>
      <w:r>
        <w:rPr>
          <w:rFonts w:ascii="Times New Roman" w:eastAsia="Times New Roman"/>
          <w:sz w:val="18"/>
        </w:rPr>
        <w:t>pT</w:t>
      </w:r>
      <w:r>
        <w:rPr>
          <w:rFonts w:ascii="Times New Roman" w:eastAsia="Times New Roman"/>
          <w:sz w:val="18"/>
          <w:vertAlign w:val="subscript"/>
        </w:rPr>
        <w:t>4</w:t>
      </w:r>
      <w:r>
        <w:rPr>
          <w:spacing w:val="-2"/>
          <w:sz w:val="18"/>
          <w:vertAlign w:val="baseline"/>
        </w:rPr>
        <w:t>：进展期病变</w:t>
      </w:r>
    </w:p>
    <w:p>
      <w:pPr>
        <w:spacing w:after="0" w:line="215" w:lineRule="exact"/>
        <w:jc w:val="left"/>
        <w:rPr>
          <w:sz w:val="18"/>
        </w:rPr>
        <w:sectPr>
          <w:pgSz w:w="11910" w:h="16840"/>
          <w:pgMar w:top="1400" w:right="1160" w:bottom="146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6" w:hRule="atLeast"/>
        </w:trPr>
        <w:tc>
          <w:tcPr>
            <w:tcW w:w="1951" w:type="dxa"/>
          </w:tcPr>
          <w:p>
            <w:pPr>
              <w:pStyle w:val="11"/>
              <w:ind w:left="0"/>
              <w:rPr>
                <w:rFonts w:ascii="Times New Roman"/>
                <w:sz w:val="18"/>
              </w:rPr>
            </w:pPr>
          </w:p>
        </w:tc>
        <w:tc>
          <w:tcPr>
            <w:tcW w:w="6804" w:type="dxa"/>
          </w:tcPr>
          <w:p>
            <w:pPr>
              <w:pStyle w:val="11"/>
              <w:numPr>
                <w:ilvl w:val="0"/>
                <w:numId w:val="15"/>
              </w:numPr>
              <w:tabs>
                <w:tab w:val="left" w:pos="401"/>
              </w:tabs>
              <w:spacing w:before="20" w:after="0" w:line="240" w:lineRule="auto"/>
              <w:ind w:left="400" w:right="0" w:hanging="295"/>
              <w:jc w:val="left"/>
              <w:rPr>
                <w:sz w:val="21"/>
              </w:rPr>
            </w:pPr>
            <w:r>
              <w:rPr>
                <w:rFonts w:ascii="Times New Roman" w:eastAsia="Times New Roman"/>
                <w:sz w:val="21"/>
              </w:rPr>
              <w:t>TNM</w:t>
            </w:r>
            <w:r>
              <w:rPr>
                <w:rFonts w:ascii="Times New Roman" w:eastAsia="Times New Roman"/>
                <w:spacing w:val="-10"/>
                <w:sz w:val="21"/>
              </w:rPr>
              <w:t xml:space="preserve"> </w:t>
            </w:r>
            <w:r>
              <w:rPr>
                <w:spacing w:val="-14"/>
                <w:sz w:val="21"/>
              </w:rPr>
              <w:t xml:space="preserve">分期为 </w:t>
            </w:r>
            <w:r>
              <w:rPr>
                <w:rFonts w:ascii="Times New Roman" w:eastAsia="Times New Roman"/>
                <w:spacing w:val="12"/>
                <w:sz w:val="21"/>
              </w:rPr>
              <w:t>T</w:t>
            </w:r>
            <w:r>
              <w:rPr>
                <w:rFonts w:ascii="Times New Roman" w:eastAsia="Times New Roman"/>
                <w:spacing w:val="12"/>
                <w:sz w:val="21"/>
                <w:vertAlign w:val="subscript"/>
              </w:rPr>
              <w:t>1</w:t>
            </w:r>
            <w:r>
              <w:rPr>
                <w:rFonts w:ascii="Times New Roman" w:eastAsia="Times New Roman"/>
                <w:spacing w:val="12"/>
                <w:sz w:val="21"/>
                <w:vertAlign w:val="baseline"/>
              </w:rPr>
              <w:t>N</w:t>
            </w:r>
            <w:r>
              <w:rPr>
                <w:rFonts w:ascii="Times New Roman" w:eastAsia="Times New Roman"/>
                <w:spacing w:val="12"/>
                <w:sz w:val="21"/>
                <w:vertAlign w:val="subscript"/>
              </w:rPr>
              <w:t>0</w:t>
            </w:r>
            <w:r>
              <w:rPr>
                <w:rFonts w:ascii="Times New Roman" w:eastAsia="Times New Roman"/>
                <w:spacing w:val="12"/>
                <w:sz w:val="21"/>
                <w:vertAlign w:val="baseline"/>
              </w:rPr>
              <w:t>M</w:t>
            </w:r>
            <w:r>
              <w:rPr>
                <w:rFonts w:ascii="Times New Roman" w:eastAsia="Times New Roman"/>
                <w:spacing w:val="12"/>
                <w:sz w:val="21"/>
                <w:vertAlign w:val="subscript"/>
              </w:rPr>
              <w:t>0</w:t>
            </w:r>
            <w:r>
              <w:rPr>
                <w:spacing w:val="-2"/>
                <w:sz w:val="21"/>
                <w:vertAlign w:val="baseline"/>
              </w:rPr>
              <w:t>期的前列腺癌；</w:t>
            </w:r>
          </w:p>
          <w:p>
            <w:pPr>
              <w:pStyle w:val="11"/>
              <w:numPr>
                <w:ilvl w:val="0"/>
                <w:numId w:val="15"/>
              </w:numPr>
              <w:tabs>
                <w:tab w:val="left" w:pos="458"/>
              </w:tabs>
              <w:spacing w:before="43" w:after="0" w:line="240" w:lineRule="auto"/>
              <w:ind w:left="457" w:right="0" w:hanging="352"/>
              <w:jc w:val="left"/>
              <w:rPr>
                <w:sz w:val="21"/>
              </w:rPr>
            </w:pPr>
            <w:r>
              <w:rPr>
                <w:w w:val="95"/>
                <w:sz w:val="21"/>
              </w:rPr>
              <w:t>黑色素瘤以外的未发生淋巴结和远处转移的皮肤恶性肿瘤</w:t>
            </w:r>
            <w:r>
              <w:rPr>
                <w:spacing w:val="-10"/>
                <w:w w:val="95"/>
                <w:sz w:val="21"/>
              </w:rPr>
              <w:t>；</w:t>
            </w:r>
          </w:p>
          <w:p>
            <w:pPr>
              <w:pStyle w:val="11"/>
              <w:numPr>
                <w:ilvl w:val="0"/>
                <w:numId w:val="15"/>
              </w:numPr>
              <w:tabs>
                <w:tab w:val="left" w:pos="458"/>
              </w:tabs>
              <w:spacing w:before="43" w:after="0" w:line="240" w:lineRule="auto"/>
              <w:ind w:left="457" w:right="0" w:hanging="352"/>
              <w:jc w:val="left"/>
              <w:rPr>
                <w:sz w:val="21"/>
              </w:rPr>
            </w:pPr>
            <w:r>
              <w:rPr>
                <w:spacing w:val="-2"/>
                <w:sz w:val="21"/>
              </w:rPr>
              <w:t>相当于</w:t>
            </w:r>
            <w:r>
              <w:rPr>
                <w:spacing w:val="-48"/>
                <w:sz w:val="21"/>
              </w:rPr>
              <w:t xml:space="preserve"> </w:t>
            </w:r>
            <w:r>
              <w:rPr>
                <w:rFonts w:ascii="Times New Roman" w:eastAsia="Times New Roman"/>
                <w:spacing w:val="-2"/>
                <w:sz w:val="21"/>
              </w:rPr>
              <w:t>Binet</w:t>
            </w:r>
            <w:r>
              <w:rPr>
                <w:rFonts w:ascii="Times New Roman" w:eastAsia="Times New Roman"/>
                <w:spacing w:val="7"/>
                <w:sz w:val="21"/>
              </w:rPr>
              <w:t xml:space="preserve"> </w:t>
            </w:r>
            <w:r>
              <w:rPr>
                <w:spacing w:val="-2"/>
                <w:sz w:val="21"/>
              </w:rPr>
              <w:t>分期</w:t>
            </w:r>
            <w:r>
              <w:rPr>
                <w:spacing w:val="-18"/>
                <w:sz w:val="21"/>
              </w:rPr>
              <w:t xml:space="preserve">方案 </w:t>
            </w:r>
            <w:r>
              <w:rPr>
                <w:rFonts w:ascii="Times New Roman" w:eastAsia="Times New Roman"/>
                <w:spacing w:val="-2"/>
                <w:sz w:val="21"/>
              </w:rPr>
              <w:t>A</w:t>
            </w:r>
            <w:r>
              <w:rPr>
                <w:rFonts w:ascii="Times New Roman" w:eastAsia="Times New Roman"/>
                <w:spacing w:val="6"/>
                <w:sz w:val="21"/>
              </w:rPr>
              <w:t xml:space="preserve"> </w:t>
            </w:r>
            <w:r>
              <w:rPr>
                <w:spacing w:val="-3"/>
                <w:sz w:val="21"/>
              </w:rPr>
              <w:t>期程度的慢性淋巴细胞白血病；</w:t>
            </w:r>
          </w:p>
          <w:p>
            <w:pPr>
              <w:pStyle w:val="11"/>
              <w:numPr>
                <w:ilvl w:val="0"/>
                <w:numId w:val="15"/>
              </w:numPr>
              <w:tabs>
                <w:tab w:val="left" w:pos="458"/>
              </w:tabs>
              <w:spacing w:before="43" w:after="0" w:line="240" w:lineRule="auto"/>
              <w:ind w:left="457" w:right="0" w:hanging="352"/>
              <w:jc w:val="left"/>
              <w:rPr>
                <w:sz w:val="21"/>
              </w:rPr>
            </w:pPr>
            <w:r>
              <w:rPr>
                <w:w w:val="95"/>
                <w:sz w:val="21"/>
              </w:rPr>
              <w:t>相当于</w:t>
            </w:r>
            <w:r>
              <w:rPr>
                <w:spacing w:val="-14"/>
                <w:w w:val="95"/>
                <w:sz w:val="21"/>
              </w:rPr>
              <w:t xml:space="preserve"> </w:t>
            </w:r>
            <w:r>
              <w:rPr>
                <w:rFonts w:ascii="Times New Roman" w:eastAsia="Times New Roman"/>
                <w:w w:val="95"/>
                <w:sz w:val="21"/>
              </w:rPr>
              <w:t>Ann</w:t>
            </w:r>
            <w:r>
              <w:rPr>
                <w:rFonts w:ascii="Times New Roman" w:eastAsia="Times New Roman"/>
                <w:spacing w:val="16"/>
                <w:sz w:val="21"/>
              </w:rPr>
              <w:t xml:space="preserve"> </w:t>
            </w:r>
            <w:r>
              <w:rPr>
                <w:rFonts w:ascii="Times New Roman" w:eastAsia="Times New Roman"/>
                <w:w w:val="95"/>
                <w:sz w:val="21"/>
              </w:rPr>
              <w:t>Arbor</w:t>
            </w:r>
            <w:r>
              <w:rPr>
                <w:rFonts w:ascii="Times New Roman" w:eastAsia="Times New Roman"/>
                <w:spacing w:val="33"/>
                <w:sz w:val="21"/>
              </w:rPr>
              <w:t xml:space="preserve"> </w:t>
            </w:r>
            <w:r>
              <w:rPr>
                <w:w w:val="95"/>
                <w:sz w:val="21"/>
              </w:rPr>
              <w:t>分期方案</w:t>
            </w:r>
            <w:r>
              <w:rPr>
                <w:spacing w:val="-14"/>
                <w:w w:val="95"/>
                <w:sz w:val="21"/>
              </w:rPr>
              <w:t xml:space="preserve"> </w:t>
            </w:r>
            <w:r>
              <w:rPr>
                <w:rFonts w:ascii="Times New Roman" w:eastAsia="Times New Roman"/>
                <w:w w:val="95"/>
                <w:sz w:val="21"/>
              </w:rPr>
              <w:t>I</w:t>
            </w:r>
            <w:r>
              <w:rPr>
                <w:rFonts w:ascii="Times New Roman" w:eastAsia="Times New Roman"/>
                <w:spacing w:val="36"/>
                <w:sz w:val="21"/>
              </w:rPr>
              <w:t xml:space="preserve"> </w:t>
            </w:r>
            <w:r>
              <w:rPr>
                <w:w w:val="95"/>
                <w:sz w:val="21"/>
              </w:rPr>
              <w:t>期程度的何杰金氏病</w:t>
            </w:r>
            <w:r>
              <w:rPr>
                <w:spacing w:val="-10"/>
                <w:w w:val="95"/>
                <w:sz w:val="21"/>
              </w:rPr>
              <w:t>；</w:t>
            </w:r>
          </w:p>
          <w:p>
            <w:pPr>
              <w:pStyle w:val="11"/>
              <w:numPr>
                <w:ilvl w:val="0"/>
                <w:numId w:val="15"/>
              </w:numPr>
              <w:tabs>
                <w:tab w:val="left" w:pos="458"/>
              </w:tabs>
              <w:spacing w:before="43" w:after="0" w:line="278" w:lineRule="auto"/>
              <w:ind w:left="106" w:right="98" w:firstLine="0"/>
              <w:jc w:val="left"/>
              <w:rPr>
                <w:sz w:val="21"/>
              </w:rPr>
            </w:pPr>
            <w:r>
              <w:rPr>
                <w:sz w:val="21"/>
              </w:rPr>
              <w:t>未发生淋巴结和远处转移且</w:t>
            </w:r>
            <w:r>
              <w:rPr>
                <w:spacing w:val="-42"/>
                <w:sz w:val="21"/>
              </w:rPr>
              <w:t xml:space="preserve"> </w:t>
            </w:r>
            <w:r>
              <w:rPr>
                <w:rFonts w:ascii="Times New Roman" w:hAnsi="Times New Roman" w:eastAsia="Times New Roman"/>
                <w:sz w:val="21"/>
              </w:rPr>
              <w:t>WHO</w:t>
            </w:r>
            <w:r>
              <w:rPr>
                <w:rFonts w:ascii="Times New Roman" w:hAnsi="Times New Roman" w:eastAsia="Times New Roman"/>
                <w:spacing w:val="-9"/>
                <w:sz w:val="21"/>
              </w:rPr>
              <w:t xml:space="preserve"> </w:t>
            </w:r>
            <w:r>
              <w:rPr>
                <w:spacing w:val="-10"/>
                <w:sz w:val="21"/>
              </w:rPr>
              <w:t xml:space="preserve">分级为 </w:t>
            </w:r>
            <w:r>
              <w:rPr>
                <w:rFonts w:ascii="Times New Roman" w:hAnsi="Times New Roman" w:eastAsia="Times New Roman"/>
                <w:sz w:val="21"/>
              </w:rPr>
              <w:t>G1</w:t>
            </w:r>
            <w:r>
              <w:rPr>
                <w:rFonts w:ascii="Times New Roman" w:hAnsi="Times New Roman" w:eastAsia="Times New Roman"/>
                <w:spacing w:val="-2"/>
                <w:sz w:val="21"/>
              </w:rPr>
              <w:t xml:space="preserve"> </w:t>
            </w:r>
            <w:r>
              <w:rPr>
                <w:sz w:val="21"/>
              </w:rPr>
              <w:t>级别（核分裂像</w:t>
            </w:r>
            <w:r>
              <w:rPr>
                <w:rFonts w:ascii="Times New Roman" w:hAnsi="Times New Roman" w:eastAsia="Times New Roman"/>
                <w:sz w:val="21"/>
              </w:rPr>
              <w:t xml:space="preserve">&lt;10/50 HPF </w:t>
            </w:r>
            <w:r>
              <w:rPr>
                <w:spacing w:val="-11"/>
                <w:sz w:val="21"/>
              </w:rPr>
              <w:t xml:space="preserve">和 </w:t>
            </w:r>
            <w:r>
              <w:rPr>
                <w:rFonts w:ascii="Times New Roman" w:hAnsi="Times New Roman" w:eastAsia="Times New Roman"/>
                <w:sz w:val="21"/>
              </w:rPr>
              <w:t>ki-67</w:t>
            </w:r>
            <w:r>
              <w:rPr>
                <w:sz w:val="21"/>
              </w:rPr>
              <w:t>≤</w:t>
            </w:r>
            <w:r>
              <w:rPr>
                <w:rFonts w:ascii="Times New Roman" w:hAnsi="Times New Roman" w:eastAsia="Times New Roman"/>
                <w:sz w:val="21"/>
              </w:rPr>
              <w:t>2%)</w:t>
            </w:r>
            <w:r>
              <w:rPr>
                <w:sz w:val="21"/>
              </w:rPr>
              <w:t>的神经内分泌肿瘤。</w:t>
            </w:r>
          </w:p>
          <w:p>
            <w:pPr>
              <w:pStyle w:val="11"/>
              <w:spacing w:line="278" w:lineRule="auto"/>
              <w:ind w:right="97"/>
              <w:jc w:val="both"/>
              <w:rPr>
                <w:rFonts w:ascii="黑体" w:hAnsi="黑体" w:eastAsia="黑体"/>
                <w:sz w:val="21"/>
              </w:rPr>
            </w:pPr>
            <w:r>
              <w:rPr>
                <w:rFonts w:ascii="黑体" w:hAnsi="黑体" w:eastAsia="黑体"/>
                <w:color w:val="000000"/>
                <w:spacing w:val="-12"/>
                <w:sz w:val="21"/>
                <w:shd w:val="clear" w:color="auto" w:fill="DADADA"/>
              </w:rPr>
              <w:t xml:space="preserve">下列疾病不属于“恶性肿瘤——轻度”，不在保障范围内： </w:t>
            </w:r>
            <w:r>
              <w:rPr>
                <w:rFonts w:ascii="Times New Roman" w:hAnsi="Times New Roman" w:eastAsia="Times New Roman"/>
                <w:color w:val="000000"/>
                <w:spacing w:val="-2"/>
                <w:sz w:val="21"/>
                <w:shd w:val="clear" w:color="auto" w:fill="DADADA"/>
              </w:rPr>
              <w:t>ICD-O-3</w:t>
            </w:r>
            <w:r>
              <w:rPr>
                <w:rFonts w:ascii="Times New Roman" w:hAnsi="Times New Roman" w:eastAsia="Times New Roman"/>
                <w:color w:val="000000"/>
                <w:spacing w:val="-11"/>
                <w:sz w:val="21"/>
                <w:shd w:val="clear" w:color="auto" w:fill="DADADA"/>
              </w:rPr>
              <w:t xml:space="preserve"> </w:t>
            </w:r>
            <w:r>
              <w:rPr>
                <w:rFonts w:ascii="黑体" w:hAnsi="黑体" w:eastAsia="黑体"/>
                <w:color w:val="000000"/>
                <w:spacing w:val="-2"/>
                <w:sz w:val="21"/>
                <w:shd w:val="clear" w:color="auto" w:fill="DADADA"/>
              </w:rPr>
              <w:t>肿瘤</w:t>
            </w:r>
            <w:r>
              <w:rPr>
                <w:rFonts w:ascii="黑体" w:hAnsi="黑体" w:eastAsia="黑体"/>
                <w:color w:val="000000"/>
                <w:spacing w:val="40"/>
                <w:sz w:val="21"/>
                <w:shd w:val="clear" w:color="auto" w:fill="DADADA"/>
              </w:rPr>
              <w:t xml:space="preserve"> </w:t>
            </w:r>
            <w:r>
              <w:rPr>
                <w:rFonts w:ascii="黑体" w:hAnsi="黑体" w:eastAsia="黑体"/>
                <w:color w:val="000000"/>
                <w:sz w:val="21"/>
                <w:shd w:val="clear" w:color="auto" w:fill="DADADA"/>
              </w:rPr>
              <w:t>形态学编码属于</w:t>
            </w:r>
            <w:r>
              <w:rPr>
                <w:rFonts w:ascii="黑体" w:hAnsi="黑体" w:eastAsia="黑体"/>
                <w:color w:val="000000"/>
                <w:spacing w:val="-27"/>
                <w:sz w:val="21"/>
                <w:shd w:val="clear" w:color="auto" w:fill="DADADA"/>
              </w:rPr>
              <w:t xml:space="preserve"> </w:t>
            </w:r>
            <w:r>
              <w:rPr>
                <w:rFonts w:ascii="Times New Roman" w:hAnsi="Times New Roman" w:eastAsia="Times New Roman"/>
                <w:color w:val="000000"/>
                <w:sz w:val="21"/>
                <w:shd w:val="clear" w:color="auto" w:fill="DADADA"/>
              </w:rPr>
              <w:t>0</w:t>
            </w:r>
            <w:r>
              <w:rPr>
                <w:rFonts w:ascii="Times New Roman" w:hAnsi="Times New Roman" w:eastAsia="Times New Roman"/>
                <w:color w:val="000000"/>
                <w:spacing w:val="-7"/>
                <w:sz w:val="21"/>
                <w:shd w:val="clear" w:color="auto" w:fill="DADADA"/>
              </w:rPr>
              <w:t xml:space="preserve"> (</w:t>
            </w:r>
            <w:r>
              <w:rPr>
                <w:rFonts w:ascii="黑体" w:hAnsi="黑体" w:eastAsia="黑体"/>
                <w:color w:val="000000"/>
                <w:sz w:val="21"/>
                <w:shd w:val="clear" w:color="auto" w:fill="DADADA"/>
              </w:rPr>
              <w:t>良性肿瘤</w:t>
            </w:r>
            <w:r>
              <w:rPr>
                <w:rFonts w:ascii="Times New Roman" w:hAnsi="Times New Roman" w:eastAsia="Times New Roman"/>
                <w:color w:val="000000"/>
                <w:sz w:val="21"/>
                <w:shd w:val="clear" w:color="auto" w:fill="DADADA"/>
              </w:rPr>
              <w:t>)</w:t>
            </w:r>
            <w:r>
              <w:rPr>
                <w:rFonts w:ascii="黑体" w:hAnsi="黑体" w:eastAsia="黑体"/>
                <w:color w:val="000000"/>
                <w:sz w:val="21"/>
                <w:shd w:val="clear" w:color="auto" w:fill="DADADA"/>
              </w:rPr>
              <w:t>、</w:t>
            </w:r>
            <w:r>
              <w:rPr>
                <w:rFonts w:ascii="Times New Roman" w:hAnsi="Times New Roman" w:eastAsia="Times New Roman"/>
                <w:color w:val="000000"/>
                <w:sz w:val="21"/>
                <w:shd w:val="clear" w:color="auto" w:fill="DADADA"/>
              </w:rPr>
              <w:t>1</w:t>
            </w:r>
            <w:r>
              <w:rPr>
                <w:rFonts w:ascii="Times New Roman" w:hAnsi="Times New Roman" w:eastAsia="Times New Roman"/>
                <w:color w:val="000000"/>
                <w:spacing w:val="-6"/>
                <w:sz w:val="21"/>
                <w:shd w:val="clear" w:color="auto" w:fill="DADADA"/>
              </w:rPr>
              <w:t xml:space="preserve"> (</w:t>
            </w:r>
            <w:r>
              <w:rPr>
                <w:rFonts w:ascii="黑体" w:hAnsi="黑体" w:eastAsia="黑体"/>
                <w:color w:val="000000"/>
                <w:sz w:val="21"/>
                <w:shd w:val="clear" w:color="auto" w:fill="DADADA"/>
              </w:rPr>
              <w:t>动态未定性肿瘤</w:t>
            </w:r>
            <w:r>
              <w:rPr>
                <w:rFonts w:ascii="Times New Roman" w:hAnsi="Times New Roman" w:eastAsia="Times New Roman"/>
                <w:color w:val="000000"/>
                <w:sz w:val="21"/>
                <w:shd w:val="clear" w:color="auto" w:fill="DADADA"/>
              </w:rPr>
              <w:t>)</w:t>
            </w:r>
            <w:r>
              <w:rPr>
                <w:rFonts w:ascii="黑体" w:hAnsi="黑体" w:eastAsia="黑体"/>
                <w:color w:val="000000"/>
                <w:sz w:val="21"/>
                <w:shd w:val="clear" w:color="auto" w:fill="DADADA"/>
              </w:rPr>
              <w:t>、</w:t>
            </w:r>
            <w:r>
              <w:rPr>
                <w:rFonts w:ascii="Times New Roman" w:hAnsi="Times New Roman" w:eastAsia="Times New Roman"/>
                <w:color w:val="000000"/>
                <w:sz w:val="21"/>
                <w:shd w:val="clear" w:color="auto" w:fill="DADADA"/>
              </w:rPr>
              <w:t>2</w:t>
            </w:r>
            <w:r>
              <w:rPr>
                <w:rFonts w:ascii="Times New Roman" w:hAnsi="Times New Roman" w:eastAsia="Times New Roman"/>
                <w:color w:val="000000"/>
                <w:spacing w:val="2"/>
                <w:sz w:val="21"/>
                <w:shd w:val="clear" w:color="auto" w:fill="DADADA"/>
              </w:rPr>
              <w:t xml:space="preserve"> (</w:t>
            </w:r>
            <w:r>
              <w:rPr>
                <w:rFonts w:ascii="黑体" w:hAnsi="黑体" w:eastAsia="黑体"/>
                <w:color w:val="000000"/>
                <w:sz w:val="21"/>
                <w:shd w:val="clear" w:color="auto" w:fill="DADADA"/>
              </w:rPr>
              <w:t>原位癌和非侵袭</w:t>
            </w:r>
            <w:r>
              <w:rPr>
                <w:rFonts w:ascii="黑体" w:hAnsi="黑体" w:eastAsia="黑体"/>
                <w:color w:val="000000"/>
                <w:spacing w:val="-2"/>
                <w:sz w:val="21"/>
                <w:shd w:val="clear" w:color="auto" w:fill="DADADA"/>
              </w:rPr>
              <w:t>性癌）范畴的疾病，如：</w:t>
            </w:r>
          </w:p>
          <w:p>
            <w:pPr>
              <w:pStyle w:val="11"/>
              <w:numPr>
                <w:ilvl w:val="0"/>
                <w:numId w:val="16"/>
              </w:numPr>
              <w:tabs>
                <w:tab w:val="left" w:pos="359"/>
              </w:tabs>
              <w:spacing w:before="0" w:after="0" w:line="278" w:lineRule="auto"/>
              <w:ind w:left="106" w:right="95" w:firstLine="0"/>
              <w:jc w:val="both"/>
              <w:rPr>
                <w:rFonts w:ascii="黑体" w:eastAsia="黑体"/>
                <w:sz w:val="21"/>
              </w:rPr>
            </w:pPr>
            <w:r>
              <w:rPr>
                <w:rFonts w:ascii="黑体" w:eastAsia="黑体"/>
                <w:color w:val="000000"/>
                <w:spacing w:val="-2"/>
                <w:sz w:val="21"/>
                <w:shd w:val="clear" w:color="auto" w:fill="DADADA"/>
              </w:rPr>
              <w:t>原位癌，癌前病变，非浸润性癌，非侵袭性癌，肿瘤细胞未侵犯基底层，上皮内瘤变，细胞不典型性增生等；</w:t>
            </w:r>
          </w:p>
          <w:p>
            <w:pPr>
              <w:pStyle w:val="11"/>
              <w:numPr>
                <w:ilvl w:val="0"/>
                <w:numId w:val="16"/>
              </w:numPr>
              <w:tabs>
                <w:tab w:val="left" w:pos="369"/>
              </w:tabs>
              <w:spacing w:before="0" w:after="0" w:line="269" w:lineRule="exact"/>
              <w:ind w:left="368" w:right="0" w:hanging="263"/>
              <w:jc w:val="left"/>
              <w:rPr>
                <w:rFonts w:ascii="黑体" w:eastAsia="黑体"/>
                <w:sz w:val="21"/>
              </w:rPr>
            </w:pPr>
            <w:r>
              <w:rPr>
                <w:rFonts w:ascii="黑体" w:eastAsia="黑体"/>
                <w:color w:val="000000"/>
                <w:spacing w:val="-1"/>
                <w:sz w:val="21"/>
                <w:shd w:val="clear" w:color="auto" w:fill="DADADA"/>
              </w:rPr>
              <w:t>交界性肿瘤，交界恶性肿瘤，肿瘤低度恶性潜能，潜在低度恶性肿瘤</w:t>
            </w:r>
          </w:p>
          <w:p>
            <w:pPr>
              <w:pStyle w:val="11"/>
              <w:spacing w:before="42"/>
              <w:rPr>
                <w:rFonts w:ascii="黑体" w:eastAsia="黑体"/>
                <w:sz w:val="21"/>
              </w:rPr>
            </w:pPr>
            <w:r>
              <w:rPr>
                <w:rFonts w:ascii="黑体" w:eastAsia="黑体"/>
                <w:color w:val="000000"/>
                <w:spacing w:val="-5"/>
                <w:sz w:val="21"/>
                <w:shd w:val="clear" w:color="auto" w:fill="DADADA"/>
              </w:rPr>
              <w:t>等。</w:t>
            </w:r>
          </w:p>
        </w:tc>
      </w:tr>
    </w:tbl>
    <w:p>
      <w:pPr>
        <w:pStyle w:val="3"/>
        <w:ind w:left="0"/>
        <w:rPr>
          <w:sz w:val="20"/>
        </w:rPr>
      </w:pPr>
    </w:p>
    <w:p>
      <w:pPr>
        <w:pStyle w:val="3"/>
        <w:ind w:left="0"/>
        <w:rPr>
          <w:sz w:val="20"/>
        </w:rPr>
      </w:pPr>
    </w:p>
    <w:p>
      <w:pPr>
        <w:pStyle w:val="3"/>
        <w:ind w:left="0"/>
        <w:rPr>
          <w:sz w:val="20"/>
        </w:rPr>
      </w:pPr>
    </w:p>
    <w:p>
      <w:pPr>
        <w:pStyle w:val="3"/>
        <w:ind w:left="0"/>
        <w:rPr>
          <w:sz w:val="20"/>
        </w:rPr>
      </w:pPr>
    </w:p>
    <w:p>
      <w:pPr>
        <w:pStyle w:val="3"/>
        <w:ind w:left="0"/>
        <w:rPr>
          <w:sz w:val="20"/>
        </w:rPr>
      </w:pPr>
    </w:p>
    <w:p>
      <w:pPr>
        <w:pStyle w:val="3"/>
        <w:spacing w:before="4"/>
        <w:ind w:left="0"/>
        <w:rPr>
          <w:sz w:val="22"/>
        </w:rPr>
      </w:pPr>
      <w:r>
        <w:drawing>
          <wp:anchor distT="0" distB="0" distL="0" distR="0" simplePos="0" relativeHeight="251660288" behindDoc="0" locked="0" layoutInCell="1" allowOverlap="1">
            <wp:simplePos x="0" y="0"/>
            <wp:positionH relativeFrom="page">
              <wp:posOffset>1141095</wp:posOffset>
            </wp:positionH>
            <wp:positionV relativeFrom="paragraph">
              <wp:posOffset>196850</wp:posOffset>
            </wp:positionV>
            <wp:extent cx="5278120" cy="6985"/>
            <wp:effectExtent l="0" t="0" r="0" b="0"/>
            <wp:wrapTopAndBottom/>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a:picLocks noChangeAspect="1"/>
                    </pic:cNvPicPr>
                  </pic:nvPicPr>
                  <pic:blipFill>
                    <a:blip r:embed="rId14" cstate="print"/>
                    <a:stretch>
                      <a:fillRect/>
                    </a:stretch>
                  </pic:blipFill>
                  <pic:spPr>
                    <a:xfrm>
                      <a:off x="0" y="0"/>
                      <a:ext cx="5278373" cy="6858"/>
                    </a:xfrm>
                    <a:prstGeom prst="rect">
                      <a:avLst/>
                    </a:prstGeom>
                  </pic:spPr>
                </pic:pic>
              </a:graphicData>
            </a:graphic>
          </wp:anchor>
        </w:drawing>
      </w:r>
    </w:p>
    <w:p>
      <w:pPr>
        <w:spacing w:before="93" w:line="208" w:lineRule="auto"/>
        <w:ind w:left="257" w:right="713" w:firstLine="0"/>
        <w:jc w:val="left"/>
        <w:rPr>
          <w:sz w:val="18"/>
        </w:rPr>
      </w:pPr>
      <w:r>
        <w:rPr>
          <w:rFonts w:ascii="Times New Roman" w:eastAsia="Times New Roman"/>
          <w:spacing w:val="-2"/>
          <w:sz w:val="18"/>
        </w:rPr>
        <w:t>pT</w:t>
      </w:r>
      <w:r>
        <w:rPr>
          <w:rFonts w:ascii="Times New Roman" w:eastAsia="Times New Roman"/>
          <w:spacing w:val="-2"/>
          <w:sz w:val="18"/>
          <w:vertAlign w:val="subscript"/>
        </w:rPr>
        <w:t>4a</w:t>
      </w:r>
      <w:r>
        <w:rPr>
          <w:spacing w:val="-2"/>
          <w:sz w:val="18"/>
          <w:vertAlign w:val="baseline"/>
        </w:rPr>
        <w:t>：中度进展，任何大小的肿瘤，侵犯甲状腺外颈部周围器官和软组织，如喉、气管、食管、喉反神经及皮下软组织</w:t>
      </w:r>
    </w:p>
    <w:p>
      <w:pPr>
        <w:spacing w:before="1" w:line="206" w:lineRule="auto"/>
        <w:ind w:left="257" w:right="2866" w:firstLine="0"/>
        <w:jc w:val="left"/>
        <w:rPr>
          <w:sz w:val="18"/>
        </w:rPr>
      </w:pPr>
      <w:r>
        <w:rPr>
          <w:rFonts w:ascii="Times New Roman" w:eastAsia="Times New Roman"/>
          <w:spacing w:val="-2"/>
          <w:sz w:val="18"/>
        </w:rPr>
        <w:t>pT</w:t>
      </w:r>
      <w:r>
        <w:rPr>
          <w:rFonts w:ascii="Times New Roman" w:eastAsia="Times New Roman"/>
          <w:spacing w:val="-2"/>
          <w:sz w:val="18"/>
          <w:vertAlign w:val="subscript"/>
        </w:rPr>
        <w:t>4b</w:t>
      </w:r>
      <w:r>
        <w:rPr>
          <w:spacing w:val="-2"/>
          <w:sz w:val="18"/>
          <w:vertAlign w:val="baseline"/>
        </w:rPr>
        <w:t>：重度进展，任何大小的肿瘤，侵犯椎前筋膜，或包裹颈动脉、纵隔血管区域淋巴结：适用于所有甲状腺癌</w:t>
      </w:r>
    </w:p>
    <w:p>
      <w:pPr>
        <w:spacing w:before="1" w:line="208" w:lineRule="auto"/>
        <w:ind w:left="257" w:right="6867" w:firstLine="0"/>
        <w:jc w:val="left"/>
        <w:rPr>
          <w:sz w:val="18"/>
        </w:rPr>
      </w:pPr>
      <w:r>
        <w:rPr>
          <w:rFonts w:ascii="Times New Roman" w:eastAsia="Times New Roman"/>
          <w:spacing w:val="-2"/>
          <w:sz w:val="18"/>
        </w:rPr>
        <w:t>pN</w:t>
      </w:r>
      <w:r>
        <w:rPr>
          <w:rFonts w:ascii="Times New Roman" w:eastAsia="Times New Roman"/>
          <w:spacing w:val="-2"/>
          <w:sz w:val="18"/>
          <w:vertAlign w:val="subscript"/>
        </w:rPr>
        <w:t>x</w:t>
      </w:r>
      <w:r>
        <w:rPr>
          <w:spacing w:val="-2"/>
          <w:sz w:val="18"/>
          <w:vertAlign w:val="baseline"/>
        </w:rPr>
        <w:t xml:space="preserve">：区域淋巴结无法评估 </w:t>
      </w:r>
      <w:r>
        <w:rPr>
          <w:rFonts w:ascii="Times New Roman" w:eastAsia="Times New Roman"/>
          <w:spacing w:val="-2"/>
          <w:sz w:val="18"/>
          <w:vertAlign w:val="baseline"/>
        </w:rPr>
        <w:t>pN</w:t>
      </w:r>
      <w:r>
        <w:rPr>
          <w:rFonts w:ascii="Times New Roman" w:eastAsia="Times New Roman"/>
          <w:spacing w:val="-2"/>
          <w:sz w:val="18"/>
          <w:vertAlign w:val="subscript"/>
        </w:rPr>
        <w:t>0</w:t>
      </w:r>
      <w:r>
        <w:rPr>
          <w:spacing w:val="-2"/>
          <w:sz w:val="18"/>
          <w:vertAlign w:val="baseline"/>
        </w:rPr>
        <w:t xml:space="preserve">：无淋巴结转移证据 </w:t>
      </w:r>
      <w:r>
        <w:rPr>
          <w:rFonts w:ascii="Times New Roman" w:eastAsia="Times New Roman"/>
          <w:spacing w:val="-2"/>
          <w:sz w:val="18"/>
          <w:vertAlign w:val="baseline"/>
        </w:rPr>
        <w:t>pN</w:t>
      </w:r>
      <w:r>
        <w:rPr>
          <w:rFonts w:ascii="Times New Roman" w:eastAsia="Times New Roman"/>
          <w:spacing w:val="-2"/>
          <w:sz w:val="18"/>
          <w:vertAlign w:val="subscript"/>
        </w:rPr>
        <w:t>1</w:t>
      </w:r>
      <w:r>
        <w:rPr>
          <w:spacing w:val="-2"/>
          <w:sz w:val="18"/>
          <w:vertAlign w:val="baseline"/>
        </w:rPr>
        <w:t>：区域淋巴结转移</w:t>
      </w:r>
    </w:p>
    <w:p>
      <w:pPr>
        <w:spacing w:before="0" w:line="190" w:lineRule="exact"/>
        <w:ind w:left="257" w:right="0" w:firstLine="0"/>
        <w:jc w:val="left"/>
        <w:rPr>
          <w:sz w:val="18"/>
        </w:rPr>
      </w:pPr>
      <w:r>
        <w:rPr>
          <w:rFonts w:ascii="Times New Roman" w:hAnsi="Times New Roman" w:eastAsia="Times New Roman"/>
          <w:sz w:val="18"/>
        </w:rPr>
        <w:t>pN</w:t>
      </w:r>
      <w:r>
        <w:rPr>
          <w:rFonts w:ascii="Times New Roman" w:hAnsi="Times New Roman" w:eastAsia="Times New Roman"/>
          <w:sz w:val="18"/>
          <w:vertAlign w:val="subscript"/>
        </w:rPr>
        <w:t>1a</w:t>
      </w:r>
      <w:r>
        <w:rPr>
          <w:sz w:val="18"/>
          <w:vertAlign w:val="baseline"/>
        </w:rPr>
        <w:t>：转移至Ⅵ、Ⅶ区（包括气管旁、气管前、喉前</w:t>
      </w:r>
      <w:r>
        <w:rPr>
          <w:rFonts w:ascii="Times New Roman" w:hAnsi="Times New Roman" w:eastAsia="Times New Roman"/>
          <w:sz w:val="18"/>
          <w:vertAlign w:val="baseline"/>
        </w:rPr>
        <w:t>/Delphian</w:t>
      </w:r>
      <w:r>
        <w:rPr>
          <w:rFonts w:ascii="Times New Roman" w:hAnsi="Times New Roman" w:eastAsia="Times New Roman"/>
          <w:spacing w:val="-8"/>
          <w:sz w:val="18"/>
          <w:vertAlign w:val="baseline"/>
        </w:rPr>
        <w:t xml:space="preserve"> </w:t>
      </w:r>
      <w:r>
        <w:rPr>
          <w:sz w:val="18"/>
          <w:vertAlign w:val="baseline"/>
        </w:rPr>
        <w:t>或上纵隔）</w:t>
      </w:r>
      <w:r>
        <w:rPr>
          <w:spacing w:val="-1"/>
          <w:sz w:val="18"/>
          <w:vertAlign w:val="baseline"/>
        </w:rPr>
        <w:t>淋巴结，可以为单侧或双侧。</w:t>
      </w:r>
    </w:p>
    <w:p>
      <w:pPr>
        <w:spacing w:before="10" w:line="206" w:lineRule="auto"/>
        <w:ind w:left="257" w:right="1227" w:firstLine="0"/>
        <w:jc w:val="left"/>
        <w:rPr>
          <w:sz w:val="18"/>
        </w:rPr>
      </w:pPr>
      <w:r>
        <w:rPr>
          <w:rFonts w:ascii="Times New Roman" w:hAnsi="Times New Roman" w:eastAsia="Times New Roman"/>
          <w:spacing w:val="-2"/>
          <w:sz w:val="18"/>
        </w:rPr>
        <w:t>pN</w:t>
      </w:r>
      <w:r>
        <w:rPr>
          <w:rFonts w:ascii="Times New Roman" w:hAnsi="Times New Roman" w:eastAsia="Times New Roman"/>
          <w:spacing w:val="-2"/>
          <w:sz w:val="18"/>
          <w:vertAlign w:val="subscript"/>
        </w:rPr>
        <w:t>1b</w:t>
      </w:r>
      <w:r>
        <w:rPr>
          <w:spacing w:val="-2"/>
          <w:sz w:val="18"/>
          <w:vertAlign w:val="baseline"/>
        </w:rPr>
        <w:t>：单侧、双侧或对侧颈淋巴结转移（包括Ⅰ、Ⅱ、Ⅲ、Ⅳ或Ⅴ区）淋巴结或咽后淋巴结转移。远处转移：适用于所有甲状腺癌</w:t>
      </w:r>
    </w:p>
    <w:p>
      <w:pPr>
        <w:spacing w:before="1" w:line="208" w:lineRule="auto"/>
        <w:ind w:left="257" w:right="7647" w:hanging="1"/>
        <w:jc w:val="left"/>
        <w:rPr>
          <w:sz w:val="18"/>
        </w:rPr>
      </w:pPr>
      <w:r>
        <w:rPr>
          <w:rFonts w:ascii="Times New Roman" w:eastAsia="Times New Roman"/>
          <w:spacing w:val="-2"/>
          <w:sz w:val="18"/>
        </w:rPr>
        <w:t>M</w:t>
      </w:r>
      <w:r>
        <w:rPr>
          <w:rFonts w:ascii="Times New Roman" w:eastAsia="Times New Roman"/>
          <w:spacing w:val="-2"/>
          <w:sz w:val="18"/>
          <w:vertAlign w:val="subscript"/>
        </w:rPr>
        <w:t>0</w:t>
      </w:r>
      <w:r>
        <w:rPr>
          <w:spacing w:val="-2"/>
          <w:sz w:val="18"/>
          <w:vertAlign w:val="baseline"/>
        </w:rPr>
        <w:t xml:space="preserve">：无远处转移 </w:t>
      </w:r>
      <w:r>
        <w:rPr>
          <w:rFonts w:ascii="Times New Roman" w:eastAsia="Times New Roman"/>
          <w:w w:val="95"/>
          <w:sz w:val="18"/>
          <w:vertAlign w:val="baseline"/>
        </w:rPr>
        <w:t>M</w:t>
      </w:r>
      <w:r>
        <w:rPr>
          <w:rFonts w:ascii="Times New Roman" w:eastAsia="Times New Roman"/>
          <w:w w:val="95"/>
          <w:sz w:val="18"/>
          <w:vertAlign w:val="subscript"/>
        </w:rPr>
        <w:t>1</w:t>
      </w:r>
      <w:r>
        <w:rPr>
          <w:w w:val="95"/>
          <w:sz w:val="18"/>
          <w:vertAlign w:val="baseline"/>
        </w:rPr>
        <w:t>：有远处转</w:t>
      </w:r>
      <w:r>
        <w:rPr>
          <w:spacing w:val="-10"/>
          <w:w w:val="95"/>
          <w:sz w:val="18"/>
          <w:vertAlign w:val="baseline"/>
        </w:rPr>
        <w:t>移</w:t>
      </w:r>
    </w:p>
    <w:tbl>
      <w:tblPr>
        <w:tblStyle w:val="7"/>
        <w:tblW w:w="0" w:type="auto"/>
        <w:tblInd w:w="2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5"/>
        <w:gridCol w:w="1001"/>
        <w:gridCol w:w="993"/>
        <w:gridCol w:w="142"/>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0" w:hRule="atLeast"/>
        </w:trPr>
        <w:tc>
          <w:tcPr>
            <w:tcW w:w="4510" w:type="dxa"/>
            <w:gridSpan w:val="5"/>
          </w:tcPr>
          <w:p>
            <w:pPr>
              <w:pStyle w:val="11"/>
              <w:spacing w:line="180" w:lineRule="exact"/>
              <w:ind w:left="4"/>
              <w:rPr>
                <w:sz w:val="18"/>
              </w:rPr>
            </w:pPr>
            <w:r>
              <w:rPr>
                <w:sz w:val="18"/>
              </w:rPr>
              <w:t>乳头状或滤泡状癌（分化型</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510" w:type="dxa"/>
            <w:gridSpan w:val="5"/>
          </w:tcPr>
          <w:p>
            <w:pPr>
              <w:pStyle w:val="11"/>
              <w:spacing w:line="180" w:lineRule="exact"/>
              <w:ind w:left="4"/>
              <w:rPr>
                <w:sz w:val="18"/>
              </w:rPr>
            </w:pPr>
            <w:r>
              <w:rPr>
                <w:sz w:val="18"/>
              </w:rPr>
              <w:t>年龄＜</w:t>
            </w:r>
            <w:r>
              <w:rPr>
                <w:rFonts w:ascii="Times New Roman" w:eastAsia="Times New Roman"/>
                <w:sz w:val="18"/>
              </w:rPr>
              <w:t>55</w:t>
            </w:r>
            <w:r>
              <w:rPr>
                <w:rFonts w:ascii="Times New Roman" w:eastAsia="Times New Roman"/>
                <w:spacing w:val="-1"/>
                <w:sz w:val="18"/>
              </w:rPr>
              <w:t xml:space="preserve"> </w:t>
            </w:r>
            <w:r>
              <w:rPr>
                <w:spacing w:val="-10"/>
                <w:sz w:val="18"/>
              </w:rPr>
              <w:t>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tcPr>
          <w:p>
            <w:pPr>
              <w:pStyle w:val="11"/>
              <w:ind w:left="0"/>
              <w:rPr>
                <w:rFonts w:ascii="Times New Roman"/>
                <w:sz w:val="12"/>
              </w:rPr>
            </w:pPr>
          </w:p>
        </w:tc>
        <w:tc>
          <w:tcPr>
            <w:tcW w:w="1001" w:type="dxa"/>
          </w:tcPr>
          <w:p>
            <w:pPr>
              <w:pStyle w:val="11"/>
              <w:spacing w:line="180" w:lineRule="exact"/>
              <w:ind w:left="-21"/>
              <w:rPr>
                <w:rFonts w:ascii="Times New Roman"/>
                <w:sz w:val="18"/>
              </w:rPr>
            </w:pPr>
            <w:r>
              <w:rPr>
                <w:rFonts w:ascii="Times New Roman"/>
                <w:sz w:val="18"/>
              </w:rPr>
              <w:t>T</w:t>
            </w:r>
          </w:p>
        </w:tc>
        <w:tc>
          <w:tcPr>
            <w:tcW w:w="1135" w:type="dxa"/>
            <w:gridSpan w:val="2"/>
          </w:tcPr>
          <w:p>
            <w:pPr>
              <w:pStyle w:val="11"/>
              <w:spacing w:line="180" w:lineRule="exact"/>
              <w:ind w:left="4"/>
              <w:rPr>
                <w:rFonts w:ascii="Times New Roman"/>
                <w:sz w:val="18"/>
              </w:rPr>
            </w:pPr>
            <w:r>
              <w:rPr>
                <w:rFonts w:ascii="Times New Roman"/>
                <w:w w:val="99"/>
                <w:sz w:val="18"/>
              </w:rPr>
              <w:t>N</w:t>
            </w:r>
          </w:p>
        </w:tc>
        <w:tc>
          <w:tcPr>
            <w:tcW w:w="1419" w:type="dxa"/>
          </w:tcPr>
          <w:p>
            <w:pPr>
              <w:pStyle w:val="11"/>
              <w:spacing w:line="180" w:lineRule="exact"/>
              <w:ind w:left="-68"/>
              <w:rPr>
                <w:rFonts w:ascii="Times New Roman"/>
                <w:sz w:val="18"/>
              </w:rPr>
            </w:pPr>
            <w:r>
              <w:rPr>
                <w:rFonts w:ascii="Times New Roman"/>
                <w:w w:val="99"/>
                <w:sz w:val="18"/>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pacing w:val="-5"/>
                <w:sz w:val="18"/>
              </w:rPr>
              <w:t>Ⅰ期</w:t>
            </w:r>
          </w:p>
        </w:tc>
        <w:tc>
          <w:tcPr>
            <w:tcW w:w="1001" w:type="dxa"/>
          </w:tcPr>
          <w:p>
            <w:pPr>
              <w:pStyle w:val="11"/>
              <w:spacing w:line="180" w:lineRule="exact"/>
              <w:ind w:left="-21"/>
              <w:rPr>
                <w:sz w:val="18"/>
              </w:rPr>
            </w:pPr>
            <w:r>
              <w:rPr>
                <w:spacing w:val="-5"/>
                <w:sz w:val="18"/>
              </w:rPr>
              <w:t>任何</w:t>
            </w:r>
          </w:p>
        </w:tc>
        <w:tc>
          <w:tcPr>
            <w:tcW w:w="1135" w:type="dxa"/>
            <w:gridSpan w:val="2"/>
          </w:tcPr>
          <w:p>
            <w:pPr>
              <w:pStyle w:val="11"/>
              <w:spacing w:line="180" w:lineRule="exact"/>
              <w:ind w:left="4"/>
              <w:rPr>
                <w:sz w:val="18"/>
              </w:rPr>
            </w:pPr>
            <w:r>
              <w:rPr>
                <w:spacing w:val="-5"/>
                <w:sz w:val="18"/>
              </w:rPr>
              <w:t>任何</w:t>
            </w:r>
          </w:p>
        </w:tc>
        <w:tc>
          <w:tcPr>
            <w:tcW w:w="1419" w:type="dxa"/>
          </w:tcPr>
          <w:p>
            <w:pPr>
              <w:pStyle w:val="11"/>
              <w:spacing w:line="180" w:lineRule="exact"/>
              <w:ind w:left="3"/>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0" w:hRule="atLeast"/>
        </w:trPr>
        <w:tc>
          <w:tcPr>
            <w:tcW w:w="955" w:type="dxa"/>
          </w:tcPr>
          <w:p>
            <w:pPr>
              <w:pStyle w:val="11"/>
              <w:spacing w:line="180" w:lineRule="exact"/>
              <w:ind w:left="4"/>
              <w:rPr>
                <w:sz w:val="18"/>
              </w:rPr>
            </w:pPr>
            <w:r>
              <w:rPr>
                <w:spacing w:val="-5"/>
                <w:sz w:val="18"/>
              </w:rPr>
              <w:t>Ⅱ期</w:t>
            </w:r>
          </w:p>
        </w:tc>
        <w:tc>
          <w:tcPr>
            <w:tcW w:w="1001" w:type="dxa"/>
          </w:tcPr>
          <w:p>
            <w:pPr>
              <w:pStyle w:val="11"/>
              <w:spacing w:line="180" w:lineRule="exact"/>
              <w:ind w:left="-21"/>
              <w:rPr>
                <w:sz w:val="18"/>
              </w:rPr>
            </w:pPr>
            <w:r>
              <w:rPr>
                <w:spacing w:val="-5"/>
                <w:sz w:val="18"/>
              </w:rPr>
              <w:t>任何</w:t>
            </w:r>
          </w:p>
        </w:tc>
        <w:tc>
          <w:tcPr>
            <w:tcW w:w="1135" w:type="dxa"/>
            <w:gridSpan w:val="2"/>
          </w:tcPr>
          <w:p>
            <w:pPr>
              <w:pStyle w:val="11"/>
              <w:spacing w:line="180" w:lineRule="exact"/>
              <w:ind w:left="4"/>
              <w:rPr>
                <w:sz w:val="18"/>
              </w:rPr>
            </w:pPr>
            <w:r>
              <w:rPr>
                <w:spacing w:val="-5"/>
                <w:sz w:val="18"/>
              </w:rPr>
              <w:t>任何</w:t>
            </w:r>
          </w:p>
        </w:tc>
        <w:tc>
          <w:tcPr>
            <w:tcW w:w="1419" w:type="dxa"/>
          </w:tcPr>
          <w:p>
            <w:pPr>
              <w:pStyle w:val="11"/>
              <w:spacing w:line="180" w:lineRule="exact"/>
              <w:ind w:left="3"/>
              <w:rPr>
                <w:rFonts w:ascii="Times New Roman"/>
                <w:sz w:val="18"/>
              </w:rPr>
            </w:pPr>
            <w:r>
              <w:rPr>
                <w:rFonts w:ascii="Times New Roman"/>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9" w:hRule="atLeast"/>
        </w:trPr>
        <w:tc>
          <w:tcPr>
            <w:tcW w:w="4510" w:type="dxa"/>
            <w:gridSpan w:val="5"/>
          </w:tcPr>
          <w:p>
            <w:pPr>
              <w:pStyle w:val="11"/>
              <w:spacing w:line="180" w:lineRule="exact"/>
              <w:ind w:left="4"/>
              <w:rPr>
                <w:sz w:val="18"/>
              </w:rPr>
            </w:pPr>
            <w:r>
              <w:rPr>
                <w:sz w:val="18"/>
              </w:rPr>
              <w:t>年龄≥</w:t>
            </w:r>
            <w:r>
              <w:rPr>
                <w:rFonts w:ascii="Times New Roman" w:hAnsi="Times New Roman" w:eastAsia="Times New Roman"/>
                <w:sz w:val="18"/>
              </w:rPr>
              <w:t>55</w:t>
            </w:r>
            <w:r>
              <w:rPr>
                <w:rFonts w:ascii="Times New Roman" w:hAnsi="Times New Roman" w:eastAsia="Times New Roman"/>
                <w:spacing w:val="-1"/>
                <w:sz w:val="18"/>
              </w:rPr>
              <w:t xml:space="preserve"> </w:t>
            </w:r>
            <w:r>
              <w:rPr>
                <w:spacing w:val="-10"/>
                <w:sz w:val="18"/>
              </w:rPr>
              <w:t>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0" w:hRule="atLeast"/>
        </w:trPr>
        <w:tc>
          <w:tcPr>
            <w:tcW w:w="955" w:type="dxa"/>
            <w:vMerge w:val="restart"/>
          </w:tcPr>
          <w:p>
            <w:pPr>
              <w:pStyle w:val="11"/>
              <w:spacing w:before="81"/>
              <w:ind w:left="4"/>
              <w:rPr>
                <w:sz w:val="18"/>
              </w:rPr>
            </w:pPr>
            <w:r>
              <w:rPr>
                <w:spacing w:val="-5"/>
                <w:sz w:val="18"/>
              </w:rPr>
              <w:t>Ⅰ期</w:t>
            </w:r>
          </w:p>
        </w:tc>
        <w:tc>
          <w:tcPr>
            <w:tcW w:w="1001" w:type="dxa"/>
          </w:tcPr>
          <w:p>
            <w:pPr>
              <w:pStyle w:val="11"/>
              <w:spacing w:line="180" w:lineRule="exact"/>
              <w:ind w:left="13"/>
              <w:rPr>
                <w:rFonts w:ascii="Times New Roman"/>
                <w:sz w:val="18"/>
              </w:rPr>
            </w:pPr>
            <w:r>
              <w:rPr>
                <w:rFonts w:ascii="Times New Roman"/>
                <w:sz w:val="18"/>
              </w:rPr>
              <w:t>1</w:t>
            </w:r>
          </w:p>
        </w:tc>
        <w:tc>
          <w:tcPr>
            <w:tcW w:w="993" w:type="dxa"/>
          </w:tcPr>
          <w:p>
            <w:pPr>
              <w:pStyle w:val="11"/>
              <w:spacing w:line="180" w:lineRule="exact"/>
              <w:ind w:left="4"/>
              <w:rPr>
                <w:rFonts w:ascii="Times New Roman"/>
                <w:sz w:val="18"/>
              </w:rPr>
            </w:pPr>
            <w:r>
              <w:rPr>
                <w:rFonts w:ascii="Times New Roman"/>
                <w:spacing w:val="-5"/>
                <w:sz w:val="18"/>
              </w:rPr>
              <w:t>0/x</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vMerge w:val="continue"/>
            <w:tcBorders>
              <w:top w:val="nil"/>
            </w:tcBorders>
          </w:tcPr>
          <w:p>
            <w:pPr>
              <w:rPr>
                <w:sz w:val="2"/>
                <w:szCs w:val="2"/>
              </w:rPr>
            </w:pPr>
          </w:p>
        </w:tc>
        <w:tc>
          <w:tcPr>
            <w:tcW w:w="1001" w:type="dxa"/>
          </w:tcPr>
          <w:p>
            <w:pPr>
              <w:pStyle w:val="11"/>
              <w:spacing w:line="180" w:lineRule="exact"/>
              <w:ind w:left="13"/>
              <w:rPr>
                <w:rFonts w:ascii="Times New Roman"/>
                <w:sz w:val="18"/>
              </w:rPr>
            </w:pPr>
            <w:r>
              <w:rPr>
                <w:rFonts w:ascii="Times New Roman"/>
                <w:sz w:val="18"/>
              </w:rPr>
              <w:t>2</w:t>
            </w:r>
          </w:p>
        </w:tc>
        <w:tc>
          <w:tcPr>
            <w:tcW w:w="993" w:type="dxa"/>
          </w:tcPr>
          <w:p>
            <w:pPr>
              <w:pStyle w:val="11"/>
              <w:spacing w:line="180" w:lineRule="exact"/>
              <w:ind w:left="4"/>
              <w:rPr>
                <w:rFonts w:ascii="Times New Roman"/>
                <w:sz w:val="18"/>
              </w:rPr>
            </w:pPr>
            <w:r>
              <w:rPr>
                <w:rFonts w:ascii="Times New Roman"/>
                <w:spacing w:val="-5"/>
                <w:sz w:val="18"/>
              </w:rPr>
              <w:t>0/x</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vMerge w:val="restart"/>
          </w:tcPr>
          <w:p>
            <w:pPr>
              <w:pStyle w:val="11"/>
              <w:spacing w:before="81"/>
              <w:ind w:left="4"/>
              <w:rPr>
                <w:sz w:val="18"/>
              </w:rPr>
            </w:pPr>
            <w:r>
              <w:rPr>
                <w:spacing w:val="-5"/>
                <w:sz w:val="18"/>
              </w:rPr>
              <w:t>Ⅱ期</w:t>
            </w:r>
          </w:p>
        </w:tc>
        <w:tc>
          <w:tcPr>
            <w:tcW w:w="1001" w:type="dxa"/>
          </w:tcPr>
          <w:p>
            <w:pPr>
              <w:pStyle w:val="11"/>
              <w:spacing w:line="180" w:lineRule="exact"/>
              <w:ind w:left="1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2</w:t>
            </w:r>
          </w:p>
        </w:tc>
        <w:tc>
          <w:tcPr>
            <w:tcW w:w="993" w:type="dxa"/>
          </w:tcPr>
          <w:p>
            <w:pPr>
              <w:pStyle w:val="11"/>
              <w:spacing w:line="180" w:lineRule="exact"/>
              <w:ind w:left="4"/>
              <w:rPr>
                <w:rFonts w:ascii="Times New Roman"/>
                <w:sz w:val="18"/>
              </w:rPr>
            </w:pPr>
            <w:r>
              <w:rPr>
                <w:rFonts w:ascii="Times New Roman"/>
                <w:sz w:val="18"/>
              </w:rPr>
              <w:t>1</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vMerge w:val="continue"/>
            <w:tcBorders>
              <w:top w:val="nil"/>
            </w:tcBorders>
          </w:tcPr>
          <w:p>
            <w:pPr>
              <w:rPr>
                <w:sz w:val="2"/>
                <w:szCs w:val="2"/>
              </w:rPr>
            </w:pPr>
          </w:p>
        </w:tc>
        <w:tc>
          <w:tcPr>
            <w:tcW w:w="1001" w:type="dxa"/>
          </w:tcPr>
          <w:p>
            <w:pPr>
              <w:pStyle w:val="11"/>
              <w:spacing w:line="180" w:lineRule="exact"/>
              <w:ind w:left="13"/>
              <w:rPr>
                <w:rFonts w:ascii="Times New Roman" w:eastAsia="Times New Roman"/>
                <w:sz w:val="18"/>
              </w:rPr>
            </w:pPr>
            <w:r>
              <w:rPr>
                <w:rFonts w:ascii="Times New Roman" w:eastAsia="Times New Roman"/>
                <w:spacing w:val="-4"/>
                <w:sz w:val="18"/>
              </w:rPr>
              <w:t>3a</w:t>
            </w:r>
            <w:r>
              <w:rPr>
                <w:spacing w:val="-4"/>
                <w:sz w:val="18"/>
              </w:rPr>
              <w:t>～</w:t>
            </w:r>
            <w:r>
              <w:rPr>
                <w:rFonts w:ascii="Times New Roman" w:eastAsia="Times New Roman"/>
                <w:spacing w:val="-4"/>
                <w:sz w:val="18"/>
              </w:rPr>
              <w:t>3b</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pacing w:val="-5"/>
                <w:sz w:val="18"/>
              </w:rPr>
              <w:t>Ⅲ期</w:t>
            </w:r>
          </w:p>
        </w:tc>
        <w:tc>
          <w:tcPr>
            <w:tcW w:w="1001" w:type="dxa"/>
          </w:tcPr>
          <w:p>
            <w:pPr>
              <w:pStyle w:val="11"/>
              <w:spacing w:line="180" w:lineRule="exact"/>
              <w:ind w:left="13"/>
              <w:rPr>
                <w:rFonts w:ascii="Times New Roman"/>
                <w:sz w:val="18"/>
              </w:rPr>
            </w:pPr>
            <w:r>
              <w:rPr>
                <w:rFonts w:ascii="Times New Roman"/>
                <w:spacing w:val="-5"/>
                <w:sz w:val="18"/>
              </w:rPr>
              <w:t>4a</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tcPr>
          <w:p>
            <w:pPr>
              <w:pStyle w:val="11"/>
              <w:spacing w:line="180" w:lineRule="exact"/>
              <w:ind w:left="4"/>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xml:space="preserve"> </w:t>
            </w:r>
            <w:r>
              <w:rPr>
                <w:spacing w:val="-10"/>
                <w:sz w:val="18"/>
              </w:rPr>
              <w:t>期</w:t>
            </w:r>
          </w:p>
        </w:tc>
        <w:tc>
          <w:tcPr>
            <w:tcW w:w="1001" w:type="dxa"/>
          </w:tcPr>
          <w:p>
            <w:pPr>
              <w:pStyle w:val="11"/>
              <w:spacing w:line="180" w:lineRule="exact"/>
              <w:ind w:left="13"/>
              <w:rPr>
                <w:rFonts w:ascii="Times New Roman"/>
                <w:sz w:val="18"/>
              </w:rPr>
            </w:pPr>
            <w:r>
              <w:rPr>
                <w:rFonts w:ascii="Times New Roman"/>
                <w:spacing w:val="-5"/>
                <w:sz w:val="18"/>
              </w:rPr>
              <w:t>4b</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z w:val="18"/>
              </w:rPr>
              <w:t>Ⅳ</w:t>
            </w:r>
            <w:r>
              <w:rPr>
                <w:rFonts w:ascii="Times New Roman" w:hAnsi="Times New Roman" w:eastAsia="Times New Roman"/>
                <w:sz w:val="18"/>
              </w:rPr>
              <w:t>B</w:t>
            </w:r>
            <w:r>
              <w:rPr>
                <w:rFonts w:ascii="Times New Roman" w:hAnsi="Times New Roman" w:eastAsia="Times New Roman"/>
                <w:spacing w:val="-1"/>
                <w:sz w:val="18"/>
              </w:rPr>
              <w:t xml:space="preserve"> </w:t>
            </w:r>
            <w:r>
              <w:rPr>
                <w:spacing w:val="-10"/>
                <w:sz w:val="18"/>
              </w:rPr>
              <w:t>期</w:t>
            </w:r>
          </w:p>
        </w:tc>
        <w:tc>
          <w:tcPr>
            <w:tcW w:w="1001" w:type="dxa"/>
          </w:tcPr>
          <w:p>
            <w:pPr>
              <w:pStyle w:val="11"/>
              <w:spacing w:line="180" w:lineRule="exact"/>
              <w:ind w:left="13"/>
              <w:rPr>
                <w:sz w:val="18"/>
              </w:rPr>
            </w:pPr>
            <w:r>
              <w:rPr>
                <w:spacing w:val="-5"/>
                <w:sz w:val="18"/>
              </w:rPr>
              <w:t>任何</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510" w:type="dxa"/>
            <w:gridSpan w:val="5"/>
          </w:tcPr>
          <w:p>
            <w:pPr>
              <w:pStyle w:val="11"/>
              <w:spacing w:line="180" w:lineRule="exact"/>
              <w:ind w:left="4"/>
              <w:rPr>
                <w:sz w:val="18"/>
              </w:rPr>
            </w:pPr>
            <w:r>
              <w:rPr>
                <w:sz w:val="18"/>
              </w:rPr>
              <w:t>髓样癌（所有年龄组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tcPr>
          <w:p>
            <w:pPr>
              <w:pStyle w:val="11"/>
              <w:spacing w:line="180" w:lineRule="exact"/>
              <w:ind w:left="4"/>
              <w:rPr>
                <w:sz w:val="18"/>
              </w:rPr>
            </w:pPr>
            <w:r>
              <w:rPr>
                <w:spacing w:val="-5"/>
                <w:sz w:val="18"/>
              </w:rPr>
              <w:t>Ⅰ期</w:t>
            </w:r>
          </w:p>
        </w:tc>
        <w:tc>
          <w:tcPr>
            <w:tcW w:w="1001" w:type="dxa"/>
          </w:tcPr>
          <w:p>
            <w:pPr>
              <w:pStyle w:val="11"/>
              <w:spacing w:line="180" w:lineRule="exact"/>
              <w:ind w:left="13"/>
              <w:rPr>
                <w:rFonts w:ascii="Times New Roman"/>
                <w:sz w:val="18"/>
              </w:rPr>
            </w:pPr>
            <w:r>
              <w:rPr>
                <w:rFonts w:ascii="Times New Roman"/>
                <w:sz w:val="18"/>
              </w:rPr>
              <w:t>1</w:t>
            </w:r>
          </w:p>
        </w:tc>
        <w:tc>
          <w:tcPr>
            <w:tcW w:w="993" w:type="dxa"/>
          </w:tcPr>
          <w:p>
            <w:pPr>
              <w:pStyle w:val="11"/>
              <w:spacing w:line="180" w:lineRule="exact"/>
              <w:ind w:left="4"/>
              <w:rPr>
                <w:rFonts w:ascii="Times New Roman"/>
                <w:sz w:val="18"/>
              </w:rPr>
            </w:pPr>
            <w:r>
              <w:rPr>
                <w:rFonts w:ascii="Times New Roman"/>
                <w:sz w:val="18"/>
              </w:rPr>
              <w:t>0</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pacing w:val="-5"/>
                <w:sz w:val="18"/>
              </w:rPr>
              <w:t>Ⅱ期</w:t>
            </w:r>
          </w:p>
        </w:tc>
        <w:tc>
          <w:tcPr>
            <w:tcW w:w="1001" w:type="dxa"/>
          </w:tcPr>
          <w:p>
            <w:pPr>
              <w:pStyle w:val="11"/>
              <w:spacing w:line="180" w:lineRule="exact"/>
              <w:ind w:left="13"/>
              <w:rPr>
                <w:rFonts w:ascii="Times New Roman" w:eastAsia="Times New Roman"/>
                <w:sz w:val="18"/>
              </w:rPr>
            </w:pPr>
            <w:r>
              <w:rPr>
                <w:rFonts w:ascii="Times New Roman" w:eastAsia="Times New Roman"/>
                <w:spacing w:val="-5"/>
                <w:sz w:val="18"/>
              </w:rPr>
              <w:t>2</w:t>
            </w:r>
            <w:r>
              <w:rPr>
                <w:spacing w:val="-5"/>
                <w:sz w:val="18"/>
              </w:rPr>
              <w:t>～</w:t>
            </w:r>
            <w:r>
              <w:rPr>
                <w:rFonts w:ascii="Times New Roman" w:eastAsia="Times New Roman"/>
                <w:spacing w:val="-5"/>
                <w:sz w:val="18"/>
              </w:rPr>
              <w:t>3</w:t>
            </w:r>
          </w:p>
        </w:tc>
        <w:tc>
          <w:tcPr>
            <w:tcW w:w="993" w:type="dxa"/>
          </w:tcPr>
          <w:p>
            <w:pPr>
              <w:pStyle w:val="11"/>
              <w:spacing w:line="180" w:lineRule="exact"/>
              <w:ind w:left="4"/>
              <w:rPr>
                <w:rFonts w:ascii="Times New Roman"/>
                <w:sz w:val="18"/>
              </w:rPr>
            </w:pPr>
            <w:r>
              <w:rPr>
                <w:rFonts w:ascii="Times New Roman"/>
                <w:sz w:val="18"/>
              </w:rPr>
              <w:t>0</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pacing w:val="-5"/>
                <w:sz w:val="18"/>
              </w:rPr>
              <w:t>Ⅲ期</w:t>
            </w:r>
          </w:p>
        </w:tc>
        <w:tc>
          <w:tcPr>
            <w:tcW w:w="1001" w:type="dxa"/>
          </w:tcPr>
          <w:p>
            <w:pPr>
              <w:pStyle w:val="11"/>
              <w:spacing w:line="180" w:lineRule="exact"/>
              <w:ind w:left="1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993" w:type="dxa"/>
          </w:tcPr>
          <w:p>
            <w:pPr>
              <w:pStyle w:val="11"/>
              <w:spacing w:line="180" w:lineRule="exact"/>
              <w:ind w:left="4"/>
              <w:rPr>
                <w:rFonts w:ascii="Times New Roman"/>
                <w:sz w:val="18"/>
              </w:rPr>
            </w:pPr>
            <w:r>
              <w:rPr>
                <w:rFonts w:ascii="Times New Roman"/>
                <w:spacing w:val="-5"/>
                <w:sz w:val="18"/>
              </w:rPr>
              <w:t>1a</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vMerge w:val="restart"/>
          </w:tcPr>
          <w:p>
            <w:pPr>
              <w:pStyle w:val="11"/>
              <w:spacing w:before="81"/>
              <w:ind w:left="4"/>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xml:space="preserve"> </w:t>
            </w:r>
            <w:r>
              <w:rPr>
                <w:spacing w:val="-10"/>
                <w:sz w:val="18"/>
              </w:rPr>
              <w:t>期</w:t>
            </w:r>
          </w:p>
        </w:tc>
        <w:tc>
          <w:tcPr>
            <w:tcW w:w="1001" w:type="dxa"/>
          </w:tcPr>
          <w:p>
            <w:pPr>
              <w:pStyle w:val="11"/>
              <w:spacing w:line="180" w:lineRule="exact"/>
              <w:ind w:left="13"/>
              <w:rPr>
                <w:rFonts w:ascii="Times New Roman"/>
                <w:sz w:val="18"/>
              </w:rPr>
            </w:pPr>
            <w:r>
              <w:rPr>
                <w:rFonts w:ascii="Times New Roman"/>
                <w:spacing w:val="-5"/>
                <w:sz w:val="18"/>
              </w:rPr>
              <w:t>4a</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vMerge w:val="continue"/>
            <w:tcBorders>
              <w:top w:val="nil"/>
            </w:tcBorders>
          </w:tcPr>
          <w:p>
            <w:pPr>
              <w:rPr>
                <w:sz w:val="2"/>
                <w:szCs w:val="2"/>
              </w:rPr>
            </w:pPr>
          </w:p>
        </w:tc>
        <w:tc>
          <w:tcPr>
            <w:tcW w:w="1001" w:type="dxa"/>
          </w:tcPr>
          <w:p>
            <w:pPr>
              <w:pStyle w:val="11"/>
              <w:spacing w:line="180" w:lineRule="exact"/>
              <w:ind w:left="1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993" w:type="dxa"/>
          </w:tcPr>
          <w:p>
            <w:pPr>
              <w:pStyle w:val="11"/>
              <w:spacing w:line="180" w:lineRule="exact"/>
              <w:ind w:left="4"/>
              <w:rPr>
                <w:rFonts w:ascii="Times New Roman"/>
                <w:sz w:val="18"/>
              </w:rPr>
            </w:pPr>
            <w:r>
              <w:rPr>
                <w:rFonts w:ascii="Times New Roman"/>
                <w:spacing w:val="-5"/>
                <w:sz w:val="18"/>
              </w:rPr>
              <w:t>1b</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z w:val="18"/>
              </w:rPr>
              <w:t>Ⅳ</w:t>
            </w:r>
            <w:r>
              <w:rPr>
                <w:rFonts w:ascii="Times New Roman" w:hAnsi="Times New Roman" w:eastAsia="Times New Roman"/>
                <w:sz w:val="18"/>
              </w:rPr>
              <w:t>B</w:t>
            </w:r>
            <w:r>
              <w:rPr>
                <w:rFonts w:ascii="Times New Roman" w:hAnsi="Times New Roman" w:eastAsia="Times New Roman"/>
                <w:spacing w:val="-1"/>
                <w:sz w:val="18"/>
              </w:rPr>
              <w:t xml:space="preserve"> </w:t>
            </w:r>
            <w:r>
              <w:rPr>
                <w:spacing w:val="-10"/>
                <w:sz w:val="18"/>
              </w:rPr>
              <w:t>期</w:t>
            </w:r>
          </w:p>
        </w:tc>
        <w:tc>
          <w:tcPr>
            <w:tcW w:w="1001" w:type="dxa"/>
          </w:tcPr>
          <w:p>
            <w:pPr>
              <w:pStyle w:val="11"/>
              <w:spacing w:line="180" w:lineRule="exact"/>
              <w:ind w:left="13"/>
              <w:rPr>
                <w:rFonts w:ascii="Times New Roman"/>
                <w:sz w:val="18"/>
              </w:rPr>
            </w:pPr>
            <w:r>
              <w:rPr>
                <w:rFonts w:ascii="Times New Roman"/>
                <w:spacing w:val="-5"/>
                <w:sz w:val="18"/>
              </w:rPr>
              <w:t>4b</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tcPr>
          <w:p>
            <w:pPr>
              <w:pStyle w:val="11"/>
              <w:spacing w:line="180" w:lineRule="exact"/>
              <w:ind w:left="4"/>
              <w:rPr>
                <w:sz w:val="18"/>
              </w:rPr>
            </w:pPr>
            <w:r>
              <w:rPr>
                <w:sz w:val="18"/>
              </w:rPr>
              <w:t>Ⅳ</w:t>
            </w:r>
            <w:r>
              <w:rPr>
                <w:rFonts w:ascii="Times New Roman" w:hAnsi="Times New Roman" w:eastAsia="Times New Roman"/>
                <w:sz w:val="18"/>
              </w:rPr>
              <w:t>C</w:t>
            </w:r>
            <w:r>
              <w:rPr>
                <w:rFonts w:ascii="Times New Roman" w:hAnsi="Times New Roman" w:eastAsia="Times New Roman"/>
                <w:spacing w:val="-1"/>
                <w:sz w:val="18"/>
              </w:rPr>
              <w:t xml:space="preserve"> </w:t>
            </w:r>
            <w:r>
              <w:rPr>
                <w:spacing w:val="-10"/>
                <w:sz w:val="18"/>
              </w:rPr>
              <w:t>期</w:t>
            </w:r>
          </w:p>
        </w:tc>
        <w:tc>
          <w:tcPr>
            <w:tcW w:w="1001" w:type="dxa"/>
          </w:tcPr>
          <w:p>
            <w:pPr>
              <w:pStyle w:val="11"/>
              <w:spacing w:line="180" w:lineRule="exact"/>
              <w:ind w:left="13"/>
              <w:rPr>
                <w:sz w:val="18"/>
              </w:rPr>
            </w:pPr>
            <w:r>
              <w:rPr>
                <w:spacing w:val="-5"/>
                <w:sz w:val="18"/>
              </w:rPr>
              <w:t>任何</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510" w:type="dxa"/>
            <w:gridSpan w:val="5"/>
          </w:tcPr>
          <w:p>
            <w:pPr>
              <w:pStyle w:val="11"/>
              <w:spacing w:line="180" w:lineRule="exact"/>
              <w:ind w:left="4"/>
              <w:rPr>
                <w:sz w:val="18"/>
              </w:rPr>
            </w:pPr>
            <w:r>
              <w:rPr>
                <w:sz w:val="18"/>
              </w:rPr>
              <w:t>未分化癌（所有年龄组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tcPr>
          <w:p>
            <w:pPr>
              <w:pStyle w:val="11"/>
              <w:spacing w:line="180" w:lineRule="exact"/>
              <w:ind w:left="4"/>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xml:space="preserve"> </w:t>
            </w:r>
            <w:r>
              <w:rPr>
                <w:spacing w:val="-10"/>
                <w:sz w:val="18"/>
              </w:rPr>
              <w:t>期</w:t>
            </w:r>
          </w:p>
        </w:tc>
        <w:tc>
          <w:tcPr>
            <w:tcW w:w="1001" w:type="dxa"/>
          </w:tcPr>
          <w:p>
            <w:pPr>
              <w:pStyle w:val="11"/>
              <w:spacing w:line="180" w:lineRule="exact"/>
              <w:ind w:left="13"/>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tc>
        <w:tc>
          <w:tcPr>
            <w:tcW w:w="993" w:type="dxa"/>
          </w:tcPr>
          <w:p>
            <w:pPr>
              <w:pStyle w:val="11"/>
              <w:spacing w:line="180" w:lineRule="exact"/>
              <w:ind w:left="4"/>
              <w:rPr>
                <w:rFonts w:ascii="Times New Roman"/>
                <w:sz w:val="18"/>
              </w:rPr>
            </w:pPr>
            <w:r>
              <w:rPr>
                <w:rFonts w:ascii="Times New Roman"/>
                <w:spacing w:val="-5"/>
                <w:sz w:val="18"/>
              </w:rPr>
              <w:t>0/x</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955" w:type="dxa"/>
            <w:vMerge w:val="restart"/>
          </w:tcPr>
          <w:p>
            <w:pPr>
              <w:pStyle w:val="11"/>
              <w:spacing w:before="81"/>
              <w:ind w:left="4"/>
              <w:rPr>
                <w:sz w:val="18"/>
              </w:rPr>
            </w:pPr>
            <w:r>
              <w:rPr>
                <w:sz w:val="18"/>
              </w:rPr>
              <w:t>Ⅳ</w:t>
            </w:r>
            <w:r>
              <w:rPr>
                <w:rFonts w:ascii="Times New Roman" w:hAnsi="Times New Roman" w:eastAsia="Times New Roman"/>
                <w:sz w:val="18"/>
              </w:rPr>
              <w:t>B</w:t>
            </w:r>
            <w:r>
              <w:rPr>
                <w:rFonts w:ascii="Times New Roman" w:hAnsi="Times New Roman" w:eastAsia="Times New Roman"/>
                <w:spacing w:val="-1"/>
                <w:sz w:val="18"/>
              </w:rPr>
              <w:t xml:space="preserve"> </w:t>
            </w:r>
            <w:r>
              <w:rPr>
                <w:spacing w:val="-10"/>
                <w:sz w:val="18"/>
              </w:rPr>
              <w:t>期</w:t>
            </w:r>
          </w:p>
        </w:tc>
        <w:tc>
          <w:tcPr>
            <w:tcW w:w="1001" w:type="dxa"/>
          </w:tcPr>
          <w:p>
            <w:pPr>
              <w:pStyle w:val="11"/>
              <w:spacing w:line="180" w:lineRule="exact"/>
              <w:ind w:left="13"/>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tc>
        <w:tc>
          <w:tcPr>
            <w:tcW w:w="993" w:type="dxa"/>
          </w:tcPr>
          <w:p>
            <w:pPr>
              <w:pStyle w:val="11"/>
              <w:spacing w:line="180" w:lineRule="exact"/>
              <w:ind w:left="4"/>
              <w:rPr>
                <w:rFonts w:ascii="Times New Roman"/>
                <w:sz w:val="18"/>
              </w:rPr>
            </w:pPr>
            <w:r>
              <w:rPr>
                <w:rFonts w:ascii="Times New Roman"/>
                <w:sz w:val="18"/>
              </w:rPr>
              <w:t>1</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955" w:type="dxa"/>
            <w:vMerge w:val="continue"/>
            <w:tcBorders>
              <w:top w:val="nil"/>
            </w:tcBorders>
          </w:tcPr>
          <w:p>
            <w:pPr>
              <w:rPr>
                <w:sz w:val="2"/>
                <w:szCs w:val="2"/>
              </w:rPr>
            </w:pPr>
          </w:p>
        </w:tc>
        <w:tc>
          <w:tcPr>
            <w:tcW w:w="1001" w:type="dxa"/>
          </w:tcPr>
          <w:p>
            <w:pPr>
              <w:pStyle w:val="11"/>
              <w:spacing w:line="180" w:lineRule="exact"/>
              <w:ind w:left="13"/>
              <w:rPr>
                <w:rFonts w:ascii="Times New Roman" w:eastAsia="Times New Roman"/>
                <w:sz w:val="18"/>
              </w:rPr>
            </w:pPr>
            <w:r>
              <w:rPr>
                <w:rFonts w:ascii="Times New Roman" w:eastAsia="Times New Roman"/>
                <w:spacing w:val="-4"/>
                <w:sz w:val="18"/>
              </w:rPr>
              <w:t>3b</w:t>
            </w:r>
            <w:r>
              <w:rPr>
                <w:spacing w:val="-4"/>
                <w:sz w:val="18"/>
              </w:rPr>
              <w:t>～</w:t>
            </w:r>
            <w:r>
              <w:rPr>
                <w:rFonts w:ascii="Times New Roman" w:eastAsia="Times New Roman"/>
                <w:spacing w:val="-4"/>
                <w:sz w:val="18"/>
              </w:rPr>
              <w:t>4</w:t>
            </w:r>
          </w:p>
        </w:tc>
        <w:tc>
          <w:tcPr>
            <w:tcW w:w="993" w:type="dxa"/>
          </w:tcPr>
          <w:p>
            <w:pPr>
              <w:pStyle w:val="11"/>
              <w:spacing w:line="180" w:lineRule="exact"/>
              <w:ind w:left="4"/>
              <w:rPr>
                <w:sz w:val="18"/>
              </w:rPr>
            </w:pPr>
            <w:r>
              <w:rPr>
                <w:spacing w:val="-5"/>
                <w:sz w:val="18"/>
              </w:rPr>
              <w:t>任何</w:t>
            </w:r>
          </w:p>
        </w:tc>
        <w:tc>
          <w:tcPr>
            <w:tcW w:w="1561" w:type="dxa"/>
            <w:gridSpan w:val="2"/>
          </w:tcPr>
          <w:p>
            <w:pPr>
              <w:pStyle w:val="11"/>
              <w:spacing w:line="180" w:lineRule="exact"/>
              <w:ind w:left="2"/>
              <w:rPr>
                <w:rFonts w:ascii="Times New Roman"/>
                <w:sz w:val="18"/>
              </w:rPr>
            </w:pPr>
            <w:r>
              <w:rPr>
                <w:rFonts w:ascii="Times New Roman"/>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955" w:type="dxa"/>
          </w:tcPr>
          <w:p>
            <w:pPr>
              <w:pStyle w:val="11"/>
              <w:spacing w:line="181" w:lineRule="exact"/>
              <w:ind w:left="4"/>
              <w:rPr>
                <w:sz w:val="18"/>
              </w:rPr>
            </w:pPr>
            <w:r>
              <w:rPr>
                <w:sz w:val="18"/>
              </w:rPr>
              <w:t>Ⅳ</w:t>
            </w:r>
            <w:r>
              <w:rPr>
                <w:rFonts w:ascii="Times New Roman" w:hAnsi="Times New Roman" w:eastAsia="Times New Roman"/>
                <w:sz w:val="18"/>
              </w:rPr>
              <w:t>C</w:t>
            </w:r>
            <w:r>
              <w:rPr>
                <w:rFonts w:ascii="Times New Roman" w:hAnsi="Times New Roman" w:eastAsia="Times New Roman"/>
                <w:spacing w:val="-1"/>
                <w:sz w:val="18"/>
              </w:rPr>
              <w:t xml:space="preserve"> </w:t>
            </w:r>
            <w:r>
              <w:rPr>
                <w:spacing w:val="-10"/>
                <w:sz w:val="18"/>
              </w:rPr>
              <w:t>期</w:t>
            </w:r>
          </w:p>
        </w:tc>
        <w:tc>
          <w:tcPr>
            <w:tcW w:w="1001" w:type="dxa"/>
          </w:tcPr>
          <w:p>
            <w:pPr>
              <w:pStyle w:val="11"/>
              <w:spacing w:line="181" w:lineRule="exact"/>
              <w:ind w:left="13"/>
              <w:rPr>
                <w:sz w:val="18"/>
              </w:rPr>
            </w:pPr>
            <w:r>
              <w:rPr>
                <w:spacing w:val="-5"/>
                <w:sz w:val="18"/>
              </w:rPr>
              <w:t>任何</w:t>
            </w:r>
          </w:p>
        </w:tc>
        <w:tc>
          <w:tcPr>
            <w:tcW w:w="993" w:type="dxa"/>
          </w:tcPr>
          <w:p>
            <w:pPr>
              <w:pStyle w:val="11"/>
              <w:spacing w:line="181" w:lineRule="exact"/>
              <w:ind w:left="4"/>
              <w:rPr>
                <w:sz w:val="18"/>
              </w:rPr>
            </w:pPr>
            <w:r>
              <w:rPr>
                <w:spacing w:val="-5"/>
                <w:sz w:val="18"/>
              </w:rPr>
              <w:t>任何</w:t>
            </w:r>
          </w:p>
        </w:tc>
        <w:tc>
          <w:tcPr>
            <w:tcW w:w="1561" w:type="dxa"/>
            <w:gridSpan w:val="2"/>
          </w:tcPr>
          <w:p>
            <w:pPr>
              <w:pStyle w:val="11"/>
              <w:spacing w:line="181" w:lineRule="exact"/>
              <w:ind w:left="2"/>
              <w:rPr>
                <w:rFonts w:ascii="Times New Roman"/>
                <w:sz w:val="18"/>
              </w:rPr>
            </w:pPr>
            <w:r>
              <w:rPr>
                <w:rFonts w:ascii="Times New Roman"/>
                <w:sz w:val="18"/>
              </w:rPr>
              <w:t>1</w:t>
            </w:r>
          </w:p>
        </w:tc>
      </w:tr>
    </w:tbl>
    <w:p>
      <w:pPr>
        <w:spacing w:before="0"/>
        <w:ind w:left="257" w:right="0" w:firstLine="0"/>
        <w:jc w:val="left"/>
        <w:rPr>
          <w:sz w:val="18"/>
        </w:rPr>
      </w:pPr>
      <w:r>
        <w:rPr>
          <w:spacing w:val="-1"/>
          <w:sz w:val="18"/>
        </w:rPr>
        <w:t>注：以上表格中“年龄”指患者病理组织标本获取日期时的年龄。</w:t>
      </w:r>
    </w:p>
    <w:p>
      <w:pPr>
        <w:spacing w:after="0"/>
        <w:jc w:val="left"/>
        <w:rPr>
          <w:sz w:val="18"/>
        </w:rPr>
        <w:sectPr>
          <w:pgSz w:w="11910" w:h="16840"/>
          <w:pgMar w:top="1420" w:right="1160" w:bottom="148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1951"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12"/>
              <w:ind w:left="0"/>
              <w:rPr>
                <w:sz w:val="18"/>
              </w:rPr>
            </w:pPr>
          </w:p>
          <w:p>
            <w:pPr>
              <w:pStyle w:val="11"/>
              <w:spacing w:line="278" w:lineRule="auto"/>
              <w:ind w:left="765" w:right="123" w:hanging="630"/>
              <w:rPr>
                <w:sz w:val="21"/>
              </w:rPr>
            </w:pPr>
            <w:r>
              <w:rPr>
                <w:spacing w:val="-2"/>
                <w:sz w:val="21"/>
              </w:rPr>
              <w:t>二、较轻急性心肌</w:t>
            </w:r>
            <w:r>
              <w:rPr>
                <w:spacing w:val="-6"/>
                <w:sz w:val="21"/>
              </w:rPr>
              <w:t>梗死</w:t>
            </w:r>
          </w:p>
        </w:tc>
        <w:tc>
          <w:tcPr>
            <w:tcW w:w="6804" w:type="dxa"/>
          </w:tcPr>
          <w:p>
            <w:pPr>
              <w:pStyle w:val="11"/>
              <w:spacing w:before="20" w:line="278" w:lineRule="auto"/>
              <w:ind w:right="-15"/>
              <w:rPr>
                <w:sz w:val="21"/>
              </w:rPr>
            </w:pPr>
            <w:r>
              <w:rPr>
                <w:spacing w:val="1"/>
                <w:sz w:val="21"/>
              </w:rPr>
              <w:t>急性心肌梗死指由于冠状动脉闭塞或梗阻引起部分心肌严重的持久性缺</w:t>
            </w:r>
            <w:r>
              <w:rPr>
                <w:spacing w:val="-2"/>
                <w:sz w:val="21"/>
              </w:rPr>
              <w:t>血造成急性心肌坏死。急性心肌梗死的诊断必须依据国际国内诊断标准，</w:t>
            </w:r>
            <w:r>
              <w:rPr>
                <w:spacing w:val="-6"/>
                <w:sz w:val="21"/>
              </w:rPr>
              <w:t>符合</w:t>
            </w:r>
            <w:r>
              <w:rPr>
                <w:sz w:val="21"/>
              </w:rPr>
              <w:t>（</w:t>
            </w:r>
            <w:r>
              <w:rPr>
                <w:rFonts w:ascii="Times New Roman" w:eastAsia="Times New Roman"/>
                <w:sz w:val="21"/>
              </w:rPr>
              <w:t>1</w:t>
            </w:r>
            <w:r>
              <w:rPr>
                <w:spacing w:val="-9"/>
                <w:sz w:val="21"/>
              </w:rPr>
              <w:t>）</w:t>
            </w:r>
            <w:r>
              <w:rPr>
                <w:spacing w:val="-2"/>
                <w:sz w:val="21"/>
              </w:rPr>
              <w:t>检测到肌酸激酶同工酶</w:t>
            </w:r>
            <w:r>
              <w:rPr>
                <w:sz w:val="21"/>
              </w:rPr>
              <w:t>（</w:t>
            </w:r>
            <w:r>
              <w:rPr>
                <w:rFonts w:ascii="Times New Roman" w:eastAsia="Times New Roman"/>
                <w:w w:val="99"/>
                <w:sz w:val="21"/>
              </w:rPr>
              <w:t>C</w:t>
            </w:r>
            <w:r>
              <w:rPr>
                <w:rFonts w:ascii="Times New Roman" w:eastAsia="Times New Roman"/>
                <w:spacing w:val="-1"/>
                <w:w w:val="99"/>
                <w:sz w:val="21"/>
              </w:rPr>
              <w:t>K-</w:t>
            </w:r>
            <w:r>
              <w:rPr>
                <w:rFonts w:ascii="Times New Roman" w:eastAsia="Times New Roman"/>
                <w:w w:val="99"/>
                <w:sz w:val="21"/>
              </w:rPr>
              <w:t>MB</w:t>
            </w:r>
            <w:r>
              <w:rPr>
                <w:spacing w:val="-9"/>
                <w:sz w:val="21"/>
              </w:rPr>
              <w:t>）</w:t>
            </w:r>
            <w:r>
              <w:rPr>
                <w:spacing w:val="-2"/>
                <w:sz w:val="21"/>
              </w:rPr>
              <w:t>或肌钙蛋白</w:t>
            </w:r>
            <w:r>
              <w:rPr>
                <w:sz w:val="21"/>
              </w:rPr>
              <w:t>（</w:t>
            </w:r>
            <w:r>
              <w:rPr>
                <w:rFonts w:ascii="Times New Roman" w:eastAsia="Times New Roman"/>
                <w:sz w:val="21"/>
              </w:rPr>
              <w:t>cT</w:t>
            </w:r>
            <w:r>
              <w:rPr>
                <w:rFonts w:ascii="Times New Roman" w:eastAsia="Times New Roman"/>
                <w:spacing w:val="-1"/>
                <w:sz w:val="21"/>
              </w:rPr>
              <w:t>n</w:t>
            </w:r>
            <w:r>
              <w:rPr>
                <w:spacing w:val="-9"/>
                <w:sz w:val="21"/>
              </w:rPr>
              <w:t>）</w:t>
            </w:r>
            <w:r>
              <w:rPr>
                <w:sz w:val="21"/>
              </w:rPr>
              <w:t>升高和</w:t>
            </w:r>
            <w:r>
              <w:rPr>
                <w:rFonts w:ascii="Times New Roman" w:eastAsia="Times New Roman"/>
                <w:sz w:val="21"/>
              </w:rPr>
              <w:t>/</w:t>
            </w:r>
            <w:r>
              <w:rPr>
                <w:spacing w:val="-2"/>
                <w:sz w:val="21"/>
              </w:rPr>
              <w:t>或降低的动态变化，至少一次达到或超过心肌梗死的临床诊断标准</w:t>
            </w:r>
            <w:r>
              <w:rPr>
                <w:spacing w:val="-118"/>
                <w:sz w:val="21"/>
              </w:rPr>
              <w:t>；</w:t>
            </w:r>
            <w:r>
              <w:rPr>
                <w:spacing w:val="-2"/>
                <w:sz w:val="21"/>
              </w:rPr>
              <w:t>（</w:t>
            </w:r>
            <w:r>
              <w:rPr>
                <w:rFonts w:ascii="Times New Roman" w:eastAsia="Times New Roman"/>
                <w:sz w:val="21"/>
              </w:rPr>
              <w:t>2</w:t>
            </w:r>
            <w:r>
              <w:rPr>
                <w:sz w:val="21"/>
              </w:rPr>
              <w:t>）</w:t>
            </w:r>
            <w:r>
              <w:rPr>
                <w:spacing w:val="1"/>
                <w:sz w:val="21"/>
              </w:rPr>
              <w:t>同时存在下列之一的证据，包括：缺血性胸痛症状、新发生的缺血性心</w:t>
            </w:r>
            <w:r>
              <w:rPr>
                <w:spacing w:val="-2"/>
                <w:sz w:val="21"/>
              </w:rPr>
              <w:t xml:space="preserve">电图改变、新生成的病理性 </w:t>
            </w:r>
            <w:r>
              <w:rPr>
                <w:rFonts w:ascii="Times New Roman" w:eastAsia="Times New Roman"/>
                <w:w w:val="99"/>
                <w:sz w:val="21"/>
              </w:rPr>
              <w:t>Q</w:t>
            </w:r>
            <w:r>
              <w:rPr>
                <w:rFonts w:ascii="Times New Roman" w:eastAsia="Times New Roman"/>
                <w:spacing w:val="15"/>
                <w:sz w:val="21"/>
              </w:rPr>
              <w:t xml:space="preserve"> </w:t>
            </w:r>
            <w:r>
              <w:rPr>
                <w:sz w:val="21"/>
              </w:rPr>
              <w:t>波、影像学证据显示有新出现的心肌活性丧失或新出现局部室壁运动异常、冠脉造影证实存在冠状动脉血栓。</w:t>
            </w:r>
          </w:p>
          <w:p>
            <w:pPr>
              <w:pStyle w:val="11"/>
              <w:spacing w:line="278" w:lineRule="auto"/>
              <w:ind w:right="98"/>
              <w:rPr>
                <w:sz w:val="21"/>
              </w:rPr>
            </w:pPr>
            <w:r>
              <w:rPr>
                <w:spacing w:val="-2"/>
                <w:sz w:val="21"/>
              </w:rPr>
              <w:t>较轻急性心肌梗死指依照上述标准被明确诊断为急性心肌梗死，但未达到“较重急性心肌梗死”的给付标准。</w:t>
            </w:r>
          </w:p>
          <w:p>
            <w:pPr>
              <w:pStyle w:val="11"/>
              <w:spacing w:line="269" w:lineRule="exact"/>
              <w:ind w:right="-15"/>
              <w:rPr>
                <w:rFonts w:ascii="黑体" w:eastAsia="黑体"/>
                <w:sz w:val="21"/>
              </w:rPr>
            </w:pPr>
            <w:r>
              <w:rPr>
                <w:rFonts w:ascii="黑体" w:eastAsia="黑体"/>
                <w:color w:val="000000"/>
                <w:spacing w:val="-2"/>
                <w:sz w:val="21"/>
                <w:shd w:val="clear" w:color="auto" w:fill="DADADA"/>
              </w:rPr>
              <w:t>其他非冠状动脉阻塞性疾病引起的肌钙蛋白（</w:t>
            </w:r>
            <w:r>
              <w:rPr>
                <w:rFonts w:ascii="Times New Roman" w:eastAsia="Times New Roman"/>
                <w:color w:val="000000"/>
                <w:spacing w:val="-2"/>
                <w:sz w:val="21"/>
                <w:shd w:val="clear" w:color="auto" w:fill="DADADA"/>
              </w:rPr>
              <w:t>cTn)</w:t>
            </w:r>
            <w:r>
              <w:rPr>
                <w:rFonts w:ascii="黑体" w:eastAsia="黑体"/>
                <w:color w:val="000000"/>
                <w:spacing w:val="-3"/>
                <w:sz w:val="21"/>
                <w:shd w:val="clear" w:color="auto" w:fill="DADADA"/>
              </w:rPr>
              <w:t>升高不在保障范围内。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1"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765" w:right="123" w:hanging="630"/>
              <w:rPr>
                <w:sz w:val="21"/>
              </w:rPr>
            </w:pPr>
            <w:r>
              <w:rPr>
                <w:spacing w:val="-2"/>
                <w:sz w:val="21"/>
              </w:rPr>
              <w:t>三、轻度脑中风后</w:t>
            </w:r>
            <w:r>
              <w:rPr>
                <w:spacing w:val="-6"/>
                <w:sz w:val="21"/>
              </w:rPr>
              <w:t>遗症</w:t>
            </w:r>
          </w:p>
        </w:tc>
        <w:tc>
          <w:tcPr>
            <w:tcW w:w="6804" w:type="dxa"/>
          </w:tcPr>
          <w:p>
            <w:pPr>
              <w:pStyle w:val="11"/>
              <w:spacing w:before="21" w:line="278" w:lineRule="auto"/>
              <w:ind w:right="97"/>
              <w:jc w:val="both"/>
              <w:rPr>
                <w:sz w:val="21"/>
              </w:rPr>
            </w:pPr>
            <w:r>
              <w:rPr>
                <w:spacing w:val="-2"/>
                <w:sz w:val="21"/>
              </w:rPr>
              <w:t>指因脑血管的突发病变引起脑血管出血、栓塞或梗塞，须由头颅断层扫</w:t>
            </w:r>
            <w:r>
              <w:rPr>
                <w:spacing w:val="-6"/>
                <w:sz w:val="21"/>
              </w:rPr>
              <w:t>描</w:t>
            </w:r>
            <w:r>
              <w:rPr>
                <w:spacing w:val="20"/>
                <w:sz w:val="21"/>
              </w:rPr>
              <w:t>（</w:t>
            </w:r>
            <w:r>
              <w:rPr>
                <w:rFonts w:ascii="Times New Roman" w:hAnsi="Times New Roman" w:eastAsia="Times New Roman"/>
                <w:spacing w:val="20"/>
                <w:sz w:val="21"/>
              </w:rPr>
              <w:t>CT</w:t>
            </w:r>
            <w:r>
              <w:rPr>
                <w:spacing w:val="-86"/>
                <w:sz w:val="21"/>
              </w:rPr>
              <w:t>）</w:t>
            </w:r>
            <w:r>
              <w:rPr>
                <w:spacing w:val="-6"/>
                <w:sz w:val="21"/>
              </w:rPr>
              <w:t>、核磁共振检查（</w:t>
            </w:r>
            <w:r>
              <w:rPr>
                <w:rFonts w:ascii="Times New Roman" w:hAnsi="Times New Roman" w:eastAsia="Times New Roman"/>
                <w:spacing w:val="-6"/>
                <w:sz w:val="21"/>
              </w:rPr>
              <w:t>MRI</w:t>
            </w:r>
            <w:r>
              <w:rPr>
                <w:spacing w:val="-6"/>
                <w:sz w:val="21"/>
              </w:rPr>
              <w:t>）等影像学检查证实，并导致神经系统永</w:t>
            </w:r>
            <w:r>
              <w:rPr>
                <w:spacing w:val="-2"/>
                <w:sz w:val="21"/>
              </w:rPr>
              <w:t>久性的功能障碍，但未达到“严重脑中风后遗症”的给付标准，在疾病</w:t>
            </w:r>
            <w:r>
              <w:rPr>
                <w:spacing w:val="-8"/>
                <w:sz w:val="21"/>
              </w:rPr>
              <w:t xml:space="preserve">确诊 </w:t>
            </w:r>
            <w:r>
              <w:rPr>
                <w:rFonts w:ascii="Times New Roman" w:hAnsi="Times New Roman" w:eastAsia="Times New Roman"/>
                <w:sz w:val="21"/>
              </w:rPr>
              <w:t xml:space="preserve">180 </w:t>
            </w:r>
            <w:r>
              <w:rPr>
                <w:sz w:val="21"/>
              </w:rPr>
              <w:t>天后，仍遗留下列至少一种障碍：</w:t>
            </w:r>
          </w:p>
          <w:p>
            <w:pPr>
              <w:pStyle w:val="11"/>
              <w:numPr>
                <w:ilvl w:val="0"/>
                <w:numId w:val="17"/>
              </w:numPr>
              <w:tabs>
                <w:tab w:val="left" w:pos="458"/>
              </w:tabs>
              <w:spacing w:before="0" w:after="0" w:line="269" w:lineRule="exact"/>
              <w:ind w:left="457" w:right="0" w:hanging="352"/>
              <w:jc w:val="left"/>
              <w:rPr>
                <w:sz w:val="21"/>
              </w:rPr>
            </w:pPr>
            <w:r>
              <w:rPr>
                <w:w w:val="95"/>
                <w:sz w:val="21"/>
              </w:rPr>
              <w:t>一肢（含）以上</w:t>
            </w:r>
            <w:r>
              <w:rPr>
                <w:b/>
                <w:w w:val="95"/>
                <w:sz w:val="21"/>
              </w:rPr>
              <w:t>肢体</w:t>
            </w:r>
            <w:r>
              <w:rPr>
                <w:b/>
                <w:spacing w:val="-5"/>
                <w:sz w:val="21"/>
              </w:rPr>
              <w:t xml:space="preserve"> </w:t>
            </w:r>
            <w:r>
              <w:fldChar w:fldCharType="begin"/>
            </w:r>
            <w:r>
              <w:instrText xml:space="preserve"> HYPERLINK \l "_bookmark76" </w:instrText>
            </w:r>
            <w:r>
              <w:fldChar w:fldCharType="separate"/>
            </w:r>
            <w:r>
              <w:rPr>
                <w:rFonts w:ascii="Times New Roman" w:eastAsia="Times New Roman"/>
                <w:b/>
                <w:w w:val="95"/>
                <w:sz w:val="21"/>
                <w:vertAlign w:val="superscript"/>
              </w:rPr>
              <w:t>41</w:t>
            </w:r>
            <w:r>
              <w:rPr>
                <w:rFonts w:ascii="Times New Roman" w:eastAsia="Times New Roman"/>
                <w:b/>
                <w:w w:val="95"/>
                <w:sz w:val="21"/>
                <w:vertAlign w:val="superscript"/>
              </w:rPr>
              <w:fldChar w:fldCharType="end"/>
            </w:r>
            <w:r>
              <w:rPr>
                <w:b/>
                <w:w w:val="95"/>
                <w:sz w:val="21"/>
                <w:vertAlign w:val="baseline"/>
              </w:rPr>
              <w:t>肌力</w:t>
            </w:r>
            <w:r>
              <w:rPr>
                <w:b/>
                <w:spacing w:val="-4"/>
                <w:sz w:val="21"/>
                <w:vertAlign w:val="baseline"/>
              </w:rPr>
              <w:t xml:space="preserve"> </w:t>
            </w:r>
            <w:r>
              <w:fldChar w:fldCharType="begin"/>
            </w:r>
            <w:r>
              <w:instrText xml:space="preserve"> HYPERLINK \l "_bookmark77" </w:instrText>
            </w:r>
            <w:r>
              <w:fldChar w:fldCharType="separate"/>
            </w:r>
            <w:r>
              <w:rPr>
                <w:rFonts w:ascii="Times New Roman" w:eastAsia="Times New Roman"/>
                <w:b/>
                <w:w w:val="95"/>
                <w:sz w:val="21"/>
                <w:vertAlign w:val="superscript"/>
              </w:rPr>
              <w:t>42</w:t>
            </w:r>
            <w:r>
              <w:rPr>
                <w:rFonts w:ascii="Times New Roman" w:eastAsia="Times New Roman"/>
                <w:b/>
                <w:w w:val="95"/>
                <w:sz w:val="21"/>
                <w:vertAlign w:val="superscript"/>
              </w:rPr>
              <w:fldChar w:fldCharType="end"/>
            </w:r>
            <w:r>
              <w:rPr>
                <w:spacing w:val="-8"/>
                <w:w w:val="95"/>
                <w:sz w:val="21"/>
                <w:vertAlign w:val="baseline"/>
              </w:rPr>
              <w:t xml:space="preserve">为 </w:t>
            </w:r>
            <w:r>
              <w:rPr>
                <w:rFonts w:ascii="Times New Roman" w:eastAsia="Times New Roman"/>
                <w:w w:val="95"/>
                <w:sz w:val="21"/>
                <w:vertAlign w:val="baseline"/>
              </w:rPr>
              <w:t>3</w:t>
            </w:r>
            <w:r>
              <w:rPr>
                <w:rFonts w:ascii="Times New Roman" w:eastAsia="Times New Roman"/>
                <w:spacing w:val="33"/>
                <w:sz w:val="21"/>
                <w:vertAlign w:val="baseline"/>
              </w:rPr>
              <w:t xml:space="preserve"> </w:t>
            </w:r>
            <w:r>
              <w:rPr>
                <w:w w:val="95"/>
                <w:sz w:val="21"/>
                <w:vertAlign w:val="baseline"/>
              </w:rPr>
              <w:t>级</w:t>
            </w:r>
            <w:r>
              <w:rPr>
                <w:spacing w:val="-10"/>
                <w:w w:val="95"/>
                <w:sz w:val="21"/>
                <w:vertAlign w:val="baseline"/>
              </w:rPr>
              <w:t>；</w:t>
            </w:r>
          </w:p>
          <w:p>
            <w:pPr>
              <w:pStyle w:val="11"/>
              <w:numPr>
                <w:ilvl w:val="0"/>
                <w:numId w:val="17"/>
              </w:numPr>
              <w:tabs>
                <w:tab w:val="left" w:pos="458"/>
              </w:tabs>
              <w:spacing w:before="2" w:after="0" w:line="312" w:lineRule="exact"/>
              <w:ind w:left="106" w:right="97" w:hanging="1"/>
              <w:jc w:val="left"/>
              <w:rPr>
                <w:sz w:val="21"/>
              </w:rPr>
            </w:pPr>
            <w:r>
              <w:rPr>
                <w:spacing w:val="-2"/>
                <w:sz w:val="21"/>
              </w:rPr>
              <w:t>自主生活能力部分丧失</w:t>
            </w:r>
            <w:r>
              <w:rPr>
                <w:spacing w:val="-69"/>
                <w:sz w:val="21"/>
              </w:rPr>
              <w:t>，</w:t>
            </w:r>
            <w:r>
              <w:rPr>
                <w:spacing w:val="-2"/>
                <w:sz w:val="21"/>
              </w:rPr>
              <w:t>无法独立完成</w:t>
            </w:r>
            <w:r>
              <w:rPr>
                <w:b/>
                <w:spacing w:val="-2"/>
                <w:sz w:val="21"/>
              </w:rPr>
              <w:t>六项基本日常生活</w:t>
            </w:r>
            <w:r>
              <w:rPr>
                <w:b/>
                <w:spacing w:val="-9"/>
                <w:sz w:val="21"/>
              </w:rPr>
              <w:t xml:space="preserve">活动 </w:t>
            </w:r>
            <w:r>
              <w:fldChar w:fldCharType="begin"/>
            </w:r>
            <w:r>
              <w:instrText xml:space="preserve"> HYPERLINK \l "_bookmark78" </w:instrText>
            </w:r>
            <w:r>
              <w:fldChar w:fldCharType="separate"/>
            </w:r>
            <w:r>
              <w:rPr>
                <w:rFonts w:ascii="Times New Roman" w:eastAsia="Times New Roman"/>
                <w:b/>
                <w:spacing w:val="-2"/>
                <w:sz w:val="21"/>
                <w:vertAlign w:val="superscript"/>
              </w:rPr>
              <w:t>43</w:t>
            </w:r>
            <w:r>
              <w:rPr>
                <w:rFonts w:ascii="Times New Roman" w:eastAsia="Times New Roman"/>
                <w:b/>
                <w:spacing w:val="-2"/>
                <w:sz w:val="21"/>
                <w:vertAlign w:val="superscript"/>
              </w:rPr>
              <w:fldChar w:fldCharType="end"/>
            </w:r>
            <w:r>
              <w:rPr>
                <w:spacing w:val="-2"/>
                <w:sz w:val="21"/>
                <w:vertAlign w:val="baseline"/>
              </w:rPr>
              <w:t>中的</w:t>
            </w:r>
            <w:r>
              <w:rPr>
                <w:spacing w:val="-4"/>
                <w:sz w:val="21"/>
                <w:vertAlign w:val="baseline"/>
              </w:rPr>
              <w:t>两项。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1"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765" w:right="123" w:hanging="630"/>
              <w:rPr>
                <w:sz w:val="21"/>
              </w:rPr>
            </w:pPr>
            <w:r>
              <w:rPr>
                <w:spacing w:val="-2"/>
                <w:sz w:val="21"/>
              </w:rPr>
              <w:t>四、冠状动脉介入</w:t>
            </w:r>
            <w:r>
              <w:rPr>
                <w:spacing w:val="-6"/>
                <w:sz w:val="21"/>
              </w:rPr>
              <w:t>手术</w:t>
            </w:r>
          </w:p>
        </w:tc>
        <w:tc>
          <w:tcPr>
            <w:tcW w:w="6804" w:type="dxa"/>
          </w:tcPr>
          <w:p>
            <w:pPr>
              <w:pStyle w:val="11"/>
              <w:spacing w:before="20" w:line="278" w:lineRule="auto"/>
              <w:ind w:right="97"/>
              <w:jc w:val="both"/>
              <w:rPr>
                <w:sz w:val="21"/>
              </w:rPr>
            </w:pPr>
            <w:r>
              <w:rPr>
                <w:spacing w:val="-2"/>
                <w:sz w:val="21"/>
              </w:rPr>
              <w:t>指为了治疗明显的冠状动脉狭窄性疾病，首次实际实施了冠状动脉球囊扩张成形术、冠状动脉支架植入术、冠状动脉粥肿斑块切除术或者激光</w:t>
            </w:r>
            <w:r>
              <w:rPr>
                <w:spacing w:val="-3"/>
                <w:sz w:val="21"/>
              </w:rPr>
              <w:t>冠状动脉成形术。但未达到 “较重急性心肌梗死”或“严重冠状动脉粥</w:t>
            </w:r>
            <w:r>
              <w:rPr>
                <w:spacing w:val="-2"/>
                <w:sz w:val="21"/>
              </w:rPr>
              <w:t>样硬化性心脏病”的给付标准。</w:t>
            </w:r>
          </w:p>
          <w:p>
            <w:pPr>
              <w:pStyle w:val="11"/>
              <w:spacing w:line="278" w:lineRule="auto"/>
              <w:ind w:right="-15"/>
              <w:rPr>
                <w:rFonts w:ascii="黑体" w:hAnsi="黑体" w:eastAsia="黑体"/>
                <w:sz w:val="21"/>
              </w:rPr>
            </w:pPr>
            <w:r>
              <w:rPr>
                <w:rFonts w:ascii="黑体" w:hAnsi="黑体" w:eastAsia="黑体"/>
                <w:color w:val="000000"/>
                <w:spacing w:val="2"/>
                <w:sz w:val="21"/>
                <w:shd w:val="clear" w:color="auto" w:fill="DADADA"/>
              </w:rPr>
              <w:t>我们仅对“较轻急性心肌梗死”、“冠状动脉介入手术”和“激光心肌</w:t>
            </w:r>
            <w:r>
              <w:rPr>
                <w:rFonts w:ascii="黑体" w:hAnsi="黑体" w:eastAsia="黑体"/>
                <w:color w:val="000000"/>
                <w:spacing w:val="-4"/>
                <w:sz w:val="21"/>
                <w:shd w:val="clear" w:color="auto" w:fill="DADADA"/>
              </w:rPr>
              <w:t>血运重建术”三项中的其中一项承担保险责任，给付其中一项保险金后，</w:t>
            </w:r>
          </w:p>
          <w:p>
            <w:pPr>
              <w:pStyle w:val="11"/>
              <w:spacing w:line="269" w:lineRule="exact"/>
              <w:rPr>
                <w:rFonts w:ascii="黑体" w:eastAsia="黑体"/>
                <w:sz w:val="21"/>
              </w:rPr>
            </w:pPr>
            <w:r>
              <w:rPr>
                <w:rFonts w:ascii="黑体" w:eastAsia="黑体"/>
                <w:color w:val="000000"/>
                <w:spacing w:val="-1"/>
                <w:sz w:val="21"/>
                <w:shd w:val="clear" w:color="auto" w:fill="DADADA"/>
              </w:rPr>
              <w:t>对其他两项轻症疾病保险责任同时终止。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1" w:type="dxa"/>
          </w:tcPr>
          <w:p>
            <w:pPr>
              <w:pStyle w:val="11"/>
              <w:ind w:left="0"/>
              <w:rPr>
                <w:sz w:val="20"/>
              </w:rPr>
            </w:pPr>
          </w:p>
          <w:p>
            <w:pPr>
              <w:pStyle w:val="11"/>
              <w:ind w:left="0"/>
              <w:rPr>
                <w:sz w:val="20"/>
              </w:rPr>
            </w:pPr>
          </w:p>
          <w:p>
            <w:pPr>
              <w:pStyle w:val="11"/>
              <w:spacing w:before="131"/>
              <w:ind w:left="345"/>
              <w:rPr>
                <w:sz w:val="21"/>
              </w:rPr>
            </w:pPr>
            <w:r>
              <w:rPr>
                <w:spacing w:val="-2"/>
                <w:sz w:val="21"/>
              </w:rPr>
              <w:t>五、单目失明</w:t>
            </w:r>
          </w:p>
        </w:tc>
        <w:tc>
          <w:tcPr>
            <w:tcW w:w="6804" w:type="dxa"/>
          </w:tcPr>
          <w:p>
            <w:pPr>
              <w:pStyle w:val="11"/>
              <w:spacing w:before="20" w:line="278" w:lineRule="auto"/>
              <w:ind w:right="94" w:hanging="1"/>
              <w:jc w:val="both"/>
              <w:rPr>
                <w:sz w:val="21"/>
              </w:rPr>
            </w:pPr>
            <w:r>
              <w:rPr>
                <w:spacing w:val="-2"/>
                <w:sz w:val="21"/>
              </w:rPr>
              <w:t>指因疾病或意外伤害导致单眼视力</w:t>
            </w:r>
            <w:r>
              <w:rPr>
                <w:b/>
                <w:spacing w:val="-2"/>
                <w:sz w:val="21"/>
              </w:rPr>
              <w:t>永久不可逆</w:t>
            </w:r>
            <w:r>
              <w:rPr>
                <w:b/>
                <w:spacing w:val="-25"/>
                <w:sz w:val="21"/>
              </w:rPr>
              <w:t xml:space="preserve"> </w:t>
            </w:r>
            <w:r>
              <w:fldChar w:fldCharType="begin"/>
            </w:r>
            <w:r>
              <w:instrText xml:space="preserve"> HYPERLINK \l "_bookmark79" </w:instrText>
            </w:r>
            <w:r>
              <w:fldChar w:fldCharType="separate"/>
            </w:r>
            <w:r>
              <w:rPr>
                <w:rFonts w:ascii="Times New Roman" w:hAnsi="Times New Roman" w:eastAsia="Times New Roman"/>
                <w:b/>
                <w:spacing w:val="-2"/>
                <w:sz w:val="21"/>
                <w:vertAlign w:val="superscript"/>
              </w:rPr>
              <w:t>44</w:t>
            </w:r>
            <w:r>
              <w:rPr>
                <w:rFonts w:ascii="Times New Roman" w:hAnsi="Times New Roman" w:eastAsia="Times New Roman"/>
                <w:b/>
                <w:spacing w:val="-2"/>
                <w:sz w:val="21"/>
                <w:vertAlign w:val="superscript"/>
              </w:rPr>
              <w:fldChar w:fldCharType="end"/>
            </w:r>
            <w:r>
              <w:rPr>
                <w:spacing w:val="-4"/>
                <w:sz w:val="21"/>
                <w:vertAlign w:val="baseline"/>
              </w:rPr>
              <w:t>性丧失，但未达到 “双</w:t>
            </w:r>
            <w:r>
              <w:rPr>
                <w:spacing w:val="-6"/>
                <w:sz w:val="21"/>
                <w:vertAlign w:val="baseline"/>
              </w:rPr>
              <w:t>目失明”的给付标准。患眼须满足下列至少一项条件：</w:t>
            </w:r>
            <w:r>
              <w:rPr>
                <w:spacing w:val="23"/>
                <w:sz w:val="21"/>
                <w:vertAlign w:val="baseline"/>
              </w:rPr>
              <w:t>（</w:t>
            </w:r>
            <w:r>
              <w:rPr>
                <w:rFonts w:ascii="Times New Roman" w:hAnsi="Times New Roman" w:eastAsia="Times New Roman"/>
                <w:spacing w:val="26"/>
                <w:sz w:val="21"/>
                <w:vertAlign w:val="baseline"/>
              </w:rPr>
              <w:t>1</w:t>
            </w:r>
            <w:r>
              <w:rPr>
                <w:spacing w:val="23"/>
                <w:sz w:val="21"/>
                <w:vertAlign w:val="baseline"/>
              </w:rPr>
              <w:t>）</w:t>
            </w:r>
            <w:r>
              <w:rPr>
                <w:spacing w:val="-2"/>
                <w:sz w:val="21"/>
                <w:vertAlign w:val="baseline"/>
              </w:rPr>
              <w:t>眼球缺失或</w:t>
            </w:r>
            <w:r>
              <w:rPr>
                <w:spacing w:val="-29"/>
                <w:sz w:val="21"/>
                <w:vertAlign w:val="baseline"/>
              </w:rPr>
              <w:t>摘除；</w:t>
            </w:r>
            <w:r>
              <w:rPr>
                <w:spacing w:val="25"/>
                <w:sz w:val="21"/>
                <w:vertAlign w:val="baseline"/>
              </w:rPr>
              <w:t>（</w:t>
            </w:r>
            <w:r>
              <w:rPr>
                <w:rFonts w:ascii="Times New Roman" w:hAnsi="Times New Roman" w:eastAsia="Times New Roman"/>
                <w:spacing w:val="24"/>
                <w:sz w:val="21"/>
                <w:vertAlign w:val="baseline"/>
              </w:rPr>
              <w:t>2</w:t>
            </w:r>
            <w:r>
              <w:rPr>
                <w:spacing w:val="24"/>
                <w:sz w:val="21"/>
                <w:vertAlign w:val="baseline"/>
              </w:rPr>
              <w:t>）</w:t>
            </w:r>
            <w:r>
              <w:rPr>
                <w:spacing w:val="-6"/>
                <w:sz w:val="21"/>
                <w:vertAlign w:val="baseline"/>
              </w:rPr>
              <w:t xml:space="preserve">矫正视力低于 </w:t>
            </w:r>
            <w:r>
              <w:rPr>
                <w:rFonts w:ascii="Times New Roman" w:hAnsi="Times New Roman" w:eastAsia="Times New Roman"/>
                <w:spacing w:val="-2"/>
                <w:sz w:val="21"/>
                <w:vertAlign w:val="baseline"/>
              </w:rPr>
              <w:t>0.02</w:t>
            </w:r>
            <w:r>
              <w:rPr>
                <w:spacing w:val="-2"/>
                <w:sz w:val="21"/>
                <w:vertAlign w:val="baseline"/>
              </w:rPr>
              <w:t>（采用国际标准视力表，如果使用其他视</w:t>
            </w:r>
            <w:r>
              <w:rPr>
                <w:spacing w:val="-8"/>
                <w:sz w:val="21"/>
                <w:vertAlign w:val="baseline"/>
              </w:rPr>
              <w:t>力表应进行换算</w:t>
            </w:r>
            <w:r>
              <w:rPr>
                <w:spacing w:val="-67"/>
                <w:sz w:val="21"/>
                <w:vertAlign w:val="baseline"/>
              </w:rPr>
              <w:t>）</w:t>
            </w:r>
            <w:r>
              <w:rPr>
                <w:spacing w:val="-76"/>
                <w:sz w:val="21"/>
                <w:vertAlign w:val="baseline"/>
              </w:rPr>
              <w:t>；</w:t>
            </w:r>
            <w:r>
              <w:rPr>
                <w:spacing w:val="38"/>
                <w:sz w:val="21"/>
                <w:vertAlign w:val="baseline"/>
              </w:rPr>
              <w:t>（</w:t>
            </w:r>
            <w:r>
              <w:rPr>
                <w:rFonts w:ascii="Times New Roman" w:hAnsi="Times New Roman" w:eastAsia="Times New Roman"/>
                <w:spacing w:val="37"/>
                <w:sz w:val="21"/>
                <w:vertAlign w:val="baseline"/>
              </w:rPr>
              <w:t>3</w:t>
            </w:r>
            <w:r>
              <w:rPr>
                <w:spacing w:val="28"/>
                <w:sz w:val="21"/>
                <w:vertAlign w:val="baseline"/>
              </w:rPr>
              <w:t>）</w:t>
            </w:r>
            <w:r>
              <w:rPr>
                <w:spacing w:val="-14"/>
                <w:sz w:val="21"/>
                <w:vertAlign w:val="baseline"/>
              </w:rPr>
              <w:t xml:space="preserve">视野半径小于 </w:t>
            </w:r>
            <w:r>
              <w:rPr>
                <w:rFonts w:ascii="Times New Roman" w:hAnsi="Times New Roman" w:eastAsia="Times New Roman"/>
                <w:spacing w:val="-8"/>
                <w:sz w:val="21"/>
                <w:vertAlign w:val="baseline"/>
              </w:rPr>
              <w:t>5</w:t>
            </w:r>
            <w:r>
              <w:rPr>
                <w:rFonts w:ascii="Times New Roman" w:hAnsi="Times New Roman" w:eastAsia="Times New Roman"/>
                <w:spacing w:val="7"/>
                <w:sz w:val="21"/>
                <w:vertAlign w:val="baseline"/>
              </w:rPr>
              <w:t xml:space="preserve"> </w:t>
            </w:r>
            <w:r>
              <w:rPr>
                <w:spacing w:val="-9"/>
                <w:sz w:val="21"/>
                <w:vertAlign w:val="baseline"/>
              </w:rPr>
              <w:t>度。诊断须在我们认可的医院内</w:t>
            </w:r>
          </w:p>
          <w:p>
            <w:pPr>
              <w:pStyle w:val="11"/>
              <w:spacing w:line="269" w:lineRule="exact"/>
              <w:rPr>
                <w:sz w:val="21"/>
              </w:rPr>
            </w:pPr>
            <w:r>
              <w:rPr>
                <w:spacing w:val="-1"/>
                <w:sz w:val="21"/>
              </w:rPr>
              <w:t>由眼科专科医生确认，并且提供理赔当时的视力丧失诊断及检查证据。</w:t>
            </w:r>
          </w:p>
        </w:tc>
      </w:tr>
    </w:tbl>
    <w:p>
      <w:pPr>
        <w:pStyle w:val="3"/>
        <w:ind w:left="0"/>
        <w:rPr>
          <w:sz w:val="20"/>
        </w:rPr>
      </w:pPr>
    </w:p>
    <w:p>
      <w:pPr>
        <w:pStyle w:val="3"/>
        <w:spacing w:before="12"/>
        <w:ind w:left="0"/>
        <w:rPr>
          <w:sz w:val="11"/>
        </w:rPr>
      </w:pPr>
      <w:r>
        <w:drawing>
          <wp:anchor distT="0" distB="0" distL="0" distR="0" simplePos="0" relativeHeight="251660288" behindDoc="0" locked="0" layoutInCell="1" allowOverlap="1">
            <wp:simplePos x="0" y="0"/>
            <wp:positionH relativeFrom="page">
              <wp:posOffset>1141095</wp:posOffset>
            </wp:positionH>
            <wp:positionV relativeFrom="paragraph">
              <wp:posOffset>111760</wp:posOffset>
            </wp:positionV>
            <wp:extent cx="1828800" cy="6985"/>
            <wp:effectExtent l="0" t="0" r="0" b="0"/>
            <wp:wrapTopAndBottom/>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a:picLocks noChangeAspect="1"/>
                    </pic:cNvPicPr>
                  </pic:nvPicPr>
                  <pic:blipFill>
                    <a:blip r:embed="rId11" cstate="print"/>
                    <a:stretch>
                      <a:fillRect/>
                    </a:stretch>
                  </pic:blipFill>
                  <pic:spPr>
                    <a:xfrm>
                      <a:off x="0" y="0"/>
                      <a:ext cx="1828799" cy="6858"/>
                    </a:xfrm>
                    <a:prstGeom prst="rect">
                      <a:avLst/>
                    </a:prstGeom>
                  </pic:spPr>
                </pic:pic>
              </a:graphicData>
            </a:graphic>
          </wp:anchor>
        </w:drawing>
      </w:r>
    </w:p>
    <w:p>
      <w:pPr>
        <w:spacing w:before="97"/>
        <w:ind w:left="257" w:right="0" w:firstLine="0"/>
        <w:jc w:val="left"/>
        <w:rPr>
          <w:sz w:val="18"/>
        </w:rPr>
      </w:pPr>
      <w:bookmarkStart w:id="76" w:name="_bookmark76"/>
      <w:bookmarkEnd w:id="76"/>
      <w:r>
        <w:rPr>
          <w:rFonts w:ascii="Times New Roman" w:eastAsia="Times New Roman"/>
          <w:sz w:val="18"/>
          <w:vertAlign w:val="superscript"/>
        </w:rPr>
        <w:t>41</w:t>
      </w:r>
      <w:r>
        <w:rPr>
          <w:rFonts w:ascii="Times New Roman" w:eastAsia="Times New Roman"/>
          <w:spacing w:val="40"/>
          <w:sz w:val="18"/>
          <w:vertAlign w:val="baseline"/>
        </w:rPr>
        <w:t xml:space="preserve"> </w:t>
      </w:r>
      <w:r>
        <w:rPr>
          <w:b/>
          <w:sz w:val="18"/>
          <w:vertAlign w:val="baseline"/>
        </w:rPr>
        <w:t>肢体：</w:t>
      </w:r>
      <w:r>
        <w:rPr>
          <w:spacing w:val="-1"/>
          <w:sz w:val="18"/>
          <w:vertAlign w:val="baseline"/>
        </w:rPr>
        <w:t>指包括肩关节的整个上肢或包括髋关节的整个下肢。</w:t>
      </w:r>
    </w:p>
    <w:p>
      <w:pPr>
        <w:spacing w:before="2"/>
        <w:ind w:left="257" w:right="0" w:firstLine="0"/>
        <w:jc w:val="left"/>
        <w:rPr>
          <w:sz w:val="18"/>
        </w:rPr>
      </w:pPr>
      <w:bookmarkStart w:id="77" w:name="_bookmark77"/>
      <w:bookmarkEnd w:id="77"/>
      <w:r>
        <w:rPr>
          <w:rFonts w:ascii="Times New Roman" w:eastAsia="Times New Roman"/>
          <w:sz w:val="18"/>
          <w:vertAlign w:val="superscript"/>
        </w:rPr>
        <w:t>42</w:t>
      </w:r>
      <w:r>
        <w:rPr>
          <w:rFonts w:ascii="Times New Roman" w:eastAsia="Times New Roman"/>
          <w:spacing w:val="41"/>
          <w:sz w:val="18"/>
          <w:vertAlign w:val="baseline"/>
        </w:rPr>
        <w:t xml:space="preserve"> </w:t>
      </w:r>
      <w:r>
        <w:rPr>
          <w:b/>
          <w:sz w:val="18"/>
          <w:vertAlign w:val="baseline"/>
        </w:rPr>
        <w:t>肌力：</w:t>
      </w:r>
      <w:r>
        <w:rPr>
          <w:spacing w:val="-3"/>
          <w:sz w:val="18"/>
          <w:vertAlign w:val="baseline"/>
        </w:rPr>
        <w:t xml:space="preserve">指肌肉收缩时的力量。肌力划分为 </w:t>
      </w:r>
      <w:r>
        <w:rPr>
          <w:rFonts w:ascii="Times New Roman" w:eastAsia="Times New Roman"/>
          <w:sz w:val="18"/>
          <w:vertAlign w:val="baseline"/>
        </w:rPr>
        <w:t>0-5</w:t>
      </w:r>
      <w:r>
        <w:rPr>
          <w:rFonts w:ascii="Times New Roman" w:eastAsia="Times New Roman"/>
          <w:spacing w:val="-2"/>
          <w:sz w:val="18"/>
          <w:vertAlign w:val="baseline"/>
        </w:rPr>
        <w:t xml:space="preserve"> </w:t>
      </w:r>
      <w:r>
        <w:rPr>
          <w:spacing w:val="-2"/>
          <w:sz w:val="18"/>
          <w:vertAlign w:val="baseline"/>
        </w:rPr>
        <w:t>级，具体为：</w:t>
      </w:r>
    </w:p>
    <w:p>
      <w:pPr>
        <w:pStyle w:val="10"/>
        <w:numPr>
          <w:ilvl w:val="0"/>
          <w:numId w:val="18"/>
        </w:numPr>
        <w:tabs>
          <w:tab w:val="left" w:pos="392"/>
        </w:tabs>
        <w:spacing w:before="3" w:after="0" w:line="240" w:lineRule="auto"/>
        <w:ind w:left="392" w:right="0" w:hanging="135"/>
        <w:jc w:val="left"/>
        <w:rPr>
          <w:sz w:val="18"/>
        </w:rPr>
      </w:pPr>
      <w:r>
        <w:rPr>
          <w:spacing w:val="-1"/>
          <w:sz w:val="18"/>
        </w:rPr>
        <w:t>级：肌肉完全瘫痪，毫无收缩。</w:t>
      </w:r>
    </w:p>
    <w:p>
      <w:pPr>
        <w:pStyle w:val="10"/>
        <w:numPr>
          <w:ilvl w:val="0"/>
          <w:numId w:val="18"/>
        </w:numPr>
        <w:tabs>
          <w:tab w:val="left" w:pos="392"/>
        </w:tabs>
        <w:spacing w:before="4" w:after="0" w:line="240" w:lineRule="auto"/>
        <w:ind w:left="392" w:right="0" w:hanging="135"/>
        <w:jc w:val="left"/>
        <w:rPr>
          <w:sz w:val="18"/>
        </w:rPr>
      </w:pPr>
      <w:r>
        <w:rPr>
          <w:spacing w:val="-1"/>
          <w:sz w:val="18"/>
        </w:rPr>
        <w:t>级：可看到或者触及肌肉轻微收缩，但不能产生动作。</w:t>
      </w:r>
    </w:p>
    <w:p>
      <w:pPr>
        <w:pStyle w:val="10"/>
        <w:numPr>
          <w:ilvl w:val="0"/>
          <w:numId w:val="18"/>
        </w:numPr>
        <w:tabs>
          <w:tab w:val="left" w:pos="392"/>
        </w:tabs>
        <w:spacing w:before="2" w:after="0" w:line="240" w:lineRule="auto"/>
        <w:ind w:left="392" w:right="0" w:hanging="135"/>
        <w:jc w:val="left"/>
        <w:rPr>
          <w:sz w:val="18"/>
        </w:rPr>
      </w:pPr>
      <w:r>
        <w:rPr>
          <w:spacing w:val="-1"/>
          <w:sz w:val="18"/>
        </w:rPr>
        <w:t>级：肌肉在不受重力影响下，可进行运动，即肢体能在床面上移动，但不能抬高。</w:t>
      </w:r>
    </w:p>
    <w:p>
      <w:pPr>
        <w:pStyle w:val="10"/>
        <w:numPr>
          <w:ilvl w:val="0"/>
          <w:numId w:val="18"/>
        </w:numPr>
        <w:tabs>
          <w:tab w:val="left" w:pos="392"/>
        </w:tabs>
        <w:spacing w:before="3" w:after="0" w:line="240" w:lineRule="auto"/>
        <w:ind w:left="392" w:right="0" w:hanging="135"/>
        <w:jc w:val="left"/>
        <w:rPr>
          <w:sz w:val="18"/>
        </w:rPr>
      </w:pPr>
      <w:r>
        <w:rPr>
          <w:spacing w:val="-1"/>
          <w:sz w:val="18"/>
        </w:rPr>
        <w:t>级：在和地心引力相反的方向中尚能完成其动作，但不能对抗外加阻力。</w:t>
      </w:r>
    </w:p>
    <w:p>
      <w:pPr>
        <w:pStyle w:val="10"/>
        <w:numPr>
          <w:ilvl w:val="0"/>
          <w:numId w:val="18"/>
        </w:numPr>
        <w:tabs>
          <w:tab w:val="left" w:pos="392"/>
        </w:tabs>
        <w:spacing w:before="2" w:after="0" w:line="240" w:lineRule="auto"/>
        <w:ind w:left="392" w:right="0" w:hanging="135"/>
        <w:jc w:val="left"/>
        <w:rPr>
          <w:sz w:val="18"/>
        </w:rPr>
      </w:pPr>
      <w:r>
        <w:rPr>
          <w:spacing w:val="-1"/>
          <w:sz w:val="18"/>
        </w:rPr>
        <w:t>级：能对抗一定的阻力，但较正常人为低。</w:t>
      </w:r>
    </w:p>
    <w:p>
      <w:pPr>
        <w:pStyle w:val="10"/>
        <w:numPr>
          <w:ilvl w:val="0"/>
          <w:numId w:val="18"/>
        </w:numPr>
        <w:tabs>
          <w:tab w:val="left" w:pos="392"/>
        </w:tabs>
        <w:spacing w:before="4" w:after="0" w:line="240" w:lineRule="auto"/>
        <w:ind w:left="392" w:right="0" w:hanging="135"/>
        <w:jc w:val="left"/>
        <w:rPr>
          <w:sz w:val="18"/>
        </w:rPr>
      </w:pPr>
      <w:r>
        <w:rPr>
          <w:spacing w:val="-2"/>
          <w:sz w:val="18"/>
        </w:rPr>
        <w:t>级：正常肌力。</w:t>
      </w:r>
    </w:p>
    <w:p>
      <w:pPr>
        <w:spacing w:before="2"/>
        <w:ind w:left="257" w:right="0" w:firstLine="0"/>
        <w:jc w:val="left"/>
        <w:rPr>
          <w:sz w:val="18"/>
        </w:rPr>
      </w:pPr>
      <w:bookmarkStart w:id="78" w:name="_bookmark78"/>
      <w:bookmarkEnd w:id="78"/>
      <w:r>
        <w:rPr>
          <w:rFonts w:ascii="Times New Roman" w:eastAsia="Times New Roman"/>
          <w:sz w:val="18"/>
          <w:vertAlign w:val="superscript"/>
        </w:rPr>
        <w:t>43</w:t>
      </w:r>
      <w:r>
        <w:rPr>
          <w:rFonts w:ascii="Times New Roman" w:eastAsia="Times New Roman"/>
          <w:spacing w:val="29"/>
          <w:sz w:val="18"/>
          <w:vertAlign w:val="baseline"/>
        </w:rPr>
        <w:t xml:space="preserve"> </w:t>
      </w:r>
      <w:r>
        <w:rPr>
          <w:b/>
          <w:sz w:val="18"/>
          <w:vertAlign w:val="baseline"/>
        </w:rPr>
        <w:t>六项基本日常生活活动：</w:t>
      </w:r>
      <w:r>
        <w:rPr>
          <w:spacing w:val="-5"/>
          <w:sz w:val="18"/>
          <w:vertAlign w:val="baseline"/>
        </w:rPr>
        <w:t>是指</w:t>
      </w:r>
    </w:p>
    <w:p>
      <w:pPr>
        <w:pStyle w:val="10"/>
        <w:numPr>
          <w:ilvl w:val="0"/>
          <w:numId w:val="19"/>
        </w:numPr>
        <w:tabs>
          <w:tab w:val="left" w:pos="709"/>
        </w:tabs>
        <w:spacing w:before="3" w:after="0" w:line="240" w:lineRule="auto"/>
        <w:ind w:left="708" w:right="0" w:hanging="452"/>
        <w:jc w:val="left"/>
        <w:rPr>
          <w:sz w:val="18"/>
        </w:rPr>
      </w:pPr>
      <w:r>
        <w:rPr>
          <w:spacing w:val="-1"/>
          <w:sz w:val="18"/>
        </w:rPr>
        <w:t>穿衣：自己能够穿衣及脱衣；</w:t>
      </w:r>
    </w:p>
    <w:p>
      <w:pPr>
        <w:pStyle w:val="10"/>
        <w:numPr>
          <w:ilvl w:val="0"/>
          <w:numId w:val="19"/>
        </w:numPr>
        <w:tabs>
          <w:tab w:val="left" w:pos="709"/>
        </w:tabs>
        <w:spacing w:before="3" w:after="0" w:line="240" w:lineRule="auto"/>
        <w:ind w:left="708" w:right="0" w:hanging="452"/>
        <w:jc w:val="left"/>
        <w:rPr>
          <w:sz w:val="18"/>
        </w:rPr>
      </w:pPr>
      <w:r>
        <w:rPr>
          <w:spacing w:val="-1"/>
          <w:sz w:val="18"/>
        </w:rPr>
        <w:t>移动：自己从一个房间到另一个房间；</w:t>
      </w:r>
    </w:p>
    <w:p>
      <w:pPr>
        <w:pStyle w:val="10"/>
        <w:numPr>
          <w:ilvl w:val="0"/>
          <w:numId w:val="19"/>
        </w:numPr>
        <w:tabs>
          <w:tab w:val="left" w:pos="709"/>
        </w:tabs>
        <w:spacing w:before="3" w:after="0" w:line="240" w:lineRule="auto"/>
        <w:ind w:left="708" w:right="0" w:hanging="452"/>
        <w:jc w:val="left"/>
        <w:rPr>
          <w:sz w:val="18"/>
        </w:rPr>
      </w:pPr>
      <w:r>
        <w:rPr>
          <w:spacing w:val="-1"/>
          <w:sz w:val="18"/>
        </w:rPr>
        <w:t>行动：自己上下床或上下轮椅；</w:t>
      </w:r>
    </w:p>
    <w:p>
      <w:pPr>
        <w:pStyle w:val="10"/>
        <w:numPr>
          <w:ilvl w:val="0"/>
          <w:numId w:val="19"/>
        </w:numPr>
        <w:tabs>
          <w:tab w:val="left" w:pos="709"/>
        </w:tabs>
        <w:spacing w:before="2" w:after="0" w:line="240" w:lineRule="auto"/>
        <w:ind w:left="708" w:right="0" w:hanging="452"/>
        <w:jc w:val="left"/>
        <w:rPr>
          <w:sz w:val="18"/>
        </w:rPr>
      </w:pPr>
      <w:r>
        <w:rPr>
          <w:spacing w:val="-1"/>
          <w:sz w:val="18"/>
        </w:rPr>
        <w:t>如厕：自己控制进行大小便；</w:t>
      </w:r>
    </w:p>
    <w:p>
      <w:pPr>
        <w:pStyle w:val="10"/>
        <w:numPr>
          <w:ilvl w:val="0"/>
          <w:numId w:val="19"/>
        </w:numPr>
        <w:tabs>
          <w:tab w:val="left" w:pos="709"/>
        </w:tabs>
        <w:spacing w:before="3" w:after="0" w:line="240" w:lineRule="auto"/>
        <w:ind w:left="708" w:right="0" w:hanging="452"/>
        <w:jc w:val="left"/>
        <w:rPr>
          <w:sz w:val="18"/>
        </w:rPr>
      </w:pPr>
      <w:r>
        <w:rPr>
          <w:spacing w:val="-1"/>
          <w:sz w:val="18"/>
        </w:rPr>
        <w:t>进食：自己从已准备好的碗或碟中取食物放入口中；</w:t>
      </w:r>
    </w:p>
    <w:p>
      <w:pPr>
        <w:pStyle w:val="10"/>
        <w:numPr>
          <w:ilvl w:val="0"/>
          <w:numId w:val="19"/>
        </w:numPr>
        <w:tabs>
          <w:tab w:val="left" w:pos="709"/>
        </w:tabs>
        <w:spacing w:before="3" w:after="0" w:line="240" w:lineRule="auto"/>
        <w:ind w:left="708" w:right="0" w:hanging="452"/>
        <w:jc w:val="left"/>
        <w:rPr>
          <w:sz w:val="18"/>
        </w:rPr>
      </w:pPr>
      <w:r>
        <w:rPr>
          <w:spacing w:val="-1"/>
          <w:sz w:val="18"/>
        </w:rPr>
        <w:t>洗澡：自己进行淋浴或盆浴。</w:t>
      </w:r>
    </w:p>
    <w:p>
      <w:pPr>
        <w:spacing w:before="3"/>
        <w:ind w:left="257" w:right="0" w:firstLine="0"/>
        <w:jc w:val="left"/>
        <w:rPr>
          <w:rFonts w:ascii="黑体" w:eastAsia="黑体"/>
          <w:sz w:val="18"/>
        </w:rPr>
      </w:pPr>
      <w:r>
        <w:rPr>
          <w:rFonts w:ascii="黑体" w:eastAsia="黑体"/>
          <w:spacing w:val="-3"/>
          <w:sz w:val="18"/>
        </w:rPr>
        <w:t xml:space="preserve">六项基本日常生活活动能力的鉴定不适用于 </w:t>
      </w:r>
      <w:r>
        <w:rPr>
          <w:rFonts w:ascii="Times New Roman" w:eastAsia="Times New Roman"/>
          <w:sz w:val="18"/>
        </w:rPr>
        <w:t xml:space="preserve">0-3 </w:t>
      </w:r>
      <w:r>
        <w:rPr>
          <w:rFonts w:ascii="黑体" w:eastAsia="黑体"/>
          <w:spacing w:val="-2"/>
          <w:sz w:val="18"/>
        </w:rPr>
        <w:t>周岁幼儿。</w:t>
      </w:r>
    </w:p>
    <w:p>
      <w:pPr>
        <w:spacing w:before="2" w:line="242" w:lineRule="auto"/>
        <w:ind w:left="257" w:right="635" w:hanging="1"/>
        <w:jc w:val="left"/>
        <w:rPr>
          <w:sz w:val="18"/>
        </w:rPr>
      </w:pPr>
      <w:bookmarkStart w:id="79" w:name="_bookmark79"/>
      <w:bookmarkEnd w:id="79"/>
      <w:r>
        <w:rPr>
          <w:rFonts w:ascii="Times New Roman" w:eastAsia="Times New Roman"/>
          <w:sz w:val="18"/>
          <w:vertAlign w:val="superscript"/>
        </w:rPr>
        <w:t>44</w:t>
      </w:r>
      <w:r>
        <w:rPr>
          <w:rFonts w:ascii="Times New Roman" w:eastAsia="Times New Roman"/>
          <w:spacing w:val="19"/>
          <w:sz w:val="18"/>
          <w:vertAlign w:val="baseline"/>
        </w:rPr>
        <w:t xml:space="preserve"> </w:t>
      </w:r>
      <w:r>
        <w:rPr>
          <w:b/>
          <w:sz w:val="18"/>
          <w:vertAlign w:val="baseline"/>
        </w:rPr>
        <w:t>永久不可逆：</w:t>
      </w:r>
      <w:r>
        <w:rPr>
          <w:spacing w:val="-2"/>
          <w:sz w:val="18"/>
          <w:vertAlign w:val="baseline"/>
        </w:rPr>
        <w:t xml:space="preserve">指自疾病确诊或意外伤害发生之日起，经过积极治疗 </w:t>
      </w:r>
      <w:r>
        <w:rPr>
          <w:rFonts w:ascii="Times New Roman" w:eastAsia="Times New Roman"/>
          <w:sz w:val="18"/>
          <w:vertAlign w:val="baseline"/>
        </w:rPr>
        <w:t>180</w:t>
      </w:r>
      <w:r>
        <w:rPr>
          <w:rFonts w:ascii="Times New Roman" w:eastAsia="Times New Roman"/>
          <w:spacing w:val="-9"/>
          <w:sz w:val="18"/>
          <w:vertAlign w:val="baseline"/>
        </w:rPr>
        <w:t xml:space="preserve"> </w:t>
      </w:r>
      <w:r>
        <w:rPr>
          <w:sz w:val="18"/>
          <w:vertAlign w:val="baseline"/>
        </w:rPr>
        <w:t>天后，仍无法通过现有医疗手段</w:t>
      </w:r>
      <w:r>
        <w:rPr>
          <w:spacing w:val="-4"/>
          <w:sz w:val="18"/>
          <w:vertAlign w:val="baseline"/>
        </w:rPr>
        <w:t>恢复。</w:t>
      </w:r>
    </w:p>
    <w:p>
      <w:pPr>
        <w:spacing w:after="0" w:line="242" w:lineRule="auto"/>
        <w:jc w:val="left"/>
        <w:rPr>
          <w:sz w:val="18"/>
        </w:rPr>
        <w:sectPr>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1" w:type="dxa"/>
          </w:tcPr>
          <w:p>
            <w:pPr>
              <w:pStyle w:val="11"/>
              <w:ind w:left="0"/>
              <w:rPr>
                <w:rFonts w:ascii="Times New Roman"/>
                <w:sz w:val="20"/>
              </w:rPr>
            </w:pPr>
          </w:p>
        </w:tc>
        <w:tc>
          <w:tcPr>
            <w:tcW w:w="6804" w:type="dxa"/>
          </w:tcPr>
          <w:p>
            <w:pPr>
              <w:pStyle w:val="11"/>
              <w:spacing w:before="20" w:line="278" w:lineRule="auto"/>
              <w:ind w:right="95"/>
              <w:rPr>
                <w:rFonts w:ascii="黑体" w:eastAsia="黑体"/>
                <w:sz w:val="21"/>
              </w:rPr>
            </w:pPr>
            <w:r>
              <w:rPr>
                <w:rFonts w:ascii="黑体" w:eastAsia="黑体"/>
                <w:spacing w:val="-2"/>
                <w:sz w:val="21"/>
              </w:rPr>
              <w:t>被保险人申请理赔时年龄必须在三周岁以上，并且提供视力丧失诊断及检查证据。</w:t>
            </w:r>
          </w:p>
          <w:p>
            <w:pPr>
              <w:pStyle w:val="11"/>
              <w:spacing w:line="278" w:lineRule="auto"/>
              <w:ind w:right="95"/>
              <w:rPr>
                <w:rFonts w:ascii="黑体" w:hAnsi="黑体" w:eastAsia="黑体"/>
                <w:sz w:val="21"/>
              </w:rPr>
            </w:pPr>
            <w:r>
              <w:rPr>
                <w:rFonts w:ascii="黑体" w:hAnsi="黑体" w:eastAsia="黑体"/>
                <w:color w:val="000000"/>
                <w:spacing w:val="-17"/>
                <w:sz w:val="21"/>
                <w:shd w:val="clear" w:color="auto" w:fill="DADADA"/>
              </w:rPr>
              <w:t>我们仅对“单目失明”、“角膜移植”和“视力严重受损”三项中的其中</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一项承担保险责任，给付其中一项保险金后，对其他两项轻症疾病保险</w:t>
            </w:r>
          </w:p>
          <w:p>
            <w:pPr>
              <w:pStyle w:val="11"/>
              <w:spacing w:line="269" w:lineRule="exact"/>
              <w:rPr>
                <w:rFonts w:ascii="黑体" w:eastAsia="黑体"/>
                <w:sz w:val="21"/>
              </w:rPr>
            </w:pPr>
            <w:r>
              <w:rPr>
                <w:rFonts w:ascii="黑体" w:eastAsia="黑体"/>
                <w:color w:val="000000"/>
                <w:spacing w:val="-2"/>
                <w:sz w:val="21"/>
                <w:shd w:val="clear" w:color="auto" w:fill="DADADA"/>
              </w:rPr>
              <w:t>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6" w:hRule="atLeast"/>
        </w:trPr>
        <w:tc>
          <w:tcPr>
            <w:tcW w:w="1951" w:type="dxa"/>
          </w:tcPr>
          <w:p>
            <w:pPr>
              <w:pStyle w:val="11"/>
              <w:spacing w:before="146"/>
              <w:ind w:left="107"/>
              <w:rPr>
                <w:sz w:val="21"/>
              </w:rPr>
            </w:pPr>
            <w:r>
              <w:rPr>
                <w:spacing w:val="-2"/>
                <w:sz w:val="21"/>
              </w:rPr>
              <w:t>六、主动脉内手术</w:t>
            </w:r>
          </w:p>
          <w:p>
            <w:pPr>
              <w:pStyle w:val="11"/>
              <w:spacing w:before="43" w:line="278" w:lineRule="auto"/>
              <w:ind w:left="107" w:right="86"/>
              <w:rPr>
                <w:sz w:val="21"/>
              </w:rPr>
            </w:pPr>
            <w:r>
              <w:rPr>
                <w:spacing w:val="-2"/>
                <w:sz w:val="21"/>
              </w:rPr>
              <w:t>（非开胸或开腹手</w:t>
            </w:r>
            <w:r>
              <w:rPr>
                <w:spacing w:val="-6"/>
                <w:sz w:val="21"/>
              </w:rPr>
              <w:t>术）</w:t>
            </w:r>
          </w:p>
        </w:tc>
        <w:tc>
          <w:tcPr>
            <w:tcW w:w="6804" w:type="dxa"/>
          </w:tcPr>
          <w:p>
            <w:pPr>
              <w:pStyle w:val="11"/>
              <w:spacing w:before="146" w:line="278" w:lineRule="auto"/>
              <w:ind w:right="98"/>
              <w:jc w:val="both"/>
              <w:rPr>
                <w:rFonts w:ascii="黑体" w:eastAsia="黑体"/>
                <w:sz w:val="21"/>
              </w:rPr>
            </w:pPr>
            <w:r>
              <w:rPr>
                <w:spacing w:val="-2"/>
                <w:sz w:val="21"/>
              </w:rPr>
              <w:t>指为了治疗主动脉疾病实际实施了经皮经导管进行的主动脉内手术。主动脉指升主动脉、主动脉弓和降主动脉（含胸主动脉和腹主动脉</w:t>
            </w:r>
            <w:r>
              <w:rPr>
                <w:spacing w:val="-58"/>
                <w:sz w:val="21"/>
              </w:rPr>
              <w:t>），</w:t>
            </w:r>
            <w:r>
              <w:rPr>
                <w:rFonts w:ascii="黑体" w:eastAsia="黑体"/>
                <w:spacing w:val="-2"/>
                <w:sz w:val="21"/>
              </w:rPr>
              <w:t>不包括升主动脉、主动脉弓和降主动脉的分支血管。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1" w:type="dxa"/>
          </w:tcPr>
          <w:p>
            <w:pPr>
              <w:pStyle w:val="11"/>
              <w:ind w:left="0"/>
              <w:rPr>
                <w:sz w:val="20"/>
              </w:rPr>
            </w:pPr>
          </w:p>
          <w:p>
            <w:pPr>
              <w:pStyle w:val="11"/>
              <w:ind w:left="0"/>
              <w:rPr>
                <w:sz w:val="20"/>
              </w:rPr>
            </w:pPr>
          </w:p>
          <w:p>
            <w:pPr>
              <w:pStyle w:val="11"/>
              <w:spacing w:before="131"/>
              <w:ind w:left="107"/>
              <w:rPr>
                <w:sz w:val="21"/>
              </w:rPr>
            </w:pPr>
            <w:r>
              <w:rPr>
                <w:spacing w:val="-2"/>
                <w:sz w:val="21"/>
              </w:rPr>
              <w:t>七、肾脏切除</w:t>
            </w:r>
          </w:p>
        </w:tc>
        <w:tc>
          <w:tcPr>
            <w:tcW w:w="6804" w:type="dxa"/>
          </w:tcPr>
          <w:p>
            <w:pPr>
              <w:pStyle w:val="11"/>
              <w:spacing w:before="20" w:line="278" w:lineRule="auto"/>
              <w:ind w:right="98"/>
              <w:rPr>
                <w:sz w:val="21"/>
              </w:rPr>
            </w:pPr>
            <w:r>
              <w:rPr>
                <w:spacing w:val="-2"/>
                <w:sz w:val="21"/>
              </w:rPr>
              <w:t>指因疾病或意外伤害导致肾脏严重损害，已经实施了至少单侧全肾的切</w:t>
            </w:r>
            <w:r>
              <w:rPr>
                <w:spacing w:val="-4"/>
                <w:sz w:val="21"/>
              </w:rPr>
              <w:t>除手术。</w:t>
            </w:r>
          </w:p>
          <w:p>
            <w:pPr>
              <w:pStyle w:val="11"/>
              <w:spacing w:line="278" w:lineRule="auto"/>
              <w:ind w:right="95"/>
              <w:rPr>
                <w:rFonts w:ascii="黑体" w:eastAsia="黑体"/>
                <w:sz w:val="21"/>
              </w:rPr>
            </w:pPr>
            <w:r>
              <w:rPr>
                <w:rFonts w:ascii="黑体" w:eastAsia="黑体"/>
                <w:color w:val="000000"/>
                <w:spacing w:val="-13"/>
                <w:sz w:val="21"/>
                <w:shd w:val="clear" w:color="auto" w:fill="DADADA"/>
              </w:rPr>
              <w:t>下列情况不在保障范围内：</w:t>
            </w:r>
            <w:r>
              <w:rPr>
                <w:rFonts w:ascii="黑体" w:eastAsia="黑体"/>
                <w:color w:val="000000"/>
                <w:spacing w:val="21"/>
                <w:sz w:val="21"/>
                <w:shd w:val="clear" w:color="auto" w:fill="DADADA"/>
              </w:rPr>
              <w:t>（</w:t>
            </w:r>
            <w:r>
              <w:rPr>
                <w:rFonts w:ascii="Times New Roman" w:eastAsia="Times New Roman"/>
                <w:color w:val="000000"/>
                <w:spacing w:val="19"/>
                <w:sz w:val="21"/>
                <w:shd w:val="clear" w:color="auto" w:fill="DADADA"/>
              </w:rPr>
              <w:t>1</w:t>
            </w:r>
            <w:r>
              <w:rPr>
                <w:rFonts w:ascii="黑体" w:eastAsia="黑体"/>
                <w:color w:val="000000"/>
                <w:spacing w:val="20"/>
                <w:sz w:val="21"/>
                <w:shd w:val="clear" w:color="auto" w:fill="DADADA"/>
              </w:rPr>
              <w:t>）</w:t>
            </w:r>
            <w:r>
              <w:rPr>
                <w:rFonts w:ascii="黑体" w:eastAsia="黑体"/>
                <w:color w:val="000000"/>
                <w:spacing w:val="-16"/>
                <w:sz w:val="21"/>
                <w:shd w:val="clear" w:color="auto" w:fill="DADADA"/>
              </w:rPr>
              <w:t>部分肾切除手术；</w:t>
            </w:r>
            <w:r>
              <w:rPr>
                <w:rFonts w:ascii="黑体" w:eastAsia="黑体"/>
                <w:color w:val="000000"/>
                <w:spacing w:val="20"/>
                <w:sz w:val="21"/>
                <w:shd w:val="clear" w:color="auto" w:fill="DADADA"/>
              </w:rPr>
              <w:t>（</w:t>
            </w:r>
            <w:r>
              <w:rPr>
                <w:rFonts w:ascii="Times New Roman" w:eastAsia="Times New Roman"/>
                <w:color w:val="000000"/>
                <w:spacing w:val="20"/>
                <w:sz w:val="21"/>
                <w:shd w:val="clear" w:color="auto" w:fill="DADADA"/>
              </w:rPr>
              <w:t>2</w:t>
            </w:r>
            <w:r>
              <w:rPr>
                <w:rFonts w:ascii="黑体" w:eastAsia="黑体"/>
                <w:color w:val="000000"/>
                <w:spacing w:val="20"/>
                <w:sz w:val="21"/>
                <w:shd w:val="clear" w:color="auto" w:fill="DADADA"/>
              </w:rPr>
              <w:t>）</w:t>
            </w:r>
            <w:r>
              <w:rPr>
                <w:rFonts w:ascii="黑体" w:eastAsia="黑体"/>
                <w:color w:val="000000"/>
                <w:spacing w:val="-6"/>
                <w:sz w:val="21"/>
                <w:shd w:val="clear" w:color="auto" w:fill="DADADA"/>
              </w:rPr>
              <w:t>因恶性肿瘤进行</w:t>
            </w:r>
            <w:r>
              <w:rPr>
                <w:rFonts w:ascii="黑体" w:eastAsia="黑体"/>
                <w:color w:val="000000"/>
                <w:spacing w:val="80"/>
                <w:w w:val="150"/>
                <w:sz w:val="21"/>
                <w:shd w:val="clear" w:color="auto" w:fill="DADADA"/>
              </w:rPr>
              <w:t xml:space="preserve">                                    </w:t>
            </w:r>
            <w:r>
              <w:rPr>
                <w:rFonts w:ascii="黑体" w:eastAsia="黑体"/>
                <w:color w:val="000000"/>
                <w:spacing w:val="-18"/>
                <w:sz w:val="21"/>
                <w:shd w:val="clear" w:color="auto" w:fill="DADADA"/>
              </w:rPr>
              <w:t>的肾切除手术；</w:t>
            </w:r>
            <w:r>
              <w:rPr>
                <w:rFonts w:ascii="黑体" w:eastAsia="黑体"/>
                <w:color w:val="000000"/>
                <w:spacing w:val="20"/>
                <w:sz w:val="21"/>
                <w:shd w:val="clear" w:color="auto" w:fill="DADADA"/>
              </w:rPr>
              <w:t>（</w:t>
            </w:r>
            <w:r>
              <w:rPr>
                <w:rFonts w:ascii="Times New Roman" w:eastAsia="Times New Roman"/>
                <w:color w:val="000000"/>
                <w:spacing w:val="19"/>
                <w:sz w:val="21"/>
                <w:shd w:val="clear" w:color="auto" w:fill="DADADA"/>
              </w:rPr>
              <w:t>3</w:t>
            </w:r>
            <w:r>
              <w:rPr>
                <w:rFonts w:ascii="黑体" w:eastAsia="黑体"/>
                <w:color w:val="000000"/>
                <w:spacing w:val="20"/>
                <w:sz w:val="21"/>
                <w:shd w:val="clear" w:color="auto" w:fill="DADADA"/>
              </w:rPr>
              <w:t>）</w:t>
            </w:r>
            <w:r>
              <w:rPr>
                <w:rFonts w:ascii="黑体" w:eastAsia="黑体"/>
                <w:color w:val="000000"/>
                <w:spacing w:val="-11"/>
                <w:sz w:val="21"/>
                <w:shd w:val="clear" w:color="auto" w:fill="DADADA"/>
              </w:rPr>
              <w:t>作为器官捐献者而实施的肾切除手术；</w:t>
            </w:r>
            <w:r>
              <w:rPr>
                <w:rFonts w:ascii="黑体" w:eastAsia="黑体"/>
                <w:color w:val="000000"/>
                <w:spacing w:val="22"/>
                <w:sz w:val="21"/>
                <w:shd w:val="clear" w:color="auto" w:fill="DADADA"/>
              </w:rPr>
              <w:t>（</w:t>
            </w:r>
            <w:r>
              <w:rPr>
                <w:rFonts w:ascii="Times New Roman" w:eastAsia="Times New Roman"/>
                <w:color w:val="000000"/>
                <w:spacing w:val="18"/>
                <w:sz w:val="21"/>
                <w:shd w:val="clear" w:color="auto" w:fill="DADADA"/>
              </w:rPr>
              <w:t>4</w:t>
            </w:r>
            <w:r>
              <w:rPr>
                <w:rFonts w:ascii="黑体" w:eastAsia="黑体"/>
                <w:color w:val="000000"/>
                <w:spacing w:val="19"/>
                <w:sz w:val="21"/>
                <w:shd w:val="clear" w:color="auto" w:fill="DADADA"/>
              </w:rPr>
              <w:t>）</w:t>
            </w:r>
            <w:r>
              <w:rPr>
                <w:rFonts w:ascii="黑体" w:eastAsia="黑体"/>
                <w:color w:val="000000"/>
                <w:spacing w:val="-8"/>
                <w:sz w:val="21"/>
                <w:shd w:val="clear" w:color="auto" w:fill="DADADA"/>
              </w:rPr>
              <w:t>因器官</w:t>
            </w:r>
          </w:p>
          <w:p>
            <w:pPr>
              <w:pStyle w:val="11"/>
              <w:spacing w:line="269" w:lineRule="exact"/>
              <w:rPr>
                <w:rFonts w:ascii="黑体" w:eastAsia="黑体"/>
                <w:sz w:val="21"/>
              </w:rPr>
            </w:pPr>
            <w:r>
              <w:rPr>
                <w:rFonts w:ascii="黑体" w:eastAsia="黑体"/>
                <w:color w:val="000000"/>
                <w:spacing w:val="-1"/>
                <w:sz w:val="21"/>
                <w:shd w:val="clear" w:color="auto" w:fill="DADADA"/>
              </w:rPr>
              <w:t>移植而进行的肾脏切除手术。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1" w:type="dxa"/>
          </w:tcPr>
          <w:p>
            <w:pPr>
              <w:pStyle w:val="11"/>
              <w:ind w:left="0"/>
              <w:rPr>
                <w:sz w:val="20"/>
              </w:rPr>
            </w:pPr>
          </w:p>
          <w:p>
            <w:pPr>
              <w:pStyle w:val="11"/>
              <w:ind w:left="0"/>
              <w:rPr>
                <w:sz w:val="20"/>
              </w:rPr>
            </w:pPr>
          </w:p>
          <w:p>
            <w:pPr>
              <w:pStyle w:val="11"/>
              <w:spacing w:before="133" w:line="278" w:lineRule="auto"/>
              <w:ind w:left="107" w:right="86"/>
              <w:rPr>
                <w:sz w:val="21"/>
              </w:rPr>
            </w:pPr>
            <w:r>
              <w:rPr>
                <w:spacing w:val="-2"/>
                <w:sz w:val="21"/>
              </w:rPr>
              <w:t xml:space="preserve">八、全身较小面积 </w:t>
            </w:r>
            <w:r>
              <w:rPr>
                <w:spacing w:val="-4"/>
                <w:sz w:val="21"/>
              </w:rPr>
              <w:t>Ⅲ度烧伤</w:t>
            </w:r>
          </w:p>
        </w:tc>
        <w:tc>
          <w:tcPr>
            <w:tcW w:w="6804" w:type="dxa"/>
          </w:tcPr>
          <w:p>
            <w:pPr>
              <w:pStyle w:val="11"/>
              <w:spacing w:before="21" w:line="278" w:lineRule="auto"/>
              <w:ind w:right="97"/>
              <w:jc w:val="both"/>
              <w:rPr>
                <w:sz w:val="21"/>
              </w:rPr>
            </w:pPr>
            <w:r>
              <w:rPr>
                <w:spacing w:val="-3"/>
                <w:sz w:val="21"/>
              </w:rPr>
              <w:t xml:space="preserve">指烧伤程度为Ⅲ度，且Ⅲ度烧伤面积为全身体表面积的 </w:t>
            </w:r>
            <w:r>
              <w:rPr>
                <w:rFonts w:ascii="Times New Roman" w:hAnsi="Times New Roman" w:eastAsia="Times New Roman"/>
                <w:spacing w:val="-2"/>
                <w:sz w:val="21"/>
              </w:rPr>
              <w:t>10%</w:t>
            </w:r>
            <w:r>
              <w:rPr>
                <w:spacing w:val="-7"/>
                <w:sz w:val="21"/>
              </w:rPr>
              <w:t xml:space="preserve">或者 </w:t>
            </w:r>
            <w:r>
              <w:rPr>
                <w:rFonts w:ascii="Times New Roman" w:hAnsi="Times New Roman" w:eastAsia="Times New Roman"/>
                <w:spacing w:val="-2"/>
                <w:sz w:val="21"/>
              </w:rPr>
              <w:t>10%</w:t>
            </w:r>
            <w:r>
              <w:rPr>
                <w:spacing w:val="-2"/>
                <w:sz w:val="21"/>
              </w:rPr>
              <w:t>以上，但未达到“严重Ⅲ度烧伤”的给付标准。体表面积根据《中国新九分法》计算。</w:t>
            </w:r>
          </w:p>
          <w:p>
            <w:pPr>
              <w:pStyle w:val="11"/>
              <w:spacing w:line="278" w:lineRule="auto"/>
              <w:ind w:right="95"/>
              <w:rPr>
                <w:rFonts w:ascii="黑体" w:hAnsi="黑体" w:eastAsia="黑体"/>
                <w:sz w:val="21"/>
              </w:rPr>
            </w:pPr>
            <w:r>
              <w:rPr>
                <w:rFonts w:ascii="黑体" w:hAnsi="黑体" w:eastAsia="黑体"/>
                <w:color w:val="000000"/>
                <w:spacing w:val="-15"/>
                <w:sz w:val="21"/>
                <w:shd w:val="clear" w:color="auto" w:fill="DADADA"/>
              </w:rPr>
              <w:t>我们仅对“全身较小面积Ⅲ度烧伤”、“面部重建手术”和“面部烧伤”</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三项中的其中一项承担保险责任，给付其中一项保险金后，对其他两项</w:t>
            </w:r>
          </w:p>
          <w:p>
            <w:pPr>
              <w:pStyle w:val="11"/>
              <w:spacing w:line="269" w:lineRule="exact"/>
              <w:rPr>
                <w:rFonts w:ascii="黑体" w:eastAsia="黑体"/>
                <w:sz w:val="21"/>
              </w:rPr>
            </w:pPr>
            <w:r>
              <w:rPr>
                <w:rFonts w:ascii="黑体" w:eastAsia="黑体"/>
                <w:color w:val="000000"/>
                <w:spacing w:val="-1"/>
                <w:sz w:val="21"/>
                <w:shd w:val="clear" w:color="auto" w:fill="DADADA"/>
              </w:rPr>
              <w:t>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1951" w:type="dxa"/>
          </w:tcPr>
          <w:p>
            <w:pPr>
              <w:pStyle w:val="11"/>
              <w:spacing w:before="11"/>
              <w:ind w:left="0"/>
              <w:rPr>
                <w:sz w:val="29"/>
              </w:rPr>
            </w:pPr>
          </w:p>
          <w:p>
            <w:pPr>
              <w:pStyle w:val="11"/>
              <w:spacing w:line="278" w:lineRule="auto"/>
              <w:ind w:left="107" w:right="86"/>
              <w:rPr>
                <w:sz w:val="21"/>
              </w:rPr>
            </w:pPr>
            <w:r>
              <w:rPr>
                <w:spacing w:val="-2"/>
                <w:sz w:val="21"/>
              </w:rPr>
              <w:t>九、早期运动神经</w:t>
            </w:r>
            <w:r>
              <w:rPr>
                <w:spacing w:val="-6"/>
                <w:sz w:val="21"/>
              </w:rPr>
              <w:t>元病</w:t>
            </w:r>
          </w:p>
        </w:tc>
        <w:tc>
          <w:tcPr>
            <w:tcW w:w="6804" w:type="dxa"/>
          </w:tcPr>
          <w:p>
            <w:pPr>
              <w:pStyle w:val="11"/>
              <w:spacing w:before="70" w:line="278" w:lineRule="auto"/>
              <w:ind w:right="-15"/>
              <w:jc w:val="both"/>
              <w:rPr>
                <w:sz w:val="21"/>
              </w:rPr>
            </w:pPr>
            <w:r>
              <w:rPr>
                <w:spacing w:val="1"/>
                <w:sz w:val="21"/>
              </w:rPr>
              <w:t>指一组中枢神经系统运动神经元的进行性变性疾病，包括进行性脊肌萎缩症、进行性延髓麻痹症、原发性侧索硬化症、肌萎缩性侧索硬化症。须满足自主生活能力部分丧失，经鉴定无法独立完成六项基本日常生活</w:t>
            </w:r>
            <w:r>
              <w:rPr>
                <w:spacing w:val="-8"/>
                <w:sz w:val="21"/>
              </w:rPr>
              <w:t>活动中的两项，但未达到 “严重运动神经元病”或“瘫痪”的给付标准。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spacing w:line="278" w:lineRule="auto"/>
              <w:ind w:left="107" w:right="86"/>
              <w:rPr>
                <w:sz w:val="21"/>
              </w:rPr>
            </w:pPr>
            <w:r>
              <w:rPr>
                <w:spacing w:val="-2"/>
                <w:sz w:val="21"/>
              </w:rPr>
              <w:t>十、早期原发性心</w:t>
            </w:r>
            <w:r>
              <w:rPr>
                <w:spacing w:val="-6"/>
                <w:sz w:val="21"/>
              </w:rPr>
              <w:t>肌病</w:t>
            </w:r>
          </w:p>
        </w:tc>
        <w:tc>
          <w:tcPr>
            <w:tcW w:w="6804" w:type="dxa"/>
          </w:tcPr>
          <w:p>
            <w:pPr>
              <w:pStyle w:val="11"/>
              <w:spacing w:before="20" w:line="278" w:lineRule="auto"/>
              <w:ind w:right="33"/>
              <w:jc w:val="both"/>
              <w:rPr>
                <w:sz w:val="21"/>
              </w:rPr>
            </w:pPr>
            <w:r>
              <w:rPr>
                <w:spacing w:val="-1"/>
                <w:sz w:val="21"/>
              </w:rPr>
              <w:t>指被诊断为原发性心肌病，并符合下列所有条件，但未达到 “严重心肌</w:t>
            </w:r>
            <w:r>
              <w:rPr>
                <w:spacing w:val="-12"/>
                <w:sz w:val="21"/>
              </w:rPr>
              <w:t>病”的给付标准：</w:t>
            </w:r>
            <w:r>
              <w:rPr>
                <w:spacing w:val="24"/>
                <w:sz w:val="21"/>
              </w:rPr>
              <w:t>（</w:t>
            </w:r>
            <w:r>
              <w:rPr>
                <w:rFonts w:ascii="Times New Roman" w:hAnsi="Times New Roman" w:eastAsia="Times New Roman"/>
                <w:spacing w:val="25"/>
                <w:sz w:val="21"/>
              </w:rPr>
              <w:t>1</w:t>
            </w:r>
            <w:r>
              <w:rPr>
                <w:spacing w:val="24"/>
                <w:sz w:val="21"/>
              </w:rPr>
              <w:t>）</w:t>
            </w:r>
            <w:r>
              <w:rPr>
                <w:spacing w:val="-2"/>
                <w:sz w:val="21"/>
              </w:rPr>
              <w:t>导致心室功能受损，其受损程度达到</w:t>
            </w:r>
            <w:r>
              <w:rPr>
                <w:b/>
                <w:spacing w:val="-2"/>
                <w:sz w:val="21"/>
              </w:rPr>
              <w:t>美国纽约心脏病学会</w:t>
            </w:r>
            <w:r>
              <w:rPr>
                <w:rFonts w:ascii="Times New Roman" w:hAnsi="Times New Roman" w:eastAsia="Times New Roman"/>
                <w:b/>
                <w:spacing w:val="-2"/>
                <w:sz w:val="21"/>
              </w:rPr>
              <w:t>(New</w:t>
            </w:r>
            <w:r>
              <w:rPr>
                <w:rFonts w:ascii="Times New Roman" w:hAnsi="Times New Roman" w:eastAsia="Times New Roman"/>
                <w:b/>
                <w:spacing w:val="-7"/>
                <w:sz w:val="21"/>
              </w:rPr>
              <w:t xml:space="preserve"> </w:t>
            </w:r>
            <w:r>
              <w:rPr>
                <w:rFonts w:ascii="Times New Roman" w:hAnsi="Times New Roman" w:eastAsia="Times New Roman"/>
                <w:b/>
                <w:spacing w:val="-2"/>
                <w:sz w:val="21"/>
              </w:rPr>
              <w:t>York</w:t>
            </w:r>
            <w:r>
              <w:rPr>
                <w:rFonts w:ascii="Times New Roman" w:hAnsi="Times New Roman" w:eastAsia="Times New Roman"/>
                <w:b/>
                <w:spacing w:val="9"/>
                <w:sz w:val="21"/>
              </w:rPr>
              <w:t xml:space="preserve"> </w:t>
            </w:r>
            <w:r>
              <w:rPr>
                <w:rFonts w:ascii="Times New Roman" w:hAnsi="Times New Roman" w:eastAsia="Times New Roman"/>
                <w:b/>
                <w:spacing w:val="-2"/>
                <w:sz w:val="21"/>
              </w:rPr>
              <w:t>Heart</w:t>
            </w:r>
            <w:r>
              <w:rPr>
                <w:rFonts w:ascii="Times New Roman" w:hAnsi="Times New Roman" w:eastAsia="Times New Roman"/>
                <w:b/>
                <w:spacing w:val="-7"/>
                <w:sz w:val="21"/>
              </w:rPr>
              <w:t xml:space="preserve"> </w:t>
            </w:r>
            <w:r>
              <w:rPr>
                <w:rFonts w:ascii="Times New Roman" w:hAnsi="Times New Roman" w:eastAsia="Times New Roman"/>
                <w:b/>
                <w:spacing w:val="-2"/>
                <w:sz w:val="21"/>
              </w:rPr>
              <w:t>Association</w:t>
            </w:r>
            <w:r>
              <w:rPr>
                <w:b/>
                <w:spacing w:val="-2"/>
                <w:sz w:val="21"/>
              </w:rPr>
              <w:t>，</w:t>
            </w:r>
            <w:r>
              <w:rPr>
                <w:rFonts w:ascii="Times New Roman" w:hAnsi="Times New Roman" w:eastAsia="Times New Roman"/>
                <w:b/>
                <w:spacing w:val="-2"/>
                <w:sz w:val="21"/>
              </w:rPr>
              <w:t>NYHA)</w:t>
            </w:r>
            <w:r>
              <w:rPr>
                <w:b/>
                <w:spacing w:val="-2"/>
                <w:sz w:val="21"/>
              </w:rPr>
              <w:t>心功能状态分级</w:t>
            </w:r>
            <w:r>
              <w:rPr>
                <w:b/>
                <w:spacing w:val="-25"/>
                <w:sz w:val="21"/>
              </w:rPr>
              <w:t xml:space="preserve"> </w:t>
            </w:r>
            <w:r>
              <w:fldChar w:fldCharType="begin"/>
            </w:r>
            <w:r>
              <w:instrText xml:space="preserve"> HYPERLINK \l "_bookmark80" </w:instrText>
            </w:r>
            <w:r>
              <w:fldChar w:fldCharType="separate"/>
            </w:r>
            <w:r>
              <w:rPr>
                <w:rFonts w:ascii="Times New Roman" w:hAnsi="Times New Roman" w:eastAsia="Times New Roman"/>
                <w:b/>
                <w:spacing w:val="-2"/>
                <w:sz w:val="21"/>
                <w:vertAlign w:val="superscript"/>
              </w:rPr>
              <w:t>45</w:t>
            </w:r>
            <w:r>
              <w:rPr>
                <w:rFonts w:ascii="Times New Roman" w:hAnsi="Times New Roman" w:eastAsia="Times New Roman"/>
                <w:b/>
                <w:spacing w:val="-2"/>
                <w:sz w:val="21"/>
                <w:vertAlign w:val="superscript"/>
              </w:rPr>
              <w:fldChar w:fldCharType="end"/>
            </w:r>
            <w:r>
              <w:rPr>
                <w:spacing w:val="-2"/>
                <w:sz w:val="21"/>
                <w:vertAlign w:val="baseline"/>
              </w:rPr>
              <w:t>Ⅲ级，</w:t>
            </w:r>
            <w:r>
              <w:rPr>
                <w:spacing w:val="-17"/>
                <w:sz w:val="21"/>
                <w:vertAlign w:val="baseline"/>
              </w:rPr>
              <w:t>或其同等级别。</w:t>
            </w:r>
            <w:r>
              <w:rPr>
                <w:spacing w:val="-2"/>
                <w:sz w:val="21"/>
                <w:vertAlign w:val="baseline"/>
              </w:rPr>
              <w:t>（</w:t>
            </w:r>
            <w:r>
              <w:rPr>
                <w:rFonts w:ascii="Times New Roman" w:hAnsi="Times New Roman" w:eastAsia="Times New Roman"/>
                <w:spacing w:val="-2"/>
                <w:sz w:val="21"/>
                <w:vertAlign w:val="baseline"/>
              </w:rPr>
              <w:t>2</w:t>
            </w:r>
            <w:r>
              <w:rPr>
                <w:spacing w:val="-2"/>
                <w:sz w:val="21"/>
                <w:vertAlign w:val="baseline"/>
              </w:rPr>
              <w:t>）原发性心肌病的诊断必须由我们认可医院的心脏专科医生确认，并提供心脏超声检查结果报告。本保障范围内的心肌病仅包括扩张型心肌病、肥厚型心肌病及限制型心肌病。</w:t>
            </w:r>
          </w:p>
          <w:p>
            <w:pPr>
              <w:pStyle w:val="11"/>
              <w:spacing w:line="268" w:lineRule="exact"/>
              <w:rPr>
                <w:rFonts w:ascii="黑体" w:eastAsia="黑体"/>
                <w:sz w:val="21"/>
              </w:rPr>
            </w:pPr>
            <w:r>
              <w:rPr>
                <w:rFonts w:ascii="黑体" w:eastAsia="黑体"/>
                <w:color w:val="000000"/>
                <w:spacing w:val="-1"/>
                <w:sz w:val="21"/>
                <w:shd w:val="clear" w:color="auto" w:fill="DADADA"/>
              </w:rPr>
              <w:t>继发于全身性疾病或其他器官系统疾病及酒精滥用造成的心肌病变不在</w:t>
            </w:r>
          </w:p>
          <w:p>
            <w:pPr>
              <w:pStyle w:val="11"/>
              <w:spacing w:before="43"/>
              <w:rPr>
                <w:rFonts w:ascii="黑体" w:eastAsia="黑体"/>
                <w:sz w:val="21"/>
              </w:rPr>
            </w:pPr>
            <w:r>
              <w:rPr>
                <w:rFonts w:ascii="黑体" w:eastAsia="黑体"/>
                <w:color w:val="000000"/>
                <w:spacing w:val="-2"/>
                <w:sz w:val="21"/>
                <w:shd w:val="clear" w:color="auto" w:fill="DADADA"/>
              </w:rPr>
              <w:t>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1" w:type="dxa"/>
          </w:tcPr>
          <w:p>
            <w:pPr>
              <w:pStyle w:val="11"/>
              <w:ind w:left="0"/>
              <w:rPr>
                <w:sz w:val="20"/>
              </w:rPr>
            </w:pPr>
          </w:p>
          <w:p>
            <w:pPr>
              <w:pStyle w:val="11"/>
              <w:spacing w:before="2"/>
              <w:ind w:left="0"/>
              <w:rPr>
                <w:sz w:val="18"/>
              </w:rPr>
            </w:pPr>
          </w:p>
          <w:p>
            <w:pPr>
              <w:pStyle w:val="11"/>
              <w:spacing w:line="278" w:lineRule="auto"/>
              <w:ind w:left="107" w:right="86"/>
              <w:jc w:val="both"/>
              <w:rPr>
                <w:sz w:val="21"/>
              </w:rPr>
            </w:pPr>
            <w:r>
              <w:rPr>
                <w:spacing w:val="-2"/>
                <w:sz w:val="21"/>
              </w:rPr>
              <w:t>十一、脑垂体瘤、脑囊肿、脑动脉瘤及脑血管瘤</w:t>
            </w:r>
          </w:p>
        </w:tc>
        <w:tc>
          <w:tcPr>
            <w:tcW w:w="6804" w:type="dxa"/>
          </w:tcPr>
          <w:p>
            <w:pPr>
              <w:pStyle w:val="11"/>
              <w:spacing w:before="21" w:line="278" w:lineRule="auto"/>
              <w:ind w:right="95"/>
              <w:jc w:val="both"/>
              <w:rPr>
                <w:sz w:val="21"/>
              </w:rPr>
            </w:pPr>
            <w:r>
              <w:rPr>
                <w:spacing w:val="-6"/>
                <w:sz w:val="21"/>
              </w:rPr>
              <w:t>指经头颅断层扫描</w:t>
            </w:r>
            <w:r>
              <w:rPr>
                <w:spacing w:val="20"/>
                <w:sz w:val="21"/>
              </w:rPr>
              <w:t>（</w:t>
            </w:r>
            <w:r>
              <w:rPr>
                <w:rFonts w:ascii="Times New Roman" w:hAnsi="Times New Roman" w:eastAsia="Times New Roman"/>
                <w:spacing w:val="20"/>
                <w:sz w:val="21"/>
              </w:rPr>
              <w:t>CT</w:t>
            </w:r>
            <w:r>
              <w:rPr>
                <w:spacing w:val="-86"/>
                <w:sz w:val="21"/>
              </w:rPr>
              <w:t>）</w:t>
            </w:r>
            <w:r>
              <w:rPr>
                <w:spacing w:val="-6"/>
                <w:sz w:val="21"/>
              </w:rPr>
              <w:t>、核磁共振检查（</w:t>
            </w:r>
            <w:r>
              <w:rPr>
                <w:rFonts w:ascii="Times New Roman" w:hAnsi="Times New Roman" w:eastAsia="Times New Roman"/>
                <w:spacing w:val="-6"/>
                <w:sz w:val="21"/>
              </w:rPr>
              <w:t>MRI</w:t>
            </w:r>
            <w:r>
              <w:rPr>
                <w:spacing w:val="-6"/>
                <w:sz w:val="21"/>
              </w:rPr>
              <w:t>）或者其他影像学检查被</w:t>
            </w:r>
            <w:r>
              <w:rPr>
                <w:spacing w:val="-2"/>
                <w:sz w:val="21"/>
              </w:rPr>
              <w:t>确诊为下列病变，并实际接受了手术或者放射治疗，但未达到“颅脑手</w:t>
            </w:r>
            <w:r>
              <w:rPr>
                <w:spacing w:val="-19"/>
                <w:sz w:val="21"/>
              </w:rPr>
              <w:t>术”的给付标准：</w:t>
            </w:r>
            <w:r>
              <w:rPr>
                <w:spacing w:val="18"/>
                <w:sz w:val="21"/>
              </w:rPr>
              <w:t>（</w:t>
            </w:r>
            <w:r>
              <w:rPr>
                <w:rFonts w:ascii="Times New Roman" w:hAnsi="Times New Roman" w:eastAsia="Times New Roman"/>
                <w:spacing w:val="19"/>
                <w:sz w:val="21"/>
              </w:rPr>
              <w:t>1</w:t>
            </w:r>
            <w:r>
              <w:rPr>
                <w:spacing w:val="18"/>
                <w:sz w:val="21"/>
              </w:rPr>
              <w:t>）</w:t>
            </w:r>
            <w:r>
              <w:rPr>
                <w:spacing w:val="-24"/>
                <w:sz w:val="21"/>
              </w:rPr>
              <w:t>脑垂体瘤；</w:t>
            </w:r>
            <w:r>
              <w:rPr>
                <w:spacing w:val="18"/>
                <w:sz w:val="21"/>
              </w:rPr>
              <w:t>（</w:t>
            </w:r>
            <w:r>
              <w:rPr>
                <w:rFonts w:ascii="Times New Roman" w:hAnsi="Times New Roman" w:eastAsia="Times New Roman"/>
                <w:spacing w:val="19"/>
                <w:sz w:val="21"/>
              </w:rPr>
              <w:t>2</w:t>
            </w:r>
            <w:r>
              <w:rPr>
                <w:spacing w:val="18"/>
                <w:sz w:val="21"/>
              </w:rPr>
              <w:t>）</w:t>
            </w:r>
            <w:r>
              <w:rPr>
                <w:spacing w:val="-28"/>
                <w:sz w:val="21"/>
              </w:rPr>
              <w:t>脑囊肿；</w:t>
            </w:r>
            <w:r>
              <w:rPr>
                <w:spacing w:val="18"/>
                <w:sz w:val="21"/>
              </w:rPr>
              <w:t>（</w:t>
            </w:r>
            <w:r>
              <w:rPr>
                <w:rFonts w:ascii="Times New Roman" w:hAnsi="Times New Roman" w:eastAsia="Times New Roman"/>
                <w:spacing w:val="19"/>
                <w:sz w:val="21"/>
              </w:rPr>
              <w:t>3</w:t>
            </w:r>
            <w:r>
              <w:rPr>
                <w:spacing w:val="18"/>
                <w:sz w:val="21"/>
              </w:rPr>
              <w:t>）</w:t>
            </w:r>
            <w:r>
              <w:rPr>
                <w:spacing w:val="-8"/>
                <w:sz w:val="21"/>
              </w:rPr>
              <w:t>脑动脉瘤、脑血管</w:t>
            </w:r>
            <w:r>
              <w:rPr>
                <w:spacing w:val="-6"/>
                <w:sz w:val="21"/>
              </w:rPr>
              <w:t>瘤。</w:t>
            </w:r>
          </w:p>
          <w:p>
            <w:pPr>
              <w:pStyle w:val="11"/>
              <w:spacing w:line="268" w:lineRule="exact"/>
              <w:rPr>
                <w:rFonts w:ascii="黑体" w:hAnsi="黑体" w:eastAsia="黑体"/>
                <w:sz w:val="21"/>
              </w:rPr>
            </w:pPr>
            <w:r>
              <w:rPr>
                <w:rFonts w:ascii="黑体" w:hAnsi="黑体" w:eastAsia="黑体"/>
                <w:spacing w:val="-15"/>
                <w:sz w:val="21"/>
              </w:rPr>
              <w:t>我们仅对“轻度脑中风后遗症”、“脑垂体瘤、脑囊肿、脑动脉瘤及脑血</w:t>
            </w:r>
          </w:p>
          <w:p>
            <w:pPr>
              <w:pStyle w:val="11"/>
              <w:spacing w:before="43"/>
              <w:rPr>
                <w:rFonts w:ascii="黑体" w:hAnsi="黑体" w:eastAsia="黑体"/>
                <w:sz w:val="21"/>
              </w:rPr>
            </w:pPr>
            <w:r>
              <w:rPr>
                <w:rFonts w:ascii="黑体" w:hAnsi="黑体" w:eastAsia="黑体"/>
                <w:spacing w:val="-1"/>
                <w:sz w:val="21"/>
              </w:rPr>
              <w:t>管瘤”和“微创颅脑手术”三项中的其中一项承担保险责任，给付其中</w:t>
            </w:r>
          </w:p>
        </w:tc>
      </w:tr>
    </w:tbl>
    <w:p>
      <w:pPr>
        <w:pStyle w:val="3"/>
        <w:spacing w:before="8"/>
        <w:ind w:left="0"/>
        <w:rPr>
          <w:sz w:val="26"/>
        </w:rPr>
      </w:pPr>
      <w:r>
        <w:drawing>
          <wp:anchor distT="0" distB="0" distL="0" distR="0" simplePos="0" relativeHeight="251660288" behindDoc="0" locked="0" layoutInCell="1" allowOverlap="1">
            <wp:simplePos x="0" y="0"/>
            <wp:positionH relativeFrom="page">
              <wp:posOffset>1141095</wp:posOffset>
            </wp:positionH>
            <wp:positionV relativeFrom="paragraph">
              <wp:posOffset>231775</wp:posOffset>
            </wp:positionV>
            <wp:extent cx="1828800" cy="6985"/>
            <wp:effectExtent l="0" t="0" r="0" b="0"/>
            <wp:wrapTopAndBottom/>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png"/>
                    <pic:cNvPicPr>
                      <a:picLocks noChangeAspect="1"/>
                    </pic:cNvPicPr>
                  </pic:nvPicPr>
                  <pic:blipFill>
                    <a:blip r:embed="rId13" cstate="print"/>
                    <a:stretch>
                      <a:fillRect/>
                    </a:stretch>
                  </pic:blipFill>
                  <pic:spPr>
                    <a:xfrm>
                      <a:off x="0" y="0"/>
                      <a:ext cx="1828800" cy="6857"/>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2379345</wp:posOffset>
            </wp:positionH>
            <wp:positionV relativeFrom="page">
              <wp:posOffset>8128635</wp:posOffset>
            </wp:positionV>
            <wp:extent cx="4187825" cy="371475"/>
            <wp:effectExtent l="0" t="0" r="0" b="0"/>
            <wp:wrapNone/>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a:picLocks noChangeAspect="1"/>
                    </pic:cNvPicPr>
                  </pic:nvPicPr>
                  <pic:blipFill>
                    <a:blip r:embed="rId15" cstate="print"/>
                    <a:stretch>
                      <a:fillRect/>
                    </a:stretch>
                  </pic:blipFill>
                  <pic:spPr>
                    <a:xfrm>
                      <a:off x="0" y="0"/>
                      <a:ext cx="4187675" cy="371475"/>
                    </a:xfrm>
                    <a:prstGeom prst="rect">
                      <a:avLst/>
                    </a:prstGeom>
                  </pic:spPr>
                </pic:pic>
              </a:graphicData>
            </a:graphic>
          </wp:anchor>
        </w:drawing>
      </w:r>
    </w:p>
    <w:p>
      <w:pPr>
        <w:spacing w:before="90" w:line="242" w:lineRule="auto"/>
        <w:ind w:left="257" w:right="635" w:firstLine="0"/>
        <w:jc w:val="left"/>
        <w:rPr>
          <w:sz w:val="18"/>
        </w:rPr>
      </w:pPr>
      <w:bookmarkStart w:id="80" w:name="_bookmark80"/>
      <w:bookmarkEnd w:id="80"/>
      <w:r>
        <w:rPr>
          <w:rFonts w:ascii="Times New Roman" w:hAnsi="Times New Roman" w:eastAsia="Times New Roman"/>
          <w:sz w:val="18"/>
          <w:vertAlign w:val="superscript"/>
        </w:rPr>
        <w:t>45</w:t>
      </w:r>
      <w:r>
        <w:rPr>
          <w:rFonts w:ascii="Times New Roman" w:hAnsi="Times New Roman" w:eastAsia="Times New Roman"/>
          <w:spacing w:val="28"/>
          <w:sz w:val="18"/>
          <w:vertAlign w:val="baseline"/>
        </w:rPr>
        <w:t xml:space="preserve"> </w:t>
      </w:r>
      <w:r>
        <w:rPr>
          <w:b/>
          <w:sz w:val="18"/>
          <w:vertAlign w:val="baseline"/>
        </w:rPr>
        <w:t>美国纽约心脏病学会</w:t>
      </w:r>
      <w:r>
        <w:rPr>
          <w:rFonts w:ascii="Times New Roman" w:hAnsi="Times New Roman" w:eastAsia="Times New Roman"/>
          <w:b/>
          <w:sz w:val="18"/>
          <w:vertAlign w:val="baseline"/>
        </w:rPr>
        <w:t>(New</w:t>
      </w:r>
      <w:r>
        <w:rPr>
          <w:rFonts w:ascii="Times New Roman" w:hAnsi="Times New Roman" w:eastAsia="Times New Roman"/>
          <w:b/>
          <w:spacing w:val="-7"/>
          <w:sz w:val="18"/>
          <w:vertAlign w:val="baseline"/>
        </w:rPr>
        <w:t xml:space="preserve"> </w:t>
      </w:r>
      <w:r>
        <w:rPr>
          <w:rFonts w:ascii="Times New Roman" w:hAnsi="Times New Roman" w:eastAsia="Times New Roman"/>
          <w:b/>
          <w:sz w:val="18"/>
          <w:vertAlign w:val="baseline"/>
        </w:rPr>
        <w:t>York</w:t>
      </w:r>
      <w:r>
        <w:rPr>
          <w:rFonts w:ascii="Times New Roman" w:hAnsi="Times New Roman" w:eastAsia="Times New Roman"/>
          <w:b/>
          <w:spacing w:val="-8"/>
          <w:sz w:val="18"/>
          <w:vertAlign w:val="baseline"/>
        </w:rPr>
        <w:t xml:space="preserve"> </w:t>
      </w:r>
      <w:r>
        <w:rPr>
          <w:rFonts w:ascii="Times New Roman" w:hAnsi="Times New Roman" w:eastAsia="Times New Roman"/>
          <w:b/>
          <w:sz w:val="18"/>
          <w:vertAlign w:val="baseline"/>
        </w:rPr>
        <w:t>Heart</w:t>
      </w:r>
      <w:r>
        <w:rPr>
          <w:rFonts w:ascii="Times New Roman" w:hAnsi="Times New Roman" w:eastAsia="Times New Roman"/>
          <w:b/>
          <w:spacing w:val="-8"/>
          <w:sz w:val="18"/>
          <w:vertAlign w:val="baseline"/>
        </w:rPr>
        <w:t xml:space="preserve"> </w:t>
      </w:r>
      <w:r>
        <w:rPr>
          <w:rFonts w:ascii="Times New Roman" w:hAnsi="Times New Roman" w:eastAsia="Times New Roman"/>
          <w:b/>
          <w:sz w:val="18"/>
          <w:vertAlign w:val="baseline"/>
        </w:rPr>
        <w:t>Association</w:t>
      </w:r>
      <w:r>
        <w:rPr>
          <w:b/>
          <w:spacing w:val="-39"/>
          <w:sz w:val="18"/>
          <w:vertAlign w:val="baseline"/>
        </w:rPr>
        <w:t xml:space="preserve">， </w:t>
      </w:r>
      <w:r>
        <w:rPr>
          <w:rFonts w:ascii="Times New Roman" w:hAnsi="Times New Roman" w:eastAsia="Times New Roman"/>
          <w:b/>
          <w:sz w:val="18"/>
          <w:vertAlign w:val="baseline"/>
        </w:rPr>
        <w:t>NYHA)</w:t>
      </w:r>
      <w:r>
        <w:rPr>
          <w:b/>
          <w:sz w:val="18"/>
          <w:vertAlign w:val="baseline"/>
        </w:rPr>
        <w:t>心功能状态分</w:t>
      </w:r>
      <w:r>
        <w:rPr>
          <w:b/>
          <w:spacing w:val="-39"/>
          <w:sz w:val="18"/>
          <w:vertAlign w:val="baseline"/>
        </w:rPr>
        <w:t>级：</w:t>
      </w:r>
      <w:r>
        <w:rPr>
          <w:spacing w:val="-9"/>
          <w:sz w:val="18"/>
          <w:vertAlign w:val="baseline"/>
        </w:rPr>
        <w:t>美国纽约心脏病学会</w:t>
      </w:r>
      <w:r>
        <w:rPr>
          <w:sz w:val="18"/>
          <w:vertAlign w:val="baseline"/>
        </w:rPr>
        <w:t>（</w:t>
      </w:r>
      <w:r>
        <w:rPr>
          <w:rFonts w:ascii="Times New Roman" w:hAnsi="Times New Roman" w:eastAsia="Times New Roman"/>
          <w:sz w:val="18"/>
          <w:vertAlign w:val="baseline"/>
        </w:rPr>
        <w:t>New York</w:t>
      </w:r>
      <w:r>
        <w:rPr>
          <w:rFonts w:ascii="Times New Roman" w:hAnsi="Times New Roman" w:eastAsia="Times New Roman"/>
          <w:spacing w:val="69"/>
          <w:w w:val="150"/>
          <w:sz w:val="18"/>
          <w:vertAlign w:val="baseline"/>
        </w:rPr>
        <w:t xml:space="preserve">             </w:t>
      </w:r>
      <w:r>
        <w:rPr>
          <w:rFonts w:ascii="Times New Roman" w:hAnsi="Times New Roman" w:eastAsia="Times New Roman"/>
          <w:sz w:val="18"/>
          <w:vertAlign w:val="baseline"/>
        </w:rPr>
        <w:t>Heart</w:t>
      </w:r>
      <w:r>
        <w:rPr>
          <w:rFonts w:ascii="Times New Roman" w:hAnsi="Times New Roman" w:eastAsia="Times New Roman"/>
          <w:spacing w:val="70"/>
          <w:w w:val="150"/>
          <w:sz w:val="18"/>
          <w:vertAlign w:val="baseline"/>
        </w:rPr>
        <w:t xml:space="preserve">             </w:t>
      </w:r>
      <w:r>
        <w:rPr>
          <w:rFonts w:ascii="Times New Roman" w:hAnsi="Times New Roman" w:eastAsia="Times New Roman"/>
          <w:sz w:val="18"/>
          <w:vertAlign w:val="baseline"/>
        </w:rPr>
        <w:t>Association</w:t>
      </w:r>
      <w:r>
        <w:rPr>
          <w:sz w:val="18"/>
          <w:vertAlign w:val="baseline"/>
        </w:rPr>
        <w:t>，</w:t>
      </w:r>
      <w:r>
        <w:rPr>
          <w:rFonts w:ascii="Times New Roman" w:hAnsi="Times New Roman" w:eastAsia="Times New Roman"/>
          <w:sz w:val="18"/>
          <w:vertAlign w:val="baseline"/>
        </w:rPr>
        <w:t>NYHA</w:t>
      </w:r>
      <w:r>
        <w:rPr>
          <w:sz w:val="18"/>
          <w:vertAlign w:val="baseline"/>
        </w:rPr>
        <w:t>）将心功能状态分为四级：</w:t>
      </w:r>
      <w:r>
        <w:rPr>
          <w:spacing w:val="80"/>
          <w:sz w:val="18"/>
          <w:vertAlign w:val="baseline"/>
        </w:rPr>
        <w:t xml:space="preserve"> </w:t>
      </w:r>
      <w:r>
        <w:rPr>
          <w:spacing w:val="-2"/>
          <w:sz w:val="18"/>
          <w:vertAlign w:val="baseline"/>
        </w:rPr>
        <w:t>Ⅰ级：心脏病病人日常活动量不受限制，一般活动不引起乏力、呼吸困难等心衰症状。</w:t>
      </w:r>
      <w:r>
        <w:rPr>
          <w:spacing w:val="80"/>
          <w:w w:val="150"/>
          <w:sz w:val="18"/>
          <w:vertAlign w:val="baseline"/>
        </w:rPr>
        <w:t xml:space="preserve">       </w:t>
      </w:r>
      <w:r>
        <w:rPr>
          <w:spacing w:val="-2"/>
          <w:sz w:val="18"/>
          <w:vertAlign w:val="baseline"/>
        </w:rPr>
        <w:t>Ⅱ级：心脏病病人体力活动轻度受限制，休息时无自觉症状，一般活动下可出现心衰症状。</w:t>
      </w:r>
      <w:r>
        <w:rPr>
          <w:spacing w:val="80"/>
          <w:w w:val="150"/>
          <w:sz w:val="18"/>
          <w:vertAlign w:val="baseline"/>
        </w:rPr>
        <w:t xml:space="preserve">     </w:t>
      </w:r>
      <w:r>
        <w:rPr>
          <w:spacing w:val="-2"/>
          <w:sz w:val="18"/>
          <w:vertAlign w:val="baseline"/>
        </w:rPr>
        <w:t>Ⅲ级：心脏病病人体力活动明显受限，低于平时一般活动即引起心衰症状。</w:t>
      </w:r>
      <w:r>
        <w:rPr>
          <w:spacing w:val="80"/>
          <w:w w:val="150"/>
          <w:sz w:val="18"/>
          <w:vertAlign w:val="baseline"/>
        </w:rPr>
        <w:t xml:space="preserve">           </w:t>
      </w:r>
      <w:r>
        <w:rPr>
          <w:spacing w:val="-2"/>
          <w:sz w:val="18"/>
          <w:vertAlign w:val="baseline"/>
        </w:rPr>
        <w:t>Ⅳ级：心脏病病人不能从事任何体力活动，休息状态下也存在心衰症状，活动后加重。</w:t>
      </w:r>
    </w:p>
    <w:p>
      <w:pPr>
        <w:spacing w:after="0" w:line="242" w:lineRule="auto"/>
        <w:jc w:val="left"/>
        <w:rPr>
          <w:sz w:val="18"/>
        </w:rPr>
        <w:sectPr>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6" w:hRule="atLeast"/>
        </w:trPr>
        <w:tc>
          <w:tcPr>
            <w:tcW w:w="1951" w:type="dxa"/>
          </w:tcPr>
          <w:p>
            <w:pPr>
              <w:pStyle w:val="11"/>
              <w:ind w:left="0"/>
              <w:rPr>
                <w:rFonts w:ascii="Times New Roman"/>
                <w:sz w:val="20"/>
              </w:rPr>
            </w:pPr>
          </w:p>
        </w:tc>
        <w:tc>
          <w:tcPr>
            <w:tcW w:w="6804" w:type="dxa"/>
          </w:tcPr>
          <w:p>
            <w:pPr>
              <w:pStyle w:val="11"/>
              <w:spacing w:before="20"/>
              <w:rPr>
                <w:rFonts w:ascii="黑体" w:eastAsia="黑体"/>
                <w:sz w:val="21"/>
              </w:rPr>
            </w:pPr>
            <w:r>
              <w:rPr>
                <w:rFonts w:ascii="黑体" w:eastAsia="黑体"/>
                <w:color w:val="000000"/>
                <w:spacing w:val="-1"/>
                <w:sz w:val="21"/>
                <w:shd w:val="clear" w:color="auto" w:fill="DADADA"/>
              </w:rPr>
              <w:t>一项保险金后，对其他两项轻症疾病保险责任同时终止。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1" w:type="dxa"/>
          </w:tcPr>
          <w:p>
            <w:pPr>
              <w:pStyle w:val="11"/>
              <w:ind w:left="0"/>
              <w:rPr>
                <w:sz w:val="20"/>
              </w:rPr>
            </w:pPr>
          </w:p>
          <w:p>
            <w:pPr>
              <w:pStyle w:val="11"/>
              <w:spacing w:before="1"/>
              <w:ind w:left="0"/>
              <w:rPr>
                <w:sz w:val="18"/>
              </w:rPr>
            </w:pPr>
          </w:p>
          <w:p>
            <w:pPr>
              <w:pStyle w:val="11"/>
              <w:spacing w:line="278" w:lineRule="auto"/>
              <w:ind w:left="107" w:right="86"/>
              <w:rPr>
                <w:sz w:val="21"/>
              </w:rPr>
            </w:pPr>
            <w:r>
              <w:rPr>
                <w:spacing w:val="-2"/>
                <w:sz w:val="21"/>
              </w:rPr>
              <w:t>十二、心脏瓣膜介</w:t>
            </w:r>
            <w:r>
              <w:rPr>
                <w:spacing w:val="-4"/>
                <w:sz w:val="21"/>
              </w:rPr>
              <w:t>入手术</w:t>
            </w:r>
          </w:p>
        </w:tc>
        <w:tc>
          <w:tcPr>
            <w:tcW w:w="6804" w:type="dxa"/>
          </w:tcPr>
          <w:p>
            <w:pPr>
              <w:pStyle w:val="11"/>
              <w:spacing w:before="20" w:line="278" w:lineRule="auto"/>
              <w:ind w:right="98"/>
              <w:rPr>
                <w:sz w:val="21"/>
              </w:rPr>
            </w:pPr>
            <w:r>
              <w:rPr>
                <w:spacing w:val="-2"/>
                <w:sz w:val="21"/>
              </w:rPr>
              <w:t>指为了治疗心脏瓣膜疾病，实际实施了经皮经导管介入手术进行的心脏瓣膜置换或者修复手术。</w:t>
            </w:r>
          </w:p>
          <w:p>
            <w:pPr>
              <w:pStyle w:val="11"/>
              <w:spacing w:line="278" w:lineRule="auto"/>
              <w:ind w:right="95"/>
              <w:rPr>
                <w:rFonts w:ascii="黑体" w:hAnsi="黑体" w:eastAsia="黑体"/>
                <w:sz w:val="21"/>
              </w:rPr>
            </w:pPr>
            <w:r>
              <w:rPr>
                <w:rFonts w:ascii="黑体" w:hAnsi="黑体" w:eastAsia="黑体"/>
                <w:color w:val="000000"/>
                <w:spacing w:val="-2"/>
                <w:sz w:val="21"/>
                <w:shd w:val="clear" w:color="auto" w:fill="DADADA"/>
              </w:rPr>
              <w:t>我们仅对“心脏瓣膜介入手术”和“轻度感染性心内膜炎”两项中的其</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中一项承担保险责任，给付其中一项保险金后，对另一项轻症疾病保险</w:t>
            </w:r>
          </w:p>
          <w:p>
            <w:pPr>
              <w:pStyle w:val="11"/>
              <w:spacing w:line="269" w:lineRule="exact"/>
              <w:rPr>
                <w:rFonts w:ascii="黑体" w:eastAsia="黑体"/>
                <w:sz w:val="21"/>
              </w:rPr>
            </w:pPr>
            <w:r>
              <w:rPr>
                <w:rFonts w:ascii="黑体" w:eastAsia="黑体"/>
                <w:color w:val="000000"/>
                <w:spacing w:val="-2"/>
                <w:sz w:val="21"/>
                <w:shd w:val="clear" w:color="auto" w:fill="DADADA"/>
              </w:rPr>
              <w:t>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1" w:type="dxa"/>
          </w:tcPr>
          <w:p>
            <w:pPr>
              <w:pStyle w:val="11"/>
              <w:ind w:left="0"/>
              <w:rPr>
                <w:sz w:val="20"/>
              </w:rPr>
            </w:pPr>
          </w:p>
          <w:p>
            <w:pPr>
              <w:pStyle w:val="11"/>
              <w:spacing w:before="2"/>
              <w:ind w:left="0"/>
              <w:rPr>
                <w:sz w:val="18"/>
              </w:rPr>
            </w:pPr>
          </w:p>
          <w:p>
            <w:pPr>
              <w:pStyle w:val="11"/>
              <w:spacing w:line="278" w:lineRule="auto"/>
              <w:ind w:left="107" w:right="86"/>
              <w:rPr>
                <w:sz w:val="21"/>
              </w:rPr>
            </w:pPr>
            <w:r>
              <w:rPr>
                <w:spacing w:val="-2"/>
                <w:sz w:val="21"/>
              </w:rPr>
              <w:t>十三、微创颅脑手</w:t>
            </w:r>
            <w:r>
              <w:rPr>
                <w:spacing w:val="-10"/>
                <w:sz w:val="21"/>
              </w:rPr>
              <w:t>术</w:t>
            </w:r>
          </w:p>
        </w:tc>
        <w:tc>
          <w:tcPr>
            <w:tcW w:w="6804" w:type="dxa"/>
          </w:tcPr>
          <w:p>
            <w:pPr>
              <w:pStyle w:val="11"/>
              <w:spacing w:before="21" w:line="278" w:lineRule="auto"/>
              <w:ind w:right="98"/>
              <w:rPr>
                <w:rFonts w:ascii="黑体" w:eastAsia="黑体"/>
                <w:sz w:val="21"/>
              </w:rPr>
            </w:pPr>
            <w:r>
              <w:rPr>
                <w:spacing w:val="-2"/>
                <w:sz w:val="21"/>
              </w:rPr>
              <w:t>指因疾病被保险人确已实施全麻下的颅骨钻孔手术或者经鼻蝶窦入颅手术。</w:t>
            </w:r>
            <w:r>
              <w:rPr>
                <w:rFonts w:ascii="黑体" w:eastAsia="黑体"/>
                <w:color w:val="000000"/>
                <w:spacing w:val="-2"/>
                <w:sz w:val="21"/>
                <w:shd w:val="clear" w:color="auto" w:fill="DADADA"/>
              </w:rPr>
              <w:t>因外伤而实施的脑外科手术不在保障范围内。</w:t>
            </w:r>
          </w:p>
          <w:p>
            <w:pPr>
              <w:pStyle w:val="11"/>
              <w:spacing w:line="278" w:lineRule="auto"/>
              <w:ind w:right="95"/>
              <w:rPr>
                <w:rFonts w:ascii="黑体" w:hAnsi="黑体" w:eastAsia="黑体"/>
                <w:sz w:val="21"/>
              </w:rPr>
            </w:pPr>
            <w:r>
              <w:rPr>
                <w:rFonts w:ascii="黑体" w:hAnsi="黑体" w:eastAsia="黑体"/>
                <w:color w:val="000000"/>
                <w:spacing w:val="-17"/>
                <w:sz w:val="21"/>
                <w:shd w:val="clear" w:color="auto" w:fill="DADADA"/>
              </w:rPr>
              <w:t>我们仅对“轻度脑中风后遗症”、“脑垂体瘤、脑囊肿、脑动脉瘤及脑血</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管瘤”和“微创颅脑手术”三项中的其中一项承担保险责任，给付其中</w:t>
            </w:r>
          </w:p>
          <w:p>
            <w:pPr>
              <w:pStyle w:val="11"/>
              <w:spacing w:line="269" w:lineRule="exact"/>
              <w:rPr>
                <w:rFonts w:ascii="黑体" w:eastAsia="黑体"/>
                <w:sz w:val="21"/>
              </w:rPr>
            </w:pPr>
            <w:r>
              <w:rPr>
                <w:rFonts w:ascii="黑体" w:eastAsia="黑体"/>
                <w:color w:val="000000"/>
                <w:spacing w:val="-1"/>
                <w:sz w:val="21"/>
                <w:shd w:val="clear" w:color="auto" w:fill="DADADA"/>
              </w:rPr>
              <w:t>一项保险金后，对其他两项轻症疾病保险责任同时终止。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1" w:type="dxa"/>
          </w:tcPr>
          <w:p>
            <w:pPr>
              <w:pStyle w:val="11"/>
              <w:ind w:left="0"/>
              <w:rPr>
                <w:sz w:val="20"/>
              </w:rPr>
            </w:pPr>
          </w:p>
          <w:p>
            <w:pPr>
              <w:pStyle w:val="11"/>
              <w:ind w:left="0"/>
              <w:rPr>
                <w:sz w:val="20"/>
              </w:rPr>
            </w:pPr>
          </w:p>
          <w:p>
            <w:pPr>
              <w:pStyle w:val="11"/>
              <w:spacing w:before="5"/>
              <w:ind w:left="0"/>
              <w:rPr>
                <w:sz w:val="22"/>
              </w:rPr>
            </w:pPr>
          </w:p>
          <w:p>
            <w:pPr>
              <w:pStyle w:val="11"/>
              <w:spacing w:before="1"/>
              <w:ind w:left="107"/>
              <w:rPr>
                <w:sz w:val="21"/>
              </w:rPr>
            </w:pPr>
            <w:r>
              <w:rPr>
                <w:spacing w:val="-2"/>
                <w:sz w:val="21"/>
              </w:rPr>
              <w:t>十四、角膜移植</w:t>
            </w:r>
          </w:p>
        </w:tc>
        <w:tc>
          <w:tcPr>
            <w:tcW w:w="6804" w:type="dxa"/>
          </w:tcPr>
          <w:p>
            <w:pPr>
              <w:pStyle w:val="11"/>
              <w:spacing w:before="20" w:line="278" w:lineRule="auto"/>
              <w:ind w:right="98"/>
              <w:jc w:val="both"/>
              <w:rPr>
                <w:sz w:val="21"/>
              </w:rPr>
            </w:pPr>
            <w:r>
              <w:rPr>
                <w:spacing w:val="1"/>
                <w:sz w:val="21"/>
              </w:rPr>
              <w:t>指为增进视力或治疗某些角膜疾患，已经实施了异体的角膜移植手术。</w:t>
            </w:r>
            <w:r>
              <w:rPr>
                <w:spacing w:val="8"/>
                <w:sz w:val="21"/>
              </w:rPr>
              <w:t>此手术必须在我们认可医院内由专科医生认为是医疗必须的情况下进行。</w:t>
            </w:r>
          </w:p>
          <w:p>
            <w:pPr>
              <w:pStyle w:val="11"/>
              <w:spacing w:line="278" w:lineRule="auto"/>
              <w:ind w:right="95"/>
              <w:rPr>
                <w:rFonts w:ascii="黑体" w:hAnsi="黑体" w:eastAsia="黑体"/>
                <w:sz w:val="21"/>
              </w:rPr>
            </w:pPr>
            <w:r>
              <w:rPr>
                <w:rFonts w:ascii="黑体" w:hAnsi="黑体" w:eastAsia="黑体"/>
                <w:color w:val="000000"/>
                <w:spacing w:val="-17"/>
                <w:sz w:val="21"/>
                <w:shd w:val="clear" w:color="auto" w:fill="DADADA"/>
              </w:rPr>
              <w:t>我们仅对“单目失明”、“角膜移植”和“视力严重受损”三项中的其中</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一项承担保险责任，给付其中一项保险金后，对其他两项轻症疾病保险</w:t>
            </w:r>
          </w:p>
          <w:p>
            <w:pPr>
              <w:pStyle w:val="11"/>
              <w:spacing w:line="269" w:lineRule="exact"/>
              <w:rPr>
                <w:rFonts w:ascii="黑体" w:eastAsia="黑体"/>
                <w:sz w:val="21"/>
              </w:rPr>
            </w:pPr>
            <w:r>
              <w:rPr>
                <w:rFonts w:ascii="黑体" w:eastAsia="黑体"/>
                <w:color w:val="000000"/>
                <w:spacing w:val="-2"/>
                <w:sz w:val="21"/>
                <w:shd w:val="clear" w:color="auto" w:fill="DADADA"/>
              </w:rPr>
              <w:t>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7" w:hRule="atLeast"/>
        </w:trPr>
        <w:tc>
          <w:tcPr>
            <w:tcW w:w="1951" w:type="dxa"/>
          </w:tcPr>
          <w:p>
            <w:pPr>
              <w:pStyle w:val="11"/>
              <w:spacing w:before="1"/>
              <w:ind w:left="0"/>
              <w:rPr>
                <w:sz w:val="22"/>
              </w:rPr>
            </w:pPr>
          </w:p>
          <w:p>
            <w:pPr>
              <w:pStyle w:val="11"/>
              <w:spacing w:line="278" w:lineRule="auto"/>
              <w:ind w:left="107" w:right="86"/>
              <w:rPr>
                <w:sz w:val="21"/>
              </w:rPr>
            </w:pPr>
            <w:r>
              <w:rPr>
                <w:spacing w:val="-2"/>
                <w:sz w:val="21"/>
              </w:rPr>
              <w:t>十五、因肾上腺皮脂腺瘤切除肾上腺</w:t>
            </w:r>
          </w:p>
        </w:tc>
        <w:tc>
          <w:tcPr>
            <w:tcW w:w="6804" w:type="dxa"/>
          </w:tcPr>
          <w:p>
            <w:pPr>
              <w:pStyle w:val="11"/>
              <w:spacing w:before="127" w:line="278" w:lineRule="auto"/>
              <w:ind w:right="98"/>
              <w:jc w:val="both"/>
              <w:rPr>
                <w:sz w:val="21"/>
              </w:rPr>
            </w:pPr>
            <w:r>
              <w:rPr>
                <w:spacing w:val="-2"/>
                <w:sz w:val="21"/>
              </w:rPr>
              <w:t>指因肾上腺腺瘤所导致醛固酮分泌过多而产生的续发性恶性系统高血压而接受肾上腺切除术。恶性高血压无法由药物控制。此肾上腺切除术需由专科医生确诊为处理控制不佳高血压的必要治疗行为。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6" w:hRule="atLeast"/>
        </w:trPr>
        <w:tc>
          <w:tcPr>
            <w:tcW w:w="1951" w:type="dxa"/>
          </w:tcPr>
          <w:p>
            <w:pPr>
              <w:pStyle w:val="11"/>
              <w:spacing w:before="11"/>
              <w:ind w:left="0"/>
              <w:rPr>
                <w:sz w:val="18"/>
              </w:rPr>
            </w:pPr>
          </w:p>
          <w:p>
            <w:pPr>
              <w:pStyle w:val="11"/>
              <w:spacing w:line="278" w:lineRule="auto"/>
              <w:ind w:left="107" w:right="86"/>
              <w:rPr>
                <w:sz w:val="21"/>
              </w:rPr>
            </w:pPr>
            <w:r>
              <w:rPr>
                <w:spacing w:val="-2"/>
                <w:sz w:val="21"/>
              </w:rPr>
              <w:t>十六、心包膜切除</w:t>
            </w:r>
            <w:r>
              <w:rPr>
                <w:spacing w:val="-10"/>
                <w:sz w:val="21"/>
              </w:rPr>
              <w:t>术</w:t>
            </w:r>
          </w:p>
        </w:tc>
        <w:tc>
          <w:tcPr>
            <w:tcW w:w="6804" w:type="dxa"/>
          </w:tcPr>
          <w:p>
            <w:pPr>
              <w:pStyle w:val="11"/>
              <w:spacing w:before="86" w:line="278" w:lineRule="auto"/>
              <w:ind w:right="98"/>
              <w:jc w:val="both"/>
              <w:rPr>
                <w:sz w:val="21"/>
              </w:rPr>
            </w:pPr>
            <w:r>
              <w:rPr>
                <w:spacing w:val="-3"/>
                <w:sz w:val="21"/>
              </w:rPr>
              <w:t>指为治疗心包膜疾病，已经实施了心包膜切除术，但未达到 “严重慢性</w:t>
            </w:r>
            <w:r>
              <w:rPr>
                <w:spacing w:val="-2"/>
                <w:sz w:val="21"/>
              </w:rPr>
              <w:t>缩窄性心包炎”的给付标准。手术必须在心脏科医生认为是医学上必需的情况下进行。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0" w:hRule="atLeast"/>
        </w:trPr>
        <w:tc>
          <w:tcPr>
            <w:tcW w:w="1951" w:type="dxa"/>
          </w:tcPr>
          <w:p>
            <w:pPr>
              <w:pStyle w:val="11"/>
              <w:spacing w:before="10"/>
              <w:ind w:left="0"/>
              <w:rPr>
                <w:sz w:val="17"/>
              </w:rPr>
            </w:pPr>
          </w:p>
          <w:p>
            <w:pPr>
              <w:pStyle w:val="11"/>
              <w:spacing w:line="278" w:lineRule="auto"/>
              <w:ind w:left="107" w:right="86"/>
              <w:jc w:val="both"/>
              <w:rPr>
                <w:sz w:val="21"/>
              </w:rPr>
            </w:pPr>
            <w:r>
              <w:rPr>
                <w:spacing w:val="-2"/>
                <w:sz w:val="21"/>
              </w:rPr>
              <w:t>十七、于颈动脉进行血管成形术或内</w:t>
            </w:r>
            <w:r>
              <w:rPr>
                <w:spacing w:val="-4"/>
                <w:sz w:val="21"/>
              </w:rPr>
              <w:t>膜切除术</w:t>
            </w:r>
          </w:p>
        </w:tc>
        <w:tc>
          <w:tcPr>
            <w:tcW w:w="6804" w:type="dxa"/>
          </w:tcPr>
          <w:p>
            <w:pPr>
              <w:pStyle w:val="11"/>
              <w:spacing w:before="72" w:line="278" w:lineRule="auto"/>
              <w:ind w:right="95"/>
              <w:jc w:val="both"/>
              <w:rPr>
                <w:sz w:val="21"/>
              </w:rPr>
            </w:pPr>
            <w:r>
              <w:rPr>
                <w:spacing w:val="1"/>
                <w:sz w:val="21"/>
              </w:rPr>
              <w:t>指根据颈动脉造影检查结果，确诊一条或以上颈动脉存在严重狭窄性病</w:t>
            </w:r>
            <w:r>
              <w:rPr>
                <w:spacing w:val="-23"/>
                <w:sz w:val="21"/>
              </w:rPr>
              <w:t>变</w:t>
            </w:r>
            <w:r>
              <w:rPr>
                <w:sz w:val="21"/>
              </w:rPr>
              <w:t>（</w:t>
            </w:r>
            <w:r>
              <w:rPr>
                <w:spacing w:val="-5"/>
                <w:sz w:val="21"/>
              </w:rPr>
              <w:t xml:space="preserve">至少一支血管管腔直径减少 </w:t>
            </w:r>
            <w:r>
              <w:rPr>
                <w:rFonts w:ascii="Times New Roman" w:eastAsia="Times New Roman"/>
                <w:sz w:val="21"/>
              </w:rPr>
              <w:t>5</w:t>
            </w:r>
            <w:r>
              <w:rPr>
                <w:rFonts w:ascii="Times New Roman" w:eastAsia="Times New Roman"/>
                <w:spacing w:val="-1"/>
                <w:sz w:val="21"/>
              </w:rPr>
              <w:t>0</w:t>
            </w:r>
            <w:r>
              <w:rPr>
                <w:rFonts w:ascii="Times New Roman" w:eastAsia="Times New Roman"/>
                <w:sz w:val="21"/>
              </w:rPr>
              <w:t>%</w:t>
            </w:r>
            <w:r>
              <w:rPr>
                <w:sz w:val="21"/>
              </w:rPr>
              <w:t>以上</w:t>
            </w:r>
            <w:r>
              <w:rPr>
                <w:spacing w:val="-105"/>
                <w:sz w:val="21"/>
              </w:rPr>
              <w:t>）</w:t>
            </w:r>
            <w:r>
              <w:rPr>
                <w:spacing w:val="-6"/>
                <w:sz w:val="21"/>
              </w:rPr>
              <w:t>。本病必须已经采取以下手术</w:t>
            </w:r>
            <w:r>
              <w:rPr>
                <w:spacing w:val="-16"/>
                <w:sz w:val="21"/>
              </w:rPr>
              <w:t>以减轻症状：</w:t>
            </w:r>
            <w:r>
              <w:rPr>
                <w:spacing w:val="2"/>
                <w:sz w:val="21"/>
              </w:rPr>
              <w:t>（</w:t>
            </w:r>
            <w:r>
              <w:rPr>
                <w:rFonts w:ascii="Times New Roman" w:eastAsia="Times New Roman"/>
                <w:spacing w:val="2"/>
                <w:sz w:val="21"/>
              </w:rPr>
              <w:t>1</w:t>
            </w:r>
            <w:r>
              <w:rPr>
                <w:spacing w:val="2"/>
                <w:sz w:val="21"/>
              </w:rPr>
              <w:t>）</w:t>
            </w:r>
            <w:r>
              <w:rPr>
                <w:spacing w:val="-7"/>
                <w:sz w:val="21"/>
              </w:rPr>
              <w:t>确实进行动脉内膜切除术；</w:t>
            </w:r>
            <w:r>
              <w:rPr>
                <w:spacing w:val="2"/>
                <w:sz w:val="21"/>
              </w:rPr>
              <w:t>（</w:t>
            </w:r>
            <w:r>
              <w:rPr>
                <w:rFonts w:ascii="Times New Roman" w:eastAsia="Times New Roman"/>
                <w:spacing w:val="2"/>
                <w:sz w:val="21"/>
              </w:rPr>
              <w:t>2</w:t>
            </w:r>
            <w:r>
              <w:rPr>
                <w:spacing w:val="2"/>
                <w:sz w:val="21"/>
              </w:rPr>
              <w:t>）确实进行血管介入治</w:t>
            </w:r>
            <w:r>
              <w:rPr>
                <w:sz w:val="21"/>
              </w:rPr>
              <w:t>疗，例如血管成形术及</w:t>
            </w:r>
            <w:r>
              <w:rPr>
                <w:rFonts w:ascii="Times New Roman" w:eastAsia="Times New Roman"/>
                <w:sz w:val="21"/>
              </w:rPr>
              <w:t>/</w:t>
            </w:r>
            <w:r>
              <w:rPr>
                <w:sz w:val="21"/>
              </w:rPr>
              <w:t>或进行植入支架手术。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951" w:type="dxa"/>
          </w:tcPr>
          <w:p>
            <w:pPr>
              <w:pStyle w:val="11"/>
              <w:spacing w:before="69" w:line="278" w:lineRule="auto"/>
              <w:ind w:left="107" w:right="86"/>
              <w:rPr>
                <w:sz w:val="21"/>
              </w:rPr>
            </w:pPr>
            <w:r>
              <w:rPr>
                <w:spacing w:val="-2"/>
                <w:sz w:val="21"/>
              </w:rPr>
              <w:t>十八、腔静脉过滤</w:t>
            </w:r>
            <w:r>
              <w:rPr>
                <w:spacing w:val="-4"/>
                <w:sz w:val="21"/>
              </w:rPr>
              <w:t>器植入术</w:t>
            </w:r>
          </w:p>
        </w:tc>
        <w:tc>
          <w:tcPr>
            <w:tcW w:w="6804" w:type="dxa"/>
          </w:tcPr>
          <w:p>
            <w:pPr>
              <w:pStyle w:val="11"/>
              <w:spacing w:before="69" w:line="278" w:lineRule="auto"/>
              <w:ind w:right="98"/>
              <w:rPr>
                <w:sz w:val="21"/>
              </w:rPr>
            </w:pPr>
            <w:r>
              <w:rPr>
                <w:spacing w:val="-2"/>
                <w:sz w:val="21"/>
              </w:rPr>
              <w:t>指为治疗反复肺栓塞发作，抗凝血疗法无效，已经实施了腔静脉过滤器植入术。手术必须在专科医生认为是医学上必需的情况下进行。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1" w:type="dxa"/>
          </w:tcPr>
          <w:p>
            <w:pPr>
              <w:pStyle w:val="11"/>
              <w:ind w:left="0"/>
              <w:rPr>
                <w:sz w:val="20"/>
              </w:rPr>
            </w:pPr>
          </w:p>
          <w:p>
            <w:pPr>
              <w:pStyle w:val="11"/>
              <w:ind w:left="0"/>
              <w:rPr>
                <w:sz w:val="20"/>
              </w:rPr>
            </w:pPr>
          </w:p>
          <w:p>
            <w:pPr>
              <w:pStyle w:val="11"/>
              <w:spacing w:before="131" w:line="278" w:lineRule="auto"/>
              <w:ind w:left="107" w:right="86"/>
              <w:rPr>
                <w:sz w:val="21"/>
              </w:rPr>
            </w:pPr>
            <w:r>
              <w:rPr>
                <w:spacing w:val="-2"/>
                <w:sz w:val="21"/>
              </w:rPr>
              <w:t>十九、双侧睾丸切</w:t>
            </w:r>
            <w:r>
              <w:rPr>
                <w:spacing w:val="-6"/>
                <w:sz w:val="21"/>
              </w:rPr>
              <w:t>除术</w:t>
            </w:r>
          </w:p>
        </w:tc>
        <w:tc>
          <w:tcPr>
            <w:tcW w:w="6804" w:type="dxa"/>
          </w:tcPr>
          <w:p>
            <w:pPr>
              <w:pStyle w:val="11"/>
              <w:spacing w:before="20" w:line="278" w:lineRule="auto"/>
              <w:ind w:right="98"/>
              <w:rPr>
                <w:rFonts w:ascii="黑体" w:eastAsia="黑体"/>
                <w:sz w:val="21"/>
              </w:rPr>
            </w:pPr>
            <w:r>
              <w:rPr>
                <w:spacing w:val="-2"/>
                <w:sz w:val="21"/>
              </w:rPr>
              <w:t>指为治疗疾病实际接受了经腹部切开或腹腔镜进行的双侧睾丸完全切除手术。</w:t>
            </w:r>
            <w:r>
              <w:rPr>
                <w:rFonts w:ascii="黑体" w:eastAsia="黑体"/>
                <w:color w:val="000000"/>
                <w:spacing w:val="-2"/>
                <w:sz w:val="21"/>
                <w:shd w:val="clear" w:color="auto" w:fill="DADADA"/>
              </w:rPr>
              <w:t>下列情况不在保障范围内：</w:t>
            </w:r>
          </w:p>
          <w:p>
            <w:pPr>
              <w:pStyle w:val="11"/>
              <w:numPr>
                <w:ilvl w:val="0"/>
                <w:numId w:val="20"/>
              </w:numPr>
              <w:tabs>
                <w:tab w:val="left" w:pos="633"/>
              </w:tabs>
              <w:spacing w:before="0" w:after="0" w:line="269" w:lineRule="exact"/>
              <w:ind w:left="632" w:right="0" w:hanging="527"/>
              <w:jc w:val="left"/>
              <w:rPr>
                <w:rFonts w:ascii="黑体" w:eastAsia="黑体"/>
                <w:sz w:val="21"/>
              </w:rPr>
            </w:pPr>
            <w:r>
              <w:rPr>
                <w:rFonts w:ascii="黑体" w:eastAsia="黑体"/>
                <w:color w:val="000000"/>
                <w:spacing w:val="-2"/>
                <w:sz w:val="21"/>
                <w:shd w:val="clear" w:color="auto" w:fill="DADADA"/>
              </w:rPr>
              <w:t>部分睾丸切除；</w:t>
            </w:r>
          </w:p>
          <w:p>
            <w:pPr>
              <w:pStyle w:val="11"/>
              <w:numPr>
                <w:ilvl w:val="0"/>
                <w:numId w:val="20"/>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因恶性肿瘤进行的睾丸切除术；</w:t>
            </w:r>
          </w:p>
          <w:p>
            <w:pPr>
              <w:pStyle w:val="11"/>
              <w:numPr>
                <w:ilvl w:val="0"/>
                <w:numId w:val="20"/>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预防性睾丸切除；</w:t>
            </w:r>
          </w:p>
          <w:p>
            <w:pPr>
              <w:pStyle w:val="11"/>
              <w:numPr>
                <w:ilvl w:val="0"/>
                <w:numId w:val="20"/>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变性手术。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1" w:type="dxa"/>
          </w:tcPr>
          <w:p>
            <w:pPr>
              <w:pStyle w:val="11"/>
              <w:ind w:left="0"/>
              <w:rPr>
                <w:sz w:val="20"/>
              </w:rPr>
            </w:pPr>
          </w:p>
          <w:p>
            <w:pPr>
              <w:pStyle w:val="11"/>
              <w:ind w:left="0"/>
              <w:rPr>
                <w:sz w:val="20"/>
              </w:rPr>
            </w:pPr>
          </w:p>
          <w:p>
            <w:pPr>
              <w:pStyle w:val="11"/>
              <w:spacing w:before="131" w:line="278" w:lineRule="auto"/>
              <w:ind w:left="107" w:right="86"/>
              <w:rPr>
                <w:sz w:val="21"/>
              </w:rPr>
            </w:pPr>
            <w:r>
              <w:rPr>
                <w:spacing w:val="-2"/>
                <w:sz w:val="21"/>
              </w:rPr>
              <w:t>二十、双侧卵巢切</w:t>
            </w:r>
            <w:r>
              <w:rPr>
                <w:spacing w:val="-6"/>
                <w:sz w:val="21"/>
              </w:rPr>
              <w:t>除术</w:t>
            </w:r>
          </w:p>
        </w:tc>
        <w:tc>
          <w:tcPr>
            <w:tcW w:w="6804" w:type="dxa"/>
          </w:tcPr>
          <w:p>
            <w:pPr>
              <w:pStyle w:val="11"/>
              <w:spacing w:before="20" w:line="278" w:lineRule="auto"/>
              <w:ind w:right="98"/>
              <w:rPr>
                <w:rFonts w:ascii="黑体" w:eastAsia="黑体"/>
                <w:sz w:val="21"/>
              </w:rPr>
            </w:pPr>
            <w:r>
              <w:rPr>
                <w:spacing w:val="-2"/>
                <w:sz w:val="21"/>
              </w:rPr>
              <w:t>指为治疗疾病实际接受了经腹部切开或腹腔镜进行的双侧卵巢完全切除手术。</w:t>
            </w:r>
            <w:r>
              <w:rPr>
                <w:rFonts w:ascii="黑体" w:eastAsia="黑体"/>
                <w:color w:val="000000"/>
                <w:spacing w:val="-2"/>
                <w:sz w:val="21"/>
                <w:shd w:val="clear" w:color="auto" w:fill="DADADA"/>
              </w:rPr>
              <w:t>下列情况不在保障范围内：</w:t>
            </w:r>
          </w:p>
          <w:p>
            <w:pPr>
              <w:pStyle w:val="11"/>
              <w:numPr>
                <w:ilvl w:val="0"/>
                <w:numId w:val="21"/>
              </w:numPr>
              <w:tabs>
                <w:tab w:val="left" w:pos="633"/>
              </w:tabs>
              <w:spacing w:before="0" w:after="0" w:line="269" w:lineRule="exact"/>
              <w:ind w:left="632" w:right="0" w:hanging="527"/>
              <w:jc w:val="left"/>
              <w:rPr>
                <w:rFonts w:ascii="黑体" w:eastAsia="黑体"/>
                <w:sz w:val="21"/>
              </w:rPr>
            </w:pPr>
            <w:r>
              <w:rPr>
                <w:rFonts w:ascii="黑体" w:eastAsia="黑体"/>
                <w:color w:val="000000"/>
                <w:spacing w:val="-2"/>
                <w:sz w:val="21"/>
                <w:shd w:val="clear" w:color="auto" w:fill="DADADA"/>
              </w:rPr>
              <w:t>部分卵巢切除；</w:t>
            </w:r>
          </w:p>
          <w:p>
            <w:pPr>
              <w:pStyle w:val="11"/>
              <w:numPr>
                <w:ilvl w:val="0"/>
                <w:numId w:val="21"/>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因恶性肿瘤进行的卵巢切除术；</w:t>
            </w:r>
          </w:p>
          <w:p>
            <w:pPr>
              <w:pStyle w:val="11"/>
              <w:numPr>
                <w:ilvl w:val="0"/>
                <w:numId w:val="21"/>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预防性卵巢切除；</w:t>
            </w:r>
          </w:p>
          <w:p>
            <w:pPr>
              <w:pStyle w:val="11"/>
              <w:numPr>
                <w:ilvl w:val="0"/>
                <w:numId w:val="21"/>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变性手术。</w:t>
            </w:r>
          </w:p>
        </w:tc>
      </w:tr>
    </w:tbl>
    <w:p>
      <w:pPr>
        <w:spacing w:after="0" w:line="240" w:lineRule="auto"/>
        <w:jc w:val="left"/>
        <w:rPr>
          <w:rFonts w:ascii="黑体" w:eastAsia="黑体"/>
          <w:sz w:val="21"/>
        </w:rPr>
        <w:sectPr>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4"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3"/>
              <w:ind w:left="0"/>
              <w:rPr>
                <w:sz w:val="15"/>
              </w:rPr>
            </w:pPr>
          </w:p>
          <w:p>
            <w:pPr>
              <w:pStyle w:val="11"/>
              <w:spacing w:line="278" w:lineRule="auto"/>
              <w:ind w:left="107" w:right="86"/>
              <w:jc w:val="both"/>
              <w:rPr>
                <w:sz w:val="21"/>
              </w:rPr>
            </w:pPr>
            <w:r>
              <w:rPr>
                <w:spacing w:val="-2"/>
                <w:sz w:val="21"/>
              </w:rPr>
              <w:t>二十一、特定周围动脉疾病的血管介</w:t>
            </w:r>
            <w:r>
              <w:rPr>
                <w:spacing w:val="-4"/>
                <w:sz w:val="21"/>
              </w:rPr>
              <w:t>入治疗</w:t>
            </w:r>
          </w:p>
        </w:tc>
        <w:tc>
          <w:tcPr>
            <w:tcW w:w="6804" w:type="dxa"/>
          </w:tcPr>
          <w:p>
            <w:pPr>
              <w:pStyle w:val="11"/>
              <w:spacing w:line="357" w:lineRule="exact"/>
              <w:ind w:right="-15"/>
              <w:rPr>
                <w:sz w:val="21"/>
              </w:rPr>
            </w:pPr>
            <w:r>
              <w:rPr>
                <w:w w:val="95"/>
                <w:sz w:val="21"/>
              </w:rPr>
              <w:t>指为治疗一条或者一条以上的下</w:t>
            </w:r>
            <w:r>
              <w:rPr>
                <w:rFonts w:ascii="Malgun Gothic" w:eastAsia="Malgun Gothic"/>
                <w:w w:val="95"/>
                <w:sz w:val="21"/>
              </w:rPr>
              <w:t>列</w:t>
            </w:r>
            <w:r>
              <w:rPr>
                <w:rFonts w:ascii="Malgun Gothic" w:eastAsia="Malgun Gothic"/>
                <w:spacing w:val="78"/>
                <w:sz w:val="21"/>
              </w:rPr>
              <w:t xml:space="preserve">  </w:t>
            </w:r>
            <w:r>
              <w:rPr>
                <w:w w:val="95"/>
                <w:sz w:val="21"/>
              </w:rPr>
              <w:t>动脉狭窄而实施的血管介入治疗</w:t>
            </w:r>
            <w:r>
              <w:rPr>
                <w:spacing w:val="-125"/>
                <w:w w:val="95"/>
                <w:sz w:val="21"/>
              </w:rPr>
              <w:t>：</w:t>
            </w:r>
            <w:r>
              <w:rPr>
                <w:spacing w:val="8"/>
                <w:w w:val="95"/>
                <w:sz w:val="21"/>
              </w:rPr>
              <w:t>（</w:t>
            </w:r>
            <w:r>
              <w:rPr>
                <w:rFonts w:ascii="Times New Roman" w:eastAsia="Times New Roman"/>
                <w:spacing w:val="8"/>
                <w:w w:val="95"/>
                <w:sz w:val="21"/>
              </w:rPr>
              <w:t>1</w:t>
            </w:r>
            <w:r>
              <w:rPr>
                <w:spacing w:val="8"/>
                <w:w w:val="95"/>
                <w:sz w:val="21"/>
              </w:rPr>
              <w:t>）</w:t>
            </w:r>
          </w:p>
          <w:p>
            <w:pPr>
              <w:pStyle w:val="11"/>
              <w:spacing w:before="9" w:line="264" w:lineRule="auto"/>
              <w:ind w:right="1015"/>
              <w:rPr>
                <w:sz w:val="21"/>
              </w:rPr>
            </w:pPr>
            <w:r>
              <w:rPr>
                <w:spacing w:val="-15"/>
                <w:sz w:val="21"/>
              </w:rPr>
              <w:t>为下肢或者上肢供血的动脉；</w:t>
            </w:r>
            <w:r>
              <w:rPr>
                <w:spacing w:val="18"/>
                <w:sz w:val="21"/>
              </w:rPr>
              <w:t>（</w:t>
            </w:r>
            <w:r>
              <w:rPr>
                <w:rFonts w:ascii="Times New Roman" w:eastAsia="Times New Roman"/>
                <w:spacing w:val="19"/>
                <w:sz w:val="21"/>
              </w:rPr>
              <w:t>2</w:t>
            </w:r>
            <w:r>
              <w:rPr>
                <w:spacing w:val="17"/>
                <w:sz w:val="21"/>
              </w:rPr>
              <w:t>）</w:t>
            </w:r>
            <w:r>
              <w:rPr>
                <w:spacing w:val="-28"/>
                <w:sz w:val="21"/>
              </w:rPr>
              <w:t>肾动脉；</w:t>
            </w:r>
            <w:r>
              <w:rPr>
                <w:spacing w:val="18"/>
                <w:sz w:val="21"/>
              </w:rPr>
              <w:t>（</w:t>
            </w:r>
            <w:r>
              <w:rPr>
                <w:rFonts w:ascii="Times New Roman" w:eastAsia="Times New Roman"/>
                <w:spacing w:val="17"/>
                <w:sz w:val="21"/>
              </w:rPr>
              <w:t>3</w:t>
            </w:r>
            <w:r>
              <w:rPr>
                <w:spacing w:val="18"/>
                <w:sz w:val="21"/>
              </w:rPr>
              <w:t>）</w:t>
            </w:r>
            <w:r>
              <w:rPr>
                <w:spacing w:val="-8"/>
                <w:sz w:val="21"/>
              </w:rPr>
              <w:t>肠系膜动脉。</w:t>
            </w:r>
            <w:r>
              <w:rPr>
                <w:spacing w:val="-2"/>
                <w:sz w:val="21"/>
              </w:rPr>
              <w:t>须满足下列全部条件：</w:t>
            </w:r>
          </w:p>
          <w:p>
            <w:pPr>
              <w:pStyle w:val="11"/>
              <w:numPr>
                <w:ilvl w:val="0"/>
                <w:numId w:val="22"/>
              </w:numPr>
              <w:tabs>
                <w:tab w:val="left" w:pos="634"/>
              </w:tabs>
              <w:spacing w:before="15" w:after="0" w:line="278" w:lineRule="auto"/>
              <w:ind w:left="106" w:right="99" w:firstLine="0"/>
              <w:jc w:val="left"/>
              <w:rPr>
                <w:sz w:val="21"/>
              </w:rPr>
            </w:pPr>
            <w:r>
              <w:rPr>
                <w:spacing w:val="-2"/>
                <w:sz w:val="21"/>
              </w:rPr>
              <w:t xml:space="preserve">经血管造影术证实一条或者一条以上的上述动脉狭窄达到 </w:t>
            </w:r>
            <w:r>
              <w:rPr>
                <w:rFonts w:ascii="Times New Roman" w:eastAsia="Times New Roman"/>
                <w:sz w:val="21"/>
              </w:rPr>
              <w:t>50%</w:t>
            </w:r>
            <w:r>
              <w:rPr>
                <w:sz w:val="21"/>
              </w:rPr>
              <w:t>或</w:t>
            </w:r>
            <w:r>
              <w:rPr>
                <w:spacing w:val="-4"/>
                <w:sz w:val="21"/>
              </w:rPr>
              <w:t>者以上；</w:t>
            </w:r>
          </w:p>
          <w:p>
            <w:pPr>
              <w:pStyle w:val="11"/>
              <w:numPr>
                <w:ilvl w:val="0"/>
                <w:numId w:val="22"/>
              </w:numPr>
              <w:tabs>
                <w:tab w:val="left" w:pos="634"/>
              </w:tabs>
              <w:spacing w:before="0" w:after="0" w:line="278" w:lineRule="auto"/>
              <w:ind w:left="106" w:right="97" w:firstLine="0"/>
              <w:jc w:val="left"/>
              <w:rPr>
                <w:sz w:val="21"/>
              </w:rPr>
            </w:pPr>
            <w:r>
              <w:rPr>
                <w:spacing w:val="-2"/>
                <w:sz w:val="21"/>
              </w:rPr>
              <w:t>对一条或者一条以上的上述动脉施行了血管介入治疗，如血管成形术及</w:t>
            </w:r>
            <w:r>
              <w:rPr>
                <w:rFonts w:ascii="Times New Roman" w:eastAsia="Times New Roman"/>
                <w:spacing w:val="-2"/>
                <w:sz w:val="21"/>
              </w:rPr>
              <w:t>/</w:t>
            </w:r>
            <w:r>
              <w:rPr>
                <w:spacing w:val="-2"/>
                <w:sz w:val="21"/>
              </w:rPr>
              <w:t>或者进行植入支架或者动脉粥样瘤清除手术。</w:t>
            </w:r>
          </w:p>
          <w:p>
            <w:pPr>
              <w:pStyle w:val="11"/>
              <w:rPr>
                <w:sz w:val="21"/>
              </w:rPr>
            </w:pPr>
            <w:r>
              <w:rPr>
                <w:spacing w:val="-1"/>
                <w:sz w:val="21"/>
              </w:rPr>
              <w:t>此诊断及治疗均须在我们认可医院内由血管疾病的专科医生认为是医疗</w:t>
            </w:r>
          </w:p>
          <w:p>
            <w:pPr>
              <w:pStyle w:val="11"/>
              <w:spacing w:before="43"/>
              <w:rPr>
                <w:sz w:val="21"/>
              </w:rPr>
            </w:pPr>
            <w:r>
              <w:rPr>
                <w:spacing w:val="-2"/>
                <w:sz w:val="21"/>
              </w:rPr>
              <w:t>必须的情况下进行。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1"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6"/>
              <w:rPr>
                <w:sz w:val="21"/>
              </w:rPr>
            </w:pPr>
            <w:r>
              <w:rPr>
                <w:spacing w:val="-2"/>
                <w:sz w:val="21"/>
              </w:rPr>
              <w:t>二十二、激光心肌血运重建术</w:t>
            </w:r>
          </w:p>
        </w:tc>
        <w:tc>
          <w:tcPr>
            <w:tcW w:w="6804" w:type="dxa"/>
          </w:tcPr>
          <w:p>
            <w:pPr>
              <w:pStyle w:val="11"/>
              <w:spacing w:before="20" w:line="278" w:lineRule="auto"/>
              <w:ind w:right="98"/>
              <w:jc w:val="both"/>
              <w:rPr>
                <w:sz w:val="21"/>
              </w:rPr>
            </w:pPr>
            <w:r>
              <w:rPr>
                <w:spacing w:val="-2"/>
                <w:sz w:val="21"/>
              </w:rPr>
              <w:t>指患有顽固性心绞痛，经持续药物治疗后无改善，冠状动脉搭桥手术及经皮血管成形手术已失败或者被认为不适合。在我们认可医院内实际进行了开胸手术下或者胸腔镜下的激光心肌血运重建术。但未达到“较重急性心肌梗死”的给付标准。</w:t>
            </w:r>
          </w:p>
          <w:p>
            <w:pPr>
              <w:pStyle w:val="11"/>
              <w:spacing w:line="278" w:lineRule="auto"/>
              <w:ind w:right="95"/>
              <w:rPr>
                <w:rFonts w:ascii="黑体" w:hAnsi="黑体" w:eastAsia="黑体"/>
                <w:sz w:val="21"/>
              </w:rPr>
            </w:pPr>
            <w:r>
              <w:rPr>
                <w:rFonts w:ascii="黑体" w:hAnsi="黑体" w:eastAsia="黑体"/>
                <w:color w:val="000000"/>
                <w:spacing w:val="-17"/>
                <w:sz w:val="21"/>
                <w:shd w:val="clear" w:color="auto" w:fill="DADADA"/>
              </w:rPr>
              <w:t>我们仅对“较轻急性心肌梗死”、“冠状动脉介入手术”和“激光心肌血</w:t>
            </w:r>
            <w:r>
              <w:rPr>
                <w:rFonts w:ascii="黑体" w:hAnsi="黑体" w:eastAsia="黑体"/>
                <w:color w:val="000000"/>
                <w:spacing w:val="-1"/>
                <w:sz w:val="21"/>
                <w:shd w:val="clear" w:color="auto" w:fill="DADADA"/>
              </w:rPr>
              <w:t>运重建术”三项中的其中一项承担保险责任，给付其中一项保险金后，</w:t>
            </w:r>
          </w:p>
          <w:p>
            <w:pPr>
              <w:pStyle w:val="11"/>
              <w:spacing w:line="269" w:lineRule="exact"/>
              <w:rPr>
                <w:rFonts w:ascii="黑体" w:eastAsia="黑体"/>
                <w:sz w:val="21"/>
              </w:rPr>
            </w:pPr>
            <w:r>
              <w:rPr>
                <w:rFonts w:ascii="黑体" w:eastAsia="黑体"/>
                <w:color w:val="000000"/>
                <w:spacing w:val="-1"/>
                <w:sz w:val="21"/>
                <w:shd w:val="clear" w:color="auto" w:fill="DADADA"/>
              </w:rPr>
              <w:t>对其他两项轻症疾病保险责任同时终止。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1" w:hRule="atLeast"/>
        </w:trPr>
        <w:tc>
          <w:tcPr>
            <w:tcW w:w="1951"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143" w:line="278" w:lineRule="auto"/>
              <w:ind w:left="107" w:right="86"/>
              <w:rPr>
                <w:sz w:val="21"/>
              </w:rPr>
            </w:pPr>
            <w:r>
              <w:rPr>
                <w:spacing w:val="-2"/>
                <w:sz w:val="21"/>
              </w:rPr>
              <w:t>二十三、早期系统</w:t>
            </w:r>
            <w:r>
              <w:rPr>
                <w:spacing w:val="-4"/>
                <w:sz w:val="21"/>
              </w:rPr>
              <w:t>性硬皮病</w:t>
            </w:r>
          </w:p>
        </w:tc>
        <w:tc>
          <w:tcPr>
            <w:tcW w:w="6804" w:type="dxa"/>
          </w:tcPr>
          <w:p>
            <w:pPr>
              <w:pStyle w:val="11"/>
              <w:spacing w:before="20" w:line="278" w:lineRule="auto"/>
              <w:ind w:right="-15"/>
              <w:jc w:val="both"/>
              <w:rPr>
                <w:sz w:val="21"/>
              </w:rPr>
            </w:pPr>
            <w:r>
              <w:rPr>
                <w:spacing w:val="1"/>
                <w:sz w:val="21"/>
              </w:rPr>
              <w:t>指一种以局限性或弥漫性皮肤增厚和皮肤、血管、内脏器官异常纤维化为特征的结缔组织病，但未达到“系统性硬皮病”的给付标准，并须满</w:t>
            </w:r>
            <w:r>
              <w:rPr>
                <w:spacing w:val="-11"/>
                <w:sz w:val="21"/>
              </w:rPr>
              <w:t>足下列所有条件：</w:t>
            </w:r>
            <w:r>
              <w:rPr>
                <w:spacing w:val="2"/>
                <w:sz w:val="21"/>
              </w:rPr>
              <w:t>（</w:t>
            </w:r>
            <w:r>
              <w:rPr>
                <w:rFonts w:ascii="Times New Roman" w:hAnsi="Times New Roman" w:eastAsia="Times New Roman"/>
                <w:spacing w:val="3"/>
                <w:sz w:val="21"/>
              </w:rPr>
              <w:t>1</w:t>
            </w:r>
            <w:r>
              <w:rPr>
                <w:spacing w:val="2"/>
                <w:sz w:val="21"/>
              </w:rPr>
              <w:t>）</w:t>
            </w:r>
            <w:r>
              <w:rPr>
                <w:spacing w:val="1"/>
                <w:sz w:val="21"/>
              </w:rPr>
              <w:t>必须是经由我们认可医院的风湿学专科医生根据</w:t>
            </w:r>
            <w:r>
              <w:rPr>
                <w:spacing w:val="-2"/>
                <w:sz w:val="21"/>
              </w:rPr>
              <w:t>美国风湿病学会</w:t>
            </w:r>
            <w:r>
              <w:rPr>
                <w:sz w:val="21"/>
              </w:rPr>
              <w:t>（</w:t>
            </w:r>
            <w:r>
              <w:rPr>
                <w:rFonts w:ascii="Times New Roman" w:hAnsi="Times New Roman" w:eastAsia="Times New Roman"/>
                <w:spacing w:val="-1"/>
                <w:w w:val="99"/>
                <w:sz w:val="21"/>
              </w:rPr>
              <w:t>A</w:t>
            </w:r>
            <w:r>
              <w:rPr>
                <w:rFonts w:ascii="Times New Roman" w:hAnsi="Times New Roman" w:eastAsia="Times New Roman"/>
                <w:w w:val="99"/>
                <w:sz w:val="21"/>
              </w:rPr>
              <w:t>C</w:t>
            </w:r>
            <w:r>
              <w:rPr>
                <w:rFonts w:ascii="Times New Roman" w:hAnsi="Times New Roman" w:eastAsia="Times New Roman"/>
                <w:sz w:val="21"/>
              </w:rPr>
              <w:t>R</w:t>
            </w:r>
            <w:r>
              <w:rPr>
                <w:spacing w:val="-20"/>
                <w:sz w:val="21"/>
              </w:rPr>
              <w:t>）</w:t>
            </w:r>
            <w:r>
              <w:rPr>
                <w:sz w:val="21"/>
              </w:rPr>
              <w:t>及欧洲抗风湿病联盟</w:t>
            </w:r>
            <w:r>
              <w:rPr>
                <w:rFonts w:ascii="Times New Roman" w:hAnsi="Times New Roman" w:eastAsia="Times New Roman"/>
                <w:spacing w:val="-1"/>
                <w:sz w:val="21"/>
              </w:rPr>
              <w:t>(</w:t>
            </w:r>
            <w:r>
              <w:rPr>
                <w:rFonts w:ascii="Times New Roman" w:hAnsi="Times New Roman" w:eastAsia="Times New Roman"/>
                <w:sz w:val="21"/>
              </w:rPr>
              <w:t>E</w:t>
            </w:r>
            <w:r>
              <w:rPr>
                <w:rFonts w:ascii="Times New Roman" w:hAnsi="Times New Roman" w:eastAsia="Times New Roman"/>
                <w:spacing w:val="-1"/>
                <w:w w:val="99"/>
                <w:sz w:val="21"/>
              </w:rPr>
              <w:t>U</w:t>
            </w:r>
            <w:r>
              <w:rPr>
                <w:rFonts w:ascii="Times New Roman" w:hAnsi="Times New Roman" w:eastAsia="Times New Roman"/>
                <w:w w:val="99"/>
                <w:sz w:val="21"/>
              </w:rPr>
              <w:t>L</w:t>
            </w:r>
            <w:r>
              <w:rPr>
                <w:rFonts w:ascii="Times New Roman" w:hAnsi="Times New Roman" w:eastAsia="Times New Roman"/>
                <w:spacing w:val="-1"/>
                <w:w w:val="99"/>
                <w:sz w:val="21"/>
              </w:rPr>
              <w:t>A</w:t>
            </w:r>
            <w:r>
              <w:rPr>
                <w:rFonts w:ascii="Times New Roman" w:hAnsi="Times New Roman" w:eastAsia="Times New Roman"/>
                <w:w w:val="99"/>
                <w:sz w:val="21"/>
              </w:rPr>
              <w:t>R</w:t>
            </w:r>
            <w:r>
              <w:rPr>
                <w:rFonts w:ascii="Times New Roman" w:hAnsi="Times New Roman" w:eastAsia="Times New Roman"/>
                <w:spacing w:val="-1"/>
                <w:w w:val="99"/>
                <w:sz w:val="21"/>
              </w:rPr>
              <w:t>)</w:t>
            </w:r>
            <w:r>
              <w:rPr>
                <w:spacing w:val="-27"/>
                <w:w w:val="99"/>
                <w:sz w:val="21"/>
              </w:rPr>
              <w:t xml:space="preserve">在 </w:t>
            </w:r>
            <w:r>
              <w:rPr>
                <w:rFonts w:ascii="Times New Roman" w:hAnsi="Times New Roman" w:eastAsia="Times New Roman"/>
                <w:w w:val="99"/>
                <w:sz w:val="21"/>
              </w:rPr>
              <w:t>20</w:t>
            </w:r>
            <w:r>
              <w:rPr>
                <w:rFonts w:ascii="Times New Roman" w:hAnsi="Times New Roman" w:eastAsia="Times New Roman"/>
                <w:spacing w:val="-1"/>
                <w:w w:val="99"/>
                <w:sz w:val="21"/>
              </w:rPr>
              <w:t>1</w:t>
            </w:r>
            <w:r>
              <w:rPr>
                <w:rFonts w:ascii="Times New Roman" w:hAnsi="Times New Roman" w:eastAsia="Times New Roman"/>
                <w:w w:val="99"/>
                <w:sz w:val="21"/>
              </w:rPr>
              <w:t xml:space="preserve">3 </w:t>
            </w:r>
            <w:r>
              <w:rPr>
                <w:w w:val="99"/>
                <w:sz w:val="21"/>
              </w:rPr>
              <w:t>年发布的</w:t>
            </w:r>
            <w:r>
              <w:rPr>
                <w:spacing w:val="2"/>
                <w:w w:val="99"/>
                <w:sz w:val="21"/>
              </w:rPr>
              <w:t>系统性硬皮病诊断标准确认达到确诊标准（</w:t>
            </w:r>
            <w:r>
              <w:rPr>
                <w:spacing w:val="1"/>
                <w:w w:val="99"/>
                <w:sz w:val="21"/>
              </w:rPr>
              <w:t>总分值由每一个分类中的最</w:t>
            </w:r>
            <w:r>
              <w:rPr>
                <w:spacing w:val="2"/>
                <w:w w:val="99"/>
                <w:sz w:val="21"/>
              </w:rPr>
              <w:t>高比重（分值）相加而成，总分≥</w:t>
            </w:r>
            <w:r>
              <w:rPr>
                <w:rFonts w:ascii="Times New Roman" w:hAnsi="Times New Roman" w:eastAsia="Times New Roman"/>
                <w:w w:val="99"/>
                <w:sz w:val="21"/>
              </w:rPr>
              <w:t>9</w:t>
            </w:r>
            <w:r>
              <w:rPr>
                <w:rFonts w:ascii="Times New Roman" w:hAnsi="Times New Roman" w:eastAsia="Times New Roman"/>
                <w:spacing w:val="2"/>
                <w:w w:val="99"/>
                <w:sz w:val="21"/>
              </w:rPr>
              <w:t xml:space="preserve">  </w:t>
            </w:r>
            <w:r>
              <w:rPr>
                <w:spacing w:val="1"/>
                <w:w w:val="99"/>
                <w:sz w:val="21"/>
              </w:rPr>
              <w:t>分的患者被分类为系统性硬皮病</w:t>
            </w:r>
            <w:r>
              <w:rPr>
                <w:spacing w:val="-101"/>
                <w:w w:val="99"/>
                <w:sz w:val="21"/>
              </w:rPr>
              <w:t>）</w:t>
            </w:r>
            <w:r>
              <w:rPr>
                <w:w w:val="99"/>
                <w:sz w:val="21"/>
              </w:rPr>
              <w:t>。</w:t>
            </w:r>
          </w:p>
          <w:p>
            <w:pPr>
              <w:pStyle w:val="11"/>
              <w:spacing w:line="268" w:lineRule="exact"/>
              <w:rPr>
                <w:sz w:val="21"/>
              </w:rPr>
            </w:pPr>
            <w:r>
              <w:rPr>
                <w:spacing w:val="-2"/>
                <w:sz w:val="21"/>
              </w:rPr>
              <w:t>（</w:t>
            </w:r>
            <w:r>
              <w:rPr>
                <w:rFonts w:ascii="Times New Roman" w:eastAsia="Times New Roman"/>
                <w:spacing w:val="-2"/>
                <w:sz w:val="21"/>
              </w:rPr>
              <w:t>2</w:t>
            </w:r>
            <w:r>
              <w:rPr>
                <w:spacing w:val="-2"/>
                <w:sz w:val="21"/>
              </w:rPr>
              <w:t>）</w:t>
            </w:r>
            <w:r>
              <w:rPr>
                <w:spacing w:val="-3"/>
                <w:sz w:val="21"/>
              </w:rPr>
              <w:t>须提供明确的病理活检及自身抗体免疫血清学证据支持。</w:t>
            </w:r>
          </w:p>
          <w:p>
            <w:pPr>
              <w:pStyle w:val="11"/>
              <w:spacing w:before="43"/>
              <w:rPr>
                <w:rFonts w:ascii="黑体" w:eastAsia="黑体"/>
                <w:sz w:val="21"/>
              </w:rPr>
            </w:pPr>
            <w:r>
              <w:rPr>
                <w:rFonts w:ascii="黑体" w:eastAsia="黑体"/>
                <w:color w:val="000000"/>
                <w:spacing w:val="-1"/>
                <w:sz w:val="21"/>
                <w:shd w:val="clear" w:color="auto" w:fill="DADADA"/>
              </w:rPr>
              <w:t>以下情况不在保障范围内：</w:t>
            </w:r>
          </w:p>
          <w:p>
            <w:pPr>
              <w:pStyle w:val="11"/>
              <w:numPr>
                <w:ilvl w:val="0"/>
                <w:numId w:val="23"/>
              </w:numPr>
              <w:tabs>
                <w:tab w:val="left" w:pos="633"/>
              </w:tabs>
              <w:spacing w:before="43" w:after="0" w:line="240" w:lineRule="auto"/>
              <w:ind w:left="632" w:right="0" w:hanging="527"/>
              <w:jc w:val="left"/>
              <w:rPr>
                <w:rFonts w:ascii="黑体" w:eastAsia="黑体"/>
                <w:sz w:val="21"/>
              </w:rPr>
            </w:pPr>
            <w:r>
              <w:rPr>
                <w:rFonts w:ascii="黑体" w:eastAsia="黑体"/>
                <w:color w:val="000000"/>
                <w:sz w:val="21"/>
                <w:shd w:val="clear" w:color="auto" w:fill="DADADA"/>
              </w:rPr>
              <w:t>局限性硬皮病（带状硬皮病或斑状损害</w:t>
            </w:r>
            <w:r>
              <w:rPr>
                <w:rFonts w:ascii="黑体" w:eastAsia="黑体"/>
                <w:color w:val="000000"/>
                <w:spacing w:val="-110"/>
                <w:sz w:val="21"/>
                <w:shd w:val="clear" w:color="auto" w:fill="DADADA"/>
              </w:rPr>
              <w:t>）</w:t>
            </w:r>
            <w:r>
              <w:rPr>
                <w:rFonts w:ascii="黑体" w:eastAsia="黑体"/>
                <w:color w:val="000000"/>
                <w:spacing w:val="-7"/>
                <w:sz w:val="21"/>
                <w:shd w:val="clear" w:color="auto" w:fill="DADADA"/>
              </w:rPr>
              <w:t>；</w:t>
            </w:r>
          </w:p>
          <w:p>
            <w:pPr>
              <w:pStyle w:val="11"/>
              <w:numPr>
                <w:ilvl w:val="0"/>
                <w:numId w:val="23"/>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嗜酸性筋膜炎；</w:t>
            </w:r>
          </w:p>
          <w:p>
            <w:pPr>
              <w:pStyle w:val="11"/>
              <w:numPr>
                <w:ilvl w:val="0"/>
                <w:numId w:val="23"/>
              </w:numPr>
              <w:tabs>
                <w:tab w:val="left" w:pos="633"/>
              </w:tabs>
              <w:spacing w:before="43" w:after="0" w:line="240" w:lineRule="auto"/>
              <w:ind w:left="632" w:right="0" w:hanging="527"/>
              <w:jc w:val="left"/>
              <w:rPr>
                <w:rFonts w:ascii="黑体" w:eastAsia="黑体"/>
                <w:sz w:val="21"/>
              </w:rPr>
            </w:pPr>
            <w:r>
              <w:rPr>
                <w:rFonts w:ascii="Times New Roman" w:eastAsia="Times New Roman"/>
                <w:color w:val="000000"/>
                <w:sz w:val="21"/>
                <w:shd w:val="clear" w:color="auto" w:fill="DADADA"/>
              </w:rPr>
              <w:t>CREST</w:t>
            </w:r>
            <w:r>
              <w:rPr>
                <w:rFonts w:ascii="Times New Roman" w:eastAsia="Times New Roman"/>
                <w:color w:val="000000"/>
                <w:spacing w:val="-4"/>
                <w:sz w:val="21"/>
                <w:shd w:val="clear" w:color="auto" w:fill="DADADA"/>
              </w:rPr>
              <w:t xml:space="preserve"> </w:t>
            </w:r>
            <w:r>
              <w:rPr>
                <w:rFonts w:ascii="黑体" w:eastAsia="黑体"/>
                <w:color w:val="000000"/>
                <w:spacing w:val="-3"/>
                <w:sz w:val="21"/>
                <w:shd w:val="clear" w:color="auto" w:fill="DADADA"/>
              </w:rPr>
              <w:t>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9"/>
              <w:ind w:left="0"/>
              <w:rPr>
                <w:sz w:val="14"/>
              </w:rPr>
            </w:pPr>
          </w:p>
          <w:p>
            <w:pPr>
              <w:pStyle w:val="11"/>
              <w:spacing w:line="278" w:lineRule="auto"/>
              <w:ind w:left="107" w:right="86"/>
              <w:rPr>
                <w:sz w:val="21"/>
              </w:rPr>
            </w:pPr>
            <w:r>
              <w:rPr>
                <w:spacing w:val="-2"/>
                <w:sz w:val="21"/>
              </w:rPr>
              <w:t>二十四、早期象皮</w:t>
            </w:r>
            <w:r>
              <w:rPr>
                <w:spacing w:val="-10"/>
                <w:sz w:val="21"/>
              </w:rPr>
              <w:t>病</w:t>
            </w:r>
          </w:p>
        </w:tc>
        <w:tc>
          <w:tcPr>
            <w:tcW w:w="6804" w:type="dxa"/>
          </w:tcPr>
          <w:p>
            <w:pPr>
              <w:pStyle w:val="11"/>
              <w:spacing w:before="21" w:line="278" w:lineRule="auto"/>
              <w:ind w:right="-15"/>
              <w:rPr>
                <w:sz w:val="21"/>
              </w:rPr>
            </w:pPr>
            <w:r>
              <w:rPr>
                <w:spacing w:val="1"/>
                <w:sz w:val="21"/>
              </w:rPr>
              <w:t>指因丝虫感染导致淋巴管阻塞而造成身体组织出现严重淋巴水肿，但未</w:t>
            </w:r>
            <w:r>
              <w:rPr>
                <w:spacing w:val="-5"/>
                <w:sz w:val="21"/>
              </w:rPr>
              <w:t xml:space="preserve">达到 “丝虫病所致象皮肿”的给付标准，但需达到国际淋巴学会分级为 </w:t>
            </w:r>
            <w:r>
              <w:rPr>
                <w:rFonts w:ascii="Times New Roman" w:hAnsi="Times New Roman" w:eastAsia="Times New Roman"/>
                <w:spacing w:val="-5"/>
                <w:sz w:val="21"/>
              </w:rPr>
              <w:t xml:space="preserve">2 </w:t>
            </w:r>
            <w:r>
              <w:rPr>
                <w:spacing w:val="-17"/>
                <w:sz w:val="21"/>
              </w:rPr>
              <w:t>级淋巴液肿，其临床表现为肿胀为凹陷性，肢体抬高休息时肿胀不消失，</w:t>
            </w:r>
            <w:r>
              <w:rPr>
                <w:spacing w:val="1"/>
                <w:sz w:val="21"/>
              </w:rPr>
              <w:t>有中度纤维化。此病症须经我们认可医院的专科医生根据临床表现和微丝蚴的化验结果确诊。</w:t>
            </w:r>
          </w:p>
          <w:p>
            <w:pPr>
              <w:pStyle w:val="11"/>
              <w:spacing w:line="278" w:lineRule="auto"/>
              <w:ind w:right="95"/>
              <w:rPr>
                <w:rFonts w:ascii="黑体" w:eastAsia="黑体"/>
                <w:sz w:val="21"/>
              </w:rPr>
            </w:pPr>
            <w:r>
              <w:rPr>
                <w:rFonts w:ascii="黑体" w:eastAsia="黑体"/>
                <w:color w:val="000000"/>
                <w:spacing w:val="-2"/>
                <w:sz w:val="21"/>
                <w:shd w:val="clear" w:color="auto" w:fill="DADADA"/>
              </w:rPr>
              <w:t>由性接触传染的疾病、创伤、手术后疤痕、充血性心力衰竭或先天性淋</w:t>
            </w:r>
            <w:r>
              <w:rPr>
                <w:rFonts w:ascii="黑体" w:eastAsia="黑体"/>
                <w:color w:val="000000"/>
                <w:spacing w:val="80"/>
                <w:w w:val="150"/>
                <w:sz w:val="21"/>
                <w:shd w:val="clear" w:color="auto" w:fill="DADADA"/>
              </w:rPr>
              <w:t xml:space="preserve">                                    </w:t>
            </w:r>
            <w:r>
              <w:rPr>
                <w:rFonts w:ascii="黑体" w:eastAsia="黑体"/>
                <w:color w:val="000000"/>
                <w:spacing w:val="-1"/>
                <w:sz w:val="21"/>
                <w:shd w:val="clear" w:color="auto" w:fill="DADADA"/>
              </w:rPr>
              <w:t>巴系统异常引起的淋巴水肿，以及急性淋巴管炎或其他原因引起的淋巴</w:t>
            </w:r>
          </w:p>
          <w:p>
            <w:pPr>
              <w:pStyle w:val="11"/>
              <w:spacing w:line="269" w:lineRule="exact"/>
              <w:rPr>
                <w:rFonts w:ascii="黑体" w:eastAsia="黑体"/>
                <w:sz w:val="21"/>
              </w:rPr>
            </w:pPr>
            <w:r>
              <w:rPr>
                <w:rFonts w:ascii="黑体" w:eastAsia="黑体"/>
                <w:color w:val="000000"/>
                <w:spacing w:val="-1"/>
                <w:sz w:val="21"/>
                <w:shd w:val="clear" w:color="auto" w:fill="DADADA"/>
              </w:rPr>
              <w:t>水肿不在保障范围内。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1"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12"/>
              <w:ind w:left="0"/>
              <w:rPr>
                <w:sz w:val="18"/>
              </w:rPr>
            </w:pPr>
          </w:p>
          <w:p>
            <w:pPr>
              <w:pStyle w:val="11"/>
              <w:ind w:left="107"/>
              <w:rPr>
                <w:sz w:val="21"/>
              </w:rPr>
            </w:pPr>
            <w:r>
              <w:rPr>
                <w:spacing w:val="-2"/>
                <w:sz w:val="21"/>
              </w:rPr>
              <w:t>二十五、肝叶切除</w:t>
            </w:r>
          </w:p>
        </w:tc>
        <w:tc>
          <w:tcPr>
            <w:tcW w:w="6804" w:type="dxa"/>
          </w:tcPr>
          <w:p>
            <w:pPr>
              <w:pStyle w:val="11"/>
              <w:spacing w:before="20" w:line="278" w:lineRule="auto"/>
              <w:ind w:right="98"/>
              <w:jc w:val="both"/>
              <w:rPr>
                <w:sz w:val="21"/>
              </w:rPr>
            </w:pPr>
            <w:r>
              <w:rPr>
                <w:spacing w:val="-2"/>
                <w:sz w:val="21"/>
              </w:rPr>
              <w:t>指因疾病或意外伤害导致肝脏严重损害，已经实施了肝左叶切除手术或肝右叶切除手术（备注：本定义是按肝脏的传统解剖分段法将肝脏分为肝左叶和肝右叶</w:t>
            </w:r>
            <w:r>
              <w:rPr>
                <w:spacing w:val="-105"/>
                <w:sz w:val="21"/>
              </w:rPr>
              <w:t>）</w:t>
            </w:r>
            <w:r>
              <w:rPr>
                <w:spacing w:val="-2"/>
                <w:sz w:val="21"/>
              </w:rPr>
              <w:t>。</w:t>
            </w:r>
          </w:p>
          <w:p>
            <w:pPr>
              <w:pStyle w:val="11"/>
              <w:spacing w:line="269" w:lineRule="exact"/>
              <w:rPr>
                <w:rFonts w:ascii="黑体" w:eastAsia="黑体"/>
                <w:sz w:val="21"/>
              </w:rPr>
            </w:pPr>
            <w:r>
              <w:rPr>
                <w:rFonts w:ascii="黑体" w:eastAsia="黑体"/>
                <w:color w:val="000000"/>
                <w:spacing w:val="-1"/>
                <w:sz w:val="21"/>
                <w:shd w:val="clear" w:color="auto" w:fill="DADADA"/>
              </w:rPr>
              <w:t>下列情况不在保障范围内：</w:t>
            </w:r>
          </w:p>
          <w:p>
            <w:pPr>
              <w:pStyle w:val="11"/>
              <w:numPr>
                <w:ilvl w:val="0"/>
                <w:numId w:val="24"/>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肝区切除、肝段切除手术；</w:t>
            </w:r>
          </w:p>
          <w:p>
            <w:pPr>
              <w:pStyle w:val="11"/>
              <w:numPr>
                <w:ilvl w:val="0"/>
                <w:numId w:val="24"/>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因酒精或者滥用药物引致的疾病或者紊乱；</w:t>
            </w:r>
          </w:p>
          <w:p>
            <w:pPr>
              <w:pStyle w:val="11"/>
              <w:numPr>
                <w:ilvl w:val="0"/>
                <w:numId w:val="24"/>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因恶性肿瘤进行的肝切除手术；</w:t>
            </w:r>
          </w:p>
          <w:p>
            <w:pPr>
              <w:pStyle w:val="11"/>
              <w:numPr>
                <w:ilvl w:val="0"/>
                <w:numId w:val="24"/>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作为器官捐献者而实施的肝切除手术；</w:t>
            </w:r>
          </w:p>
          <w:p>
            <w:pPr>
              <w:pStyle w:val="11"/>
              <w:numPr>
                <w:ilvl w:val="0"/>
                <w:numId w:val="24"/>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因器官移植而进行的肝叶切除手术。</w:t>
            </w:r>
          </w:p>
        </w:tc>
      </w:tr>
    </w:tbl>
    <w:p>
      <w:pPr>
        <w:spacing w:after="0" w:line="240" w:lineRule="auto"/>
        <w:jc w:val="left"/>
        <w:rPr>
          <w:rFonts w:ascii="黑体" w:eastAsia="黑体"/>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10"/>
              <w:ind w:left="0"/>
              <w:rPr>
                <w:sz w:val="26"/>
              </w:rPr>
            </w:pPr>
          </w:p>
          <w:p>
            <w:pPr>
              <w:pStyle w:val="11"/>
              <w:spacing w:line="278" w:lineRule="auto"/>
              <w:ind w:left="107" w:right="86"/>
              <w:rPr>
                <w:sz w:val="21"/>
              </w:rPr>
            </w:pPr>
            <w:r>
              <w:rPr>
                <w:spacing w:val="-2"/>
                <w:sz w:val="21"/>
              </w:rPr>
              <w:t>二十六、面部重建</w:t>
            </w:r>
            <w:r>
              <w:rPr>
                <w:spacing w:val="-6"/>
                <w:sz w:val="21"/>
              </w:rPr>
              <w:t>手术</w:t>
            </w:r>
          </w:p>
        </w:tc>
        <w:tc>
          <w:tcPr>
            <w:tcW w:w="6804" w:type="dxa"/>
          </w:tcPr>
          <w:p>
            <w:pPr>
              <w:pStyle w:val="11"/>
              <w:spacing w:before="20" w:line="278" w:lineRule="auto"/>
              <w:ind w:right="97"/>
              <w:jc w:val="both"/>
              <w:rPr>
                <w:sz w:val="21"/>
              </w:rPr>
            </w:pPr>
            <w:r>
              <w:rPr>
                <w:spacing w:val="-2"/>
                <w:sz w:val="21"/>
              </w:rPr>
              <w:t>因疾病或意外伤害导致面部毁容，确实进行整形或者重建手术（颈部以上的面部构造不完整、缺失或者受损而对其形态及外观进行修复或者重建</w:t>
            </w:r>
            <w:r>
              <w:rPr>
                <w:spacing w:val="-60"/>
                <w:sz w:val="21"/>
              </w:rPr>
              <w:t>）</w:t>
            </w:r>
            <w:r>
              <w:rPr>
                <w:spacing w:val="-10"/>
                <w:sz w:val="21"/>
              </w:rPr>
              <w:t>，同时必须由专科医生认为该面部毁容是需要接受住院治疗，及其后</w:t>
            </w:r>
            <w:r>
              <w:rPr>
                <w:spacing w:val="-2"/>
                <w:sz w:val="21"/>
              </w:rPr>
              <w:t>接受该手术，而对该面部毁容所进行的治疗亦是医疗所需。</w:t>
            </w:r>
          </w:p>
          <w:p>
            <w:pPr>
              <w:pStyle w:val="11"/>
              <w:spacing w:line="278" w:lineRule="auto"/>
              <w:ind w:right="95"/>
              <w:rPr>
                <w:rFonts w:ascii="黑体" w:eastAsia="黑体"/>
                <w:sz w:val="21"/>
              </w:rPr>
            </w:pPr>
            <w:r>
              <w:rPr>
                <w:rFonts w:ascii="黑体" w:eastAsia="黑体"/>
                <w:color w:val="000000"/>
                <w:spacing w:val="-2"/>
                <w:sz w:val="21"/>
                <w:shd w:val="clear" w:color="auto" w:fill="DADADA"/>
              </w:rPr>
              <w:t>因纯粹整容原因、独立的牙齿修复、独立的鼻骨骨折或者独立的皮肤伤</w:t>
            </w:r>
            <w:r>
              <w:rPr>
                <w:rFonts w:ascii="黑体" w:eastAsia="黑体"/>
                <w:color w:val="000000"/>
                <w:spacing w:val="80"/>
                <w:w w:val="150"/>
                <w:sz w:val="21"/>
                <w:shd w:val="clear" w:color="auto" w:fill="DADADA"/>
              </w:rPr>
              <w:t xml:space="preserve">                                    </w:t>
            </w:r>
            <w:r>
              <w:rPr>
                <w:rFonts w:ascii="黑体" w:eastAsia="黑体"/>
                <w:color w:val="000000"/>
                <w:spacing w:val="-2"/>
                <w:sz w:val="21"/>
                <w:shd w:val="clear" w:color="auto" w:fill="DADADA"/>
              </w:rPr>
              <w:t>口所进行的手术不在保障范围内。</w:t>
            </w:r>
          </w:p>
          <w:p>
            <w:pPr>
              <w:pStyle w:val="11"/>
              <w:spacing w:line="269" w:lineRule="exact"/>
              <w:rPr>
                <w:rFonts w:ascii="黑体" w:hAnsi="黑体" w:eastAsia="黑体"/>
                <w:sz w:val="21"/>
              </w:rPr>
            </w:pPr>
            <w:r>
              <w:rPr>
                <w:rFonts w:ascii="黑体" w:hAnsi="黑体" w:eastAsia="黑体"/>
                <w:color w:val="000000"/>
                <w:spacing w:val="-13"/>
                <w:sz w:val="21"/>
                <w:shd w:val="clear" w:color="auto" w:fill="DADADA"/>
              </w:rPr>
              <w:t>我们仅对“全身较小面积Ⅲ度烧伤”、“面部重建手术”和“面部烧伤”</w:t>
            </w:r>
          </w:p>
          <w:p>
            <w:pPr>
              <w:pStyle w:val="11"/>
              <w:spacing w:before="1" w:line="310" w:lineRule="atLeast"/>
              <w:ind w:right="95"/>
              <w:rPr>
                <w:rFonts w:ascii="黑体" w:eastAsia="黑体"/>
                <w:sz w:val="21"/>
              </w:rPr>
            </w:pPr>
            <w:r>
              <w:rPr>
                <w:rFonts w:ascii="黑体" w:eastAsia="黑体"/>
                <w:color w:val="000000"/>
                <w:spacing w:val="-2"/>
                <w:sz w:val="21"/>
                <w:shd w:val="clear" w:color="auto" w:fill="DADADA"/>
              </w:rPr>
              <w:t>三项中的其中一项承担保险责任，给付其中一项保险金后，对其他两项</w:t>
            </w:r>
            <w:r>
              <w:rPr>
                <w:rFonts w:ascii="黑体" w:eastAsia="黑体"/>
                <w:color w:val="000000"/>
                <w:spacing w:val="80"/>
                <w:w w:val="150"/>
                <w:sz w:val="21"/>
                <w:shd w:val="clear" w:color="auto" w:fill="DADADA"/>
              </w:rPr>
              <w:t xml:space="preserve">                                    </w:t>
            </w:r>
            <w:r>
              <w:rPr>
                <w:rFonts w:ascii="黑体" w:eastAsia="黑体"/>
                <w:color w:val="000000"/>
                <w:spacing w:val="-2"/>
                <w:sz w:val="21"/>
                <w:shd w:val="clear" w:color="auto" w:fill="DADADA"/>
              </w:rPr>
              <w:t>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951"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5"/>
              <w:ind w:left="0"/>
              <w:rPr>
                <w:sz w:val="23"/>
              </w:rPr>
            </w:pPr>
          </w:p>
          <w:p>
            <w:pPr>
              <w:pStyle w:val="11"/>
              <w:spacing w:line="278" w:lineRule="auto"/>
              <w:ind w:left="107" w:right="86"/>
              <w:rPr>
                <w:sz w:val="21"/>
              </w:rPr>
            </w:pPr>
            <w:r>
              <w:rPr>
                <w:spacing w:val="-2"/>
                <w:sz w:val="21"/>
              </w:rPr>
              <w:t>二十七、病毒性肝炎导致的肝硬化</w:t>
            </w:r>
          </w:p>
        </w:tc>
        <w:tc>
          <w:tcPr>
            <w:tcW w:w="6804" w:type="dxa"/>
          </w:tcPr>
          <w:p>
            <w:pPr>
              <w:pStyle w:val="11"/>
              <w:spacing w:before="21" w:line="278" w:lineRule="auto"/>
              <w:ind w:right="97"/>
              <w:jc w:val="both"/>
              <w:rPr>
                <w:sz w:val="21"/>
              </w:rPr>
            </w:pPr>
            <w:r>
              <w:rPr>
                <w:spacing w:val="-2"/>
                <w:sz w:val="21"/>
              </w:rPr>
              <w:t>因肝炎病毒感染的肝脏慢性炎症并发展为肝硬化，但未达到“严重慢性肝衰竭”或“恶性肿瘤——重度”的给付标准。理赔时须满足下列全部</w:t>
            </w:r>
            <w:r>
              <w:rPr>
                <w:spacing w:val="-29"/>
                <w:sz w:val="21"/>
              </w:rPr>
              <w:t>条件：</w:t>
            </w:r>
            <w:r>
              <w:rPr>
                <w:spacing w:val="23"/>
                <w:sz w:val="21"/>
              </w:rPr>
              <w:t>（</w:t>
            </w:r>
            <w:r>
              <w:rPr>
                <w:rFonts w:ascii="Times New Roman" w:hAnsi="Times New Roman" w:eastAsia="Times New Roman"/>
                <w:spacing w:val="24"/>
                <w:sz w:val="21"/>
              </w:rPr>
              <w:t>1</w:t>
            </w:r>
            <w:r>
              <w:rPr>
                <w:spacing w:val="23"/>
                <w:sz w:val="21"/>
              </w:rPr>
              <w:t>）</w:t>
            </w:r>
            <w:r>
              <w:rPr>
                <w:spacing w:val="-2"/>
                <w:sz w:val="21"/>
              </w:rPr>
              <w:t>被保人有感染慢性肝炎病毒的血清学及实验室检查报告等临</w:t>
            </w:r>
            <w:r>
              <w:rPr>
                <w:spacing w:val="-4"/>
                <w:sz w:val="21"/>
              </w:rPr>
              <w:t>床证据；</w:t>
            </w:r>
          </w:p>
          <w:p>
            <w:pPr>
              <w:pStyle w:val="11"/>
              <w:spacing w:line="278" w:lineRule="auto"/>
              <w:ind w:right="94"/>
              <w:jc w:val="both"/>
              <w:rPr>
                <w:sz w:val="21"/>
              </w:rPr>
            </w:pPr>
            <w:r>
              <w:rPr>
                <w:spacing w:val="-2"/>
                <w:sz w:val="21"/>
              </w:rPr>
              <w:t>（</w:t>
            </w:r>
            <w:r>
              <w:rPr>
                <w:rFonts w:ascii="Times New Roman" w:eastAsia="Times New Roman"/>
                <w:spacing w:val="-2"/>
                <w:sz w:val="21"/>
              </w:rPr>
              <w:t>2</w:t>
            </w:r>
            <w:r>
              <w:rPr>
                <w:spacing w:val="-2"/>
                <w:sz w:val="21"/>
              </w:rPr>
              <w:t>）必须由我们认可医院的消化科专科医生基于肝脏组织病理学检查报</w:t>
            </w:r>
            <w:r>
              <w:rPr>
                <w:spacing w:val="-5"/>
                <w:sz w:val="21"/>
              </w:rPr>
              <w:t>告、临床表现及病史对肝炎病毒感染导致肝硬化作出明确诊断；</w:t>
            </w:r>
            <w:r>
              <w:rPr>
                <w:spacing w:val="23"/>
                <w:sz w:val="21"/>
              </w:rPr>
              <w:t>（</w:t>
            </w:r>
            <w:r>
              <w:rPr>
                <w:rFonts w:ascii="Times New Roman" w:eastAsia="Times New Roman"/>
                <w:spacing w:val="26"/>
                <w:sz w:val="21"/>
              </w:rPr>
              <w:t>3</w:t>
            </w:r>
            <w:r>
              <w:rPr>
                <w:spacing w:val="24"/>
                <w:sz w:val="21"/>
              </w:rPr>
              <w:t>）</w:t>
            </w:r>
            <w:r>
              <w:rPr>
                <w:spacing w:val="-2"/>
                <w:sz w:val="21"/>
              </w:rPr>
              <w:t xml:space="preserve">病理学检查报告证明肝脏病变按 </w:t>
            </w:r>
            <w:r>
              <w:rPr>
                <w:rFonts w:ascii="Times New Roman" w:eastAsia="Times New Roman"/>
                <w:sz w:val="21"/>
              </w:rPr>
              <w:t>Metavir</w:t>
            </w:r>
            <w:r>
              <w:rPr>
                <w:rFonts w:ascii="Times New Roman" w:eastAsia="Times New Roman"/>
                <w:spacing w:val="-13"/>
                <w:sz w:val="21"/>
              </w:rPr>
              <w:t xml:space="preserve"> </w:t>
            </w:r>
            <w:r>
              <w:rPr>
                <w:spacing w:val="-5"/>
                <w:sz w:val="21"/>
              </w:rPr>
              <w:t xml:space="preserve">分级表中属 </w:t>
            </w:r>
            <w:r>
              <w:rPr>
                <w:rFonts w:ascii="Times New Roman" w:eastAsia="Times New Roman"/>
                <w:sz w:val="21"/>
              </w:rPr>
              <w:t>F4</w:t>
            </w:r>
            <w:r>
              <w:rPr>
                <w:rFonts w:ascii="Times New Roman" w:eastAsia="Times New Roman"/>
                <w:spacing w:val="-13"/>
                <w:sz w:val="21"/>
              </w:rPr>
              <w:t xml:space="preserve"> </w:t>
            </w:r>
            <w:r>
              <w:rPr>
                <w:spacing w:val="-7"/>
                <w:sz w:val="21"/>
              </w:rPr>
              <w:t xml:space="preserve">阶段或 </w:t>
            </w:r>
            <w:r>
              <w:rPr>
                <w:rFonts w:ascii="Times New Roman" w:eastAsia="Times New Roman"/>
                <w:sz w:val="21"/>
              </w:rPr>
              <w:t>Knodell</w:t>
            </w:r>
            <w:r>
              <w:rPr>
                <w:rFonts w:ascii="Times New Roman" w:eastAsia="Times New Roman"/>
                <w:spacing w:val="3"/>
                <w:sz w:val="21"/>
              </w:rPr>
              <w:t xml:space="preserve"> </w:t>
            </w:r>
            <w:r>
              <w:rPr>
                <w:sz w:val="21"/>
              </w:rPr>
              <w:t>肝</w:t>
            </w:r>
            <w:r>
              <w:rPr>
                <w:spacing w:val="-3"/>
                <w:sz w:val="21"/>
              </w:rPr>
              <w:t xml:space="preserve">纤维化标准达到 </w:t>
            </w:r>
            <w:r>
              <w:rPr>
                <w:rFonts w:ascii="Times New Roman" w:eastAsia="Times New Roman"/>
                <w:sz w:val="21"/>
              </w:rPr>
              <w:t xml:space="preserve">4 </w:t>
            </w:r>
            <w:r>
              <w:rPr>
                <w:sz w:val="21"/>
              </w:rPr>
              <w:t>分。</w:t>
            </w:r>
          </w:p>
          <w:p>
            <w:pPr>
              <w:pStyle w:val="11"/>
              <w:spacing w:line="268" w:lineRule="exact"/>
              <w:rPr>
                <w:rFonts w:ascii="黑体" w:eastAsia="黑体"/>
                <w:sz w:val="21"/>
              </w:rPr>
            </w:pPr>
            <w:r>
              <w:rPr>
                <w:rFonts w:ascii="黑体" w:eastAsia="黑体"/>
                <w:color w:val="000000"/>
                <w:spacing w:val="-1"/>
                <w:sz w:val="21"/>
                <w:shd w:val="clear" w:color="auto" w:fill="DADADA"/>
              </w:rPr>
              <w:t>由酒精或药物滥用而引起的本疾病不在保障范围内。</w:t>
            </w:r>
          </w:p>
          <w:p>
            <w:pPr>
              <w:pStyle w:val="11"/>
              <w:spacing w:before="2" w:line="310" w:lineRule="atLeast"/>
              <w:ind w:right="95"/>
              <w:jc w:val="both"/>
              <w:rPr>
                <w:rFonts w:ascii="黑体" w:hAnsi="黑体" w:eastAsia="黑体"/>
                <w:sz w:val="21"/>
              </w:rPr>
            </w:pPr>
            <w:r>
              <w:rPr>
                <w:rFonts w:ascii="黑体" w:hAnsi="黑体" w:eastAsia="黑体"/>
                <w:color w:val="000000"/>
                <w:spacing w:val="-2"/>
                <w:sz w:val="21"/>
                <w:shd w:val="clear" w:color="auto" w:fill="DADADA"/>
              </w:rPr>
              <w:t>我们仅对“病毒性肝炎导致的肝硬化”和“慢性肝功能衰竭”两项中的</w:t>
            </w:r>
            <w:r>
              <w:rPr>
                <w:rFonts w:ascii="黑体" w:hAnsi="黑体" w:eastAsia="黑体"/>
                <w:color w:val="000000"/>
                <w:spacing w:val="40"/>
                <w:sz w:val="21"/>
                <w:shd w:val="clear" w:color="auto" w:fill="DADADA"/>
              </w:rPr>
              <w:t xml:space="preserve"> </w:t>
            </w:r>
            <w:r>
              <w:rPr>
                <w:rFonts w:ascii="黑体" w:hAnsi="黑体" w:eastAsia="黑体"/>
                <w:color w:val="000000"/>
                <w:spacing w:val="-2"/>
                <w:sz w:val="21"/>
                <w:shd w:val="clear" w:color="auto" w:fill="DADADA"/>
              </w:rPr>
              <w:t>其中一项承担保险责任，给付其中一项保险金后，对另一项轻症疾病保险责任同时终止。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1951" w:type="dxa"/>
          </w:tcPr>
          <w:p>
            <w:pPr>
              <w:pStyle w:val="11"/>
              <w:spacing w:before="6"/>
              <w:ind w:left="0"/>
              <w:rPr>
                <w:sz w:val="20"/>
              </w:rPr>
            </w:pPr>
          </w:p>
          <w:p>
            <w:pPr>
              <w:pStyle w:val="11"/>
              <w:spacing w:line="278" w:lineRule="auto"/>
              <w:ind w:left="107" w:right="86"/>
              <w:rPr>
                <w:sz w:val="21"/>
              </w:rPr>
            </w:pPr>
            <w:r>
              <w:rPr>
                <w:spacing w:val="-2"/>
                <w:sz w:val="21"/>
              </w:rPr>
              <w:t>二十八、轻度坏死</w:t>
            </w:r>
            <w:r>
              <w:rPr>
                <w:spacing w:val="-4"/>
                <w:sz w:val="21"/>
              </w:rPr>
              <w:t>性筋膜炎</w:t>
            </w:r>
          </w:p>
        </w:tc>
        <w:tc>
          <w:tcPr>
            <w:tcW w:w="6804" w:type="dxa"/>
          </w:tcPr>
          <w:p>
            <w:pPr>
              <w:pStyle w:val="11"/>
              <w:spacing w:before="106" w:line="278" w:lineRule="auto"/>
              <w:ind w:right="98"/>
              <w:jc w:val="both"/>
              <w:rPr>
                <w:sz w:val="21"/>
              </w:rPr>
            </w:pPr>
            <w:r>
              <w:rPr>
                <w:spacing w:val="-2"/>
                <w:sz w:val="21"/>
              </w:rPr>
              <w:t>是一种由细菌侵入皮下组织和筋膜引起的急性坏死性软组织感染，可伴有毒血症、败血症、中毒性休克、弥漫性血管内凝血及多器官衰竭，但未达到“重症急性坏死性筋膜炎”的给付标准。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spacing w:line="278" w:lineRule="auto"/>
              <w:ind w:left="107" w:right="86"/>
              <w:rPr>
                <w:sz w:val="21"/>
              </w:rPr>
            </w:pPr>
            <w:r>
              <w:rPr>
                <w:spacing w:val="-2"/>
                <w:sz w:val="21"/>
              </w:rPr>
              <w:t>二十九、轻度感染性心内膜炎</w:t>
            </w:r>
          </w:p>
        </w:tc>
        <w:tc>
          <w:tcPr>
            <w:tcW w:w="6804" w:type="dxa"/>
          </w:tcPr>
          <w:p>
            <w:pPr>
              <w:pStyle w:val="11"/>
              <w:spacing w:before="20" w:line="278" w:lineRule="auto"/>
              <w:ind w:right="98"/>
              <w:jc w:val="both"/>
              <w:rPr>
                <w:sz w:val="21"/>
              </w:rPr>
            </w:pPr>
            <w:r>
              <w:rPr>
                <w:spacing w:val="-2"/>
                <w:sz w:val="21"/>
              </w:rPr>
              <w:t>指因感染性微生物造成心脏内膜炎症，并且累及心脏瓣膜，导致心脏瓣膜病变，但未达到“重度感染性心内膜炎”或“心脏瓣膜手术”的给付</w:t>
            </w:r>
            <w:r>
              <w:rPr>
                <w:spacing w:val="-9"/>
                <w:sz w:val="21"/>
              </w:rPr>
              <w:t>标准。必须满足下列条件：</w:t>
            </w:r>
            <w:r>
              <w:rPr>
                <w:spacing w:val="23"/>
                <w:sz w:val="21"/>
              </w:rPr>
              <w:t>（</w:t>
            </w:r>
            <w:r>
              <w:rPr>
                <w:rFonts w:ascii="Times New Roman" w:hAnsi="Times New Roman" w:eastAsia="Times New Roman"/>
                <w:spacing w:val="25"/>
                <w:sz w:val="21"/>
              </w:rPr>
              <w:t>1</w:t>
            </w:r>
            <w:r>
              <w:rPr>
                <w:spacing w:val="23"/>
                <w:sz w:val="21"/>
              </w:rPr>
              <w:t>）</w:t>
            </w:r>
            <w:r>
              <w:rPr>
                <w:spacing w:val="-2"/>
                <w:sz w:val="21"/>
              </w:rPr>
              <w:t>急性或亚急性感染性心内膜炎的临床表</w:t>
            </w:r>
            <w:r>
              <w:rPr>
                <w:spacing w:val="-5"/>
                <w:sz w:val="21"/>
              </w:rPr>
              <w:t>现，合心内膜炎引起轻度心瓣膜关闭不全或轻度心瓣膜狭窄；</w:t>
            </w:r>
            <w:r>
              <w:rPr>
                <w:spacing w:val="23"/>
                <w:sz w:val="21"/>
              </w:rPr>
              <w:t>（</w:t>
            </w:r>
            <w:r>
              <w:rPr>
                <w:rFonts w:ascii="Times New Roman" w:hAnsi="Times New Roman" w:eastAsia="Times New Roman"/>
                <w:spacing w:val="26"/>
                <w:sz w:val="21"/>
              </w:rPr>
              <w:t>2</w:t>
            </w:r>
            <w:r>
              <w:rPr>
                <w:spacing w:val="23"/>
                <w:sz w:val="21"/>
              </w:rPr>
              <w:t>）</w:t>
            </w:r>
            <w:r>
              <w:rPr>
                <w:spacing w:val="-2"/>
                <w:sz w:val="21"/>
              </w:rPr>
              <w:t>血液培养测试结果为阳性，证实存在感染性微生物。</w:t>
            </w:r>
          </w:p>
          <w:p>
            <w:pPr>
              <w:pStyle w:val="11"/>
              <w:spacing w:line="278" w:lineRule="auto"/>
              <w:ind w:right="95"/>
              <w:rPr>
                <w:rFonts w:ascii="黑体" w:hAnsi="黑体" w:eastAsia="黑体"/>
                <w:sz w:val="21"/>
              </w:rPr>
            </w:pPr>
            <w:r>
              <w:rPr>
                <w:rFonts w:ascii="黑体" w:hAnsi="黑体" w:eastAsia="黑体"/>
                <w:color w:val="000000"/>
                <w:spacing w:val="-2"/>
                <w:sz w:val="21"/>
                <w:shd w:val="clear" w:color="auto" w:fill="DADADA"/>
              </w:rPr>
              <w:t>我们仅对“心脏瓣膜介入手术”和“轻度感染性心内膜炎”两项中的其</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中一项承担保险责任，给付其中一项保险金后，对另一项轻症疾病保险</w:t>
            </w:r>
          </w:p>
          <w:p>
            <w:pPr>
              <w:pStyle w:val="11"/>
              <w:spacing w:line="269" w:lineRule="exact"/>
              <w:rPr>
                <w:rFonts w:ascii="黑体" w:eastAsia="黑体"/>
                <w:sz w:val="21"/>
              </w:rPr>
            </w:pPr>
            <w:r>
              <w:rPr>
                <w:rFonts w:ascii="黑体" w:eastAsia="黑体"/>
                <w:color w:val="000000"/>
                <w:spacing w:val="-2"/>
                <w:sz w:val="21"/>
                <w:shd w:val="clear" w:color="auto" w:fill="DADADA"/>
              </w:rPr>
              <w:t>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0" w:hRule="atLeast"/>
        </w:trPr>
        <w:tc>
          <w:tcPr>
            <w:tcW w:w="1951" w:type="dxa"/>
          </w:tcPr>
          <w:p>
            <w:pPr>
              <w:pStyle w:val="11"/>
              <w:spacing w:before="12"/>
              <w:ind w:left="0"/>
              <w:rPr>
                <w:sz w:val="29"/>
              </w:rPr>
            </w:pPr>
          </w:p>
          <w:p>
            <w:pPr>
              <w:pStyle w:val="11"/>
              <w:spacing w:line="278" w:lineRule="auto"/>
              <w:ind w:left="107" w:right="86"/>
              <w:rPr>
                <w:sz w:val="21"/>
              </w:rPr>
            </w:pPr>
            <w:r>
              <w:rPr>
                <w:spacing w:val="-2"/>
                <w:sz w:val="21"/>
              </w:rPr>
              <w:t>三十、糖尿病导致</w:t>
            </w:r>
            <w:r>
              <w:rPr>
                <w:spacing w:val="-4"/>
                <w:sz w:val="21"/>
              </w:rPr>
              <w:t>单足截除</w:t>
            </w:r>
          </w:p>
        </w:tc>
        <w:tc>
          <w:tcPr>
            <w:tcW w:w="6804" w:type="dxa"/>
          </w:tcPr>
          <w:p>
            <w:pPr>
              <w:pStyle w:val="11"/>
              <w:spacing w:before="72" w:line="278" w:lineRule="auto"/>
              <w:ind w:right="98"/>
              <w:jc w:val="both"/>
              <w:rPr>
                <w:rFonts w:ascii="黑体" w:hAnsi="黑体" w:eastAsia="黑体"/>
                <w:sz w:val="21"/>
              </w:rPr>
            </w:pPr>
            <w:r>
              <w:rPr>
                <w:spacing w:val="-2"/>
                <w:sz w:val="21"/>
              </w:rPr>
              <w:t>因糖尿病引起的神经及血管病变累及足部，为了维持生命在我们认可医院内已经进行了医疗必须的由足踝或以上位置的单足截除手术，但未达</w:t>
            </w:r>
            <w:r>
              <w:rPr>
                <w:spacing w:val="-10"/>
                <w:sz w:val="21"/>
              </w:rPr>
              <w:t>到“单个肢体缺失” 、“失去一肢及一眼”或“多个肢体缺失”的给付</w:t>
            </w:r>
            <w:r>
              <w:rPr>
                <w:spacing w:val="-2"/>
                <w:sz w:val="21"/>
              </w:rPr>
              <w:t>标准。</w:t>
            </w:r>
            <w:r>
              <w:rPr>
                <w:rFonts w:ascii="黑体" w:hAnsi="黑体" w:eastAsia="黑体"/>
                <w:color w:val="000000"/>
                <w:spacing w:val="-2"/>
                <w:sz w:val="21"/>
                <w:shd w:val="clear" w:color="auto" w:fill="DADADA"/>
              </w:rPr>
              <w:t>切除多只脚趾或因任何其他原因引起的截除术不在保障范围内。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1" w:type="dxa"/>
          </w:tcPr>
          <w:p>
            <w:pPr>
              <w:pStyle w:val="11"/>
              <w:spacing w:before="11"/>
              <w:ind w:left="0"/>
              <w:rPr>
                <w:sz w:val="25"/>
              </w:rPr>
            </w:pPr>
          </w:p>
          <w:p>
            <w:pPr>
              <w:pStyle w:val="11"/>
              <w:spacing w:before="1" w:line="278" w:lineRule="auto"/>
              <w:ind w:left="107" w:right="86"/>
              <w:rPr>
                <w:sz w:val="21"/>
              </w:rPr>
            </w:pPr>
            <w:r>
              <w:rPr>
                <w:spacing w:val="-2"/>
                <w:sz w:val="21"/>
              </w:rPr>
              <w:t>三十一、植入心脏</w:t>
            </w:r>
            <w:r>
              <w:rPr>
                <w:spacing w:val="-4"/>
                <w:sz w:val="21"/>
              </w:rPr>
              <w:t>起搏器</w:t>
            </w:r>
          </w:p>
        </w:tc>
        <w:tc>
          <w:tcPr>
            <w:tcW w:w="6804" w:type="dxa"/>
          </w:tcPr>
          <w:p>
            <w:pPr>
              <w:pStyle w:val="11"/>
              <w:spacing w:before="20" w:line="278" w:lineRule="auto"/>
              <w:ind w:right="98"/>
              <w:jc w:val="both"/>
              <w:rPr>
                <w:sz w:val="21"/>
              </w:rPr>
            </w:pPr>
            <w:r>
              <w:rPr>
                <w:spacing w:val="-2"/>
                <w:sz w:val="21"/>
              </w:rPr>
              <w:t>因严重心律失常而确实已经实施永久性心脏起搏器的植入手术。理赔时须提供完整病历资料及手术记录，诊断及治疗均须在我们认可医院专科医生认为是医疗必须的情况下进行。</w:t>
            </w:r>
          </w:p>
          <w:p>
            <w:pPr>
              <w:pStyle w:val="11"/>
              <w:spacing w:line="269" w:lineRule="exact"/>
              <w:rPr>
                <w:rFonts w:ascii="黑体" w:eastAsia="黑体"/>
                <w:sz w:val="21"/>
              </w:rPr>
            </w:pPr>
            <w:r>
              <w:rPr>
                <w:rFonts w:ascii="黑体" w:eastAsia="黑体"/>
                <w:color w:val="000000"/>
                <w:spacing w:val="-1"/>
                <w:sz w:val="21"/>
                <w:shd w:val="clear" w:color="auto" w:fill="DADADA"/>
              </w:rPr>
              <w:t>临时心脏起搏器安装不在保障范围内。</w:t>
            </w:r>
          </w:p>
        </w:tc>
      </w:tr>
    </w:tbl>
    <w:p>
      <w:pPr>
        <w:spacing w:after="0" w:line="269" w:lineRule="exact"/>
        <w:rPr>
          <w:rFonts w:ascii="黑体" w:eastAsia="黑体"/>
          <w:sz w:val="21"/>
        </w:rPr>
        <w:sectPr>
          <w:type w:val="continuous"/>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59" w:hRule="atLeast"/>
        </w:trPr>
        <w:tc>
          <w:tcPr>
            <w:tcW w:w="1951" w:type="dxa"/>
          </w:tcPr>
          <w:p>
            <w:pPr>
              <w:pStyle w:val="11"/>
              <w:ind w:left="0"/>
              <w:rPr>
                <w:sz w:val="20"/>
              </w:rPr>
            </w:pPr>
          </w:p>
          <w:p>
            <w:pPr>
              <w:pStyle w:val="11"/>
              <w:ind w:left="0"/>
              <w:rPr>
                <w:sz w:val="20"/>
              </w:rPr>
            </w:pPr>
          </w:p>
          <w:p>
            <w:pPr>
              <w:pStyle w:val="11"/>
              <w:spacing w:before="131"/>
              <w:ind w:left="107"/>
              <w:rPr>
                <w:sz w:val="21"/>
              </w:rPr>
            </w:pPr>
            <w:r>
              <w:rPr>
                <w:spacing w:val="-2"/>
                <w:sz w:val="21"/>
              </w:rPr>
              <w:t>三十二、面部烧伤</w:t>
            </w:r>
          </w:p>
        </w:tc>
        <w:tc>
          <w:tcPr>
            <w:tcW w:w="6804" w:type="dxa"/>
          </w:tcPr>
          <w:p>
            <w:pPr>
              <w:pStyle w:val="11"/>
              <w:spacing w:before="20" w:line="278" w:lineRule="auto"/>
              <w:ind w:right="97"/>
              <w:rPr>
                <w:sz w:val="21"/>
              </w:rPr>
            </w:pPr>
            <w:r>
              <w:rPr>
                <w:spacing w:val="-4"/>
                <w:sz w:val="21"/>
              </w:rPr>
              <w:t xml:space="preserve">指烧伤程度为Ⅲ度，且Ⅲ度烧伤的面积达到面部表面积的 </w:t>
            </w:r>
            <w:r>
              <w:rPr>
                <w:rFonts w:ascii="Times New Roman" w:hAnsi="Times New Roman" w:eastAsia="Times New Roman"/>
                <w:spacing w:val="-2"/>
                <w:sz w:val="21"/>
              </w:rPr>
              <w:t>30</w:t>
            </w:r>
            <w:r>
              <w:rPr>
                <w:spacing w:val="-15"/>
                <w:sz w:val="21"/>
              </w:rPr>
              <w:t xml:space="preserve">％或者 </w:t>
            </w:r>
            <w:r>
              <w:rPr>
                <w:rFonts w:ascii="Times New Roman" w:hAnsi="Times New Roman" w:eastAsia="Times New Roman"/>
                <w:spacing w:val="-2"/>
                <w:sz w:val="21"/>
              </w:rPr>
              <w:t>30</w:t>
            </w:r>
            <w:r>
              <w:rPr>
                <w:spacing w:val="-2"/>
                <w:sz w:val="21"/>
              </w:rPr>
              <w:t>％</w:t>
            </w:r>
            <w:r>
              <w:rPr>
                <w:spacing w:val="-4"/>
                <w:sz w:val="21"/>
              </w:rPr>
              <w:t>以上。</w:t>
            </w:r>
          </w:p>
          <w:p>
            <w:pPr>
              <w:pStyle w:val="11"/>
              <w:spacing w:line="278" w:lineRule="auto"/>
              <w:ind w:right="95"/>
              <w:rPr>
                <w:rFonts w:ascii="黑体" w:hAnsi="黑体" w:eastAsia="黑体"/>
                <w:sz w:val="21"/>
              </w:rPr>
            </w:pPr>
            <w:r>
              <w:rPr>
                <w:rFonts w:ascii="黑体" w:hAnsi="黑体" w:eastAsia="黑体"/>
                <w:color w:val="000000"/>
                <w:spacing w:val="-15"/>
                <w:sz w:val="21"/>
                <w:shd w:val="clear" w:color="auto" w:fill="DADADA"/>
              </w:rPr>
              <w:t>我们仅对“全身较小面积Ⅲ度烧伤”、“面部重建手术”和“面部烧伤”</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三项中的其中一项承担保险责任，给付其中一项保险金后，对其他两项</w:t>
            </w:r>
          </w:p>
          <w:p>
            <w:pPr>
              <w:pStyle w:val="11"/>
              <w:spacing w:line="269" w:lineRule="exact"/>
              <w:rPr>
                <w:rFonts w:ascii="黑体" w:eastAsia="黑体"/>
                <w:sz w:val="21"/>
              </w:rPr>
            </w:pPr>
            <w:r>
              <w:rPr>
                <w:rFonts w:ascii="黑体" w:eastAsia="黑体"/>
                <w:color w:val="000000"/>
                <w:spacing w:val="-1"/>
                <w:sz w:val="21"/>
                <w:shd w:val="clear" w:color="auto" w:fill="DADADA"/>
              </w:rPr>
              <w:t>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1"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107" w:right="86"/>
              <w:rPr>
                <w:sz w:val="21"/>
              </w:rPr>
            </w:pPr>
            <w:r>
              <w:rPr>
                <w:spacing w:val="-2"/>
                <w:sz w:val="21"/>
              </w:rPr>
              <w:t>三十三、慢性肝功</w:t>
            </w:r>
            <w:r>
              <w:rPr>
                <w:spacing w:val="-4"/>
                <w:sz w:val="21"/>
              </w:rPr>
              <w:t>能衰竭</w:t>
            </w:r>
          </w:p>
        </w:tc>
        <w:tc>
          <w:tcPr>
            <w:tcW w:w="6804" w:type="dxa"/>
          </w:tcPr>
          <w:p>
            <w:pPr>
              <w:pStyle w:val="11"/>
              <w:spacing w:before="21" w:line="278" w:lineRule="auto"/>
              <w:ind w:right="97"/>
              <w:jc w:val="both"/>
              <w:rPr>
                <w:sz w:val="21"/>
              </w:rPr>
            </w:pPr>
            <w:r>
              <w:rPr>
                <w:spacing w:val="-2"/>
                <w:sz w:val="21"/>
              </w:rPr>
              <w:t>指因慢性肝脏疾病导致肝功能衰竭，但未达到“严重慢性肝衰竭”的给</w:t>
            </w:r>
            <w:r>
              <w:rPr>
                <w:spacing w:val="-13"/>
                <w:sz w:val="21"/>
              </w:rPr>
              <w:t>付标准。须满足下列任意三个条件：</w:t>
            </w:r>
            <w:r>
              <w:rPr>
                <w:spacing w:val="18"/>
                <w:sz w:val="21"/>
              </w:rPr>
              <w:t>（</w:t>
            </w:r>
            <w:r>
              <w:rPr>
                <w:rFonts w:ascii="Times New Roman" w:hAnsi="Times New Roman" w:eastAsia="Times New Roman"/>
                <w:spacing w:val="20"/>
                <w:sz w:val="21"/>
              </w:rPr>
              <w:t>1</w:t>
            </w:r>
            <w:r>
              <w:rPr>
                <w:spacing w:val="18"/>
                <w:sz w:val="21"/>
              </w:rPr>
              <w:t>）</w:t>
            </w:r>
            <w:r>
              <w:rPr>
                <w:spacing w:val="-22"/>
                <w:sz w:val="21"/>
              </w:rPr>
              <w:t>持续性黄疸；</w:t>
            </w:r>
            <w:r>
              <w:rPr>
                <w:spacing w:val="18"/>
                <w:sz w:val="21"/>
              </w:rPr>
              <w:t>（</w:t>
            </w:r>
            <w:r>
              <w:rPr>
                <w:rFonts w:ascii="Times New Roman" w:hAnsi="Times New Roman" w:eastAsia="Times New Roman"/>
                <w:spacing w:val="19"/>
                <w:sz w:val="21"/>
              </w:rPr>
              <w:t>2</w:t>
            </w:r>
            <w:r>
              <w:rPr>
                <w:spacing w:val="18"/>
                <w:sz w:val="21"/>
              </w:rPr>
              <w:t>）</w:t>
            </w:r>
            <w:r>
              <w:rPr>
                <w:spacing w:val="-35"/>
                <w:sz w:val="21"/>
              </w:rPr>
              <w:t>腹水；</w:t>
            </w:r>
            <w:r>
              <w:rPr>
                <w:spacing w:val="18"/>
                <w:sz w:val="21"/>
              </w:rPr>
              <w:t>（</w:t>
            </w:r>
            <w:r>
              <w:rPr>
                <w:rFonts w:ascii="Times New Roman" w:hAnsi="Times New Roman" w:eastAsia="Times New Roman"/>
                <w:spacing w:val="19"/>
                <w:sz w:val="21"/>
              </w:rPr>
              <w:t>3</w:t>
            </w:r>
            <w:r>
              <w:rPr>
                <w:spacing w:val="16"/>
                <w:sz w:val="21"/>
              </w:rPr>
              <w:t>）</w:t>
            </w:r>
            <w:r>
              <w:rPr>
                <w:spacing w:val="-18"/>
                <w:sz w:val="21"/>
              </w:rPr>
              <w:t>肝性脑病；</w:t>
            </w:r>
            <w:r>
              <w:rPr>
                <w:spacing w:val="22"/>
                <w:sz w:val="21"/>
              </w:rPr>
              <w:t>（</w:t>
            </w:r>
            <w:r>
              <w:rPr>
                <w:rFonts w:ascii="Times New Roman" w:hAnsi="Times New Roman" w:eastAsia="Times New Roman"/>
                <w:spacing w:val="24"/>
                <w:sz w:val="21"/>
              </w:rPr>
              <w:t>4</w:t>
            </w:r>
            <w:r>
              <w:rPr>
                <w:spacing w:val="24"/>
                <w:sz w:val="21"/>
              </w:rPr>
              <w:t>）</w:t>
            </w:r>
            <w:r>
              <w:rPr>
                <w:spacing w:val="-2"/>
                <w:sz w:val="21"/>
              </w:rPr>
              <w:t>充血性脾肿大伴脾功能亢进或食管胃底静脉曲张。</w:t>
            </w:r>
          </w:p>
          <w:p>
            <w:pPr>
              <w:pStyle w:val="11"/>
              <w:spacing w:line="269" w:lineRule="exact"/>
              <w:rPr>
                <w:rFonts w:ascii="黑体" w:eastAsia="黑体"/>
                <w:sz w:val="21"/>
              </w:rPr>
            </w:pPr>
            <w:r>
              <w:rPr>
                <w:rFonts w:ascii="黑体" w:eastAsia="黑体"/>
                <w:color w:val="000000"/>
                <w:spacing w:val="-1"/>
                <w:sz w:val="21"/>
                <w:shd w:val="clear" w:color="auto" w:fill="DADADA"/>
              </w:rPr>
              <w:t>因酗酒或药物滥用导致的肝功能衰竭不在保障范围内。</w:t>
            </w:r>
          </w:p>
          <w:p>
            <w:pPr>
              <w:pStyle w:val="11"/>
              <w:spacing w:before="2" w:line="310" w:lineRule="atLeast"/>
              <w:ind w:right="95"/>
              <w:jc w:val="both"/>
              <w:rPr>
                <w:rFonts w:ascii="黑体" w:hAnsi="黑体" w:eastAsia="黑体"/>
                <w:sz w:val="21"/>
              </w:rPr>
            </w:pPr>
            <w:r>
              <w:rPr>
                <w:rFonts w:ascii="黑体" w:hAnsi="黑体" w:eastAsia="黑体"/>
                <w:color w:val="000000"/>
                <w:spacing w:val="-2"/>
                <w:sz w:val="21"/>
                <w:shd w:val="clear" w:color="auto" w:fill="DADADA"/>
              </w:rPr>
              <w:t>我们仅对“病毒性肝炎导致的肝硬化”和“慢性肝功能衰竭”两项中的</w:t>
            </w:r>
            <w:r>
              <w:rPr>
                <w:rFonts w:ascii="黑体" w:hAnsi="黑体" w:eastAsia="黑体"/>
                <w:color w:val="000000"/>
                <w:spacing w:val="40"/>
                <w:sz w:val="21"/>
                <w:shd w:val="clear" w:color="auto" w:fill="DADADA"/>
              </w:rPr>
              <w:t xml:space="preserve"> </w:t>
            </w:r>
            <w:r>
              <w:rPr>
                <w:rFonts w:ascii="黑体" w:hAnsi="黑体" w:eastAsia="黑体"/>
                <w:color w:val="000000"/>
                <w:spacing w:val="-2"/>
                <w:sz w:val="21"/>
                <w:shd w:val="clear" w:color="auto" w:fill="DADADA"/>
              </w:rPr>
              <w:t>其中一项承担保险责任，给付其中一项保险金后，对另一项轻症疾病保险责任同时终止。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1951" w:type="dxa"/>
          </w:tcPr>
          <w:p>
            <w:pPr>
              <w:pStyle w:val="11"/>
              <w:spacing w:before="11"/>
              <w:ind w:left="0"/>
              <w:rPr>
                <w:sz w:val="29"/>
              </w:rPr>
            </w:pPr>
          </w:p>
          <w:p>
            <w:pPr>
              <w:pStyle w:val="11"/>
              <w:spacing w:line="278" w:lineRule="auto"/>
              <w:ind w:left="107" w:right="86"/>
              <w:rPr>
                <w:sz w:val="21"/>
              </w:rPr>
            </w:pPr>
            <w:r>
              <w:rPr>
                <w:spacing w:val="-2"/>
                <w:sz w:val="21"/>
              </w:rPr>
              <w:t>三十四、原发性肺</w:t>
            </w:r>
            <w:r>
              <w:rPr>
                <w:spacing w:val="-4"/>
                <w:sz w:val="21"/>
              </w:rPr>
              <w:t>动脉高压</w:t>
            </w:r>
          </w:p>
        </w:tc>
        <w:tc>
          <w:tcPr>
            <w:tcW w:w="6804" w:type="dxa"/>
          </w:tcPr>
          <w:p>
            <w:pPr>
              <w:pStyle w:val="11"/>
              <w:spacing w:before="70" w:line="278" w:lineRule="auto"/>
              <w:ind w:right="98"/>
              <w:jc w:val="both"/>
              <w:rPr>
                <w:sz w:val="21"/>
              </w:rPr>
            </w:pPr>
            <w:r>
              <w:rPr>
                <w:spacing w:val="-2"/>
                <w:sz w:val="21"/>
              </w:rPr>
              <w:t>指由于原发性肺动脉高压进行性发展，已经造成永久不可逆性的体力活</w:t>
            </w:r>
            <w:r>
              <w:rPr>
                <w:spacing w:val="-3"/>
                <w:sz w:val="21"/>
              </w:rPr>
              <w:t xml:space="preserve">动能力受限，达到美国纽约心脏病学会心功能状态分级 </w:t>
            </w:r>
            <w:r>
              <w:rPr>
                <w:rFonts w:ascii="Times New Roman" w:eastAsia="Times New Roman"/>
                <w:spacing w:val="-2"/>
                <w:sz w:val="21"/>
              </w:rPr>
              <w:t>III</w:t>
            </w:r>
            <w:r>
              <w:rPr>
                <w:rFonts w:ascii="Times New Roman" w:eastAsia="Times New Roman"/>
                <w:spacing w:val="-11"/>
                <w:sz w:val="21"/>
              </w:rPr>
              <w:t xml:space="preserve"> </w:t>
            </w:r>
            <w:r>
              <w:rPr>
                <w:spacing w:val="-2"/>
                <w:sz w:val="21"/>
              </w:rPr>
              <w:t>级及以上，但</w:t>
            </w:r>
            <w:r>
              <w:rPr>
                <w:w w:val="95"/>
                <w:sz w:val="21"/>
              </w:rPr>
              <w:t xml:space="preserve">尚未达到 </w:t>
            </w:r>
            <w:r>
              <w:rPr>
                <w:rFonts w:ascii="Times New Roman" w:eastAsia="Times New Roman"/>
                <w:w w:val="95"/>
                <w:sz w:val="21"/>
              </w:rPr>
              <w:t>IV</w:t>
            </w:r>
            <w:r>
              <w:rPr>
                <w:rFonts w:ascii="Times New Roman" w:eastAsia="Times New Roman"/>
                <w:spacing w:val="40"/>
                <w:sz w:val="21"/>
              </w:rPr>
              <w:t xml:space="preserve"> </w:t>
            </w:r>
            <w:r>
              <w:rPr>
                <w:w w:val="95"/>
                <w:sz w:val="21"/>
              </w:rPr>
              <w:t xml:space="preserve">级，且静息状态下肺动脉平均压超过 </w:t>
            </w:r>
            <w:r>
              <w:rPr>
                <w:rFonts w:ascii="Times New Roman" w:eastAsia="Times New Roman"/>
                <w:w w:val="95"/>
                <w:sz w:val="21"/>
              </w:rPr>
              <w:t>25mmHg</w:t>
            </w:r>
            <w:r>
              <w:rPr>
                <w:w w:val="95"/>
                <w:sz w:val="21"/>
              </w:rPr>
              <w:t xml:space="preserve">，但尚未超过 </w:t>
            </w:r>
            <w:r>
              <w:rPr>
                <w:rFonts w:ascii="Times New Roman" w:eastAsia="Times New Roman"/>
                <w:spacing w:val="-2"/>
                <w:sz w:val="21"/>
              </w:rPr>
              <w:t>36mmHg</w:t>
            </w:r>
            <w:r>
              <w:rPr>
                <w:spacing w:val="-2"/>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1" w:type="dxa"/>
          </w:tcPr>
          <w:p>
            <w:pPr>
              <w:pStyle w:val="11"/>
              <w:ind w:left="0"/>
              <w:rPr>
                <w:sz w:val="20"/>
              </w:rPr>
            </w:pPr>
          </w:p>
          <w:p>
            <w:pPr>
              <w:pStyle w:val="11"/>
              <w:ind w:left="0"/>
              <w:rPr>
                <w:sz w:val="20"/>
              </w:rPr>
            </w:pPr>
          </w:p>
          <w:p>
            <w:pPr>
              <w:pStyle w:val="11"/>
              <w:spacing w:before="131" w:line="278" w:lineRule="auto"/>
              <w:ind w:left="107" w:right="86"/>
              <w:rPr>
                <w:sz w:val="21"/>
              </w:rPr>
            </w:pPr>
            <w:r>
              <w:rPr>
                <w:spacing w:val="-2"/>
                <w:sz w:val="21"/>
              </w:rPr>
              <w:t>三十五、轻度慢性呼吸功能衰竭</w:t>
            </w:r>
          </w:p>
        </w:tc>
        <w:tc>
          <w:tcPr>
            <w:tcW w:w="6804" w:type="dxa"/>
          </w:tcPr>
          <w:p>
            <w:pPr>
              <w:pStyle w:val="11"/>
              <w:spacing w:before="20" w:line="278" w:lineRule="auto"/>
              <w:ind w:right="98"/>
              <w:jc w:val="both"/>
              <w:rPr>
                <w:sz w:val="21"/>
              </w:rPr>
            </w:pPr>
            <w:r>
              <w:rPr>
                <w:spacing w:val="-3"/>
                <w:sz w:val="21"/>
              </w:rPr>
              <w:t>指因慢性呼吸系统疾病导致永久不可逆的呼吸功能衰竭，但未达到 “严</w:t>
            </w:r>
            <w:r>
              <w:rPr>
                <w:spacing w:val="-2"/>
                <w:sz w:val="21"/>
              </w:rPr>
              <w:t>重慢性呼吸衰竭”或“严重继发性肺动脉高压”的给付标准，且诊断必须满足以下所有条件：</w:t>
            </w:r>
          </w:p>
          <w:p>
            <w:pPr>
              <w:pStyle w:val="11"/>
              <w:numPr>
                <w:ilvl w:val="0"/>
                <w:numId w:val="25"/>
              </w:numPr>
              <w:tabs>
                <w:tab w:val="left" w:pos="634"/>
              </w:tabs>
              <w:spacing w:before="0" w:after="0" w:line="240" w:lineRule="auto"/>
              <w:ind w:left="633" w:right="0" w:hanging="528"/>
              <w:jc w:val="both"/>
              <w:rPr>
                <w:sz w:val="21"/>
              </w:rPr>
            </w:pPr>
            <w:r>
              <w:rPr>
                <w:sz w:val="21"/>
              </w:rPr>
              <w:t>第一秒末用力呼吸量（</w:t>
            </w:r>
            <w:r>
              <w:rPr>
                <w:rFonts w:ascii="Times New Roman" w:eastAsia="Times New Roman"/>
                <w:sz w:val="21"/>
              </w:rPr>
              <w:t>FEV</w:t>
            </w:r>
            <w:r>
              <w:rPr>
                <w:rFonts w:ascii="Times New Roman" w:eastAsia="Times New Roman"/>
                <w:sz w:val="21"/>
                <w:vertAlign w:val="subscript"/>
              </w:rPr>
              <w:t>1</w:t>
            </w:r>
            <w:r>
              <w:rPr>
                <w:sz w:val="21"/>
                <w:vertAlign w:val="baseline"/>
              </w:rPr>
              <w:t>）</w:t>
            </w:r>
            <w:r>
              <w:rPr>
                <w:spacing w:val="-16"/>
                <w:sz w:val="21"/>
                <w:vertAlign w:val="baseline"/>
              </w:rPr>
              <w:t xml:space="preserve">小于 </w:t>
            </w:r>
            <w:r>
              <w:rPr>
                <w:rFonts w:ascii="Times New Roman" w:eastAsia="Times New Roman"/>
                <w:sz w:val="21"/>
                <w:vertAlign w:val="baseline"/>
              </w:rPr>
              <w:t>1</w:t>
            </w:r>
            <w:r>
              <w:rPr>
                <w:rFonts w:ascii="Times New Roman" w:eastAsia="Times New Roman"/>
                <w:spacing w:val="9"/>
                <w:sz w:val="21"/>
                <w:vertAlign w:val="baseline"/>
              </w:rPr>
              <w:t xml:space="preserve"> </w:t>
            </w:r>
            <w:r>
              <w:rPr>
                <w:spacing w:val="-5"/>
                <w:sz w:val="21"/>
                <w:vertAlign w:val="baseline"/>
              </w:rPr>
              <w:t>升；</w:t>
            </w:r>
          </w:p>
          <w:p>
            <w:pPr>
              <w:pStyle w:val="11"/>
              <w:numPr>
                <w:ilvl w:val="0"/>
                <w:numId w:val="25"/>
              </w:numPr>
              <w:tabs>
                <w:tab w:val="left" w:pos="634"/>
              </w:tabs>
              <w:spacing w:before="43" w:after="0" w:line="240" w:lineRule="auto"/>
              <w:ind w:left="633" w:right="0" w:hanging="528"/>
              <w:jc w:val="both"/>
              <w:rPr>
                <w:sz w:val="21"/>
              </w:rPr>
            </w:pPr>
            <w:r>
              <w:rPr>
                <w:spacing w:val="-2"/>
                <w:sz w:val="21"/>
              </w:rPr>
              <w:t>残气容积占肺总量（</w:t>
            </w:r>
            <w:r>
              <w:rPr>
                <w:rFonts w:ascii="Times New Roman" w:eastAsia="Times New Roman"/>
                <w:spacing w:val="-2"/>
                <w:sz w:val="21"/>
              </w:rPr>
              <w:t>TLC</w:t>
            </w:r>
            <w:r>
              <w:rPr>
                <w:spacing w:val="-2"/>
                <w:sz w:val="21"/>
              </w:rPr>
              <w:t>）</w:t>
            </w:r>
            <w:r>
              <w:rPr>
                <w:spacing w:val="-10"/>
                <w:sz w:val="21"/>
              </w:rPr>
              <w:t xml:space="preserve">的 </w:t>
            </w:r>
            <w:r>
              <w:rPr>
                <w:rFonts w:ascii="Times New Roman" w:eastAsia="Times New Roman"/>
                <w:spacing w:val="-2"/>
                <w:sz w:val="21"/>
              </w:rPr>
              <w:t>50%</w:t>
            </w:r>
            <w:r>
              <w:rPr>
                <w:spacing w:val="-5"/>
                <w:sz w:val="21"/>
              </w:rPr>
              <w:t>以上；</w:t>
            </w:r>
          </w:p>
          <w:p>
            <w:pPr>
              <w:pStyle w:val="11"/>
              <w:numPr>
                <w:ilvl w:val="0"/>
                <w:numId w:val="25"/>
              </w:numPr>
              <w:tabs>
                <w:tab w:val="left" w:pos="634"/>
              </w:tabs>
              <w:spacing w:before="43" w:after="0" w:line="240" w:lineRule="auto"/>
              <w:ind w:left="633" w:right="0" w:hanging="528"/>
              <w:jc w:val="both"/>
              <w:rPr>
                <w:sz w:val="21"/>
              </w:rPr>
            </w:pPr>
            <w:r>
              <w:rPr>
                <w:rFonts w:ascii="Times New Roman" w:hAnsi="Times New Roman" w:eastAsia="Times New Roman"/>
                <w:w w:val="95"/>
                <w:sz w:val="21"/>
              </w:rPr>
              <w:t>PaO</w:t>
            </w:r>
            <w:r>
              <w:rPr>
                <w:rFonts w:ascii="Times New Roman" w:hAnsi="Times New Roman" w:eastAsia="Times New Roman"/>
                <w:w w:val="95"/>
                <w:sz w:val="21"/>
                <w:vertAlign w:val="subscript"/>
              </w:rPr>
              <w:t>2</w:t>
            </w:r>
            <w:r>
              <w:rPr>
                <w:rFonts w:ascii="Times New Roman" w:hAnsi="Times New Roman" w:eastAsia="Times New Roman"/>
                <w:w w:val="95"/>
                <w:sz w:val="21"/>
                <w:vertAlign w:val="baseline"/>
              </w:rPr>
              <w:t>&lt;60mmHg</w:t>
            </w:r>
            <w:r>
              <w:rPr>
                <w:w w:val="95"/>
                <w:sz w:val="21"/>
                <w:vertAlign w:val="baseline"/>
              </w:rPr>
              <w:t>，但≥</w:t>
            </w:r>
            <w:r>
              <w:rPr>
                <w:rFonts w:ascii="Times New Roman" w:hAnsi="Times New Roman" w:eastAsia="Times New Roman"/>
                <w:w w:val="95"/>
                <w:sz w:val="21"/>
                <w:vertAlign w:val="baseline"/>
              </w:rPr>
              <w:t>50mmHg</w:t>
            </w:r>
            <w:r>
              <w:rPr>
                <w:spacing w:val="-10"/>
                <w:w w:val="95"/>
                <w:sz w:val="21"/>
                <w:vertAlign w:val="baseli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9"/>
              <w:ind w:left="0"/>
              <w:rPr>
                <w:sz w:val="14"/>
              </w:rPr>
            </w:pPr>
          </w:p>
          <w:p>
            <w:pPr>
              <w:pStyle w:val="11"/>
              <w:spacing w:line="278" w:lineRule="auto"/>
              <w:ind w:left="107" w:right="86"/>
              <w:rPr>
                <w:sz w:val="21"/>
              </w:rPr>
            </w:pPr>
            <w:r>
              <w:rPr>
                <w:spacing w:val="-2"/>
                <w:sz w:val="21"/>
              </w:rPr>
              <w:t>三十六、视力严重</w:t>
            </w:r>
            <w:r>
              <w:rPr>
                <w:spacing w:val="-6"/>
                <w:sz w:val="21"/>
              </w:rPr>
              <w:t>受损</w:t>
            </w:r>
          </w:p>
        </w:tc>
        <w:tc>
          <w:tcPr>
            <w:tcW w:w="6804" w:type="dxa"/>
          </w:tcPr>
          <w:p>
            <w:pPr>
              <w:pStyle w:val="11"/>
              <w:spacing w:before="21" w:line="278" w:lineRule="auto"/>
              <w:ind w:right="-15"/>
              <w:rPr>
                <w:rFonts w:ascii="黑体" w:hAnsi="黑体" w:eastAsia="黑体"/>
                <w:sz w:val="21"/>
              </w:rPr>
            </w:pPr>
            <w:r>
              <w:rPr>
                <w:spacing w:val="1"/>
                <w:sz w:val="21"/>
              </w:rPr>
              <w:t>指因疾病或者意外伤害导致双眼视力永久不可逆性丧失，但未达到“双</w:t>
            </w:r>
            <w:r>
              <w:rPr>
                <w:spacing w:val="-4"/>
                <w:sz w:val="21"/>
              </w:rPr>
              <w:t>目失明”的给付标准，但满足下列条件之一：</w:t>
            </w:r>
            <w:r>
              <w:rPr>
                <w:spacing w:val="2"/>
                <w:sz w:val="21"/>
              </w:rPr>
              <w:t>（</w:t>
            </w:r>
            <w:r>
              <w:rPr>
                <w:rFonts w:ascii="Times New Roman" w:hAnsi="Times New Roman" w:eastAsia="Times New Roman"/>
                <w:spacing w:val="4"/>
                <w:sz w:val="21"/>
              </w:rPr>
              <w:t>1</w:t>
            </w:r>
            <w:r>
              <w:rPr>
                <w:spacing w:val="2"/>
                <w:sz w:val="21"/>
              </w:rPr>
              <w:t>）</w:t>
            </w:r>
            <w:r>
              <w:rPr>
                <w:spacing w:val="1"/>
                <w:sz w:val="21"/>
              </w:rPr>
              <w:t>双眼中较好眼矫正视</w:t>
            </w:r>
            <w:r>
              <w:rPr>
                <w:spacing w:val="-13"/>
                <w:sz w:val="21"/>
              </w:rPr>
              <w:t xml:space="preserve">力低于 </w:t>
            </w:r>
            <w:r>
              <w:rPr>
                <w:rFonts w:ascii="Times New Roman" w:hAnsi="Times New Roman" w:eastAsia="Times New Roman"/>
                <w:sz w:val="21"/>
              </w:rPr>
              <w:t>0</w:t>
            </w:r>
            <w:r>
              <w:rPr>
                <w:rFonts w:ascii="Times New Roman" w:hAnsi="Times New Roman" w:eastAsia="Times New Roman"/>
                <w:spacing w:val="-1"/>
                <w:sz w:val="21"/>
              </w:rPr>
              <w:t>.</w:t>
            </w:r>
            <w:r>
              <w:rPr>
                <w:rFonts w:ascii="Times New Roman" w:hAnsi="Times New Roman" w:eastAsia="Times New Roman"/>
                <w:spacing w:val="-79"/>
                <w:sz w:val="21"/>
              </w:rPr>
              <w:t>1</w:t>
            </w:r>
            <w:r>
              <w:rPr>
                <w:sz w:val="21"/>
              </w:rPr>
              <w:t>（</w:t>
            </w:r>
            <w:r>
              <w:rPr>
                <w:spacing w:val="-8"/>
                <w:sz w:val="21"/>
              </w:rPr>
              <w:t>采用国际标准视力表，如果使用其他视力表应进行换算</w:t>
            </w:r>
            <w:r>
              <w:rPr>
                <w:spacing w:val="-105"/>
                <w:sz w:val="21"/>
              </w:rPr>
              <w:t>）</w:t>
            </w:r>
            <w:r>
              <w:rPr>
                <w:spacing w:val="-184"/>
                <w:sz w:val="21"/>
              </w:rPr>
              <w:t>；</w:t>
            </w:r>
            <w:r>
              <w:rPr>
                <w:sz w:val="21"/>
              </w:rPr>
              <w:t>（</w:t>
            </w:r>
            <w:r>
              <w:rPr>
                <w:rFonts w:ascii="Times New Roman" w:hAnsi="Times New Roman" w:eastAsia="Times New Roman"/>
                <w:spacing w:val="-1"/>
                <w:sz w:val="21"/>
              </w:rPr>
              <w:t>2</w:t>
            </w:r>
            <w:r>
              <w:rPr>
                <w:sz w:val="21"/>
              </w:rPr>
              <w:t>）</w:t>
            </w:r>
            <w:r>
              <w:rPr>
                <w:spacing w:val="-5"/>
                <w:sz w:val="21"/>
              </w:rPr>
              <w:t xml:space="preserve">双眼中较好眼视野半径小于 </w:t>
            </w:r>
            <w:r>
              <w:rPr>
                <w:rFonts w:ascii="Times New Roman" w:hAnsi="Times New Roman" w:eastAsia="Times New Roman"/>
                <w:spacing w:val="-1"/>
                <w:sz w:val="21"/>
              </w:rPr>
              <w:t>2</w:t>
            </w:r>
            <w:r>
              <w:rPr>
                <w:rFonts w:ascii="Times New Roman" w:hAnsi="Times New Roman" w:eastAsia="Times New Roman"/>
                <w:sz w:val="21"/>
              </w:rPr>
              <w:t xml:space="preserve">0 </w:t>
            </w:r>
            <w:r>
              <w:rPr>
                <w:spacing w:val="-14"/>
                <w:sz w:val="21"/>
              </w:rPr>
              <w:t>度。</w:t>
            </w:r>
            <w:r>
              <w:rPr>
                <w:rFonts w:ascii="黑体" w:hAnsi="黑体" w:eastAsia="黑体"/>
                <w:sz w:val="21"/>
              </w:rPr>
              <w:t>被保险人申请理赔时年龄必须在三周岁以上，并且提供视力丧失诊断及检查证据。</w:t>
            </w:r>
          </w:p>
          <w:p>
            <w:pPr>
              <w:pStyle w:val="11"/>
              <w:spacing w:line="278" w:lineRule="auto"/>
              <w:ind w:right="95"/>
              <w:rPr>
                <w:rFonts w:ascii="黑体" w:hAnsi="黑体" w:eastAsia="黑体"/>
                <w:sz w:val="21"/>
              </w:rPr>
            </w:pPr>
            <w:r>
              <w:rPr>
                <w:rFonts w:ascii="黑体" w:hAnsi="黑体" w:eastAsia="黑体"/>
                <w:color w:val="000000"/>
                <w:spacing w:val="-17"/>
                <w:sz w:val="21"/>
                <w:shd w:val="clear" w:color="auto" w:fill="DADADA"/>
              </w:rPr>
              <w:t>我们仅对“单目失明”、“角膜移植”和“视力严重受损”三项中的其中</w:t>
            </w:r>
            <w:r>
              <w:rPr>
                <w:rFonts w:ascii="黑体" w:hAnsi="黑体" w:eastAsia="黑体"/>
                <w:color w:val="000000"/>
                <w:spacing w:val="80"/>
                <w:w w:val="150"/>
                <w:sz w:val="21"/>
                <w:shd w:val="clear" w:color="auto" w:fill="DADADA"/>
              </w:rPr>
              <w:t xml:space="preserve">                                    </w:t>
            </w:r>
            <w:r>
              <w:rPr>
                <w:rFonts w:ascii="黑体" w:hAnsi="黑体" w:eastAsia="黑体"/>
                <w:color w:val="000000"/>
                <w:spacing w:val="-1"/>
                <w:sz w:val="21"/>
                <w:shd w:val="clear" w:color="auto" w:fill="DADADA"/>
              </w:rPr>
              <w:t>一项承担保险责任，给付其中一项保险金后，对其他两项轻症疾病保险</w:t>
            </w:r>
          </w:p>
          <w:p>
            <w:pPr>
              <w:pStyle w:val="11"/>
              <w:spacing w:line="269" w:lineRule="exact"/>
              <w:rPr>
                <w:rFonts w:ascii="黑体" w:eastAsia="黑体"/>
                <w:sz w:val="21"/>
              </w:rPr>
            </w:pPr>
            <w:r>
              <w:rPr>
                <w:rFonts w:ascii="黑体" w:eastAsia="黑体"/>
                <w:color w:val="000000"/>
                <w:spacing w:val="-2"/>
                <w:sz w:val="21"/>
                <w:shd w:val="clear" w:color="auto" w:fill="DADADA"/>
              </w:rPr>
              <w:t>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1"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6"/>
              <w:rPr>
                <w:sz w:val="21"/>
              </w:rPr>
            </w:pPr>
            <w:r>
              <w:rPr>
                <w:spacing w:val="-2"/>
                <w:sz w:val="21"/>
              </w:rPr>
              <w:t>三十七、长管骨慢性骨髓炎手术治疗</w:t>
            </w:r>
          </w:p>
        </w:tc>
        <w:tc>
          <w:tcPr>
            <w:tcW w:w="6804" w:type="dxa"/>
          </w:tcPr>
          <w:p>
            <w:pPr>
              <w:pStyle w:val="11"/>
              <w:spacing w:before="20" w:line="278" w:lineRule="auto"/>
              <w:ind w:right="98"/>
              <w:rPr>
                <w:sz w:val="21"/>
              </w:rPr>
            </w:pPr>
            <w:r>
              <w:rPr>
                <w:spacing w:val="-2"/>
                <w:sz w:val="21"/>
              </w:rPr>
              <w:t>因长管骨慢性骨髓炎形成窦道，被保险人在手术清除死骨、化脓及坏死组织之后实际接受了下列至少一项手术治疗：</w:t>
            </w:r>
          </w:p>
          <w:p>
            <w:pPr>
              <w:pStyle w:val="11"/>
              <w:numPr>
                <w:ilvl w:val="0"/>
                <w:numId w:val="26"/>
              </w:numPr>
              <w:tabs>
                <w:tab w:val="left" w:pos="739"/>
              </w:tabs>
              <w:spacing w:before="0" w:after="0" w:line="240" w:lineRule="auto"/>
              <w:ind w:left="738" w:right="0" w:hanging="633"/>
              <w:jc w:val="left"/>
              <w:rPr>
                <w:sz w:val="21"/>
              </w:rPr>
            </w:pPr>
            <w:r>
              <w:rPr>
                <w:spacing w:val="-4"/>
                <w:sz w:val="21"/>
              </w:rPr>
              <w:t>松质骨移植术；</w:t>
            </w:r>
          </w:p>
          <w:p>
            <w:pPr>
              <w:pStyle w:val="11"/>
              <w:numPr>
                <w:ilvl w:val="0"/>
                <w:numId w:val="26"/>
              </w:numPr>
              <w:tabs>
                <w:tab w:val="left" w:pos="739"/>
              </w:tabs>
              <w:spacing w:before="43" w:after="0" w:line="240" w:lineRule="auto"/>
              <w:ind w:left="738" w:right="0" w:hanging="633"/>
              <w:jc w:val="left"/>
              <w:rPr>
                <w:sz w:val="21"/>
              </w:rPr>
            </w:pPr>
            <w:r>
              <w:rPr>
                <w:spacing w:val="-3"/>
                <w:sz w:val="21"/>
              </w:rPr>
              <w:t>皮瓣、肌皮瓣移植术；</w:t>
            </w:r>
          </w:p>
          <w:p>
            <w:pPr>
              <w:pStyle w:val="11"/>
              <w:numPr>
                <w:ilvl w:val="0"/>
                <w:numId w:val="26"/>
              </w:numPr>
              <w:tabs>
                <w:tab w:val="left" w:pos="739"/>
              </w:tabs>
              <w:spacing w:before="43" w:after="0" w:line="240" w:lineRule="auto"/>
              <w:ind w:left="738" w:right="0" w:hanging="633"/>
              <w:jc w:val="left"/>
              <w:rPr>
                <w:sz w:val="21"/>
              </w:rPr>
            </w:pPr>
            <w:r>
              <w:rPr>
                <w:spacing w:val="-4"/>
                <w:sz w:val="21"/>
              </w:rPr>
              <w:t>骨皮瓣转移术；</w:t>
            </w:r>
          </w:p>
          <w:p>
            <w:pPr>
              <w:pStyle w:val="11"/>
              <w:numPr>
                <w:ilvl w:val="0"/>
                <w:numId w:val="26"/>
              </w:numPr>
              <w:tabs>
                <w:tab w:val="left" w:pos="739"/>
              </w:tabs>
              <w:spacing w:before="43" w:after="0" w:line="240" w:lineRule="auto"/>
              <w:ind w:left="738" w:right="0" w:hanging="633"/>
              <w:jc w:val="left"/>
              <w:rPr>
                <w:sz w:val="21"/>
              </w:rPr>
            </w:pPr>
            <w:r>
              <w:rPr>
                <w:spacing w:val="-4"/>
                <w:sz w:val="21"/>
              </w:rPr>
              <w:t>骨搬移术；</w:t>
            </w:r>
          </w:p>
          <w:p>
            <w:pPr>
              <w:pStyle w:val="11"/>
              <w:numPr>
                <w:ilvl w:val="0"/>
                <w:numId w:val="26"/>
              </w:numPr>
              <w:tabs>
                <w:tab w:val="left" w:pos="739"/>
              </w:tabs>
              <w:spacing w:before="43" w:after="0" w:line="240" w:lineRule="auto"/>
              <w:ind w:left="738" w:right="0" w:hanging="633"/>
              <w:jc w:val="left"/>
              <w:rPr>
                <w:sz w:val="21"/>
              </w:rPr>
            </w:pPr>
            <w:r>
              <w:rPr>
                <w:spacing w:val="-2"/>
                <w:sz w:val="21"/>
              </w:rPr>
              <w:t>截肢（指、趾）</w:t>
            </w:r>
            <w:r>
              <w:rPr>
                <w:spacing w:val="-6"/>
                <w:sz w:val="21"/>
              </w:rPr>
              <w:t>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1951" w:type="dxa"/>
          </w:tcPr>
          <w:p>
            <w:pPr>
              <w:pStyle w:val="11"/>
              <w:spacing w:before="141" w:line="278" w:lineRule="auto"/>
              <w:ind w:left="107" w:right="86"/>
              <w:jc w:val="both"/>
              <w:rPr>
                <w:sz w:val="21"/>
              </w:rPr>
            </w:pPr>
            <w:r>
              <w:rPr>
                <w:spacing w:val="-2"/>
                <w:sz w:val="21"/>
              </w:rPr>
              <w:t>三十八、急性出血坏死性胰腺炎腹腔</w:t>
            </w:r>
            <w:r>
              <w:rPr>
                <w:spacing w:val="-4"/>
                <w:sz w:val="21"/>
              </w:rPr>
              <w:t>镜手术</w:t>
            </w:r>
          </w:p>
        </w:tc>
        <w:tc>
          <w:tcPr>
            <w:tcW w:w="6804" w:type="dxa"/>
          </w:tcPr>
          <w:p>
            <w:pPr>
              <w:pStyle w:val="11"/>
              <w:spacing w:before="141" w:line="278" w:lineRule="auto"/>
              <w:ind w:right="98"/>
              <w:rPr>
                <w:sz w:val="21"/>
              </w:rPr>
            </w:pPr>
            <w:r>
              <w:rPr>
                <w:spacing w:val="-2"/>
                <w:sz w:val="21"/>
              </w:rPr>
              <w:t>指被保险人确诊为急性出血性坏死性胰腺炎，并实际接受了腹腔镜手术治疗，以进行坏死组织清除、坏死病灶切除或胰腺切除。</w:t>
            </w:r>
          </w:p>
          <w:p>
            <w:pPr>
              <w:pStyle w:val="11"/>
              <w:spacing w:line="269" w:lineRule="exact"/>
              <w:rPr>
                <w:rFonts w:ascii="黑体" w:eastAsia="黑体"/>
                <w:sz w:val="21"/>
              </w:rPr>
            </w:pPr>
            <w:r>
              <w:rPr>
                <w:rFonts w:ascii="黑体" w:eastAsia="黑体"/>
                <w:color w:val="000000"/>
                <w:spacing w:val="-1"/>
                <w:sz w:val="21"/>
                <w:shd w:val="clear" w:color="auto" w:fill="DADADA"/>
              </w:rPr>
              <w:t>因酗酒或饮酒过量所致的急性坏死胰腺炎不在保障范围内。</w:t>
            </w:r>
          </w:p>
        </w:tc>
      </w:tr>
    </w:tbl>
    <w:p>
      <w:pPr>
        <w:spacing w:after="0" w:line="269" w:lineRule="exact"/>
        <w:rPr>
          <w:rFonts w:ascii="黑体" w:eastAsia="黑体"/>
          <w:sz w:val="21"/>
        </w:rPr>
        <w:sectPr>
          <w:type w:val="continuous"/>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951"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spacing w:line="278" w:lineRule="auto"/>
              <w:ind w:left="107" w:right="86"/>
              <w:rPr>
                <w:sz w:val="21"/>
              </w:rPr>
            </w:pPr>
            <w:r>
              <w:rPr>
                <w:spacing w:val="-2"/>
                <w:sz w:val="21"/>
              </w:rPr>
              <w:t>三十九、严重出血</w:t>
            </w:r>
            <w:r>
              <w:rPr>
                <w:spacing w:val="-4"/>
                <w:sz w:val="21"/>
              </w:rPr>
              <w:t>性登革热</w:t>
            </w:r>
          </w:p>
        </w:tc>
        <w:tc>
          <w:tcPr>
            <w:tcW w:w="6804" w:type="dxa"/>
          </w:tcPr>
          <w:p>
            <w:pPr>
              <w:pStyle w:val="11"/>
              <w:spacing w:before="20" w:line="278" w:lineRule="auto"/>
              <w:ind w:right="98"/>
              <w:rPr>
                <w:sz w:val="21"/>
              </w:rPr>
            </w:pPr>
            <w:r>
              <w:rPr>
                <w:spacing w:val="-2"/>
                <w:sz w:val="21"/>
              </w:rPr>
              <w:t>是由登革热病毒引起的急性传染病，并须出现下列至少一种严重登革热的临床表现：</w:t>
            </w:r>
          </w:p>
          <w:p>
            <w:pPr>
              <w:pStyle w:val="11"/>
              <w:numPr>
                <w:ilvl w:val="0"/>
                <w:numId w:val="27"/>
              </w:numPr>
              <w:tabs>
                <w:tab w:val="left" w:pos="739"/>
              </w:tabs>
              <w:spacing w:before="0" w:after="0" w:line="240" w:lineRule="auto"/>
              <w:ind w:left="738" w:right="0" w:hanging="633"/>
              <w:jc w:val="left"/>
              <w:rPr>
                <w:sz w:val="21"/>
              </w:rPr>
            </w:pPr>
            <w:r>
              <w:rPr>
                <w:spacing w:val="-3"/>
                <w:sz w:val="21"/>
              </w:rPr>
              <w:t>血浆渗漏致休克或胸腔积液伴呼吸困难；</w:t>
            </w:r>
          </w:p>
          <w:p>
            <w:pPr>
              <w:pStyle w:val="11"/>
              <w:numPr>
                <w:ilvl w:val="0"/>
                <w:numId w:val="27"/>
              </w:numPr>
              <w:tabs>
                <w:tab w:val="left" w:pos="748"/>
              </w:tabs>
              <w:spacing w:before="43" w:after="0" w:line="278" w:lineRule="auto"/>
              <w:ind w:left="106" w:right="100" w:firstLine="0"/>
              <w:jc w:val="left"/>
              <w:rPr>
                <w:sz w:val="21"/>
              </w:rPr>
            </w:pPr>
            <w:r>
              <w:rPr>
                <w:spacing w:val="-2"/>
                <w:sz w:val="21"/>
              </w:rPr>
              <w:t>严重出血：消化道出血、阴道大出血、颅内出血、肉眼血尿或皮下血肿（不包括皮下出血点</w:t>
            </w:r>
            <w:r>
              <w:rPr>
                <w:spacing w:val="-105"/>
                <w:sz w:val="21"/>
              </w:rPr>
              <w:t>）</w:t>
            </w:r>
            <w:r>
              <w:rPr>
                <w:sz w:val="21"/>
              </w:rPr>
              <w:t>；</w:t>
            </w:r>
          </w:p>
          <w:p>
            <w:pPr>
              <w:pStyle w:val="11"/>
              <w:numPr>
                <w:ilvl w:val="0"/>
                <w:numId w:val="27"/>
              </w:numPr>
              <w:tabs>
                <w:tab w:val="left" w:pos="698"/>
              </w:tabs>
              <w:spacing w:before="0" w:after="0" w:line="240" w:lineRule="auto"/>
              <w:ind w:left="697" w:right="0" w:hanging="592"/>
              <w:jc w:val="left"/>
              <w:rPr>
                <w:rFonts w:ascii="Times New Roman" w:eastAsia="Times New Roman"/>
                <w:sz w:val="21"/>
              </w:rPr>
            </w:pPr>
            <w:r>
              <w:rPr>
                <w:spacing w:val="-8"/>
                <w:sz w:val="21"/>
              </w:rPr>
              <w:t>严重器官损害或衰竭：肝脏损伤（</w:t>
            </w:r>
            <w:r>
              <w:rPr>
                <w:rFonts w:ascii="Times New Roman" w:eastAsia="Times New Roman"/>
                <w:spacing w:val="-8"/>
                <w:sz w:val="21"/>
              </w:rPr>
              <w:t>ALT</w:t>
            </w:r>
            <w:r>
              <w:rPr>
                <w:rFonts w:ascii="Times New Roman" w:eastAsia="Times New Roman"/>
                <w:spacing w:val="57"/>
                <w:sz w:val="21"/>
              </w:rPr>
              <w:t xml:space="preserve"> </w:t>
            </w:r>
            <w:r>
              <w:rPr>
                <w:spacing w:val="-29"/>
                <w:sz w:val="21"/>
              </w:rPr>
              <w:t xml:space="preserve">或 </w:t>
            </w:r>
            <w:r>
              <w:rPr>
                <w:rFonts w:ascii="Times New Roman" w:eastAsia="Times New Roman"/>
                <w:spacing w:val="-1"/>
                <w:w w:val="99"/>
                <w:sz w:val="21"/>
              </w:rPr>
              <w:t>AS</w:t>
            </w:r>
            <w:r>
              <w:rPr>
                <w:rFonts w:ascii="Times New Roman" w:eastAsia="Times New Roman"/>
                <w:w w:val="99"/>
                <w:sz w:val="21"/>
              </w:rPr>
              <w:t>T</w:t>
            </w:r>
            <w:r>
              <w:rPr>
                <w:rFonts w:ascii="Times New Roman" w:eastAsia="Times New Roman"/>
                <w:sz w:val="21"/>
              </w:rPr>
              <w:t>&gt;1</w:t>
            </w:r>
            <w:r>
              <w:rPr>
                <w:rFonts w:ascii="Times New Roman" w:eastAsia="Times New Roman"/>
                <w:spacing w:val="-1"/>
                <w:sz w:val="21"/>
              </w:rPr>
              <w:t>0</w:t>
            </w:r>
            <w:r>
              <w:rPr>
                <w:rFonts w:ascii="Times New Roman" w:eastAsia="Times New Roman"/>
                <w:sz w:val="21"/>
              </w:rPr>
              <w:t>00</w:t>
            </w:r>
            <w:r>
              <w:rPr>
                <w:rFonts w:ascii="Times New Roman" w:eastAsia="Times New Roman"/>
                <w:spacing w:val="-1"/>
                <w:sz w:val="21"/>
              </w:rPr>
              <w:t>I</w:t>
            </w:r>
            <w:r>
              <w:rPr>
                <w:rFonts w:ascii="Times New Roman" w:eastAsia="Times New Roman"/>
                <w:spacing w:val="-1"/>
                <w:w w:val="99"/>
                <w:sz w:val="21"/>
              </w:rPr>
              <w:t>U</w:t>
            </w:r>
            <w:r>
              <w:rPr>
                <w:rFonts w:ascii="Times New Roman" w:eastAsia="Times New Roman"/>
                <w:sz w:val="21"/>
              </w:rPr>
              <w:t>/</w:t>
            </w:r>
            <w:r>
              <w:rPr>
                <w:rFonts w:ascii="Times New Roman" w:eastAsia="Times New Roman"/>
                <w:spacing w:val="-2"/>
                <w:sz w:val="21"/>
              </w:rPr>
              <w:t>L</w:t>
            </w:r>
            <w:r>
              <w:rPr>
                <w:spacing w:val="-106"/>
                <w:sz w:val="21"/>
              </w:rPr>
              <w:t>）</w:t>
            </w:r>
            <w:r>
              <w:rPr>
                <w:spacing w:val="-8"/>
                <w:sz w:val="21"/>
              </w:rPr>
              <w:t>、</w:t>
            </w:r>
            <w:r>
              <w:rPr>
                <w:rFonts w:ascii="Times New Roman" w:eastAsia="Times New Roman"/>
                <w:spacing w:val="-8"/>
                <w:sz w:val="21"/>
              </w:rPr>
              <w:t>ARDS</w:t>
            </w:r>
          </w:p>
          <w:p>
            <w:pPr>
              <w:pStyle w:val="11"/>
              <w:spacing w:before="43"/>
              <w:rPr>
                <w:sz w:val="21"/>
              </w:rPr>
            </w:pPr>
            <w:r>
              <w:rPr>
                <w:sz w:val="21"/>
              </w:rPr>
              <w:t>（急性呼吸窘迫综合征</w:t>
            </w:r>
            <w:r>
              <w:rPr>
                <w:spacing w:val="-106"/>
                <w:sz w:val="21"/>
              </w:rPr>
              <w:t>）</w:t>
            </w:r>
            <w:r>
              <w:rPr>
                <w:spacing w:val="-1"/>
                <w:sz w:val="21"/>
              </w:rPr>
              <w:t>、急性心功能衰竭、急性肾功能衰竭、脑病。</w:t>
            </w:r>
          </w:p>
          <w:p>
            <w:pPr>
              <w:pStyle w:val="11"/>
              <w:spacing w:before="42"/>
              <w:rPr>
                <w:rFonts w:ascii="黑体" w:eastAsia="黑体"/>
                <w:sz w:val="21"/>
              </w:rPr>
            </w:pPr>
            <w:r>
              <w:rPr>
                <w:rFonts w:ascii="黑体" w:eastAsia="黑体"/>
                <w:color w:val="000000"/>
                <w:spacing w:val="-1"/>
                <w:sz w:val="21"/>
                <w:shd w:val="clear" w:color="auto" w:fill="DADADA"/>
              </w:rPr>
              <w:t>非出血性登革热并不在保障范围内。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951"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5"/>
              <w:ind w:left="0"/>
              <w:rPr>
                <w:sz w:val="23"/>
              </w:rPr>
            </w:pPr>
          </w:p>
          <w:p>
            <w:pPr>
              <w:pStyle w:val="11"/>
              <w:ind w:left="107"/>
              <w:rPr>
                <w:sz w:val="21"/>
              </w:rPr>
            </w:pPr>
            <w:r>
              <w:rPr>
                <w:spacing w:val="-2"/>
                <w:sz w:val="21"/>
              </w:rPr>
              <w:t>四十、原位癌</w:t>
            </w:r>
          </w:p>
        </w:tc>
        <w:tc>
          <w:tcPr>
            <w:tcW w:w="6804" w:type="dxa"/>
          </w:tcPr>
          <w:p>
            <w:pPr>
              <w:pStyle w:val="11"/>
              <w:spacing w:before="21" w:line="278" w:lineRule="auto"/>
              <w:ind w:right="93"/>
              <w:jc w:val="both"/>
              <w:rPr>
                <w:rFonts w:ascii="黑体" w:eastAsia="黑体"/>
                <w:sz w:val="21"/>
              </w:rPr>
            </w:pPr>
            <w:r>
              <w:rPr>
                <w:spacing w:val="-2"/>
                <w:sz w:val="21"/>
              </w:rPr>
              <w:t>原位癌指恶性细胞局限于上皮内但尚未穿破基底膜浸润周围正常组织的癌细胞新生物。索赔时须提交由病理科专科医生签署的固定活组织的组织病理学检查报告和由专科医生签署的临床诊断及治疗报告，临床诊断</w:t>
            </w:r>
            <w:r>
              <w:rPr>
                <w:sz w:val="21"/>
              </w:rPr>
              <w:t>属于世界卫生组织（</w:t>
            </w:r>
            <w:r>
              <w:rPr>
                <w:rFonts w:ascii="Times New Roman" w:eastAsia="Times New Roman"/>
                <w:sz w:val="21"/>
              </w:rPr>
              <w:t>WHO</w:t>
            </w:r>
            <w:r>
              <w:rPr>
                <w:sz w:val="21"/>
              </w:rPr>
              <w:t>，</w:t>
            </w:r>
            <w:r>
              <w:rPr>
                <w:rFonts w:ascii="Times New Roman" w:eastAsia="Times New Roman"/>
                <w:sz w:val="21"/>
              </w:rPr>
              <w:t xml:space="preserve">World Health Organization) </w:t>
            </w:r>
            <w:r>
              <w:rPr>
                <w:sz w:val="21"/>
              </w:rPr>
              <w:t>《疾病和有关健</w:t>
            </w:r>
            <w:r>
              <w:rPr>
                <w:spacing w:val="-2"/>
                <w:sz w:val="21"/>
              </w:rPr>
              <w:t>康问题的国际统计分类》第十次修订版（</w:t>
            </w:r>
            <w:r>
              <w:rPr>
                <w:rFonts w:ascii="Times New Roman" w:eastAsia="Times New Roman"/>
                <w:spacing w:val="-2"/>
                <w:sz w:val="21"/>
              </w:rPr>
              <w:t>ICD-10</w:t>
            </w:r>
            <w:r>
              <w:rPr>
                <w:spacing w:val="-2"/>
                <w:sz w:val="21"/>
              </w:rPr>
              <w:t>）的原位癌范畴，并且已经接受了针对原位癌病灶的手术切除治疗。</w:t>
            </w:r>
            <w:r>
              <w:rPr>
                <w:rFonts w:ascii="黑体" w:eastAsia="黑体"/>
                <w:spacing w:val="-2"/>
                <w:sz w:val="21"/>
              </w:rPr>
              <w:t>仅凭细胞学检查结果的临床诊断将不被接受。</w:t>
            </w:r>
          </w:p>
          <w:p>
            <w:pPr>
              <w:pStyle w:val="11"/>
              <w:spacing w:line="278" w:lineRule="auto"/>
              <w:ind w:right="-15"/>
              <w:jc w:val="both"/>
              <w:rPr>
                <w:rFonts w:ascii="黑体" w:eastAsia="黑体"/>
                <w:sz w:val="21"/>
              </w:rPr>
            </w:pPr>
            <w:r>
              <w:rPr>
                <w:rFonts w:ascii="黑体" w:eastAsia="黑体"/>
                <w:color w:val="000000"/>
                <w:spacing w:val="-4"/>
                <w:sz w:val="21"/>
                <w:shd w:val="clear" w:color="auto" w:fill="DADADA"/>
              </w:rPr>
              <w:t xml:space="preserve">癌前病变、宫颈上皮内瘤样病变 </w:t>
            </w:r>
            <w:r>
              <w:rPr>
                <w:rFonts w:ascii="Times New Roman" w:eastAsia="Times New Roman"/>
                <w:color w:val="000000"/>
                <w:sz w:val="21"/>
                <w:shd w:val="clear" w:color="auto" w:fill="DADADA"/>
              </w:rPr>
              <w:t>C</w:t>
            </w:r>
            <w:r>
              <w:rPr>
                <w:rFonts w:ascii="Times New Roman" w:eastAsia="Times New Roman"/>
                <w:color w:val="000000"/>
                <w:spacing w:val="-1"/>
                <w:w w:val="99"/>
                <w:sz w:val="21"/>
                <w:shd w:val="clear" w:color="auto" w:fill="DADADA"/>
              </w:rPr>
              <w:t>IN-</w:t>
            </w:r>
            <w:r>
              <w:rPr>
                <w:rFonts w:ascii="Times New Roman" w:eastAsia="Times New Roman"/>
                <w:color w:val="000000"/>
                <w:w w:val="99"/>
                <w:sz w:val="21"/>
                <w:shd w:val="clear" w:color="auto" w:fill="DADADA"/>
              </w:rPr>
              <w:t>1</w:t>
            </w:r>
            <w:r>
              <w:rPr>
                <w:rFonts w:ascii="黑体" w:eastAsia="黑体"/>
                <w:color w:val="000000"/>
                <w:spacing w:val="1"/>
                <w:w w:val="99"/>
                <w:sz w:val="21"/>
                <w:shd w:val="clear" w:color="auto" w:fill="DADADA"/>
              </w:rPr>
              <w:t>，</w:t>
            </w:r>
            <w:r>
              <w:rPr>
                <w:rFonts w:ascii="Times New Roman" w:eastAsia="Times New Roman"/>
                <w:color w:val="000000"/>
                <w:w w:val="99"/>
                <w:sz w:val="21"/>
                <w:shd w:val="clear" w:color="auto" w:fill="DADADA"/>
              </w:rPr>
              <w:t>C</w:t>
            </w:r>
            <w:r>
              <w:rPr>
                <w:rFonts w:ascii="Times New Roman" w:eastAsia="Times New Roman"/>
                <w:color w:val="000000"/>
                <w:spacing w:val="-1"/>
                <w:w w:val="99"/>
                <w:sz w:val="21"/>
                <w:shd w:val="clear" w:color="auto" w:fill="DADADA"/>
              </w:rPr>
              <w:t>IN-2</w:t>
            </w:r>
            <w:r>
              <w:rPr>
                <w:rFonts w:ascii="黑体" w:eastAsia="黑体"/>
                <w:color w:val="000000"/>
                <w:w w:val="99"/>
                <w:sz w:val="21"/>
                <w:shd w:val="clear" w:color="auto" w:fill="DADADA"/>
              </w:rPr>
              <w:t xml:space="preserve">，重度不典型增生但非原                                                                                                                            </w:t>
            </w:r>
            <w:r>
              <w:rPr>
                <w:rFonts w:ascii="黑体" w:eastAsia="黑体"/>
                <w:color w:val="000000"/>
                <w:spacing w:val="2"/>
                <w:w w:val="99"/>
                <w:sz w:val="21"/>
                <w:shd w:val="clear" w:color="auto" w:fill="DADADA"/>
              </w:rPr>
              <w:t>位癌、感染艾滋病毒或患艾滋病期间所患极早期恶性肿瘤或恶性病变不</w:t>
            </w:r>
            <w:r>
              <w:rPr>
                <w:rFonts w:ascii="黑体" w:eastAsia="黑体"/>
                <w:color w:val="000000"/>
                <w:spacing w:val="-4"/>
                <w:w w:val="99"/>
                <w:sz w:val="21"/>
                <w:shd w:val="clear" w:color="auto" w:fill="DADADA"/>
              </w:rPr>
              <w:t>在保障范围之内。对被保险人所患癌症在被诊时已经超越原位癌阶段者，</w:t>
            </w:r>
          </w:p>
          <w:p>
            <w:pPr>
              <w:pStyle w:val="11"/>
              <w:spacing w:line="269" w:lineRule="exact"/>
              <w:rPr>
                <w:rFonts w:ascii="黑体" w:eastAsia="黑体"/>
                <w:sz w:val="21"/>
              </w:rPr>
            </w:pPr>
            <w:r>
              <w:rPr>
                <w:rFonts w:ascii="黑体" w:eastAsia="黑体"/>
                <w:color w:val="000000"/>
                <w:spacing w:val="-2"/>
                <w:sz w:val="21"/>
                <w:shd w:val="clear" w:color="auto" w:fill="DADADA"/>
              </w:rPr>
              <w:t>不在保障范围内。</w:t>
            </w:r>
          </w:p>
        </w:tc>
      </w:tr>
    </w:tbl>
    <w:p>
      <w:pPr>
        <w:spacing w:after="0" w:line="269" w:lineRule="exact"/>
        <w:rPr>
          <w:rFonts w:ascii="黑体" w:eastAsia="黑体"/>
          <w:sz w:val="21"/>
        </w:rPr>
        <w:sectPr>
          <w:type w:val="continuous"/>
          <w:pgSz w:w="11910" w:h="16840"/>
          <w:pgMar w:top="1420" w:right="1160" w:bottom="1540" w:left="1540" w:header="0" w:footer="1264" w:gutter="0"/>
          <w:cols w:space="720" w:num="1"/>
        </w:sectPr>
      </w:pPr>
    </w:p>
    <w:p>
      <w:pPr>
        <w:pStyle w:val="2"/>
        <w:spacing w:before="42"/>
        <w:jc w:val="left"/>
      </w:pPr>
      <w:r>
        <w:pict>
          <v:shape id="docshape14" o:spid="_x0000_s1030" o:spt="202" type="#_x0000_t202" style="position:absolute;left:0pt;margin-left:82.55pt;margin-top:118.75pt;height:634.75pt;width:439.95pt;mso-position-horizontal-relative:page;mso-position-vertical-relative:page;z-index:251661312;mso-width-relative:page;mso-height-relative:page;" filled="f" stroked="f" coordsize="21600,21600">
            <v:path/>
            <v:fill on="f" focussize="0,0"/>
            <v:stroke on="f" joinstyle="miter"/>
            <v:imagedata o:title=""/>
            <o:lock v:ext="edit"/>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5"/>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1985" w:type="dxa"/>
                      </w:tcPr>
                      <w:p>
                        <w:pPr>
                          <w:pStyle w:val="11"/>
                          <w:spacing w:before="12"/>
                          <w:ind w:left="0"/>
                          <w:rPr>
                            <w:rFonts w:ascii="黑体"/>
                            <w:sz w:val="29"/>
                          </w:rPr>
                        </w:pPr>
                      </w:p>
                      <w:p>
                        <w:pPr>
                          <w:pStyle w:val="11"/>
                          <w:rPr>
                            <w:sz w:val="21"/>
                          </w:rPr>
                        </w:pPr>
                        <w:r>
                          <w:rPr>
                            <w:spacing w:val="-2"/>
                            <w:sz w:val="21"/>
                          </w:rPr>
                          <w:t>一、单个肢体缺失</w:t>
                        </w:r>
                      </w:p>
                    </w:tc>
                    <w:tc>
                      <w:tcPr>
                        <w:tcW w:w="6804" w:type="dxa"/>
                      </w:tcPr>
                      <w:p>
                        <w:pPr>
                          <w:pStyle w:val="11"/>
                          <w:spacing w:before="72" w:line="278" w:lineRule="auto"/>
                          <w:ind w:right="98"/>
                          <w:rPr>
                            <w:sz w:val="21"/>
                          </w:rPr>
                        </w:pPr>
                        <w:r>
                          <w:rPr>
                            <w:spacing w:val="-2"/>
                            <w:sz w:val="21"/>
                          </w:rPr>
                          <w:t>指一个肢体自腕关节或踝关节近端（靠近躯干端）以上完全性断离，但未达到“失去一肢及一眼”或“多个肢体缺失”的给付标准。</w:t>
                        </w:r>
                      </w:p>
                      <w:p>
                        <w:pPr>
                          <w:pStyle w:val="11"/>
                          <w:spacing w:line="269" w:lineRule="exact"/>
                          <w:rPr>
                            <w:rFonts w:ascii="黑体" w:eastAsia="黑体"/>
                            <w:sz w:val="21"/>
                          </w:rPr>
                        </w:pPr>
                        <w:r>
                          <w:rPr>
                            <w:rFonts w:ascii="黑体" w:eastAsia="黑体"/>
                            <w:color w:val="000000"/>
                            <w:spacing w:val="-1"/>
                            <w:sz w:val="21"/>
                            <w:shd w:val="clear" w:color="auto" w:fill="DADADA"/>
                          </w:rPr>
                          <w:t>因恶性肿瘤导致的肢体切除不在保障范围内。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1985" w:type="dxa"/>
                        <w:tcBorders>
                          <w:bottom w:val="nil"/>
                        </w:tcBorders>
                      </w:tcPr>
                      <w:p>
                        <w:pPr>
                          <w:pStyle w:val="11"/>
                          <w:ind w:left="0"/>
                          <w:rPr>
                            <w:rFonts w:ascii="Times New Roman"/>
                            <w:sz w:val="20"/>
                          </w:rPr>
                        </w:pPr>
                      </w:p>
                    </w:tc>
                    <w:tc>
                      <w:tcPr>
                        <w:tcW w:w="6804" w:type="dxa"/>
                        <w:tcBorders>
                          <w:bottom w:val="nil"/>
                        </w:tcBorders>
                      </w:tcPr>
                      <w:p>
                        <w:pPr>
                          <w:pStyle w:val="11"/>
                          <w:spacing w:before="121"/>
                          <w:rPr>
                            <w:sz w:val="21"/>
                          </w:rPr>
                        </w:pPr>
                        <w:r>
                          <w:rPr>
                            <w:spacing w:val="-1"/>
                            <w:sz w:val="21"/>
                          </w:rPr>
                          <w:t>指因大脑进行性、不可逆性改变导致智能严重衰退或丧失，临床表现为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85" w:type="dxa"/>
                        <w:tcBorders>
                          <w:top w:val="nil"/>
                          <w:bottom w:val="nil"/>
                        </w:tcBorders>
                      </w:tcPr>
                      <w:p>
                        <w:pPr>
                          <w:pStyle w:val="11"/>
                          <w:ind w:left="0"/>
                          <w:rPr>
                            <w:rFonts w:ascii="Times New Roman"/>
                            <w:sz w:val="20"/>
                          </w:rPr>
                        </w:pPr>
                      </w:p>
                    </w:tc>
                    <w:tc>
                      <w:tcPr>
                        <w:tcW w:w="6804" w:type="dxa"/>
                        <w:tcBorders>
                          <w:top w:val="nil"/>
                          <w:bottom w:val="nil"/>
                        </w:tcBorders>
                      </w:tcPr>
                      <w:p>
                        <w:pPr>
                          <w:pStyle w:val="11"/>
                          <w:spacing w:before="21" w:line="267" w:lineRule="exact"/>
                          <w:rPr>
                            <w:sz w:val="21"/>
                          </w:rPr>
                        </w:pPr>
                        <w:r>
                          <w:rPr>
                            <w:spacing w:val="-1"/>
                            <w:sz w:val="21"/>
                          </w:rPr>
                          <w:t>明显的认知能力障碍、行为异常和社交能力减退，其日常生活必须持续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985" w:type="dxa"/>
                        <w:tcBorders>
                          <w:top w:val="nil"/>
                          <w:bottom w:val="nil"/>
                        </w:tcBorders>
                      </w:tcPr>
                      <w:p>
                        <w:pPr>
                          <w:pStyle w:val="11"/>
                          <w:spacing w:before="1"/>
                          <w:ind w:left="0"/>
                          <w:rPr>
                            <w:rFonts w:ascii="黑体"/>
                            <w:sz w:val="23"/>
                          </w:rPr>
                        </w:pPr>
                      </w:p>
                      <w:p>
                        <w:pPr>
                          <w:pStyle w:val="11"/>
                          <w:spacing w:line="310" w:lineRule="atLeast"/>
                          <w:ind w:right="83"/>
                          <w:rPr>
                            <w:sz w:val="21"/>
                          </w:rPr>
                        </w:pPr>
                        <w:r>
                          <w:rPr>
                            <w:spacing w:val="9"/>
                            <w:sz w:val="21"/>
                          </w:rPr>
                          <w:t>二、中度阿尔茨海</w:t>
                        </w:r>
                        <w:r>
                          <w:rPr>
                            <w:spacing w:val="-6"/>
                            <w:sz w:val="21"/>
                          </w:rPr>
                          <w:t>默病</w:t>
                        </w:r>
                      </w:p>
                    </w:tc>
                    <w:tc>
                      <w:tcPr>
                        <w:tcW w:w="6804" w:type="dxa"/>
                        <w:tcBorders>
                          <w:top w:val="nil"/>
                          <w:bottom w:val="nil"/>
                        </w:tcBorders>
                      </w:tcPr>
                      <w:p>
                        <w:pPr>
                          <w:pStyle w:val="11"/>
                          <w:spacing w:before="25"/>
                          <w:rPr>
                            <w:sz w:val="21"/>
                          </w:rPr>
                        </w:pPr>
                        <w:r>
                          <w:rPr>
                            <w:spacing w:val="-4"/>
                            <w:sz w:val="21"/>
                          </w:rPr>
                          <w:t>受到他人监护。须由头颅断层扫描</w:t>
                        </w:r>
                        <w:r>
                          <w:rPr>
                            <w:rFonts w:ascii="Times New Roman" w:eastAsia="Times New Roman"/>
                            <w:spacing w:val="-4"/>
                            <w:sz w:val="21"/>
                          </w:rPr>
                          <w:t>(CT)</w:t>
                        </w:r>
                        <w:r>
                          <w:rPr>
                            <w:spacing w:val="-4"/>
                            <w:sz w:val="21"/>
                          </w:rPr>
                          <w:t>、核磁共振检查（</w:t>
                        </w:r>
                        <w:r>
                          <w:rPr>
                            <w:rFonts w:ascii="Times New Roman" w:eastAsia="Times New Roman"/>
                            <w:spacing w:val="-4"/>
                            <w:sz w:val="21"/>
                          </w:rPr>
                          <w:t>MRI</w:t>
                        </w:r>
                        <w:r>
                          <w:rPr>
                            <w:spacing w:val="-4"/>
                            <w:sz w:val="21"/>
                          </w:rPr>
                          <w:t>）</w:t>
                        </w:r>
                        <w:r>
                          <w:rPr>
                            <w:spacing w:val="-6"/>
                            <w:sz w:val="21"/>
                          </w:rPr>
                          <w:t>或正电子</w:t>
                        </w:r>
                      </w:p>
                      <w:p>
                        <w:pPr>
                          <w:pStyle w:val="11"/>
                          <w:spacing w:before="2" w:line="310" w:lineRule="atLeast"/>
                          <w:ind w:right="12" w:hanging="1"/>
                          <w:rPr>
                            <w:sz w:val="21"/>
                          </w:rPr>
                        </w:pPr>
                        <w:r>
                          <w:rPr>
                            <w:spacing w:val="-2"/>
                            <w:sz w:val="21"/>
                          </w:rPr>
                          <w:t>发射断层扫描（</w:t>
                        </w:r>
                        <w:r>
                          <w:rPr>
                            <w:rFonts w:ascii="Times New Roman" w:hAnsi="Times New Roman" w:eastAsia="Times New Roman"/>
                            <w:spacing w:val="-2"/>
                            <w:sz w:val="21"/>
                          </w:rPr>
                          <w:t>PET</w:t>
                        </w:r>
                        <w:r>
                          <w:rPr>
                            <w:spacing w:val="-2"/>
                            <w:sz w:val="21"/>
                          </w:rPr>
                          <w:t>）等影像学检查证实，并且自主生活能力严重丧失，经鉴定无法独立完成六项基本日常生活活动中的两项，但未达到“严重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85" w:type="dxa"/>
                        <w:tcBorders>
                          <w:top w:val="nil"/>
                          <w:bottom w:val="nil"/>
                        </w:tcBorders>
                      </w:tcPr>
                      <w:p>
                        <w:pPr>
                          <w:pStyle w:val="11"/>
                          <w:ind w:left="0"/>
                          <w:rPr>
                            <w:rFonts w:ascii="Times New Roman"/>
                            <w:sz w:val="20"/>
                          </w:rPr>
                        </w:pPr>
                      </w:p>
                    </w:tc>
                    <w:tc>
                      <w:tcPr>
                        <w:tcW w:w="6804" w:type="dxa"/>
                        <w:tcBorders>
                          <w:top w:val="nil"/>
                          <w:bottom w:val="nil"/>
                        </w:tcBorders>
                      </w:tcPr>
                      <w:p>
                        <w:pPr>
                          <w:pStyle w:val="11"/>
                          <w:spacing w:before="21" w:line="267" w:lineRule="exact"/>
                          <w:rPr>
                            <w:sz w:val="21"/>
                          </w:rPr>
                        </w:pPr>
                        <w:r>
                          <w:rPr>
                            <w:spacing w:val="-1"/>
                            <w:sz w:val="21"/>
                          </w:rPr>
                          <w:t>阿尔茨海默病”或“瘫痪”的给付标准。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1985" w:type="dxa"/>
                        <w:tcBorders>
                          <w:top w:val="nil"/>
                        </w:tcBorders>
                      </w:tcPr>
                      <w:p>
                        <w:pPr>
                          <w:pStyle w:val="11"/>
                          <w:ind w:left="0"/>
                          <w:rPr>
                            <w:rFonts w:ascii="Times New Roman"/>
                            <w:sz w:val="20"/>
                          </w:rPr>
                        </w:pPr>
                      </w:p>
                    </w:tc>
                    <w:tc>
                      <w:tcPr>
                        <w:tcW w:w="6804" w:type="dxa"/>
                        <w:tcBorders>
                          <w:top w:val="nil"/>
                        </w:tcBorders>
                        <w:shd w:val="clear" w:color="auto" w:fill="DADADA"/>
                      </w:tcPr>
                      <w:p>
                        <w:pPr>
                          <w:pStyle w:val="11"/>
                          <w:spacing w:before="24" w:line="278" w:lineRule="auto"/>
                          <w:ind w:right="100"/>
                          <w:rPr>
                            <w:rFonts w:ascii="黑体" w:eastAsia="黑体"/>
                            <w:sz w:val="21"/>
                          </w:rPr>
                        </w:pPr>
                        <w:r>
                          <w:rPr>
                            <w:rFonts w:ascii="黑体" w:eastAsia="黑体"/>
                            <w:spacing w:val="-9"/>
                            <w:sz w:val="21"/>
                          </w:rPr>
                          <w:t>以下情况不在保障范围内：</w:t>
                        </w:r>
                        <w:r>
                          <w:rPr>
                            <w:rFonts w:ascii="黑体" w:eastAsia="黑体"/>
                            <w:spacing w:val="24"/>
                            <w:sz w:val="21"/>
                          </w:rPr>
                          <w:t>（</w:t>
                        </w:r>
                        <w:r>
                          <w:rPr>
                            <w:rFonts w:ascii="Times New Roman" w:eastAsia="Times New Roman"/>
                            <w:spacing w:val="22"/>
                            <w:sz w:val="21"/>
                          </w:rPr>
                          <w:t>1</w:t>
                        </w:r>
                        <w:r>
                          <w:rPr>
                            <w:rFonts w:ascii="黑体" w:eastAsia="黑体"/>
                            <w:spacing w:val="24"/>
                            <w:sz w:val="21"/>
                          </w:rPr>
                          <w:t>）</w:t>
                        </w:r>
                        <w:r>
                          <w:rPr>
                            <w:rFonts w:ascii="黑体" w:eastAsia="黑体"/>
                            <w:spacing w:val="-2"/>
                            <w:sz w:val="21"/>
                          </w:rPr>
                          <w:t>存在酒精滥用、药物滥用或获得性免疫缺陷综合征（</w:t>
                        </w:r>
                        <w:r>
                          <w:rPr>
                            <w:rFonts w:ascii="Times New Roman" w:eastAsia="Times New Roman"/>
                            <w:spacing w:val="-2"/>
                            <w:sz w:val="21"/>
                          </w:rPr>
                          <w:t>AIDS</w:t>
                        </w:r>
                        <w:r>
                          <w:rPr>
                            <w:rFonts w:ascii="黑体" w:eastAsia="黑体"/>
                            <w:spacing w:val="-2"/>
                            <w:sz w:val="21"/>
                          </w:rPr>
                          <w:t>）</w:t>
                        </w:r>
                        <w:r>
                          <w:rPr>
                            <w:rFonts w:ascii="黑体" w:eastAsia="黑体"/>
                            <w:spacing w:val="-14"/>
                            <w:sz w:val="21"/>
                          </w:rPr>
                          <w:t>情况下的痴呆；</w:t>
                        </w:r>
                        <w:r>
                          <w:rPr>
                            <w:rFonts w:ascii="黑体" w:eastAsia="黑体"/>
                            <w:spacing w:val="24"/>
                            <w:sz w:val="21"/>
                          </w:rPr>
                          <w:t>（</w:t>
                        </w:r>
                        <w:r>
                          <w:rPr>
                            <w:rFonts w:ascii="Times New Roman" w:eastAsia="Times New Roman"/>
                            <w:spacing w:val="23"/>
                            <w:sz w:val="21"/>
                          </w:rPr>
                          <w:t>2</w:t>
                        </w:r>
                        <w:r>
                          <w:rPr>
                            <w:rFonts w:ascii="黑体" w:eastAsia="黑体"/>
                            <w:spacing w:val="24"/>
                            <w:sz w:val="21"/>
                          </w:rPr>
                          <w:t>）</w:t>
                        </w:r>
                        <w:r>
                          <w:rPr>
                            <w:rFonts w:ascii="黑体" w:eastAsia="黑体"/>
                            <w:spacing w:val="-2"/>
                            <w:sz w:val="21"/>
                          </w:rPr>
                          <w:t>神经官能症和精神疾病。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985" w:type="dxa"/>
                        <w:tcBorders>
                          <w:bottom w:val="nil"/>
                        </w:tcBorders>
                      </w:tcPr>
                      <w:p>
                        <w:pPr>
                          <w:pStyle w:val="11"/>
                          <w:ind w:left="0"/>
                          <w:rPr>
                            <w:rFonts w:ascii="Times New Roman"/>
                            <w:sz w:val="20"/>
                          </w:rPr>
                        </w:pPr>
                      </w:p>
                    </w:tc>
                    <w:tc>
                      <w:tcPr>
                        <w:tcW w:w="6804" w:type="dxa"/>
                        <w:tcBorders>
                          <w:bottom w:val="nil"/>
                        </w:tcBorders>
                      </w:tcPr>
                      <w:p>
                        <w:pPr>
                          <w:pStyle w:val="11"/>
                          <w:spacing w:before="20"/>
                          <w:ind w:right="-15"/>
                          <w:rPr>
                            <w:sz w:val="21"/>
                          </w:rPr>
                        </w:pPr>
                        <w:r>
                          <w:rPr>
                            <w:spacing w:val="-3"/>
                            <w:sz w:val="21"/>
                          </w:rPr>
                          <w:t>是一种中枢神经系统的退行性疾病，临床表现为震颤麻痹、共济失调等。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985" w:type="dxa"/>
                        <w:tcBorders>
                          <w:top w:val="nil"/>
                        </w:tcBorders>
                      </w:tcPr>
                      <w:p>
                        <w:pPr>
                          <w:pStyle w:val="11"/>
                          <w:spacing w:before="177" w:line="278" w:lineRule="auto"/>
                          <w:ind w:right="83"/>
                          <w:rPr>
                            <w:sz w:val="21"/>
                          </w:rPr>
                        </w:pPr>
                        <w:r>
                          <w:rPr>
                            <w:spacing w:val="9"/>
                            <w:sz w:val="21"/>
                          </w:rPr>
                          <w:t>三、中度原发性帕</w:t>
                        </w:r>
                        <w:r>
                          <w:rPr>
                            <w:spacing w:val="-4"/>
                            <w:sz w:val="21"/>
                          </w:rPr>
                          <w:t>金森氏病</w:t>
                        </w:r>
                      </w:p>
                    </w:tc>
                    <w:tc>
                      <w:tcPr>
                        <w:tcW w:w="6804" w:type="dxa"/>
                        <w:tcBorders>
                          <w:top w:val="nil"/>
                        </w:tcBorders>
                      </w:tcPr>
                      <w:p>
                        <w:pPr>
                          <w:pStyle w:val="11"/>
                          <w:spacing w:before="21" w:line="278" w:lineRule="auto"/>
                          <w:ind w:right="-15"/>
                          <w:jc w:val="both"/>
                          <w:rPr>
                            <w:sz w:val="21"/>
                          </w:rPr>
                        </w:pPr>
                        <w:r>
                          <w:rPr>
                            <w:spacing w:val="-2"/>
                            <w:sz w:val="21"/>
                          </w:rPr>
                          <w:t>须同时符合下列所有条件，但未达到“严重原发性帕金森病”或“瘫痪”</w:t>
                        </w:r>
                        <w:r>
                          <w:rPr>
                            <w:spacing w:val="-24"/>
                            <w:sz w:val="21"/>
                          </w:rPr>
                          <w:t>的给付标准：</w:t>
                        </w:r>
                        <w:r>
                          <w:rPr>
                            <w:spacing w:val="19"/>
                            <w:sz w:val="21"/>
                          </w:rPr>
                          <w:t>（</w:t>
                        </w:r>
                        <w:r>
                          <w:rPr>
                            <w:rFonts w:ascii="Times New Roman" w:hAnsi="Times New Roman" w:eastAsia="Times New Roman"/>
                            <w:spacing w:val="19"/>
                            <w:sz w:val="21"/>
                          </w:rPr>
                          <w:t>1</w:t>
                        </w:r>
                        <w:r>
                          <w:rPr>
                            <w:spacing w:val="13"/>
                            <w:sz w:val="21"/>
                          </w:rPr>
                          <w:t>）</w:t>
                        </w:r>
                        <w:r>
                          <w:rPr>
                            <w:spacing w:val="-20"/>
                            <w:sz w:val="21"/>
                          </w:rPr>
                          <w:t>无法通过药物控制；</w:t>
                        </w:r>
                        <w:r>
                          <w:rPr>
                            <w:spacing w:val="19"/>
                            <w:sz w:val="21"/>
                          </w:rPr>
                          <w:t>（</w:t>
                        </w:r>
                        <w:r>
                          <w:rPr>
                            <w:rFonts w:ascii="Times New Roman" w:hAnsi="Times New Roman" w:eastAsia="Times New Roman"/>
                            <w:spacing w:val="19"/>
                            <w:sz w:val="21"/>
                          </w:rPr>
                          <w:t>2</w:t>
                        </w:r>
                        <w:r>
                          <w:rPr>
                            <w:spacing w:val="13"/>
                            <w:sz w:val="21"/>
                          </w:rPr>
                          <w:t>）</w:t>
                        </w:r>
                        <w:r>
                          <w:rPr>
                            <w:spacing w:val="-18"/>
                            <w:sz w:val="21"/>
                          </w:rPr>
                          <w:t>出现逐步退化客观征状；</w:t>
                        </w:r>
                        <w:r>
                          <w:rPr>
                            <w:spacing w:val="17"/>
                            <w:sz w:val="21"/>
                          </w:rPr>
                          <w:t>（</w:t>
                        </w:r>
                        <w:r>
                          <w:rPr>
                            <w:rFonts w:ascii="Times New Roman" w:hAnsi="Times New Roman" w:eastAsia="Times New Roman"/>
                            <w:spacing w:val="18"/>
                            <w:sz w:val="21"/>
                          </w:rPr>
                          <w:t>3</w:t>
                        </w:r>
                        <w:r>
                          <w:rPr>
                            <w:spacing w:val="17"/>
                            <w:sz w:val="21"/>
                          </w:rPr>
                          <w:t>）</w:t>
                        </w:r>
                        <w:r>
                          <w:rPr>
                            <w:spacing w:val="-3"/>
                            <w:sz w:val="21"/>
                          </w:rPr>
                          <w:t xml:space="preserve">经鉴定至少持续 </w:t>
                        </w:r>
                        <w:r>
                          <w:rPr>
                            <w:rFonts w:ascii="Times New Roman" w:hAnsi="Times New Roman" w:eastAsia="Times New Roman"/>
                            <w:sz w:val="21"/>
                          </w:rPr>
                          <w:t xml:space="preserve">180 </w:t>
                        </w:r>
                        <w:r>
                          <w:rPr>
                            <w:sz w:val="21"/>
                          </w:rPr>
                          <w:t>天无法独立完成六项基本日常生活活动中的二项。</w:t>
                        </w:r>
                      </w:p>
                      <w:p>
                        <w:pPr>
                          <w:pStyle w:val="11"/>
                          <w:spacing w:line="269" w:lineRule="exact"/>
                          <w:rPr>
                            <w:rFonts w:ascii="黑体" w:eastAsia="黑体"/>
                            <w:sz w:val="21"/>
                          </w:rPr>
                        </w:pPr>
                        <w:r>
                          <w:rPr>
                            <w:rFonts w:ascii="黑体" w:eastAsia="黑体"/>
                            <w:color w:val="000000"/>
                            <w:spacing w:val="-1"/>
                            <w:sz w:val="21"/>
                            <w:shd w:val="clear" w:color="auto" w:fill="DADADA"/>
                          </w:rPr>
                          <w:t>继发性帕金森综合征不在保障范围内。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85" w:type="dxa"/>
                      </w:tcPr>
                      <w:p>
                        <w:pPr>
                          <w:pStyle w:val="11"/>
                          <w:ind w:left="0"/>
                          <w:rPr>
                            <w:rFonts w:ascii="黑体"/>
                            <w:sz w:val="20"/>
                          </w:rPr>
                        </w:pPr>
                      </w:p>
                      <w:p>
                        <w:pPr>
                          <w:pStyle w:val="11"/>
                          <w:ind w:left="0"/>
                          <w:rPr>
                            <w:rFonts w:ascii="黑体"/>
                            <w:sz w:val="20"/>
                          </w:rPr>
                        </w:pPr>
                      </w:p>
                      <w:p>
                        <w:pPr>
                          <w:pStyle w:val="11"/>
                          <w:spacing w:before="7"/>
                          <w:ind w:left="0"/>
                          <w:rPr>
                            <w:rFonts w:ascii="黑体"/>
                            <w:sz w:val="22"/>
                          </w:rPr>
                        </w:pPr>
                      </w:p>
                      <w:p>
                        <w:pPr>
                          <w:pStyle w:val="11"/>
                          <w:spacing w:line="278" w:lineRule="auto"/>
                          <w:ind w:right="83"/>
                          <w:rPr>
                            <w:sz w:val="21"/>
                          </w:rPr>
                        </w:pPr>
                        <w:r>
                          <w:rPr>
                            <w:spacing w:val="9"/>
                            <w:sz w:val="21"/>
                          </w:rPr>
                          <w:t>四、中度类风湿性</w:t>
                        </w:r>
                        <w:r>
                          <w:rPr>
                            <w:spacing w:val="-4"/>
                            <w:sz w:val="21"/>
                          </w:rPr>
                          <w:t>关节炎</w:t>
                        </w:r>
                      </w:p>
                    </w:tc>
                    <w:tc>
                      <w:tcPr>
                        <w:tcW w:w="6804" w:type="dxa"/>
                      </w:tcPr>
                      <w:p>
                        <w:pPr>
                          <w:pStyle w:val="11"/>
                          <w:spacing w:before="21" w:line="278" w:lineRule="auto"/>
                          <w:ind w:right="-15"/>
                          <w:rPr>
                            <w:sz w:val="21"/>
                          </w:rPr>
                        </w:pPr>
                        <w:r>
                          <w:rPr>
                            <w:spacing w:val="1"/>
                            <w:sz w:val="21"/>
                          </w:rPr>
                          <w:t>根据美国风湿病学院的诊断标准，由风湿科专科医生明确诊断，并符合下列所有理赔条件，但未达到“严重类风湿性关节炎”或“重度幼年型</w:t>
                        </w:r>
                        <w:r>
                          <w:rPr>
                            <w:spacing w:val="-6"/>
                            <w:sz w:val="21"/>
                          </w:rPr>
                          <w:t>类风湿性关节炎”的给付标准：</w:t>
                        </w:r>
                        <w:r>
                          <w:rPr>
                            <w:spacing w:val="2"/>
                            <w:sz w:val="21"/>
                          </w:rPr>
                          <w:t>（</w:t>
                        </w:r>
                        <w:r>
                          <w:rPr>
                            <w:rFonts w:ascii="Times New Roman" w:hAnsi="Times New Roman" w:eastAsia="Times New Roman"/>
                            <w:spacing w:val="4"/>
                            <w:sz w:val="21"/>
                          </w:rPr>
                          <w:t>1</w:t>
                        </w:r>
                        <w:r>
                          <w:rPr>
                            <w:spacing w:val="2"/>
                            <w:sz w:val="21"/>
                          </w:rPr>
                          <w:t>）</w:t>
                        </w:r>
                        <w:r>
                          <w:rPr>
                            <w:spacing w:val="1"/>
                            <w:sz w:val="21"/>
                          </w:rPr>
                          <w:t>表现为关节严重变形，侵犯至少两</w:t>
                        </w:r>
                        <w:r>
                          <w:rPr>
                            <w:sz w:val="21"/>
                          </w:rPr>
                          <w:t>个主要关节或关节组（</w:t>
                        </w:r>
                        <w:r>
                          <w:rPr>
                            <w:spacing w:val="-3"/>
                            <w:sz w:val="21"/>
                          </w:rPr>
                          <w:t>如：双手</w:t>
                        </w:r>
                        <w:r>
                          <w:rPr>
                            <w:sz w:val="21"/>
                          </w:rPr>
                          <w:t>（多手指</w:t>
                        </w:r>
                        <w:r>
                          <w:rPr>
                            <w:spacing w:val="-4"/>
                            <w:sz w:val="21"/>
                          </w:rPr>
                          <w:t>）</w:t>
                        </w:r>
                        <w:r>
                          <w:rPr>
                            <w:spacing w:val="-3"/>
                            <w:sz w:val="21"/>
                          </w:rPr>
                          <w:t>关节、双足</w:t>
                        </w:r>
                        <w:r>
                          <w:rPr>
                            <w:sz w:val="21"/>
                          </w:rPr>
                          <w:t>（多足趾</w:t>
                        </w:r>
                        <w:r>
                          <w:rPr>
                            <w:spacing w:val="-4"/>
                            <w:sz w:val="21"/>
                          </w:rPr>
                          <w:t>）</w:t>
                        </w:r>
                        <w:r>
                          <w:rPr>
                            <w:sz w:val="21"/>
                          </w:rPr>
                          <w:t>关节、</w:t>
                        </w:r>
                        <w:r>
                          <w:rPr>
                            <w:spacing w:val="-2"/>
                            <w:sz w:val="21"/>
                          </w:rPr>
                          <w:t>双腕关节、双膝关节和双髋关节</w:t>
                        </w:r>
                        <w:r>
                          <w:rPr>
                            <w:spacing w:val="-105"/>
                            <w:sz w:val="21"/>
                          </w:rPr>
                          <w:t>）</w:t>
                        </w:r>
                        <w:r>
                          <w:rPr>
                            <w:spacing w:val="-114"/>
                            <w:sz w:val="21"/>
                          </w:rPr>
                          <w:t>。</w:t>
                        </w:r>
                        <w:r>
                          <w:rPr>
                            <w:sz w:val="21"/>
                          </w:rPr>
                          <w:t>（</w:t>
                        </w:r>
                        <w:r>
                          <w:rPr>
                            <w:rFonts w:ascii="Times New Roman" w:hAnsi="Times New Roman" w:eastAsia="Times New Roman"/>
                            <w:spacing w:val="-1"/>
                            <w:sz w:val="21"/>
                          </w:rPr>
                          <w:t>2</w:t>
                        </w:r>
                        <w:r>
                          <w:rPr>
                            <w:spacing w:val="-9"/>
                            <w:sz w:val="21"/>
                          </w:rPr>
                          <w:t>）</w:t>
                        </w:r>
                        <w:r>
                          <w:rPr>
                            <w:spacing w:val="-1"/>
                            <w:sz w:val="21"/>
                          </w:rPr>
                          <w:t>已经达到类风湿性关节炎功能分</w:t>
                        </w:r>
                        <w:r>
                          <w:rPr>
                            <w:spacing w:val="2"/>
                            <w:sz w:val="21"/>
                          </w:rPr>
                          <w:t>级Ⅲ级以上的功能障碍（</w:t>
                        </w:r>
                        <w:r>
                          <w:rPr>
                            <w:spacing w:val="1"/>
                            <w:sz w:val="21"/>
                          </w:rPr>
                          <w:t>关节活动严重限制，不能完成大部分的日常工</w:t>
                        </w:r>
                      </w:p>
                      <w:p>
                        <w:pPr>
                          <w:pStyle w:val="11"/>
                          <w:spacing w:line="268" w:lineRule="exact"/>
                          <w:rPr>
                            <w:sz w:val="21"/>
                          </w:rPr>
                        </w:pPr>
                        <w:r>
                          <w:rPr>
                            <w:sz w:val="21"/>
                          </w:rPr>
                          <w:t>作和活动</w:t>
                        </w:r>
                        <w:r>
                          <w:rPr>
                            <w:spacing w:val="-105"/>
                            <w:sz w:val="21"/>
                          </w:rPr>
                          <w:t>）</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985" w:type="dxa"/>
                        <w:tcBorders>
                          <w:bottom w:val="nil"/>
                        </w:tcBorders>
                      </w:tcPr>
                      <w:p>
                        <w:pPr>
                          <w:pStyle w:val="11"/>
                          <w:ind w:left="0"/>
                          <w:rPr>
                            <w:rFonts w:ascii="Times New Roman"/>
                            <w:sz w:val="20"/>
                          </w:rPr>
                        </w:pPr>
                      </w:p>
                    </w:tc>
                    <w:tc>
                      <w:tcPr>
                        <w:tcW w:w="6804" w:type="dxa"/>
                        <w:tcBorders>
                          <w:bottom w:val="nil"/>
                        </w:tcBorders>
                      </w:tcPr>
                      <w:p>
                        <w:pPr>
                          <w:pStyle w:val="11"/>
                          <w:spacing w:before="103"/>
                          <w:rPr>
                            <w:sz w:val="21"/>
                          </w:rPr>
                        </w:pPr>
                        <w:r>
                          <w:rPr>
                            <w:spacing w:val="-1"/>
                            <w:sz w:val="21"/>
                          </w:rPr>
                          <w:t>指诊断为系统性红斑狼疮，且满足下列全部条件，但未达到“系统性红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85" w:type="dxa"/>
                        <w:tcBorders>
                          <w:top w:val="nil"/>
                          <w:bottom w:val="nil"/>
                        </w:tcBorders>
                      </w:tcPr>
                      <w:p>
                        <w:pPr>
                          <w:pStyle w:val="11"/>
                          <w:ind w:left="0"/>
                          <w:rPr>
                            <w:rFonts w:ascii="Times New Roman"/>
                            <w:sz w:val="20"/>
                          </w:rPr>
                        </w:pPr>
                      </w:p>
                    </w:tc>
                    <w:tc>
                      <w:tcPr>
                        <w:tcW w:w="6804" w:type="dxa"/>
                        <w:tcBorders>
                          <w:top w:val="nil"/>
                          <w:bottom w:val="nil"/>
                        </w:tcBorders>
                      </w:tcPr>
                      <w:p>
                        <w:pPr>
                          <w:pStyle w:val="11"/>
                          <w:spacing w:before="21"/>
                          <w:rPr>
                            <w:sz w:val="21"/>
                          </w:rPr>
                        </w:pPr>
                        <w:r>
                          <w:rPr>
                            <w:spacing w:val="4"/>
                            <w:sz w:val="21"/>
                          </w:rPr>
                          <w:t>斑狼疮 －</w:t>
                        </w:r>
                        <w:r>
                          <w:rPr>
                            <w:spacing w:val="-2"/>
                            <w:sz w:val="21"/>
                          </w:rPr>
                          <w:t>（并发）</w:t>
                        </w:r>
                        <w:r>
                          <w:rPr>
                            <w:spacing w:val="-3"/>
                            <w:sz w:val="21"/>
                          </w:rPr>
                          <w:t>Ⅲ型或以上狼疮性肾炎”或“严重慢性肾衰竭”的给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85" w:type="dxa"/>
                        <w:tcBorders>
                          <w:top w:val="nil"/>
                          <w:bottom w:val="nil"/>
                        </w:tcBorders>
                      </w:tcPr>
                      <w:p>
                        <w:pPr>
                          <w:pStyle w:val="11"/>
                          <w:ind w:left="0"/>
                          <w:rPr>
                            <w:rFonts w:ascii="Times New Roman"/>
                            <w:sz w:val="20"/>
                          </w:rPr>
                        </w:pPr>
                      </w:p>
                    </w:tc>
                    <w:tc>
                      <w:tcPr>
                        <w:tcW w:w="6804" w:type="dxa"/>
                        <w:tcBorders>
                          <w:top w:val="nil"/>
                          <w:bottom w:val="nil"/>
                        </w:tcBorders>
                      </w:tcPr>
                      <w:p>
                        <w:pPr>
                          <w:pStyle w:val="11"/>
                          <w:spacing w:before="21" w:line="267" w:lineRule="exact"/>
                          <w:rPr>
                            <w:sz w:val="21"/>
                          </w:rPr>
                        </w:pPr>
                        <w:r>
                          <w:rPr>
                            <w:spacing w:val="-3"/>
                            <w:sz w:val="21"/>
                          </w:rPr>
                          <w:t>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985" w:type="dxa"/>
                        <w:tcBorders>
                          <w:top w:val="nil"/>
                          <w:bottom w:val="nil"/>
                        </w:tcBorders>
                      </w:tcPr>
                      <w:p>
                        <w:pPr>
                          <w:pStyle w:val="11"/>
                          <w:ind w:left="0"/>
                          <w:rPr>
                            <w:rFonts w:ascii="Times New Roman"/>
                            <w:sz w:val="20"/>
                          </w:rPr>
                        </w:pPr>
                      </w:p>
                    </w:tc>
                    <w:tc>
                      <w:tcPr>
                        <w:tcW w:w="6804" w:type="dxa"/>
                        <w:tcBorders>
                          <w:top w:val="nil"/>
                          <w:bottom w:val="nil"/>
                        </w:tcBorders>
                      </w:tcPr>
                      <w:p>
                        <w:pPr>
                          <w:pStyle w:val="11"/>
                          <w:spacing w:before="25"/>
                          <w:rPr>
                            <w:sz w:val="21"/>
                          </w:rPr>
                        </w:pPr>
                        <w:r>
                          <w:rPr>
                            <w:spacing w:val="-2"/>
                            <w:sz w:val="21"/>
                          </w:rPr>
                          <w:t>（</w:t>
                        </w:r>
                        <w:r>
                          <w:rPr>
                            <w:rFonts w:ascii="Times New Roman" w:eastAsia="Times New Roman"/>
                            <w:spacing w:val="-2"/>
                            <w:sz w:val="21"/>
                          </w:rPr>
                          <w:t>1</w:t>
                        </w:r>
                        <w:r>
                          <w:rPr>
                            <w:spacing w:val="-2"/>
                            <w:sz w:val="21"/>
                          </w:rPr>
                          <w:t>）</w:t>
                        </w:r>
                        <w:r>
                          <w:rPr>
                            <w:spacing w:val="-3"/>
                            <w:sz w:val="21"/>
                          </w:rPr>
                          <w:t>在下列五项情况中出现最少三项：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3" w:hRule="atLeast"/>
                    </w:trPr>
                    <w:tc>
                      <w:tcPr>
                        <w:tcW w:w="1985" w:type="dxa"/>
                        <w:tcBorders>
                          <w:top w:val="nil"/>
                          <w:bottom w:val="nil"/>
                        </w:tcBorders>
                      </w:tcPr>
                      <w:p>
                        <w:pPr>
                          <w:pStyle w:val="11"/>
                          <w:spacing w:before="171" w:line="278" w:lineRule="auto"/>
                          <w:ind w:right="83"/>
                          <w:rPr>
                            <w:sz w:val="21"/>
                          </w:rPr>
                        </w:pPr>
                        <w:r>
                          <w:rPr>
                            <w:spacing w:val="9"/>
                            <w:sz w:val="21"/>
                          </w:rPr>
                          <w:t>五、特定的系统性</w:t>
                        </w:r>
                        <w:r>
                          <w:rPr>
                            <w:spacing w:val="-4"/>
                            <w:sz w:val="21"/>
                          </w:rPr>
                          <w:t>红斑狼疮</w:t>
                        </w:r>
                      </w:p>
                    </w:tc>
                    <w:tc>
                      <w:tcPr>
                        <w:tcW w:w="6804" w:type="dxa"/>
                        <w:tcBorders>
                          <w:top w:val="nil"/>
                          <w:bottom w:val="nil"/>
                        </w:tcBorders>
                      </w:tcPr>
                      <w:p>
                        <w:pPr>
                          <w:pStyle w:val="11"/>
                          <w:spacing w:before="23"/>
                          <w:rPr>
                            <w:sz w:val="21"/>
                          </w:rPr>
                        </w:pPr>
                        <w:r>
                          <w:rPr>
                            <w:rFonts w:ascii="Calibri" w:hAnsi="Calibri" w:eastAsia="Calibri"/>
                            <w:spacing w:val="39"/>
                            <w:sz w:val="18"/>
                          </w:rPr>
                          <w:t xml:space="preserve">① </w:t>
                        </w:r>
                        <w:r>
                          <w:rPr>
                            <w:spacing w:val="-1"/>
                            <w:sz w:val="21"/>
                          </w:rPr>
                          <w:t>关节炎：非磨损性关节炎，需涉及两个或两个以上关节；</w:t>
                        </w:r>
                      </w:p>
                      <w:p>
                        <w:pPr>
                          <w:pStyle w:val="11"/>
                          <w:spacing w:before="43"/>
                          <w:rPr>
                            <w:sz w:val="21"/>
                          </w:rPr>
                        </w:pPr>
                        <w:r>
                          <w:rPr>
                            <w:rFonts w:ascii="Calibri" w:hAnsi="Calibri" w:eastAsia="Calibri"/>
                            <w:spacing w:val="39"/>
                            <w:sz w:val="18"/>
                          </w:rPr>
                          <w:t xml:space="preserve">② </w:t>
                        </w:r>
                        <w:r>
                          <w:rPr>
                            <w:spacing w:val="-1"/>
                            <w:sz w:val="21"/>
                          </w:rPr>
                          <w:t>浆膜炎：胸膜炎或心包炎；</w:t>
                        </w:r>
                      </w:p>
                      <w:p>
                        <w:pPr>
                          <w:pStyle w:val="11"/>
                          <w:spacing w:before="43"/>
                          <w:rPr>
                            <w:sz w:val="21"/>
                          </w:rPr>
                        </w:pPr>
                        <w:r>
                          <w:rPr>
                            <w:rFonts w:ascii="Calibri" w:hAnsi="Calibri" w:eastAsia="Calibri"/>
                            <w:spacing w:val="47"/>
                            <w:sz w:val="18"/>
                          </w:rPr>
                          <w:t xml:space="preserve">③ </w:t>
                        </w:r>
                        <w:r>
                          <w:rPr>
                            <w:sz w:val="21"/>
                          </w:rPr>
                          <w:t>肾病：</w:t>
                        </w:r>
                        <w:r>
                          <w:rPr>
                            <w:rFonts w:ascii="Times New Roman" w:hAnsi="Times New Roman" w:eastAsia="Times New Roman"/>
                            <w:sz w:val="21"/>
                          </w:rPr>
                          <w:t>24</w:t>
                        </w:r>
                        <w:r>
                          <w:rPr>
                            <w:rFonts w:ascii="Times New Roman" w:hAnsi="Times New Roman" w:eastAsia="Times New Roman"/>
                            <w:spacing w:val="-10"/>
                            <w:sz w:val="21"/>
                          </w:rPr>
                          <w:t xml:space="preserve"> </w:t>
                        </w:r>
                        <w:r>
                          <w:rPr>
                            <w:spacing w:val="-6"/>
                            <w:sz w:val="21"/>
                          </w:rPr>
                          <w:t xml:space="preserve">小时尿蛋白定量达到 </w:t>
                        </w:r>
                        <w:r>
                          <w:rPr>
                            <w:rFonts w:ascii="Times New Roman" w:hAnsi="Times New Roman" w:eastAsia="Times New Roman"/>
                            <w:sz w:val="21"/>
                          </w:rPr>
                          <w:t>0.5</w:t>
                        </w:r>
                        <w:r>
                          <w:rPr>
                            <w:rFonts w:ascii="Times New Roman" w:hAnsi="Times New Roman" w:eastAsia="Times New Roman"/>
                            <w:spacing w:val="-10"/>
                            <w:sz w:val="21"/>
                          </w:rPr>
                          <w:t xml:space="preserve"> </w:t>
                        </w:r>
                        <w:r>
                          <w:rPr>
                            <w:spacing w:val="-1"/>
                            <w:sz w:val="21"/>
                          </w:rPr>
                          <w:t>克，或尿液检查出现细胞管型；</w:t>
                        </w:r>
                      </w:p>
                      <w:p>
                        <w:pPr>
                          <w:pStyle w:val="11"/>
                          <w:spacing w:before="43"/>
                          <w:rPr>
                            <w:sz w:val="21"/>
                          </w:rPr>
                        </w:pPr>
                        <w:r>
                          <w:rPr>
                            <w:rFonts w:ascii="Calibri" w:hAnsi="Calibri" w:eastAsia="Calibri"/>
                            <w:spacing w:val="39"/>
                            <w:sz w:val="18"/>
                          </w:rPr>
                          <w:t xml:space="preserve">④ </w:t>
                        </w:r>
                        <w:r>
                          <w:rPr>
                            <w:spacing w:val="-1"/>
                            <w:sz w:val="21"/>
                          </w:rPr>
                          <w:t>血液学异常：溶血性贫血、白细胞减少、或血小板减少；</w:t>
                        </w:r>
                      </w:p>
                      <w:p>
                        <w:pPr>
                          <w:pStyle w:val="11"/>
                          <w:spacing w:before="43"/>
                          <w:rPr>
                            <w:sz w:val="21"/>
                          </w:rPr>
                        </w:pPr>
                        <w:r>
                          <w:rPr>
                            <w:rFonts w:ascii="Calibri" w:hAnsi="Calibri" w:eastAsia="Calibri"/>
                            <w:spacing w:val="43"/>
                            <w:sz w:val="18"/>
                          </w:rPr>
                          <w:t xml:space="preserve">⑤ </w:t>
                        </w:r>
                        <w:r>
                          <w:rPr>
                            <w:spacing w:val="-6"/>
                            <w:sz w:val="21"/>
                          </w:rPr>
                          <w:t xml:space="preserve">抗核抗体阳性、或抗 </w:t>
                        </w:r>
                        <w:r>
                          <w:rPr>
                            <w:rFonts w:ascii="Times New Roman" w:hAnsi="Times New Roman" w:eastAsia="Times New Roman"/>
                            <w:sz w:val="21"/>
                          </w:rPr>
                          <w:t>dsDNA</w:t>
                        </w:r>
                        <w:r>
                          <w:rPr>
                            <w:rFonts w:ascii="Times New Roman" w:hAnsi="Times New Roman" w:eastAsia="Times New Roman"/>
                            <w:spacing w:val="-11"/>
                            <w:sz w:val="21"/>
                          </w:rPr>
                          <w:t xml:space="preserve"> </w:t>
                        </w:r>
                        <w:r>
                          <w:rPr>
                            <w:spacing w:val="-9"/>
                            <w:sz w:val="21"/>
                          </w:rPr>
                          <w:t xml:space="preserve">阳性，或抗 </w:t>
                        </w:r>
                        <w:r>
                          <w:rPr>
                            <w:rFonts w:ascii="Times New Roman" w:hAnsi="Times New Roman" w:eastAsia="Times New Roman"/>
                            <w:sz w:val="21"/>
                          </w:rPr>
                          <w:t>Smith</w:t>
                        </w:r>
                        <w:r>
                          <w:rPr>
                            <w:rFonts w:ascii="Times New Roman" w:hAnsi="Times New Roman" w:eastAsia="Times New Roman"/>
                            <w:spacing w:val="-10"/>
                            <w:sz w:val="21"/>
                          </w:rPr>
                          <w:t xml:space="preserve"> </w:t>
                        </w:r>
                        <w:r>
                          <w:rPr>
                            <w:spacing w:val="-2"/>
                            <w:sz w:val="21"/>
                          </w:rPr>
                          <w:t>抗体阳性。</w:t>
                        </w:r>
                      </w:p>
                      <w:p>
                        <w:pPr>
                          <w:pStyle w:val="11"/>
                          <w:spacing w:before="35"/>
                          <w:rPr>
                            <w:sz w:val="21"/>
                          </w:rPr>
                        </w:pPr>
                        <w:r>
                          <w:rPr>
                            <w:spacing w:val="-2"/>
                            <w:sz w:val="21"/>
                          </w:rPr>
                          <w:t>（</w:t>
                        </w:r>
                        <w:r>
                          <w:rPr>
                            <w:rFonts w:ascii="Times New Roman" w:eastAsia="Times New Roman"/>
                            <w:spacing w:val="-2"/>
                            <w:sz w:val="21"/>
                          </w:rPr>
                          <w:t>2</w:t>
                        </w:r>
                        <w:r>
                          <w:rPr>
                            <w:spacing w:val="-2"/>
                            <w:sz w:val="21"/>
                          </w:rPr>
                          <w:t>）</w:t>
                        </w:r>
                        <w:r>
                          <w:rPr>
                            <w:spacing w:val="-3"/>
                            <w:sz w:val="21"/>
                          </w:rPr>
                          <w:t>系统性红斑狼疮的诊断必须由医院的风湿科或免疫系统专科医生确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985" w:type="dxa"/>
                        <w:tcBorders>
                          <w:top w:val="nil"/>
                        </w:tcBorders>
                      </w:tcPr>
                      <w:p>
                        <w:pPr>
                          <w:pStyle w:val="11"/>
                          <w:ind w:left="0"/>
                          <w:rPr>
                            <w:rFonts w:ascii="Times New Roman"/>
                            <w:sz w:val="20"/>
                          </w:rPr>
                        </w:pPr>
                      </w:p>
                    </w:tc>
                    <w:tc>
                      <w:tcPr>
                        <w:tcW w:w="6804" w:type="dxa"/>
                        <w:tcBorders>
                          <w:top w:val="nil"/>
                        </w:tcBorders>
                      </w:tcPr>
                      <w:p>
                        <w:pPr>
                          <w:pStyle w:val="11"/>
                          <w:spacing w:before="13"/>
                          <w:rPr>
                            <w:sz w:val="21"/>
                          </w:rPr>
                        </w:pPr>
                        <w:r>
                          <w:rPr>
                            <w:spacing w:val="-5"/>
                            <w:sz w:val="21"/>
                          </w:rPr>
                          <w:t>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985" w:type="dxa"/>
                        <w:tcBorders>
                          <w:bottom w:val="nil"/>
                        </w:tcBorders>
                      </w:tcPr>
                      <w:p>
                        <w:pPr>
                          <w:pStyle w:val="11"/>
                          <w:ind w:left="0"/>
                          <w:rPr>
                            <w:rFonts w:ascii="Times New Roman"/>
                            <w:sz w:val="20"/>
                          </w:rPr>
                        </w:pPr>
                      </w:p>
                    </w:tc>
                    <w:tc>
                      <w:tcPr>
                        <w:tcW w:w="6804" w:type="dxa"/>
                        <w:tcBorders>
                          <w:bottom w:val="nil"/>
                        </w:tcBorders>
                      </w:tcPr>
                      <w:p>
                        <w:pPr>
                          <w:pStyle w:val="11"/>
                          <w:spacing w:before="20"/>
                          <w:rPr>
                            <w:sz w:val="21"/>
                          </w:rPr>
                        </w:pPr>
                        <w:r>
                          <w:rPr>
                            <w:spacing w:val="-1"/>
                            <w:sz w:val="21"/>
                          </w:rPr>
                          <w:t>是一种神经与肌肉接头部位传递障碍的自身免疫性疾病，临床特征是局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985" w:type="dxa"/>
                        <w:tcBorders>
                          <w:top w:val="nil"/>
                          <w:bottom w:val="nil"/>
                        </w:tcBorders>
                      </w:tcPr>
                      <w:p>
                        <w:pPr>
                          <w:pStyle w:val="11"/>
                          <w:spacing w:before="177" w:line="278" w:lineRule="auto"/>
                          <w:ind w:right="83"/>
                          <w:rPr>
                            <w:sz w:val="21"/>
                          </w:rPr>
                        </w:pPr>
                        <w:r>
                          <w:rPr>
                            <w:spacing w:val="9"/>
                            <w:sz w:val="21"/>
                          </w:rPr>
                          <w:t>六、中度重症肌无</w:t>
                        </w:r>
                        <w:r>
                          <w:rPr>
                            <w:spacing w:val="-10"/>
                            <w:sz w:val="21"/>
                          </w:rPr>
                          <w:t>力</w:t>
                        </w:r>
                      </w:p>
                    </w:tc>
                    <w:tc>
                      <w:tcPr>
                        <w:tcW w:w="6804" w:type="dxa"/>
                        <w:tcBorders>
                          <w:top w:val="nil"/>
                          <w:bottom w:val="nil"/>
                        </w:tcBorders>
                      </w:tcPr>
                      <w:p>
                        <w:pPr>
                          <w:pStyle w:val="11"/>
                          <w:spacing w:before="21" w:line="278" w:lineRule="auto"/>
                          <w:ind w:right="98"/>
                          <w:rPr>
                            <w:sz w:val="21"/>
                          </w:rPr>
                        </w:pPr>
                        <w:r>
                          <w:rPr>
                            <w:spacing w:val="-2"/>
                            <w:sz w:val="21"/>
                          </w:rPr>
                          <w:t>部或全身横纹肌于活动时易于疲劳无力，颅神经眼外肌最易累及，也可</w:t>
                        </w:r>
                        <w:r>
                          <w:rPr>
                            <w:sz w:val="21"/>
                          </w:rPr>
                          <w:t>涉及呼吸肌、下肢近端肌群以至全身肌肉，但未达到“全身性（型）</w:t>
                        </w:r>
                        <w:r>
                          <w:rPr>
                            <w:spacing w:val="-10"/>
                            <w:sz w:val="21"/>
                          </w:rPr>
                          <w:t>重</w:t>
                        </w:r>
                      </w:p>
                      <w:p>
                        <w:pPr>
                          <w:pStyle w:val="11"/>
                          <w:rPr>
                            <w:sz w:val="21"/>
                          </w:rPr>
                        </w:pPr>
                        <w:r>
                          <w:rPr>
                            <w:spacing w:val="-1"/>
                            <w:sz w:val="21"/>
                          </w:rPr>
                          <w:t xml:space="preserve">症肌无力”或“瘫痪”的给付标准。且疾病确诊 </w:t>
                        </w:r>
                        <w:r>
                          <w:rPr>
                            <w:rFonts w:ascii="Times New Roman" w:hAnsi="Times New Roman" w:eastAsia="Times New Roman"/>
                            <w:sz w:val="21"/>
                          </w:rPr>
                          <w:t>180</w:t>
                        </w:r>
                        <w:r>
                          <w:rPr>
                            <w:rFonts w:ascii="Times New Roman" w:hAnsi="Times New Roman" w:eastAsia="Times New Roman"/>
                            <w:spacing w:val="37"/>
                            <w:sz w:val="21"/>
                          </w:rPr>
                          <w:t xml:space="preserve"> </w:t>
                        </w:r>
                        <w:r>
                          <w:rPr>
                            <w:spacing w:val="-2"/>
                            <w:sz w:val="21"/>
                          </w:rPr>
                          <w:t>天后，仍然存在自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985" w:type="dxa"/>
                        <w:tcBorders>
                          <w:top w:val="nil"/>
                        </w:tcBorders>
                      </w:tcPr>
                      <w:p>
                        <w:pPr>
                          <w:pStyle w:val="11"/>
                          <w:ind w:left="0"/>
                          <w:rPr>
                            <w:rFonts w:ascii="Times New Roman"/>
                            <w:sz w:val="20"/>
                          </w:rPr>
                        </w:pPr>
                      </w:p>
                    </w:tc>
                    <w:tc>
                      <w:tcPr>
                        <w:tcW w:w="6804" w:type="dxa"/>
                        <w:tcBorders>
                          <w:top w:val="nil"/>
                        </w:tcBorders>
                      </w:tcPr>
                      <w:p>
                        <w:pPr>
                          <w:pStyle w:val="11"/>
                          <w:spacing w:before="13"/>
                          <w:rPr>
                            <w:sz w:val="21"/>
                          </w:rPr>
                        </w:pPr>
                        <w:r>
                          <w:rPr>
                            <w:spacing w:val="-1"/>
                            <w:sz w:val="21"/>
                          </w:rPr>
                          <w:t>主生活能力严重丧失，经鉴定无法独立完成六项基本日常生活活动中的</w:t>
                        </w:r>
                      </w:p>
                    </w:tc>
                  </w:tr>
                </w:tbl>
                <w:p>
                  <w:pPr>
                    <w:pStyle w:val="3"/>
                    <w:ind w:left="0"/>
                  </w:pPr>
                </w:p>
              </w:txbxContent>
            </v:textbox>
          </v:shape>
        </w:pict>
      </w:r>
      <w:bookmarkStart w:id="81" w:name="_bookmark81"/>
      <w:bookmarkEnd w:id="81"/>
      <w:r>
        <w:rPr>
          <w:w w:val="95"/>
        </w:rPr>
        <w:t>附表二：中症疾病种类</w:t>
      </w:r>
      <w:r>
        <w:rPr>
          <w:spacing w:val="-10"/>
          <w:w w:val="95"/>
        </w:rPr>
        <w:t>表</w:t>
      </w:r>
    </w:p>
    <w:p>
      <w:pPr>
        <w:pStyle w:val="3"/>
        <w:spacing w:before="43" w:line="278" w:lineRule="auto"/>
        <w:ind w:right="1806"/>
        <w:rPr>
          <w:rFonts w:ascii="黑体" w:eastAsia="黑体"/>
        </w:rPr>
      </w:pPr>
      <w:r>
        <w:rPr>
          <w:rFonts w:ascii="黑体" w:eastAsia="黑体"/>
          <w:spacing w:val="-2"/>
        </w:rPr>
        <w:t>被保险人发生符合以下疾病定义所述条件的疾病，应当由专科医生明确诊断。以下疾病名称仅供理解使用，具体保障范围以每项疾病具体定义为准。</w:t>
      </w: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ind w:left="0"/>
        <w:rPr>
          <w:rFonts w:ascii="黑体"/>
          <w:sz w:val="20"/>
        </w:rPr>
      </w:pPr>
    </w:p>
    <w:p>
      <w:pPr>
        <w:pStyle w:val="3"/>
        <w:spacing w:before="7"/>
        <w:ind w:left="0"/>
        <w:rPr>
          <w:rFonts w:ascii="黑体"/>
          <w:sz w:val="14"/>
        </w:rPr>
      </w:pPr>
      <w:r>
        <w:drawing>
          <wp:anchor distT="0" distB="0" distL="0" distR="0" simplePos="0" relativeHeight="251660288" behindDoc="0" locked="0" layoutInCell="1" allowOverlap="1">
            <wp:simplePos x="0" y="0"/>
            <wp:positionH relativeFrom="page">
              <wp:posOffset>2379345</wp:posOffset>
            </wp:positionH>
            <wp:positionV relativeFrom="paragraph">
              <wp:posOffset>133350</wp:posOffset>
            </wp:positionV>
            <wp:extent cx="4104005" cy="363855"/>
            <wp:effectExtent l="0" t="0" r="0" b="0"/>
            <wp:wrapTopAndBottom/>
            <wp:docPr id="3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7.png"/>
                    <pic:cNvPicPr>
                      <a:picLocks noChangeAspect="1"/>
                    </pic:cNvPicPr>
                  </pic:nvPicPr>
                  <pic:blipFill>
                    <a:blip r:embed="rId16" cstate="print"/>
                    <a:stretch>
                      <a:fillRect/>
                    </a:stretch>
                  </pic:blipFill>
                  <pic:spPr>
                    <a:xfrm>
                      <a:off x="0" y="0"/>
                      <a:ext cx="4103921" cy="364045"/>
                    </a:xfrm>
                    <a:prstGeom prst="rect">
                      <a:avLst/>
                    </a:prstGeom>
                  </pic:spPr>
                </pic:pic>
              </a:graphicData>
            </a:graphic>
          </wp:anchor>
        </w:drawing>
      </w:r>
    </w:p>
    <w:p>
      <w:pPr>
        <w:spacing w:after="0"/>
        <w:rPr>
          <w:rFonts w:ascii="黑体"/>
          <w:sz w:val="14"/>
        </w:rPr>
        <w:sectPr>
          <w:pgSz w:w="11910" w:h="16840"/>
          <w:pgMar w:top="1400" w:right="1160" w:bottom="1540" w:left="1540" w:header="0" w:footer="1264" w:gutter="0"/>
          <w:cols w:space="720" w:num="1"/>
        </w:sect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5"/>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85" w:type="dxa"/>
          </w:tcPr>
          <w:p>
            <w:pPr>
              <w:pStyle w:val="11"/>
              <w:ind w:left="0"/>
              <w:rPr>
                <w:rFonts w:ascii="Times New Roman"/>
                <w:sz w:val="20"/>
              </w:rPr>
            </w:pPr>
          </w:p>
        </w:tc>
        <w:tc>
          <w:tcPr>
            <w:tcW w:w="6804" w:type="dxa"/>
          </w:tcPr>
          <w:p>
            <w:pPr>
              <w:pStyle w:val="11"/>
              <w:spacing w:before="20"/>
              <w:rPr>
                <w:sz w:val="21"/>
              </w:rPr>
            </w:pPr>
            <w:r>
              <w:rPr>
                <w:spacing w:val="-4"/>
                <w:sz w:val="21"/>
              </w:rPr>
              <w:t>二项。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85" w:type="dxa"/>
          </w:tcPr>
          <w:p>
            <w:pPr>
              <w:pStyle w:val="11"/>
              <w:ind w:left="0"/>
              <w:rPr>
                <w:rFonts w:ascii="黑体"/>
                <w:sz w:val="20"/>
              </w:rPr>
            </w:pPr>
          </w:p>
          <w:p>
            <w:pPr>
              <w:pStyle w:val="11"/>
              <w:ind w:left="0"/>
              <w:rPr>
                <w:rFonts w:ascii="黑体"/>
                <w:sz w:val="20"/>
              </w:rPr>
            </w:pPr>
          </w:p>
          <w:p>
            <w:pPr>
              <w:pStyle w:val="11"/>
              <w:spacing w:before="7"/>
              <w:ind w:left="0"/>
              <w:rPr>
                <w:rFonts w:ascii="黑体"/>
                <w:sz w:val="22"/>
              </w:rPr>
            </w:pPr>
          </w:p>
          <w:p>
            <w:pPr>
              <w:pStyle w:val="11"/>
              <w:spacing w:line="278" w:lineRule="auto"/>
              <w:ind w:right="83"/>
              <w:rPr>
                <w:sz w:val="21"/>
              </w:rPr>
            </w:pPr>
            <w:r>
              <w:rPr>
                <w:spacing w:val="9"/>
                <w:sz w:val="21"/>
              </w:rPr>
              <w:t>七、中度溃疡性结</w:t>
            </w:r>
            <w:r>
              <w:rPr>
                <w:spacing w:val="-6"/>
                <w:sz w:val="21"/>
              </w:rPr>
              <w:t>肠炎</w:t>
            </w:r>
          </w:p>
        </w:tc>
        <w:tc>
          <w:tcPr>
            <w:tcW w:w="6804" w:type="dxa"/>
          </w:tcPr>
          <w:p>
            <w:pPr>
              <w:pStyle w:val="11"/>
              <w:spacing w:before="21" w:line="278" w:lineRule="auto"/>
              <w:ind w:right="-15"/>
              <w:rPr>
                <w:rFonts w:ascii="黑体" w:hAnsi="黑体" w:eastAsia="黑体"/>
                <w:sz w:val="21"/>
              </w:rPr>
            </w:pPr>
            <w:r>
              <w:rPr>
                <w:spacing w:val="-2"/>
                <w:sz w:val="21"/>
              </w:rPr>
              <w:t>指伴有致命性电解质紊乱的急性暴发性溃疡性结肠炎，病变累及全结肠，</w:t>
            </w:r>
            <w:r>
              <w:rPr>
                <w:spacing w:val="1"/>
                <w:sz w:val="21"/>
              </w:rPr>
              <w:t>表现为严重的血便和系统性症状体征和肠破裂的风险，本疾病的确诊必须经由内窥镜检查证实该疾病侵犯全部结肠及直肠及活体切片检查证实为溃疡性结肠炎，且须经肠胃专科医生连续以系统性免疫抑制剂或免疫</w:t>
            </w:r>
            <w:r>
              <w:rPr>
                <w:spacing w:val="-5"/>
                <w:sz w:val="21"/>
              </w:rPr>
              <w:t xml:space="preserve">调节剂持续治疗最少 </w:t>
            </w:r>
            <w:r>
              <w:rPr>
                <w:rFonts w:ascii="Times New Roman" w:hAnsi="Times New Roman" w:eastAsia="Times New Roman"/>
                <w:spacing w:val="-1"/>
                <w:sz w:val="21"/>
              </w:rPr>
              <w:t>9</w:t>
            </w:r>
            <w:r>
              <w:rPr>
                <w:rFonts w:ascii="Times New Roman" w:hAnsi="Times New Roman" w:eastAsia="Times New Roman"/>
                <w:sz w:val="21"/>
              </w:rPr>
              <w:t>0</w:t>
            </w:r>
            <w:r>
              <w:rPr>
                <w:rFonts w:ascii="Times New Roman" w:hAnsi="Times New Roman" w:eastAsia="Times New Roman"/>
                <w:spacing w:val="-1"/>
                <w:sz w:val="21"/>
              </w:rPr>
              <w:t xml:space="preserve"> </w:t>
            </w:r>
            <w:r>
              <w:rPr>
                <w:spacing w:val="-13"/>
                <w:sz w:val="21"/>
              </w:rPr>
              <w:t>天，但未达到“严重溃疡性结肠炎”的给付标准。</w:t>
            </w:r>
            <w:r>
              <w:rPr>
                <w:rFonts w:ascii="黑体" w:hAnsi="黑体" w:eastAsia="黑体"/>
                <w:color w:val="000000"/>
                <w:spacing w:val="2"/>
                <w:sz w:val="21"/>
                <w:shd w:val="clear" w:color="auto" w:fill="DADADA"/>
              </w:rPr>
              <w:t>其他种类的炎性结肠炎，只发生在直肠的溃疡性结肠炎均不在保障范围</w:t>
            </w:r>
          </w:p>
          <w:p>
            <w:pPr>
              <w:pStyle w:val="11"/>
              <w:spacing w:line="268" w:lineRule="exact"/>
              <w:rPr>
                <w:rFonts w:ascii="黑体" w:eastAsia="黑体"/>
                <w:sz w:val="21"/>
              </w:rPr>
            </w:pPr>
            <w:r>
              <w:rPr>
                <w:rFonts w:ascii="黑体" w:eastAsia="黑体"/>
                <w:color w:val="000000"/>
                <w:spacing w:val="-5"/>
                <w:sz w:val="21"/>
                <w:shd w:val="clear" w:color="auto" w:fill="DADADA"/>
              </w:rPr>
              <w:t>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5" w:type="dxa"/>
          </w:tcPr>
          <w:p>
            <w:pPr>
              <w:pStyle w:val="11"/>
              <w:spacing w:before="11"/>
              <w:ind w:left="0"/>
              <w:rPr>
                <w:rFonts w:ascii="黑体"/>
                <w:sz w:val="25"/>
              </w:rPr>
            </w:pPr>
          </w:p>
          <w:p>
            <w:pPr>
              <w:pStyle w:val="11"/>
              <w:spacing w:before="1" w:line="278" w:lineRule="auto"/>
              <w:ind w:right="83"/>
              <w:rPr>
                <w:sz w:val="21"/>
              </w:rPr>
            </w:pPr>
            <w:r>
              <w:rPr>
                <w:spacing w:val="9"/>
                <w:sz w:val="21"/>
              </w:rPr>
              <w:t>八、中度进行性核</w:t>
            </w:r>
            <w:r>
              <w:rPr>
                <w:spacing w:val="-4"/>
                <w:sz w:val="21"/>
              </w:rPr>
              <w:t>上性麻痹</w:t>
            </w:r>
          </w:p>
        </w:tc>
        <w:tc>
          <w:tcPr>
            <w:tcW w:w="6804" w:type="dxa"/>
          </w:tcPr>
          <w:p>
            <w:pPr>
              <w:pStyle w:val="11"/>
              <w:spacing w:before="20" w:line="278" w:lineRule="auto"/>
              <w:ind w:right="-15"/>
              <w:rPr>
                <w:sz w:val="21"/>
              </w:rPr>
            </w:pPr>
            <w:r>
              <w:rPr>
                <w:spacing w:val="-2"/>
                <w:sz w:val="21"/>
              </w:rPr>
              <w:t>指一种少见的神经系统变性疾病，以假球麻痹、垂直性核上性眼肌麻痹、</w:t>
            </w:r>
            <w:r>
              <w:rPr>
                <w:spacing w:val="1"/>
                <w:sz w:val="21"/>
              </w:rPr>
              <w:t>锥体外系肌僵直、步态共济失调和轻度痴呆为主要临床特征。须满足自主生活能力严重丧失，无法独立完成六项基本日常生活活动中的两项。</w:t>
            </w:r>
          </w:p>
          <w:p>
            <w:pPr>
              <w:pStyle w:val="11"/>
              <w:spacing w:line="269" w:lineRule="exact"/>
              <w:rPr>
                <w:sz w:val="21"/>
              </w:rPr>
            </w:pPr>
            <w:r>
              <w:rPr>
                <w:spacing w:val="-1"/>
                <w:sz w:val="21"/>
              </w:rPr>
              <w:t>但未达到“进行性核上性麻痹”或“瘫痪”的给付标准。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1985" w:type="dxa"/>
          </w:tcPr>
          <w:p>
            <w:pPr>
              <w:pStyle w:val="11"/>
              <w:ind w:left="0"/>
              <w:rPr>
                <w:rFonts w:ascii="黑体"/>
                <w:sz w:val="20"/>
              </w:rPr>
            </w:pPr>
          </w:p>
          <w:p>
            <w:pPr>
              <w:pStyle w:val="11"/>
              <w:spacing w:before="156" w:line="278" w:lineRule="auto"/>
              <w:ind w:right="83"/>
              <w:rPr>
                <w:sz w:val="21"/>
              </w:rPr>
            </w:pPr>
            <w:r>
              <w:rPr>
                <w:spacing w:val="9"/>
                <w:sz w:val="21"/>
              </w:rPr>
              <w:t>九、中度肠道并发</w:t>
            </w:r>
            <w:r>
              <w:rPr>
                <w:spacing w:val="-10"/>
                <w:sz w:val="21"/>
              </w:rPr>
              <w:t>症</w:t>
            </w:r>
          </w:p>
        </w:tc>
        <w:tc>
          <w:tcPr>
            <w:tcW w:w="6804" w:type="dxa"/>
          </w:tcPr>
          <w:p>
            <w:pPr>
              <w:pStyle w:val="11"/>
              <w:spacing w:before="100" w:line="278" w:lineRule="auto"/>
              <w:ind w:right="98"/>
              <w:rPr>
                <w:sz w:val="21"/>
              </w:rPr>
            </w:pPr>
            <w:r>
              <w:rPr>
                <w:spacing w:val="-2"/>
                <w:sz w:val="21"/>
              </w:rPr>
              <w:t>指肠道疾病或外伤导致小肠损害并发症，但未达到“严重肠道疾病并发症”的给付标准。本疾病须满足以下所有条件：</w:t>
            </w:r>
          </w:p>
          <w:p>
            <w:pPr>
              <w:pStyle w:val="11"/>
              <w:numPr>
                <w:ilvl w:val="0"/>
                <w:numId w:val="28"/>
              </w:numPr>
              <w:tabs>
                <w:tab w:val="left" w:pos="633"/>
              </w:tabs>
              <w:spacing w:before="0" w:after="0" w:line="240" w:lineRule="auto"/>
              <w:ind w:left="632" w:right="0" w:hanging="527"/>
              <w:jc w:val="left"/>
              <w:rPr>
                <w:sz w:val="21"/>
              </w:rPr>
            </w:pPr>
            <w:r>
              <w:rPr>
                <w:spacing w:val="-3"/>
                <w:sz w:val="21"/>
              </w:rPr>
              <w:t>至少切除了二分之一小肠；</w:t>
            </w:r>
          </w:p>
          <w:p>
            <w:pPr>
              <w:pStyle w:val="11"/>
              <w:numPr>
                <w:ilvl w:val="0"/>
                <w:numId w:val="28"/>
              </w:numPr>
              <w:tabs>
                <w:tab w:val="left" w:pos="633"/>
              </w:tabs>
              <w:spacing w:before="43" w:after="0" w:line="240" w:lineRule="auto"/>
              <w:ind w:left="632" w:right="0" w:hanging="527"/>
              <w:jc w:val="left"/>
              <w:rPr>
                <w:sz w:val="21"/>
              </w:rPr>
            </w:pPr>
            <w:r>
              <w:rPr>
                <w:spacing w:val="-3"/>
                <w:sz w:val="21"/>
              </w:rPr>
              <w:t>完全肠外营养支持二个月以上。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5" w:type="dxa"/>
          </w:tcPr>
          <w:p>
            <w:pPr>
              <w:pStyle w:val="11"/>
              <w:ind w:left="0"/>
              <w:rPr>
                <w:rFonts w:ascii="黑体"/>
                <w:sz w:val="20"/>
              </w:rPr>
            </w:pPr>
          </w:p>
          <w:p>
            <w:pPr>
              <w:pStyle w:val="11"/>
              <w:spacing w:before="1"/>
              <w:ind w:left="0"/>
              <w:rPr>
                <w:rFonts w:ascii="黑体"/>
                <w:sz w:val="18"/>
              </w:rPr>
            </w:pPr>
          </w:p>
          <w:p>
            <w:pPr>
              <w:pStyle w:val="11"/>
              <w:rPr>
                <w:sz w:val="21"/>
              </w:rPr>
            </w:pPr>
            <w:r>
              <w:rPr>
                <w:spacing w:val="-2"/>
                <w:sz w:val="21"/>
              </w:rPr>
              <w:t>十、单侧肺脏切除</w:t>
            </w:r>
          </w:p>
        </w:tc>
        <w:tc>
          <w:tcPr>
            <w:tcW w:w="6804" w:type="dxa"/>
          </w:tcPr>
          <w:p>
            <w:pPr>
              <w:pStyle w:val="11"/>
              <w:spacing w:before="20" w:line="278" w:lineRule="auto"/>
              <w:ind w:right="-15"/>
              <w:rPr>
                <w:rFonts w:ascii="黑体" w:eastAsia="黑体"/>
                <w:sz w:val="21"/>
              </w:rPr>
            </w:pPr>
            <w:r>
              <w:rPr>
                <w:spacing w:val="-2"/>
                <w:sz w:val="21"/>
              </w:rPr>
              <w:t>指因疾病或意外伤害导致肺部严重损害，已经实施了单侧全肺切除手术。</w:t>
            </w:r>
            <w:r>
              <w:rPr>
                <w:rFonts w:ascii="黑体" w:eastAsia="黑体"/>
                <w:color w:val="000000"/>
                <w:spacing w:val="-9"/>
                <w:sz w:val="21"/>
                <w:shd w:val="clear" w:color="auto" w:fill="DADADA"/>
              </w:rPr>
              <w:t>下列情况不在保障范围内：</w:t>
            </w:r>
            <w:r>
              <w:rPr>
                <w:rFonts w:ascii="黑体" w:eastAsia="黑体"/>
                <w:color w:val="000000"/>
                <w:spacing w:val="25"/>
                <w:sz w:val="21"/>
                <w:shd w:val="clear" w:color="auto" w:fill="DADADA"/>
              </w:rPr>
              <w:t>（</w:t>
            </w:r>
            <w:r>
              <w:rPr>
                <w:rFonts w:ascii="Times New Roman" w:eastAsia="Times New Roman"/>
                <w:color w:val="000000"/>
                <w:spacing w:val="23"/>
                <w:sz w:val="21"/>
                <w:shd w:val="clear" w:color="auto" w:fill="DADADA"/>
              </w:rPr>
              <w:t>1</w:t>
            </w:r>
            <w:r>
              <w:rPr>
                <w:rFonts w:ascii="黑体" w:eastAsia="黑体"/>
                <w:color w:val="000000"/>
                <w:spacing w:val="24"/>
                <w:sz w:val="21"/>
                <w:shd w:val="clear" w:color="auto" w:fill="DADADA"/>
              </w:rPr>
              <w:t>）</w:t>
            </w:r>
            <w:r>
              <w:rPr>
                <w:rFonts w:ascii="黑体" w:eastAsia="黑体"/>
                <w:color w:val="000000"/>
                <w:spacing w:val="-9"/>
                <w:sz w:val="21"/>
                <w:shd w:val="clear" w:color="auto" w:fill="DADADA"/>
              </w:rPr>
              <w:t>肺叶切除、肺段切除手术；</w:t>
            </w:r>
            <w:r>
              <w:rPr>
                <w:rFonts w:ascii="黑体" w:eastAsia="黑体"/>
                <w:color w:val="000000"/>
                <w:spacing w:val="25"/>
                <w:sz w:val="21"/>
                <w:shd w:val="clear" w:color="auto" w:fill="DADADA"/>
              </w:rPr>
              <w:t>（</w:t>
            </w:r>
            <w:r>
              <w:rPr>
                <w:rFonts w:ascii="Times New Roman" w:eastAsia="Times New Roman"/>
                <w:color w:val="000000"/>
                <w:spacing w:val="22"/>
                <w:sz w:val="21"/>
                <w:shd w:val="clear" w:color="auto" w:fill="DADADA"/>
              </w:rPr>
              <w:t>2</w:t>
            </w:r>
            <w:r>
              <w:rPr>
                <w:rFonts w:ascii="黑体" w:eastAsia="黑体"/>
                <w:color w:val="000000"/>
                <w:spacing w:val="23"/>
                <w:sz w:val="21"/>
                <w:shd w:val="clear" w:color="auto" w:fill="DADADA"/>
              </w:rPr>
              <w:t>）</w:t>
            </w:r>
            <w:r>
              <w:rPr>
                <w:rFonts w:ascii="黑体" w:eastAsia="黑体"/>
                <w:color w:val="000000"/>
                <w:spacing w:val="-2"/>
                <w:sz w:val="21"/>
                <w:shd w:val="clear" w:color="auto" w:fill="DADADA"/>
              </w:rPr>
              <w:t>因恶性</w:t>
            </w:r>
            <w:r>
              <w:rPr>
                <w:rFonts w:ascii="黑体" w:eastAsia="黑体"/>
                <w:color w:val="000000"/>
                <w:spacing w:val="80"/>
                <w:w w:val="150"/>
                <w:sz w:val="21"/>
                <w:shd w:val="clear" w:color="auto" w:fill="DADADA"/>
              </w:rPr>
              <w:t xml:space="preserve">                                    </w:t>
            </w:r>
            <w:r>
              <w:rPr>
                <w:rFonts w:ascii="黑体" w:eastAsia="黑体"/>
                <w:color w:val="000000"/>
                <w:spacing w:val="-16"/>
                <w:sz w:val="21"/>
                <w:shd w:val="clear" w:color="auto" w:fill="DADADA"/>
              </w:rPr>
              <w:t>肿瘤进行的肺切除手术；</w:t>
            </w:r>
            <w:r>
              <w:rPr>
                <w:rFonts w:ascii="黑体" w:eastAsia="黑体"/>
                <w:color w:val="000000"/>
                <w:spacing w:val="24"/>
                <w:sz w:val="21"/>
                <w:shd w:val="clear" w:color="auto" w:fill="DADADA"/>
              </w:rPr>
              <w:t>（</w:t>
            </w:r>
            <w:r>
              <w:rPr>
                <w:rFonts w:ascii="Times New Roman" w:eastAsia="Times New Roman"/>
                <w:color w:val="000000"/>
                <w:spacing w:val="22"/>
                <w:sz w:val="21"/>
                <w:shd w:val="clear" w:color="auto" w:fill="DADADA"/>
              </w:rPr>
              <w:t>3</w:t>
            </w:r>
            <w:r>
              <w:rPr>
                <w:rFonts w:ascii="黑体" w:eastAsia="黑体"/>
                <w:color w:val="000000"/>
                <w:spacing w:val="14"/>
                <w:sz w:val="21"/>
                <w:shd w:val="clear" w:color="auto" w:fill="DADADA"/>
              </w:rPr>
              <w:t>）</w:t>
            </w:r>
            <w:r>
              <w:rPr>
                <w:rFonts w:ascii="黑体" w:eastAsia="黑体"/>
                <w:color w:val="000000"/>
                <w:spacing w:val="-13"/>
                <w:sz w:val="21"/>
                <w:shd w:val="clear" w:color="auto" w:fill="DADADA"/>
              </w:rPr>
              <w:t>作为器官捐献者而实施的肺切除手术；</w:t>
            </w:r>
            <w:r>
              <w:rPr>
                <w:rFonts w:ascii="黑体" w:eastAsia="黑体"/>
                <w:color w:val="000000"/>
                <w:spacing w:val="20"/>
                <w:sz w:val="21"/>
                <w:shd w:val="clear" w:color="auto" w:fill="DADADA"/>
              </w:rPr>
              <w:t>（</w:t>
            </w:r>
            <w:r>
              <w:rPr>
                <w:rFonts w:ascii="Times New Roman" w:eastAsia="Times New Roman"/>
                <w:color w:val="000000"/>
                <w:spacing w:val="19"/>
                <w:sz w:val="21"/>
                <w:shd w:val="clear" w:color="auto" w:fill="DADADA"/>
              </w:rPr>
              <w:t>4</w:t>
            </w:r>
            <w:r>
              <w:rPr>
                <w:rFonts w:ascii="黑体" w:eastAsia="黑体"/>
                <w:color w:val="000000"/>
                <w:spacing w:val="20"/>
                <w:sz w:val="21"/>
                <w:shd w:val="clear" w:color="auto" w:fill="DADADA"/>
              </w:rPr>
              <w:t>）</w:t>
            </w:r>
          </w:p>
          <w:p>
            <w:pPr>
              <w:pStyle w:val="11"/>
              <w:spacing w:line="269" w:lineRule="exact"/>
              <w:rPr>
                <w:rFonts w:ascii="黑体" w:eastAsia="黑体"/>
                <w:sz w:val="21"/>
              </w:rPr>
            </w:pPr>
            <w:r>
              <w:rPr>
                <w:rFonts w:ascii="黑体" w:eastAsia="黑体"/>
                <w:color w:val="000000"/>
                <w:spacing w:val="-1"/>
                <w:sz w:val="21"/>
                <w:shd w:val="clear" w:color="auto" w:fill="DADADA"/>
              </w:rPr>
              <w:t>因器官移植而进行的肺切除手术；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85" w:type="dxa"/>
          </w:tcPr>
          <w:p>
            <w:pPr>
              <w:pStyle w:val="11"/>
              <w:ind w:left="0"/>
              <w:rPr>
                <w:rFonts w:ascii="黑体"/>
                <w:sz w:val="20"/>
              </w:rPr>
            </w:pPr>
          </w:p>
          <w:p>
            <w:pPr>
              <w:pStyle w:val="11"/>
              <w:ind w:left="0"/>
              <w:rPr>
                <w:rFonts w:ascii="黑体"/>
                <w:sz w:val="20"/>
              </w:rPr>
            </w:pPr>
          </w:p>
          <w:p>
            <w:pPr>
              <w:pStyle w:val="11"/>
              <w:spacing w:before="131"/>
              <w:rPr>
                <w:sz w:val="21"/>
              </w:rPr>
            </w:pPr>
            <w:r>
              <w:rPr>
                <w:spacing w:val="-2"/>
                <w:sz w:val="21"/>
              </w:rPr>
              <w:t>十一、中度脑损伤</w:t>
            </w:r>
          </w:p>
        </w:tc>
        <w:tc>
          <w:tcPr>
            <w:tcW w:w="6804" w:type="dxa"/>
          </w:tcPr>
          <w:p>
            <w:pPr>
              <w:pStyle w:val="11"/>
              <w:spacing w:before="20"/>
              <w:rPr>
                <w:sz w:val="21"/>
              </w:rPr>
            </w:pPr>
            <w:r>
              <w:rPr>
                <w:spacing w:val="-1"/>
                <w:sz w:val="21"/>
              </w:rPr>
              <w:t>指因头部遭受机械性外力，引起脑重要部位损伤，须由头颅断层扫描</w:t>
            </w:r>
          </w:p>
          <w:p>
            <w:pPr>
              <w:pStyle w:val="11"/>
              <w:spacing w:before="2" w:line="312" w:lineRule="exact"/>
              <w:ind w:right="-15" w:hanging="1"/>
              <w:rPr>
                <w:sz w:val="21"/>
              </w:rPr>
            </w:pPr>
            <w:r>
              <w:rPr>
                <w:spacing w:val="24"/>
                <w:sz w:val="21"/>
              </w:rPr>
              <w:t>（</w:t>
            </w:r>
            <w:r>
              <w:rPr>
                <w:rFonts w:ascii="Times New Roman" w:hAnsi="Times New Roman" w:eastAsia="Times New Roman"/>
                <w:spacing w:val="24"/>
                <w:sz w:val="21"/>
              </w:rPr>
              <w:t>CT</w:t>
            </w:r>
            <w:r>
              <w:rPr>
                <w:spacing w:val="-81"/>
                <w:sz w:val="21"/>
              </w:rPr>
              <w:t>）</w:t>
            </w:r>
            <w:r>
              <w:rPr>
                <w:spacing w:val="-2"/>
                <w:sz w:val="21"/>
              </w:rPr>
              <w:t>、核磁共振检查（</w:t>
            </w:r>
            <w:r>
              <w:rPr>
                <w:rFonts w:ascii="Times New Roman" w:hAnsi="Times New Roman" w:eastAsia="Times New Roman"/>
                <w:spacing w:val="-2"/>
                <w:sz w:val="21"/>
              </w:rPr>
              <w:t>MRI</w:t>
            </w:r>
            <w:r>
              <w:rPr>
                <w:spacing w:val="-2"/>
                <w:sz w:val="21"/>
              </w:rPr>
              <w:t>）或正电子发射断层扫描（</w:t>
            </w:r>
            <w:r>
              <w:rPr>
                <w:rFonts w:ascii="Times New Roman" w:hAnsi="Times New Roman" w:eastAsia="Times New Roman"/>
                <w:spacing w:val="-2"/>
                <w:sz w:val="21"/>
              </w:rPr>
              <w:t>PET</w:t>
            </w:r>
            <w:r>
              <w:rPr>
                <w:spacing w:val="-2"/>
                <w:sz w:val="21"/>
              </w:rPr>
              <w:t>）等影像学检查证实，并导致神经系统永久性的功能障碍，但未达到“严重脑损伤”</w:t>
            </w:r>
            <w:r>
              <w:rPr>
                <w:sz w:val="21"/>
              </w:rPr>
              <w:t xml:space="preserve">或“瘫痪”的给付标准。在脑损伤 </w:t>
            </w:r>
            <w:r>
              <w:rPr>
                <w:rFonts w:ascii="Times New Roman" w:hAnsi="Times New Roman" w:eastAsia="Times New Roman"/>
                <w:sz w:val="21"/>
              </w:rPr>
              <w:t>180</w:t>
            </w:r>
            <w:r>
              <w:rPr>
                <w:rFonts w:ascii="Times New Roman" w:hAnsi="Times New Roman" w:eastAsia="Times New Roman"/>
                <w:spacing w:val="38"/>
                <w:sz w:val="21"/>
              </w:rPr>
              <w:t xml:space="preserve"> </w:t>
            </w:r>
            <w:r>
              <w:rPr>
                <w:sz w:val="21"/>
              </w:rPr>
              <w:t>天后，仍存在自主生活能力严重</w:t>
            </w:r>
            <w:r>
              <w:rPr>
                <w:spacing w:val="-2"/>
                <w:sz w:val="21"/>
              </w:rPr>
              <w:t>丧失，经鉴定无法独立完成六项基本日常生活活动中的两项或以上。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85" w:type="dxa"/>
          </w:tcPr>
          <w:p>
            <w:pPr>
              <w:pStyle w:val="11"/>
              <w:ind w:left="0"/>
              <w:rPr>
                <w:rFonts w:ascii="黑体"/>
                <w:sz w:val="20"/>
              </w:rPr>
            </w:pPr>
          </w:p>
          <w:p>
            <w:pPr>
              <w:pStyle w:val="11"/>
              <w:spacing w:before="2"/>
              <w:ind w:left="0"/>
              <w:rPr>
                <w:rFonts w:ascii="黑体"/>
                <w:sz w:val="18"/>
              </w:rPr>
            </w:pPr>
          </w:p>
          <w:p>
            <w:pPr>
              <w:pStyle w:val="11"/>
              <w:spacing w:line="278" w:lineRule="auto"/>
              <w:ind w:right="83"/>
              <w:rPr>
                <w:sz w:val="21"/>
              </w:rPr>
            </w:pPr>
            <w:r>
              <w:rPr>
                <w:spacing w:val="9"/>
                <w:sz w:val="21"/>
              </w:rPr>
              <w:t>十二、严重甲型及</w:t>
            </w:r>
            <w:r>
              <w:rPr>
                <w:spacing w:val="-2"/>
                <w:sz w:val="21"/>
              </w:rPr>
              <w:t>乙型血友病</w:t>
            </w:r>
          </w:p>
        </w:tc>
        <w:tc>
          <w:tcPr>
            <w:tcW w:w="6804" w:type="dxa"/>
          </w:tcPr>
          <w:p>
            <w:pPr>
              <w:pStyle w:val="11"/>
              <w:spacing w:before="21" w:line="278" w:lineRule="auto"/>
              <w:ind w:right="96" w:hanging="1"/>
              <w:jc w:val="both"/>
              <w:rPr>
                <w:sz w:val="21"/>
              </w:rPr>
            </w:pPr>
            <w:r>
              <w:rPr>
                <w:sz w:val="21"/>
              </w:rPr>
              <w:t>被保人必须是患上严重甲型血友病（</w:t>
            </w:r>
            <w:r>
              <w:rPr>
                <w:spacing w:val="-9"/>
                <w:sz w:val="21"/>
              </w:rPr>
              <w:t xml:space="preserve">缺乏 </w:t>
            </w:r>
            <w:r>
              <w:rPr>
                <w:rFonts w:ascii="Times New Roman" w:eastAsia="Times New Roman"/>
                <w:sz w:val="21"/>
              </w:rPr>
              <w:t>VIII</w:t>
            </w:r>
            <w:r>
              <w:rPr>
                <w:rFonts w:ascii="Times New Roman" w:eastAsia="Times New Roman"/>
                <w:spacing w:val="-13"/>
                <w:sz w:val="21"/>
              </w:rPr>
              <w:t xml:space="preserve"> </w:t>
            </w:r>
            <w:r>
              <w:rPr>
                <w:sz w:val="21"/>
              </w:rPr>
              <w:t>凝血因子）或严重乙型血</w:t>
            </w:r>
            <w:r>
              <w:rPr>
                <w:w w:val="95"/>
                <w:sz w:val="21"/>
              </w:rPr>
              <w:t>友病（缺乏</w:t>
            </w:r>
            <w:r>
              <w:rPr>
                <w:spacing w:val="-8"/>
                <w:w w:val="95"/>
                <w:sz w:val="21"/>
              </w:rPr>
              <w:t xml:space="preserve"> </w:t>
            </w:r>
            <w:r>
              <w:rPr>
                <w:rFonts w:ascii="Times New Roman" w:eastAsia="Times New Roman"/>
                <w:w w:val="95"/>
                <w:sz w:val="21"/>
              </w:rPr>
              <w:t>IX</w:t>
            </w:r>
            <w:r>
              <w:rPr>
                <w:rFonts w:ascii="Times New Roman" w:eastAsia="Times New Roman"/>
                <w:spacing w:val="40"/>
                <w:sz w:val="21"/>
              </w:rPr>
              <w:t xml:space="preserve"> </w:t>
            </w:r>
            <w:r>
              <w:rPr>
                <w:w w:val="95"/>
                <w:sz w:val="21"/>
              </w:rPr>
              <w:t>凝血因子</w:t>
            </w:r>
            <w:r>
              <w:rPr>
                <w:spacing w:val="-77"/>
                <w:w w:val="95"/>
                <w:sz w:val="21"/>
              </w:rPr>
              <w:t>），</w:t>
            </w:r>
            <w:r>
              <w:rPr>
                <w:w w:val="95"/>
                <w:sz w:val="21"/>
              </w:rPr>
              <w:t>而凝血因子</w:t>
            </w:r>
            <w:r>
              <w:rPr>
                <w:spacing w:val="-8"/>
                <w:w w:val="95"/>
                <w:sz w:val="21"/>
              </w:rPr>
              <w:t xml:space="preserve"> </w:t>
            </w:r>
            <w:r>
              <w:rPr>
                <w:rFonts w:ascii="Times New Roman" w:eastAsia="Times New Roman"/>
                <w:w w:val="95"/>
                <w:sz w:val="21"/>
              </w:rPr>
              <w:t>VIII</w:t>
            </w:r>
            <w:r>
              <w:rPr>
                <w:rFonts w:ascii="Times New Roman" w:eastAsia="Times New Roman"/>
                <w:spacing w:val="40"/>
                <w:sz w:val="21"/>
              </w:rPr>
              <w:t xml:space="preserve"> </w:t>
            </w:r>
            <w:r>
              <w:rPr>
                <w:w w:val="95"/>
                <w:sz w:val="21"/>
              </w:rPr>
              <w:t>或凝血因子</w:t>
            </w:r>
            <w:r>
              <w:rPr>
                <w:spacing w:val="-8"/>
                <w:w w:val="95"/>
                <w:sz w:val="21"/>
              </w:rPr>
              <w:t xml:space="preserve"> </w:t>
            </w:r>
            <w:r>
              <w:rPr>
                <w:rFonts w:ascii="Times New Roman" w:eastAsia="Times New Roman"/>
                <w:w w:val="95"/>
                <w:sz w:val="21"/>
              </w:rPr>
              <w:t>IX</w:t>
            </w:r>
            <w:r>
              <w:rPr>
                <w:rFonts w:ascii="Times New Roman" w:eastAsia="Times New Roman"/>
                <w:spacing w:val="40"/>
                <w:sz w:val="21"/>
              </w:rPr>
              <w:t xml:space="preserve"> </w:t>
            </w:r>
            <w:r>
              <w:rPr>
                <w:w w:val="95"/>
                <w:sz w:val="21"/>
              </w:rPr>
              <w:t>的活性水平少</w:t>
            </w:r>
            <w:r>
              <w:rPr>
                <w:spacing w:val="-2"/>
                <w:sz w:val="21"/>
              </w:rPr>
              <w:t>于百分之一。诊断必须由我们认可医院的血液病专科医生确认。</w:t>
            </w:r>
          </w:p>
          <w:p>
            <w:pPr>
              <w:pStyle w:val="11"/>
              <w:rPr>
                <w:rFonts w:ascii="黑体" w:hAnsi="黑体" w:eastAsia="黑体"/>
                <w:sz w:val="21"/>
              </w:rPr>
            </w:pPr>
            <w:r>
              <w:rPr>
                <w:rFonts w:ascii="黑体" w:hAnsi="黑体" w:eastAsia="黑体"/>
                <w:spacing w:val="-1"/>
                <w:sz w:val="21"/>
              </w:rPr>
              <w:t>我们承担本项疾病责任不受本合同责任免除中“遗传性疾病、先天性畸</w:t>
            </w:r>
          </w:p>
          <w:p>
            <w:pPr>
              <w:pStyle w:val="11"/>
              <w:spacing w:before="43"/>
              <w:rPr>
                <w:rFonts w:ascii="黑体" w:hAnsi="黑体" w:eastAsia="黑体"/>
                <w:sz w:val="21"/>
              </w:rPr>
            </w:pPr>
            <w:r>
              <w:rPr>
                <w:rFonts w:ascii="黑体" w:hAnsi="黑体" w:eastAsia="黑体"/>
                <w:spacing w:val="-1"/>
                <w:sz w:val="21"/>
              </w:rPr>
              <w:t>形、变形或染色体异常”的限制。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5" w:type="dxa"/>
          </w:tcPr>
          <w:p>
            <w:pPr>
              <w:pStyle w:val="11"/>
              <w:spacing w:before="11"/>
              <w:ind w:left="0"/>
              <w:rPr>
                <w:rFonts w:ascii="黑体"/>
                <w:sz w:val="25"/>
              </w:rPr>
            </w:pPr>
          </w:p>
          <w:p>
            <w:pPr>
              <w:pStyle w:val="11"/>
              <w:spacing w:before="1" w:line="278" w:lineRule="auto"/>
              <w:ind w:right="83"/>
              <w:rPr>
                <w:sz w:val="21"/>
              </w:rPr>
            </w:pPr>
            <w:r>
              <w:rPr>
                <w:spacing w:val="9"/>
                <w:sz w:val="21"/>
              </w:rPr>
              <w:t>十三、中度脑炎或</w:t>
            </w:r>
            <w:r>
              <w:rPr>
                <w:spacing w:val="-2"/>
                <w:sz w:val="21"/>
              </w:rPr>
              <w:t>脑膜炎后遗症</w:t>
            </w:r>
          </w:p>
        </w:tc>
        <w:tc>
          <w:tcPr>
            <w:tcW w:w="6804" w:type="dxa"/>
          </w:tcPr>
          <w:p>
            <w:pPr>
              <w:pStyle w:val="11"/>
              <w:spacing w:before="20" w:line="278" w:lineRule="auto"/>
              <w:ind w:right="97"/>
              <w:jc w:val="both"/>
              <w:rPr>
                <w:sz w:val="21"/>
              </w:rPr>
            </w:pPr>
            <w:r>
              <w:rPr>
                <w:spacing w:val="-2"/>
                <w:sz w:val="21"/>
              </w:rPr>
              <w:t>指因患脑炎或脑膜炎导致的神经系统的功能障碍，但未达到“严重脑炎</w:t>
            </w:r>
            <w:r>
              <w:rPr>
                <w:sz w:val="21"/>
              </w:rPr>
              <w:t xml:space="preserve">后遗症或严重脑膜炎后遗症”或“瘫痪”的给付标准。在疾病确诊 </w:t>
            </w:r>
            <w:r>
              <w:rPr>
                <w:rFonts w:ascii="Times New Roman" w:hAnsi="Times New Roman" w:eastAsia="Times New Roman"/>
                <w:sz w:val="21"/>
              </w:rPr>
              <w:t>180</w:t>
            </w:r>
            <w:r>
              <w:rPr>
                <w:spacing w:val="-1"/>
                <w:sz w:val="21"/>
              </w:rPr>
              <w:t>天后，仍存在自主活动能力严重丧失，经鉴定无法独立完成六项基本日</w:t>
            </w:r>
          </w:p>
          <w:p>
            <w:pPr>
              <w:pStyle w:val="11"/>
              <w:rPr>
                <w:sz w:val="21"/>
              </w:rPr>
            </w:pPr>
            <w:r>
              <w:rPr>
                <w:spacing w:val="-1"/>
                <w:sz w:val="21"/>
              </w:rPr>
              <w:t>常生活活动中的两项。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85" w:type="dxa"/>
          </w:tcPr>
          <w:p>
            <w:pPr>
              <w:pStyle w:val="11"/>
              <w:ind w:left="0"/>
              <w:rPr>
                <w:rFonts w:ascii="黑体"/>
                <w:sz w:val="20"/>
              </w:rPr>
            </w:pPr>
          </w:p>
          <w:p>
            <w:pPr>
              <w:pStyle w:val="11"/>
              <w:ind w:left="0"/>
              <w:rPr>
                <w:rFonts w:ascii="黑体"/>
                <w:sz w:val="20"/>
              </w:rPr>
            </w:pPr>
          </w:p>
          <w:p>
            <w:pPr>
              <w:pStyle w:val="11"/>
              <w:spacing w:before="5"/>
              <w:ind w:left="0"/>
              <w:rPr>
                <w:rFonts w:ascii="黑体"/>
                <w:sz w:val="22"/>
              </w:rPr>
            </w:pPr>
          </w:p>
          <w:p>
            <w:pPr>
              <w:pStyle w:val="11"/>
              <w:spacing w:before="1" w:line="278" w:lineRule="auto"/>
              <w:ind w:right="83"/>
              <w:rPr>
                <w:sz w:val="21"/>
              </w:rPr>
            </w:pPr>
            <w:r>
              <w:rPr>
                <w:spacing w:val="9"/>
                <w:sz w:val="21"/>
              </w:rPr>
              <w:t>十四、中度肌营养</w:t>
            </w:r>
            <w:r>
              <w:rPr>
                <w:spacing w:val="-4"/>
                <w:sz w:val="21"/>
              </w:rPr>
              <w:t>不良症</w:t>
            </w:r>
          </w:p>
        </w:tc>
        <w:tc>
          <w:tcPr>
            <w:tcW w:w="6804" w:type="dxa"/>
          </w:tcPr>
          <w:p>
            <w:pPr>
              <w:pStyle w:val="11"/>
              <w:spacing w:before="20" w:line="278" w:lineRule="auto"/>
              <w:ind w:right="-15"/>
              <w:rPr>
                <w:sz w:val="21"/>
              </w:rPr>
            </w:pPr>
            <w:r>
              <w:rPr>
                <w:spacing w:val="1"/>
                <w:sz w:val="21"/>
              </w:rPr>
              <w:t>指一组原发于肌肉的遗传性疾病，临床表现为与神经系统无关的肌肉无</w:t>
            </w:r>
            <w:r>
              <w:rPr>
                <w:spacing w:val="-4"/>
                <w:sz w:val="21"/>
              </w:rPr>
              <w:t>力和肌肉萎缩，但未达到“严重肌营养不良症”或“瘫痪”的给付标准。</w:t>
            </w:r>
            <w:r>
              <w:rPr>
                <w:spacing w:val="-9"/>
                <w:sz w:val="21"/>
              </w:rPr>
              <w:t>须满足下列全部条件：</w:t>
            </w:r>
            <w:r>
              <w:rPr>
                <w:spacing w:val="3"/>
                <w:sz w:val="21"/>
              </w:rPr>
              <w:t>（</w:t>
            </w:r>
            <w:r>
              <w:rPr>
                <w:rFonts w:ascii="Times New Roman" w:hAnsi="Times New Roman" w:eastAsia="Times New Roman"/>
                <w:spacing w:val="2"/>
                <w:sz w:val="21"/>
              </w:rPr>
              <w:t>1</w:t>
            </w:r>
            <w:r>
              <w:rPr>
                <w:spacing w:val="2"/>
                <w:sz w:val="21"/>
              </w:rPr>
              <w:t>）</w:t>
            </w:r>
            <w:r>
              <w:rPr>
                <w:spacing w:val="1"/>
                <w:sz w:val="21"/>
              </w:rPr>
              <w:t>肌肉组织活检结果满足肌营养不良症的肌肉</w:t>
            </w:r>
            <w:r>
              <w:rPr>
                <w:spacing w:val="-6"/>
                <w:sz w:val="21"/>
              </w:rPr>
              <w:t>细胞变性、坏死等阳性改变；</w:t>
            </w:r>
            <w:r>
              <w:rPr>
                <w:spacing w:val="2"/>
                <w:sz w:val="21"/>
              </w:rPr>
              <w:t>（</w:t>
            </w:r>
            <w:r>
              <w:rPr>
                <w:rFonts w:ascii="Times New Roman" w:hAnsi="Times New Roman" w:eastAsia="Times New Roman"/>
                <w:spacing w:val="4"/>
                <w:sz w:val="21"/>
              </w:rPr>
              <w:t>2</w:t>
            </w:r>
            <w:r>
              <w:rPr>
                <w:spacing w:val="2"/>
                <w:sz w:val="21"/>
              </w:rPr>
              <w:t>）</w:t>
            </w:r>
            <w:r>
              <w:rPr>
                <w:spacing w:val="1"/>
                <w:sz w:val="21"/>
              </w:rPr>
              <w:t>自主生活能力严重丧失，经鉴定无法独立完成六项基本日常生活活动中的两项或两项以上。</w:t>
            </w:r>
          </w:p>
          <w:p>
            <w:pPr>
              <w:pStyle w:val="11"/>
              <w:spacing w:line="269" w:lineRule="exact"/>
              <w:rPr>
                <w:rFonts w:ascii="黑体" w:hAnsi="黑体" w:eastAsia="黑体"/>
                <w:sz w:val="21"/>
              </w:rPr>
            </w:pPr>
            <w:r>
              <w:rPr>
                <w:rFonts w:ascii="黑体" w:hAnsi="黑体" w:eastAsia="黑体"/>
                <w:spacing w:val="-1"/>
                <w:sz w:val="21"/>
              </w:rPr>
              <w:t>我们承担本项疾病责任不受本合同责任免除中“遗传性疾病，先天性畸</w:t>
            </w:r>
          </w:p>
          <w:p>
            <w:pPr>
              <w:pStyle w:val="11"/>
              <w:spacing w:before="43"/>
              <w:rPr>
                <w:rFonts w:ascii="黑体" w:hAnsi="黑体" w:eastAsia="黑体"/>
                <w:sz w:val="21"/>
              </w:rPr>
            </w:pPr>
            <w:r>
              <w:rPr>
                <w:rFonts w:ascii="黑体" w:hAnsi="黑体" w:eastAsia="黑体"/>
                <w:spacing w:val="-1"/>
                <w:sz w:val="21"/>
              </w:rPr>
              <w:t>形、变形或染色体异常”的限制。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85" w:type="dxa"/>
          </w:tcPr>
          <w:p>
            <w:pPr>
              <w:pStyle w:val="11"/>
              <w:spacing w:before="21"/>
              <w:rPr>
                <w:sz w:val="21"/>
              </w:rPr>
            </w:pPr>
            <w:r>
              <w:rPr>
                <w:spacing w:val="10"/>
                <w:sz w:val="21"/>
              </w:rPr>
              <w:t>十五、胆道重建手</w:t>
            </w:r>
          </w:p>
          <w:p>
            <w:pPr>
              <w:pStyle w:val="11"/>
              <w:spacing w:before="43"/>
              <w:rPr>
                <w:sz w:val="21"/>
              </w:rPr>
            </w:pPr>
            <w:r>
              <w:rPr>
                <w:sz w:val="21"/>
              </w:rPr>
              <w:t>术</w:t>
            </w:r>
          </w:p>
        </w:tc>
        <w:tc>
          <w:tcPr>
            <w:tcW w:w="6804" w:type="dxa"/>
          </w:tcPr>
          <w:p>
            <w:pPr>
              <w:pStyle w:val="11"/>
              <w:spacing w:before="21"/>
              <w:rPr>
                <w:sz w:val="21"/>
              </w:rPr>
            </w:pPr>
            <w:r>
              <w:rPr>
                <w:spacing w:val="-1"/>
                <w:sz w:val="21"/>
              </w:rPr>
              <w:t>指因胆道创伤导致接受涉及胆总管小肠吻合术的胆道重建手术。手术必</w:t>
            </w:r>
          </w:p>
          <w:p>
            <w:pPr>
              <w:pStyle w:val="11"/>
              <w:spacing w:before="43"/>
              <w:rPr>
                <w:sz w:val="21"/>
              </w:rPr>
            </w:pPr>
            <w:r>
              <w:rPr>
                <w:spacing w:val="-1"/>
                <w:sz w:val="21"/>
              </w:rPr>
              <w:t>须在专科医生认为是医疗所需的情况下进行。</w:t>
            </w:r>
          </w:p>
        </w:tc>
      </w:tr>
    </w:tbl>
    <w:p>
      <w:pPr>
        <w:spacing w:after="0"/>
        <w:rPr>
          <w:sz w:val="21"/>
        </w:rPr>
        <w:sectPr>
          <w:pgSz w:w="11910" w:h="16840"/>
          <w:pgMar w:top="1420" w:right="1160" w:bottom="1540" w:left="1540" w:header="0" w:footer="1264" w:gutter="0"/>
          <w:cols w:space="720" w:num="1"/>
        </w:sect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5"/>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85" w:type="dxa"/>
          </w:tcPr>
          <w:p>
            <w:pPr>
              <w:pStyle w:val="11"/>
              <w:ind w:left="0"/>
              <w:rPr>
                <w:rFonts w:ascii="Times New Roman"/>
                <w:sz w:val="20"/>
              </w:rPr>
            </w:pPr>
          </w:p>
        </w:tc>
        <w:tc>
          <w:tcPr>
            <w:tcW w:w="6804" w:type="dxa"/>
          </w:tcPr>
          <w:p>
            <w:pPr>
              <w:pStyle w:val="11"/>
              <w:spacing w:before="20"/>
              <w:rPr>
                <w:rFonts w:ascii="黑体" w:eastAsia="黑体"/>
                <w:sz w:val="21"/>
              </w:rPr>
            </w:pPr>
            <w:r>
              <w:rPr>
                <w:rFonts w:ascii="黑体" w:eastAsia="黑体"/>
                <w:color w:val="000000"/>
                <w:spacing w:val="-1"/>
                <w:sz w:val="21"/>
                <w:shd w:val="clear" w:color="auto" w:fill="DADADA"/>
              </w:rPr>
              <w:t>胆道闭锁不在保障范围内。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1985" w:type="dxa"/>
          </w:tcPr>
          <w:p>
            <w:pPr>
              <w:pStyle w:val="11"/>
              <w:spacing w:before="4"/>
              <w:ind w:left="0"/>
              <w:rPr>
                <w:rFonts w:ascii="黑体"/>
                <w:sz w:val="14"/>
              </w:rPr>
            </w:pPr>
          </w:p>
          <w:p>
            <w:pPr>
              <w:pStyle w:val="11"/>
              <w:spacing w:line="278" w:lineRule="auto"/>
              <w:ind w:right="83"/>
              <w:rPr>
                <w:sz w:val="21"/>
              </w:rPr>
            </w:pPr>
            <w:r>
              <w:rPr>
                <w:spacing w:val="9"/>
                <w:sz w:val="21"/>
              </w:rPr>
              <w:t>十六、多处臂丛神</w:t>
            </w:r>
            <w:r>
              <w:rPr>
                <w:spacing w:val="-2"/>
                <w:sz w:val="21"/>
              </w:rPr>
              <w:t>经根性撕脱</w:t>
            </w:r>
          </w:p>
        </w:tc>
        <w:tc>
          <w:tcPr>
            <w:tcW w:w="6804" w:type="dxa"/>
          </w:tcPr>
          <w:p>
            <w:pPr>
              <w:pStyle w:val="11"/>
              <w:spacing w:before="27"/>
              <w:rPr>
                <w:sz w:val="21"/>
              </w:rPr>
            </w:pPr>
            <w:r>
              <w:rPr>
                <w:spacing w:val="-1"/>
                <w:sz w:val="21"/>
              </w:rPr>
              <w:t xml:space="preserve">由于疾病或意外导致至少两根臂丛神经根性撕脱，且自确诊 </w:t>
            </w:r>
            <w:r>
              <w:rPr>
                <w:rFonts w:ascii="Times New Roman" w:eastAsia="Times New Roman"/>
                <w:sz w:val="21"/>
              </w:rPr>
              <w:t>180</w:t>
            </w:r>
            <w:r>
              <w:rPr>
                <w:rFonts w:ascii="Times New Roman" w:eastAsia="Times New Roman"/>
                <w:spacing w:val="37"/>
                <w:sz w:val="21"/>
              </w:rPr>
              <w:t xml:space="preserve"> </w:t>
            </w:r>
            <w:r>
              <w:rPr>
                <w:spacing w:val="-4"/>
                <w:sz w:val="21"/>
              </w:rPr>
              <w:t>天后仍</w:t>
            </w:r>
          </w:p>
          <w:p>
            <w:pPr>
              <w:pStyle w:val="11"/>
              <w:spacing w:before="2" w:line="310" w:lineRule="atLeast"/>
              <w:ind w:right="98"/>
              <w:rPr>
                <w:sz w:val="21"/>
              </w:rPr>
            </w:pPr>
            <w:r>
              <w:rPr>
                <w:spacing w:val="-2"/>
                <w:sz w:val="21"/>
              </w:rPr>
              <w:t>遗留双侧手臂感觉功能与运动功能完全永久性丧失。须有电生理检查结</w:t>
            </w:r>
            <w:r>
              <w:rPr>
                <w:spacing w:val="-4"/>
                <w:sz w:val="21"/>
              </w:rPr>
              <w:t>果证实。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1985" w:type="dxa"/>
          </w:tcPr>
          <w:p>
            <w:pPr>
              <w:pStyle w:val="11"/>
              <w:spacing w:before="2"/>
              <w:ind w:left="0"/>
              <w:rPr>
                <w:rFonts w:ascii="黑体"/>
                <w:sz w:val="14"/>
              </w:rPr>
            </w:pPr>
          </w:p>
          <w:p>
            <w:pPr>
              <w:pStyle w:val="11"/>
              <w:spacing w:before="1" w:line="278" w:lineRule="auto"/>
              <w:ind w:right="83"/>
              <w:rPr>
                <w:sz w:val="21"/>
              </w:rPr>
            </w:pPr>
            <w:r>
              <w:rPr>
                <w:spacing w:val="9"/>
                <w:sz w:val="21"/>
              </w:rPr>
              <w:t>十七、中度克罗恩</w:t>
            </w:r>
            <w:r>
              <w:rPr>
                <w:spacing w:val="-10"/>
                <w:sz w:val="21"/>
              </w:rPr>
              <w:t>病</w:t>
            </w:r>
          </w:p>
        </w:tc>
        <w:tc>
          <w:tcPr>
            <w:tcW w:w="6804" w:type="dxa"/>
          </w:tcPr>
          <w:p>
            <w:pPr>
              <w:pStyle w:val="11"/>
              <w:spacing w:before="26"/>
              <w:rPr>
                <w:sz w:val="21"/>
              </w:rPr>
            </w:pPr>
            <w:r>
              <w:rPr>
                <w:sz w:val="21"/>
              </w:rPr>
              <w:t>指一种慢性肉芽肿性肠炎，具有特征性的克罗恩病（</w:t>
            </w:r>
            <w:r>
              <w:rPr>
                <w:rFonts w:ascii="Times New Roman" w:eastAsia="Times New Roman"/>
                <w:sz w:val="21"/>
              </w:rPr>
              <w:t>Crohn</w:t>
            </w:r>
            <w:r>
              <w:rPr>
                <w:rFonts w:ascii="Times New Roman" w:eastAsia="Times New Roman"/>
                <w:spacing w:val="31"/>
                <w:sz w:val="21"/>
              </w:rPr>
              <w:t xml:space="preserve">  </w:t>
            </w:r>
            <w:r>
              <w:rPr>
                <w:sz w:val="21"/>
              </w:rPr>
              <w:t>病）</w:t>
            </w:r>
            <w:r>
              <w:rPr>
                <w:spacing w:val="-4"/>
                <w:sz w:val="21"/>
              </w:rPr>
              <w:t>病理组</w:t>
            </w:r>
          </w:p>
          <w:p>
            <w:pPr>
              <w:pStyle w:val="11"/>
              <w:spacing w:before="2" w:line="310" w:lineRule="atLeast"/>
              <w:ind w:right="98"/>
              <w:rPr>
                <w:sz w:val="21"/>
              </w:rPr>
            </w:pPr>
            <w:r>
              <w:rPr>
                <w:spacing w:val="-2"/>
                <w:sz w:val="21"/>
              </w:rPr>
              <w:t>织学变化，须根据组织病理学特点诊断，并因病情需要以免疫抑制剂连</w:t>
            </w:r>
            <w:r>
              <w:rPr>
                <w:spacing w:val="-6"/>
                <w:sz w:val="21"/>
              </w:rPr>
              <w:t xml:space="preserve">续治疗 </w:t>
            </w:r>
            <w:r>
              <w:rPr>
                <w:rFonts w:ascii="Times New Roman" w:hAnsi="Times New Roman" w:eastAsia="Times New Roman"/>
                <w:sz w:val="21"/>
              </w:rPr>
              <w:t xml:space="preserve">90 </w:t>
            </w:r>
            <w:r>
              <w:rPr>
                <w:sz w:val="21"/>
              </w:rPr>
              <w:t>天以上，但未达到“严重克罗恩病”的给付标准。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5" w:type="dxa"/>
          </w:tcPr>
          <w:p>
            <w:pPr>
              <w:pStyle w:val="11"/>
              <w:spacing w:before="11"/>
              <w:ind w:left="0"/>
              <w:rPr>
                <w:rFonts w:ascii="黑体"/>
                <w:sz w:val="25"/>
              </w:rPr>
            </w:pPr>
          </w:p>
          <w:p>
            <w:pPr>
              <w:pStyle w:val="11"/>
              <w:spacing w:before="1" w:line="278" w:lineRule="auto"/>
              <w:ind w:right="83"/>
              <w:rPr>
                <w:sz w:val="21"/>
              </w:rPr>
            </w:pPr>
            <w:r>
              <w:rPr>
                <w:spacing w:val="9"/>
                <w:sz w:val="21"/>
              </w:rPr>
              <w:t>十八、中度克雅氏</w:t>
            </w:r>
            <w:r>
              <w:rPr>
                <w:spacing w:val="-10"/>
                <w:sz w:val="21"/>
              </w:rPr>
              <w:t>病</w:t>
            </w:r>
          </w:p>
        </w:tc>
        <w:tc>
          <w:tcPr>
            <w:tcW w:w="6804" w:type="dxa"/>
          </w:tcPr>
          <w:p>
            <w:pPr>
              <w:pStyle w:val="11"/>
              <w:spacing w:before="20" w:line="278" w:lineRule="auto"/>
              <w:ind w:right="97"/>
              <w:jc w:val="both"/>
              <w:rPr>
                <w:sz w:val="21"/>
              </w:rPr>
            </w:pPr>
            <w:r>
              <w:rPr>
                <w:spacing w:val="-2"/>
                <w:sz w:val="21"/>
              </w:rPr>
              <w:t>是一种传染性海绵状脑病，临床表现为快速进行性痴呆、肌阵挛和特征性脑电图变化，但未达到“严重克雅氏病”的给付标准。须由我们认可</w:t>
            </w:r>
            <w:r>
              <w:rPr>
                <w:spacing w:val="-1"/>
                <w:sz w:val="21"/>
              </w:rPr>
              <w:t xml:space="preserve">的医疗机构的专科医生根据 </w:t>
            </w:r>
            <w:r>
              <w:rPr>
                <w:rFonts w:ascii="Times New Roman" w:hAnsi="Times New Roman" w:eastAsia="Times New Roman"/>
                <w:sz w:val="21"/>
              </w:rPr>
              <w:t>WHO</w:t>
            </w:r>
            <w:r>
              <w:rPr>
                <w:rFonts w:ascii="Times New Roman" w:hAnsi="Times New Roman" w:eastAsia="Times New Roman"/>
                <w:spacing w:val="47"/>
                <w:sz w:val="21"/>
              </w:rPr>
              <w:t xml:space="preserve"> </w:t>
            </w:r>
            <w:r>
              <w:rPr>
                <w:spacing w:val="-1"/>
                <w:sz w:val="21"/>
              </w:rPr>
              <w:t>诊断标准明确诊断，并且自主生活能</w:t>
            </w:r>
          </w:p>
          <w:p>
            <w:pPr>
              <w:pStyle w:val="11"/>
              <w:rPr>
                <w:sz w:val="21"/>
              </w:rPr>
            </w:pPr>
            <w:r>
              <w:rPr>
                <w:spacing w:val="-1"/>
                <w:sz w:val="21"/>
              </w:rPr>
              <w:t>力严重丧失，无法独立完成六项基本日常生活活动中的两项。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60" w:hRule="atLeast"/>
        </w:trPr>
        <w:tc>
          <w:tcPr>
            <w:tcW w:w="1985" w:type="dxa"/>
          </w:tcPr>
          <w:p>
            <w:pPr>
              <w:pStyle w:val="11"/>
              <w:ind w:left="0"/>
              <w:rPr>
                <w:rFonts w:ascii="黑体"/>
                <w:sz w:val="20"/>
              </w:rPr>
            </w:pPr>
          </w:p>
          <w:p>
            <w:pPr>
              <w:pStyle w:val="11"/>
              <w:spacing w:before="2"/>
              <w:ind w:left="0"/>
              <w:rPr>
                <w:rFonts w:ascii="黑体"/>
                <w:sz w:val="18"/>
              </w:rPr>
            </w:pPr>
          </w:p>
          <w:p>
            <w:pPr>
              <w:pStyle w:val="11"/>
              <w:spacing w:line="278" w:lineRule="auto"/>
              <w:ind w:right="83"/>
              <w:rPr>
                <w:sz w:val="21"/>
              </w:rPr>
            </w:pPr>
            <w:r>
              <w:rPr>
                <w:spacing w:val="9"/>
                <w:sz w:val="21"/>
              </w:rPr>
              <w:t>十九、中度强直性</w:t>
            </w:r>
            <w:r>
              <w:rPr>
                <w:spacing w:val="-4"/>
                <w:sz w:val="21"/>
              </w:rPr>
              <w:t>脊柱炎</w:t>
            </w:r>
          </w:p>
        </w:tc>
        <w:tc>
          <w:tcPr>
            <w:tcW w:w="6804" w:type="dxa"/>
          </w:tcPr>
          <w:p>
            <w:pPr>
              <w:pStyle w:val="11"/>
              <w:spacing w:before="21" w:line="278" w:lineRule="auto"/>
              <w:ind w:right="98"/>
              <w:rPr>
                <w:sz w:val="21"/>
              </w:rPr>
            </w:pPr>
            <w:r>
              <w:rPr>
                <w:spacing w:val="-2"/>
                <w:sz w:val="21"/>
              </w:rPr>
              <w:t>是一种慢性全身性炎性疾病，主要侵犯脊柱导致脊柱畸形。必须明确诊断并且满足下列所有条件但未达到“严重强直性脊柱炎”的给付标准：</w:t>
            </w:r>
          </w:p>
          <w:p>
            <w:pPr>
              <w:pStyle w:val="11"/>
              <w:numPr>
                <w:ilvl w:val="0"/>
                <w:numId w:val="29"/>
              </w:numPr>
              <w:tabs>
                <w:tab w:val="left" w:pos="633"/>
              </w:tabs>
              <w:spacing w:before="0" w:after="0" w:line="240" w:lineRule="auto"/>
              <w:ind w:left="632" w:right="0" w:hanging="527"/>
              <w:jc w:val="left"/>
              <w:rPr>
                <w:sz w:val="21"/>
              </w:rPr>
            </w:pPr>
            <w:r>
              <w:rPr>
                <w:spacing w:val="-4"/>
                <w:sz w:val="21"/>
              </w:rPr>
              <w:t>严重脊柱畸形；</w:t>
            </w:r>
          </w:p>
          <w:p>
            <w:pPr>
              <w:pStyle w:val="11"/>
              <w:numPr>
                <w:ilvl w:val="0"/>
                <w:numId w:val="29"/>
              </w:numPr>
              <w:tabs>
                <w:tab w:val="left" w:pos="633"/>
              </w:tabs>
              <w:spacing w:before="2" w:after="0" w:line="310" w:lineRule="atLeast"/>
              <w:ind w:left="106" w:right="97" w:firstLine="0"/>
              <w:jc w:val="left"/>
              <w:rPr>
                <w:sz w:val="21"/>
              </w:rPr>
            </w:pPr>
            <w:r>
              <w:rPr>
                <w:spacing w:val="-2"/>
                <w:sz w:val="21"/>
              </w:rPr>
              <w:t>自主生活能力严重丧失，无法独立完成六项基本日常生活活动中的</w:t>
            </w:r>
            <w:r>
              <w:rPr>
                <w:spacing w:val="-4"/>
                <w:sz w:val="21"/>
              </w:rPr>
              <w:t>两项。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85" w:type="dxa"/>
          </w:tcPr>
          <w:p>
            <w:pPr>
              <w:pStyle w:val="11"/>
              <w:ind w:left="0"/>
              <w:rPr>
                <w:rFonts w:ascii="黑体"/>
                <w:sz w:val="20"/>
              </w:rPr>
            </w:pPr>
          </w:p>
          <w:p>
            <w:pPr>
              <w:pStyle w:val="11"/>
              <w:ind w:left="0"/>
              <w:rPr>
                <w:rFonts w:ascii="黑体"/>
                <w:sz w:val="20"/>
              </w:rPr>
            </w:pPr>
          </w:p>
          <w:p>
            <w:pPr>
              <w:pStyle w:val="11"/>
              <w:spacing w:before="131" w:line="278" w:lineRule="auto"/>
              <w:ind w:right="83"/>
              <w:rPr>
                <w:sz w:val="21"/>
              </w:rPr>
            </w:pPr>
            <w:r>
              <w:rPr>
                <w:spacing w:val="9"/>
                <w:sz w:val="21"/>
              </w:rPr>
              <w:t>二十、结核性脊髓</w:t>
            </w:r>
            <w:r>
              <w:rPr>
                <w:spacing w:val="-4"/>
                <w:sz w:val="21"/>
              </w:rPr>
              <w:t>炎后遗症</w:t>
            </w:r>
          </w:p>
        </w:tc>
        <w:tc>
          <w:tcPr>
            <w:tcW w:w="6804" w:type="dxa"/>
          </w:tcPr>
          <w:p>
            <w:pPr>
              <w:pStyle w:val="11"/>
              <w:spacing w:before="20" w:line="278" w:lineRule="auto"/>
              <w:ind w:right="98"/>
              <w:rPr>
                <w:sz w:val="21"/>
              </w:rPr>
            </w:pPr>
            <w:r>
              <w:rPr>
                <w:spacing w:val="-2"/>
                <w:sz w:val="21"/>
              </w:rPr>
              <w:t>指因结核杆菌引起的脊髓炎，导致永久性神经系统功能障碍，在疾病首</w:t>
            </w:r>
            <w:r>
              <w:rPr>
                <w:spacing w:val="-6"/>
                <w:sz w:val="21"/>
              </w:rPr>
              <w:t xml:space="preserve">次确诊 </w:t>
            </w:r>
            <w:r>
              <w:rPr>
                <w:rFonts w:ascii="Times New Roman" w:eastAsia="Times New Roman"/>
                <w:sz w:val="21"/>
              </w:rPr>
              <w:t xml:space="preserve">180 </w:t>
            </w:r>
            <w:r>
              <w:rPr>
                <w:sz w:val="21"/>
              </w:rPr>
              <w:t>天后，仍遗留下列障碍：</w:t>
            </w:r>
          </w:p>
          <w:p>
            <w:pPr>
              <w:pStyle w:val="11"/>
              <w:spacing w:line="278" w:lineRule="auto"/>
              <w:ind w:right="98"/>
              <w:rPr>
                <w:sz w:val="21"/>
              </w:rPr>
            </w:pPr>
            <w:r>
              <w:rPr>
                <w:spacing w:val="-2"/>
                <w:sz w:val="21"/>
              </w:rPr>
              <w:t>自主生活能力严重丧失，无法独立完成六项基本日常生活活动中的二项或二项以上。</w:t>
            </w:r>
          </w:p>
          <w:p>
            <w:pPr>
              <w:pStyle w:val="11"/>
              <w:rPr>
                <w:sz w:val="21"/>
              </w:rPr>
            </w:pPr>
            <w:r>
              <w:rPr>
                <w:spacing w:val="-1"/>
                <w:sz w:val="21"/>
              </w:rPr>
              <w:t>该诊断必须由我们认可的医疗机构内的神经专科医生证实，并必须由适</w:t>
            </w:r>
          </w:p>
          <w:p>
            <w:pPr>
              <w:pStyle w:val="11"/>
              <w:spacing w:before="43"/>
              <w:rPr>
                <w:sz w:val="21"/>
              </w:rPr>
            </w:pPr>
            <w:r>
              <w:rPr>
                <w:spacing w:val="-1"/>
                <w:sz w:val="21"/>
              </w:rPr>
              <w:t>当的检查证明为结核性脊髓炎。</w:t>
            </w:r>
          </w:p>
        </w:tc>
      </w:tr>
    </w:tbl>
    <w:p>
      <w:pPr>
        <w:spacing w:after="0"/>
        <w:rPr>
          <w:sz w:val="21"/>
        </w:rPr>
        <w:sectPr>
          <w:type w:val="continuous"/>
          <w:pgSz w:w="11910" w:h="16840"/>
          <w:pgMar w:top="1420" w:right="1160" w:bottom="1540" w:left="1540" w:header="0" w:footer="1264" w:gutter="0"/>
          <w:cols w:space="720" w:num="1"/>
        </w:sectPr>
      </w:pPr>
    </w:p>
    <w:p>
      <w:pPr>
        <w:pStyle w:val="2"/>
        <w:spacing w:before="42"/>
        <w:jc w:val="left"/>
      </w:pPr>
      <w:bookmarkStart w:id="82" w:name="_bookmark82"/>
      <w:bookmarkEnd w:id="82"/>
      <w:r>
        <w:rPr>
          <w:w w:val="95"/>
        </w:rPr>
        <w:t>附表三：重大疾病种类</w:t>
      </w:r>
      <w:r>
        <w:rPr>
          <w:spacing w:val="-10"/>
          <w:w w:val="95"/>
        </w:rPr>
        <w:t>表</w:t>
      </w:r>
    </w:p>
    <w:p>
      <w:pPr>
        <w:pStyle w:val="3"/>
        <w:spacing w:before="43" w:line="278" w:lineRule="auto"/>
        <w:ind w:right="530"/>
      </w:pPr>
      <w:r>
        <w:rPr>
          <w:spacing w:val="-5"/>
        </w:rPr>
        <w:t>以下第一至二十八项重大疾病是中国保险行业协会与中国医师协会联合发布的《重大疾病保</w:t>
      </w:r>
      <w:r>
        <w:t>险的疾病定义使用规范（</w:t>
      </w:r>
      <w:r>
        <w:rPr>
          <w:rFonts w:ascii="Times New Roman" w:hAnsi="Times New Roman" w:eastAsia="Times New Roman"/>
        </w:rPr>
        <w:t>2020</w:t>
      </w:r>
      <w:r>
        <w:rPr>
          <w:rFonts w:ascii="Times New Roman" w:hAnsi="Times New Roman" w:eastAsia="Times New Roman"/>
          <w:spacing w:val="35"/>
        </w:rPr>
        <w:t xml:space="preserve"> </w:t>
      </w:r>
      <w:r>
        <w:t>年修订版</w:t>
      </w:r>
      <w:r>
        <w:rPr>
          <w:spacing w:val="-105"/>
        </w:rPr>
        <w:t>）》</w:t>
      </w:r>
      <w:r>
        <w:t>（</w:t>
      </w:r>
      <w:r>
        <w:rPr>
          <w:spacing w:val="-14"/>
        </w:rPr>
        <w:t>以下简称“规范”</w:t>
      </w:r>
      <w:r>
        <w:t>）中制定了规范定义的疾病，</w:t>
      </w:r>
      <w:r>
        <w:rPr>
          <w:spacing w:val="-2"/>
        </w:rPr>
        <w:t>第二十九至一百项重大疾病是我们在规范之外增加的疾病。</w:t>
      </w:r>
    </w:p>
    <w:p>
      <w:pPr>
        <w:pStyle w:val="3"/>
        <w:spacing w:line="278" w:lineRule="auto"/>
        <w:ind w:right="1806"/>
        <w:rPr>
          <w:rFonts w:ascii="黑体" w:eastAsia="黑体"/>
        </w:rPr>
      </w:pPr>
      <w:r>
        <w:pict>
          <v:shape id="docshape15" o:spid="_x0000_s1031" o:spt="202" type="#_x0000_t202" style="position:absolute;left:0pt;margin-left:84.2pt;margin-top:30.15pt;height:593.75pt;width:447.7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Borders>
                          <w:bottom w:val="nil"/>
                        </w:tcBorders>
                      </w:tcPr>
                      <w:p>
                        <w:pPr>
                          <w:pStyle w:val="11"/>
                          <w:ind w:left="0"/>
                          <w:rPr>
                            <w:rFonts w:ascii="Times New Roman"/>
                            <w:sz w:val="20"/>
                          </w:rPr>
                        </w:pPr>
                      </w:p>
                    </w:tc>
                    <w:tc>
                      <w:tcPr>
                        <w:tcW w:w="6986" w:type="dxa"/>
                        <w:tcBorders>
                          <w:bottom w:val="nil"/>
                        </w:tcBorders>
                      </w:tcPr>
                      <w:p>
                        <w:pPr>
                          <w:pStyle w:val="11"/>
                          <w:spacing w:before="20"/>
                          <w:rPr>
                            <w:sz w:val="21"/>
                          </w:rPr>
                        </w:pPr>
                        <w:r>
                          <w:rPr>
                            <w:spacing w:val="-1"/>
                            <w:sz w:val="21"/>
                          </w:rPr>
                          <w:t>指恶性细胞不受控制的进行性增长和扩散，浸润和破坏周围正常组织，可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1"/>
                          <w:rPr>
                            <w:sz w:val="21"/>
                          </w:rPr>
                        </w:pPr>
                        <w:r>
                          <w:rPr>
                            <w:spacing w:val="-1"/>
                            <w:sz w:val="21"/>
                          </w:rPr>
                          <w:t>以经血管、淋巴管和体腔扩散转移到身体其他部位，病灶经组织病理学检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1" w:line="267" w:lineRule="exact"/>
                          <w:rPr>
                            <w:sz w:val="21"/>
                          </w:rPr>
                        </w:pPr>
                        <w:r>
                          <w:rPr>
                            <w:sz w:val="21"/>
                          </w:rPr>
                          <w:t>查（涵盖骨髓病理学检查）</w:t>
                        </w:r>
                        <w:r>
                          <w:rPr>
                            <w:spacing w:val="-1"/>
                            <w:sz w:val="21"/>
                          </w:rPr>
                          <w:t>结果明确诊断，临床诊断属于世界卫生组织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5"/>
                          <w:rPr>
                            <w:sz w:val="21"/>
                          </w:rPr>
                        </w:pPr>
                        <w:r>
                          <w:rPr>
                            <w:w w:val="95"/>
                            <w:sz w:val="21"/>
                          </w:rPr>
                          <w:t>（</w:t>
                        </w:r>
                        <w:r>
                          <w:rPr>
                            <w:rFonts w:ascii="Times New Roman" w:eastAsia="Times New Roman"/>
                            <w:w w:val="95"/>
                            <w:sz w:val="21"/>
                          </w:rPr>
                          <w:t>WHO</w:t>
                        </w:r>
                        <w:r>
                          <w:rPr>
                            <w:w w:val="95"/>
                            <w:sz w:val="21"/>
                          </w:rPr>
                          <w:t>，</w:t>
                        </w:r>
                        <w:r>
                          <w:rPr>
                            <w:spacing w:val="34"/>
                            <w:sz w:val="21"/>
                          </w:rPr>
                          <w:t xml:space="preserve"> </w:t>
                        </w:r>
                        <w:r>
                          <w:rPr>
                            <w:rFonts w:ascii="Times New Roman" w:eastAsia="Times New Roman"/>
                            <w:w w:val="95"/>
                            <w:sz w:val="21"/>
                          </w:rPr>
                          <w:t>World</w:t>
                        </w:r>
                        <w:r>
                          <w:rPr>
                            <w:rFonts w:ascii="Times New Roman" w:eastAsia="Times New Roman"/>
                            <w:spacing w:val="49"/>
                            <w:sz w:val="21"/>
                          </w:rPr>
                          <w:t xml:space="preserve"> </w:t>
                        </w:r>
                        <w:r>
                          <w:rPr>
                            <w:rFonts w:ascii="Times New Roman" w:eastAsia="Times New Roman"/>
                            <w:w w:val="95"/>
                            <w:sz w:val="21"/>
                          </w:rPr>
                          <w:t>Health</w:t>
                        </w:r>
                        <w:r>
                          <w:rPr>
                            <w:rFonts w:ascii="Times New Roman" w:eastAsia="Times New Roman"/>
                            <w:spacing w:val="50"/>
                            <w:sz w:val="21"/>
                          </w:rPr>
                          <w:t xml:space="preserve"> </w:t>
                        </w:r>
                        <w:r>
                          <w:rPr>
                            <w:rFonts w:ascii="Times New Roman" w:eastAsia="Times New Roman"/>
                            <w:w w:val="95"/>
                            <w:sz w:val="21"/>
                          </w:rPr>
                          <w:t>Organization)</w:t>
                        </w:r>
                        <w:r>
                          <w:rPr>
                            <w:rFonts w:ascii="Times New Roman" w:eastAsia="Times New Roman"/>
                            <w:spacing w:val="57"/>
                            <w:w w:val="150"/>
                            <w:sz w:val="21"/>
                          </w:rPr>
                          <w:t xml:space="preserve"> </w:t>
                        </w:r>
                        <w:r>
                          <w:rPr>
                            <w:w w:val="95"/>
                            <w:sz w:val="21"/>
                          </w:rPr>
                          <w:t>《疾病和有关健康问题的国际统计</w:t>
                        </w:r>
                        <w:r>
                          <w:rPr>
                            <w:spacing w:val="-10"/>
                            <w:w w:val="95"/>
                            <w:sz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sz w:val="21"/>
                          </w:rPr>
                        </w:pPr>
                        <w:r>
                          <w:rPr>
                            <w:w w:val="95"/>
                            <w:sz w:val="21"/>
                          </w:rPr>
                          <w:t>类》第十次修订版（</w:t>
                        </w:r>
                        <w:r>
                          <w:rPr>
                            <w:rFonts w:ascii="Times New Roman" w:eastAsia="Times New Roman"/>
                            <w:w w:val="95"/>
                            <w:sz w:val="21"/>
                          </w:rPr>
                          <w:t>ICD-10)</w:t>
                        </w:r>
                        <w:r>
                          <w:rPr>
                            <w:rFonts w:ascii="Times New Roman" w:eastAsia="Times New Roman"/>
                            <w:spacing w:val="67"/>
                            <w:w w:val="150"/>
                            <w:sz w:val="21"/>
                          </w:rPr>
                          <w:t xml:space="preserve">   </w:t>
                        </w:r>
                        <w:r>
                          <w:rPr>
                            <w:w w:val="95"/>
                            <w:sz w:val="21"/>
                          </w:rPr>
                          <w:t>的恶性肿瘤类别及《国际疾病分类肿瘤</w:t>
                        </w:r>
                        <w:r>
                          <w:rPr>
                            <w:spacing w:val="-5"/>
                            <w:w w:val="95"/>
                            <w:sz w:val="21"/>
                          </w:rPr>
                          <w:t>学专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sz w:val="21"/>
                          </w:rPr>
                        </w:pPr>
                        <w:r>
                          <w:rPr>
                            <w:sz w:val="21"/>
                          </w:rPr>
                          <w:t>辑》第三版（</w:t>
                        </w:r>
                        <w:r>
                          <w:rPr>
                            <w:rFonts w:ascii="Times New Roman" w:eastAsia="Times New Roman"/>
                            <w:sz w:val="21"/>
                          </w:rPr>
                          <w:t>ICD-O-3)</w:t>
                        </w:r>
                        <w:r>
                          <w:rPr>
                            <w:rFonts w:ascii="Times New Roman" w:eastAsia="Times New Roman"/>
                            <w:spacing w:val="30"/>
                            <w:sz w:val="21"/>
                          </w:rPr>
                          <w:t xml:space="preserve"> </w:t>
                        </w:r>
                        <w:r>
                          <w:rPr>
                            <w:sz w:val="21"/>
                          </w:rPr>
                          <w:t>的肿瘤形态学编码属于</w:t>
                        </w:r>
                        <w:r>
                          <w:rPr>
                            <w:spacing w:val="-26"/>
                            <w:sz w:val="21"/>
                          </w:rPr>
                          <w:t xml:space="preserve"> </w:t>
                        </w:r>
                        <w:r>
                          <w:rPr>
                            <w:rFonts w:ascii="Times New Roman" w:eastAsia="Times New Roman"/>
                            <w:sz w:val="21"/>
                          </w:rPr>
                          <w:t>3</w:t>
                        </w:r>
                        <w:r>
                          <w:rPr>
                            <w:sz w:val="21"/>
                          </w:rPr>
                          <w:t>、</w:t>
                        </w:r>
                        <w:r>
                          <w:rPr>
                            <w:rFonts w:ascii="Times New Roman" w:eastAsia="Times New Roman"/>
                            <w:sz w:val="21"/>
                          </w:rPr>
                          <w:t>6</w:t>
                        </w:r>
                        <w:r>
                          <w:rPr>
                            <w:sz w:val="21"/>
                          </w:rPr>
                          <w:t>、</w:t>
                        </w:r>
                        <w:r>
                          <w:rPr>
                            <w:rFonts w:ascii="Times New Roman" w:eastAsia="Times New Roman"/>
                            <w:sz w:val="21"/>
                          </w:rPr>
                          <w:t>9</w:t>
                        </w:r>
                        <w:r>
                          <w:rPr>
                            <w:rFonts w:ascii="Times New Roman" w:eastAsia="Times New Roman"/>
                            <w:spacing w:val="16"/>
                            <w:sz w:val="21"/>
                          </w:rPr>
                          <w:t xml:space="preserve"> (</w:t>
                        </w:r>
                        <w:r>
                          <w:rPr>
                            <w:sz w:val="21"/>
                          </w:rPr>
                          <w:t>恶性肿瘤）范</w:t>
                        </w:r>
                        <w:r>
                          <w:rPr>
                            <w:spacing w:val="-10"/>
                            <w:sz w:val="21"/>
                          </w:rPr>
                          <w:t>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3"/>
                          <w:rPr>
                            <w:sz w:val="21"/>
                          </w:rPr>
                        </w:pPr>
                        <w:r>
                          <w:rPr>
                            <w:spacing w:val="-3"/>
                            <w:sz w:val="21"/>
                          </w:rPr>
                          <w:t>的疾病。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1" w:line="267" w:lineRule="exact"/>
                          <w:rPr>
                            <w:rFonts w:ascii="黑体" w:hAnsi="黑体" w:eastAsia="黑体"/>
                            <w:sz w:val="21"/>
                          </w:rPr>
                        </w:pPr>
                        <w:r>
                          <w:rPr>
                            <w:rFonts w:ascii="黑体" w:hAnsi="黑体" w:eastAsia="黑体"/>
                            <w:color w:val="000000"/>
                            <w:spacing w:val="-10"/>
                            <w:sz w:val="21"/>
                            <w:shd w:val="clear" w:color="auto" w:fill="DADADA"/>
                          </w:rPr>
                          <w:t>下列疾病不属于“恶性肿瘤一一重度”，不在保障范围内：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5"/>
                          <w:rPr>
                            <w:rFonts w:ascii="黑体" w:eastAsia="黑体"/>
                            <w:sz w:val="21"/>
                          </w:rPr>
                        </w:pPr>
                        <w:r>
                          <w:rPr>
                            <w:rFonts w:ascii="Times New Roman" w:eastAsia="Times New Roman"/>
                            <w:color w:val="000000"/>
                            <w:w w:val="95"/>
                            <w:sz w:val="21"/>
                            <w:shd w:val="clear" w:color="auto" w:fill="DADADA"/>
                          </w:rPr>
                          <w:t>(1)</w:t>
                        </w:r>
                        <w:r>
                          <w:rPr>
                            <w:rFonts w:ascii="Times New Roman" w:eastAsia="Times New Roman"/>
                            <w:color w:val="000000"/>
                            <w:spacing w:val="31"/>
                            <w:sz w:val="21"/>
                            <w:shd w:val="clear" w:color="auto" w:fill="DADADA"/>
                          </w:rPr>
                          <w:t xml:space="preserve"> </w:t>
                        </w:r>
                        <w:r>
                          <w:rPr>
                            <w:rFonts w:ascii="Times New Roman" w:eastAsia="Times New Roman"/>
                            <w:color w:val="000000"/>
                            <w:w w:val="95"/>
                            <w:sz w:val="21"/>
                            <w:shd w:val="clear" w:color="auto" w:fill="DADADA"/>
                          </w:rPr>
                          <w:t>ICD-O-3</w:t>
                        </w:r>
                        <w:r>
                          <w:rPr>
                            <w:rFonts w:ascii="Times New Roman" w:eastAsia="Times New Roman"/>
                            <w:color w:val="000000"/>
                            <w:spacing w:val="32"/>
                            <w:sz w:val="21"/>
                            <w:shd w:val="clear" w:color="auto" w:fill="DADADA"/>
                          </w:rPr>
                          <w:t xml:space="preserve"> </w:t>
                        </w:r>
                        <w:r>
                          <w:rPr>
                            <w:rFonts w:ascii="黑体" w:eastAsia="黑体"/>
                            <w:color w:val="000000"/>
                            <w:w w:val="95"/>
                            <w:sz w:val="21"/>
                            <w:shd w:val="clear" w:color="auto" w:fill="DADADA"/>
                          </w:rPr>
                          <w:t>肿瘤形态学编码属</w:t>
                        </w:r>
                        <w:r>
                          <w:rPr>
                            <w:rFonts w:ascii="黑体" w:eastAsia="黑体"/>
                            <w:color w:val="000000"/>
                            <w:spacing w:val="-8"/>
                            <w:w w:val="95"/>
                            <w:sz w:val="21"/>
                            <w:shd w:val="clear" w:color="auto" w:fill="DADADA"/>
                          </w:rPr>
                          <w:t xml:space="preserve">于 </w:t>
                        </w:r>
                        <w:r>
                          <w:rPr>
                            <w:rFonts w:ascii="Times New Roman" w:eastAsia="Times New Roman"/>
                            <w:color w:val="000000"/>
                            <w:w w:val="95"/>
                            <w:sz w:val="21"/>
                            <w:shd w:val="clear" w:color="auto" w:fill="DADADA"/>
                          </w:rPr>
                          <w:t>0</w:t>
                        </w:r>
                        <w:r>
                          <w:rPr>
                            <w:rFonts w:ascii="Times New Roman" w:eastAsia="Times New Roman"/>
                            <w:color w:val="000000"/>
                            <w:spacing w:val="33"/>
                            <w:sz w:val="21"/>
                            <w:shd w:val="clear" w:color="auto" w:fill="DADADA"/>
                          </w:rPr>
                          <w:t xml:space="preserve"> </w:t>
                        </w:r>
                        <w:r>
                          <w:rPr>
                            <w:rFonts w:ascii="Times New Roman" w:eastAsia="Times New Roman"/>
                            <w:color w:val="000000"/>
                            <w:w w:val="95"/>
                            <w:sz w:val="21"/>
                            <w:shd w:val="clear" w:color="auto" w:fill="DADADA"/>
                          </w:rPr>
                          <w:t>(</w:t>
                        </w:r>
                        <w:r>
                          <w:rPr>
                            <w:rFonts w:ascii="黑体" w:eastAsia="黑体"/>
                            <w:color w:val="000000"/>
                            <w:w w:val="95"/>
                            <w:sz w:val="21"/>
                            <w:shd w:val="clear" w:color="auto" w:fill="DADADA"/>
                          </w:rPr>
                          <w:t>良性肿瘤</w:t>
                        </w:r>
                        <w:r>
                          <w:rPr>
                            <w:rFonts w:ascii="Times New Roman" w:eastAsia="Times New Roman"/>
                            <w:color w:val="000000"/>
                            <w:w w:val="95"/>
                            <w:sz w:val="21"/>
                            <w:shd w:val="clear" w:color="auto" w:fill="DADADA"/>
                          </w:rPr>
                          <w:t>)</w:t>
                        </w:r>
                        <w:r>
                          <w:rPr>
                            <w:rFonts w:ascii="黑体" w:eastAsia="黑体"/>
                            <w:color w:val="000000"/>
                            <w:w w:val="95"/>
                            <w:sz w:val="21"/>
                            <w:shd w:val="clear" w:color="auto" w:fill="DADADA"/>
                          </w:rPr>
                          <w:t>、</w:t>
                        </w:r>
                        <w:r>
                          <w:rPr>
                            <w:rFonts w:ascii="Times New Roman" w:eastAsia="Times New Roman"/>
                            <w:color w:val="000000"/>
                            <w:w w:val="95"/>
                            <w:sz w:val="21"/>
                            <w:shd w:val="clear" w:color="auto" w:fill="DADADA"/>
                          </w:rPr>
                          <w:t>1</w:t>
                        </w:r>
                        <w:r>
                          <w:rPr>
                            <w:rFonts w:ascii="Times New Roman" w:eastAsia="Times New Roman"/>
                            <w:color w:val="000000"/>
                            <w:spacing w:val="31"/>
                            <w:sz w:val="21"/>
                            <w:shd w:val="clear" w:color="auto" w:fill="DADADA"/>
                          </w:rPr>
                          <w:t xml:space="preserve"> </w:t>
                        </w:r>
                        <w:r>
                          <w:rPr>
                            <w:rFonts w:ascii="Times New Roman" w:eastAsia="Times New Roman"/>
                            <w:color w:val="000000"/>
                            <w:w w:val="95"/>
                            <w:sz w:val="21"/>
                            <w:shd w:val="clear" w:color="auto" w:fill="DADADA"/>
                          </w:rPr>
                          <w:t>(</w:t>
                        </w:r>
                        <w:r>
                          <w:rPr>
                            <w:rFonts w:ascii="黑体" w:eastAsia="黑体"/>
                            <w:color w:val="000000"/>
                            <w:w w:val="95"/>
                            <w:sz w:val="21"/>
                            <w:shd w:val="clear" w:color="auto" w:fill="DADADA"/>
                          </w:rPr>
                          <w:t>动态未定性肿瘤</w:t>
                        </w:r>
                        <w:r>
                          <w:rPr>
                            <w:rFonts w:ascii="Times New Roman" w:eastAsia="Times New Roman"/>
                            <w:color w:val="000000"/>
                            <w:w w:val="95"/>
                            <w:sz w:val="21"/>
                            <w:shd w:val="clear" w:color="auto" w:fill="DADADA"/>
                          </w:rPr>
                          <w:t>)</w:t>
                        </w:r>
                        <w:r>
                          <w:rPr>
                            <w:rFonts w:ascii="黑体" w:eastAsia="黑体"/>
                            <w:color w:val="000000"/>
                            <w:w w:val="95"/>
                            <w:sz w:val="21"/>
                            <w:shd w:val="clear" w:color="auto" w:fill="DADADA"/>
                          </w:rPr>
                          <w:t>、</w:t>
                        </w:r>
                        <w:r>
                          <w:rPr>
                            <w:rFonts w:ascii="Times New Roman" w:eastAsia="Times New Roman"/>
                            <w:color w:val="000000"/>
                            <w:w w:val="95"/>
                            <w:sz w:val="21"/>
                            <w:shd w:val="clear" w:color="auto" w:fill="DADADA"/>
                          </w:rPr>
                          <w:t>2</w:t>
                        </w:r>
                        <w:r>
                          <w:rPr>
                            <w:rFonts w:ascii="Times New Roman" w:eastAsia="Times New Roman"/>
                            <w:color w:val="000000"/>
                            <w:spacing w:val="33"/>
                            <w:sz w:val="21"/>
                            <w:shd w:val="clear" w:color="auto" w:fill="DADADA"/>
                          </w:rPr>
                          <w:t xml:space="preserve"> </w:t>
                        </w:r>
                        <w:r>
                          <w:rPr>
                            <w:rFonts w:ascii="Times New Roman" w:eastAsia="Times New Roman"/>
                            <w:color w:val="000000"/>
                            <w:w w:val="95"/>
                            <w:sz w:val="21"/>
                            <w:shd w:val="clear" w:color="auto" w:fill="DADADA"/>
                          </w:rPr>
                          <w:t>(</w:t>
                        </w:r>
                        <w:r>
                          <w:rPr>
                            <w:rFonts w:ascii="黑体" w:eastAsia="黑体"/>
                            <w:color w:val="000000"/>
                            <w:spacing w:val="-10"/>
                            <w:w w:val="95"/>
                            <w:sz w:val="21"/>
                            <w:shd w:val="clear" w:color="auto" w:fill="DADADA"/>
                          </w:rPr>
                          <w:t>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957" w:type="dxa"/>
                        <w:tcBorders>
                          <w:top w:val="nil"/>
                          <w:bottom w:val="nil"/>
                        </w:tcBorders>
                      </w:tcPr>
                      <w:p>
                        <w:pPr>
                          <w:pStyle w:val="11"/>
                          <w:spacing w:before="14" w:line="267" w:lineRule="exact"/>
                          <w:ind w:left="125" w:right="117"/>
                          <w:jc w:val="center"/>
                          <w:rPr>
                            <w:sz w:val="21"/>
                          </w:rPr>
                        </w:pPr>
                        <w:r>
                          <w:rPr>
                            <w:spacing w:val="-2"/>
                            <w:sz w:val="21"/>
                          </w:rPr>
                          <w:t>一、恶性肿瘤——</w:t>
                        </w:r>
                      </w:p>
                    </w:tc>
                    <w:tc>
                      <w:tcPr>
                        <w:tcW w:w="6986" w:type="dxa"/>
                        <w:tcBorders>
                          <w:top w:val="nil"/>
                          <w:bottom w:val="nil"/>
                        </w:tcBorders>
                      </w:tcPr>
                      <w:p>
                        <w:pPr>
                          <w:pStyle w:val="11"/>
                          <w:spacing w:before="13" w:line="267" w:lineRule="exact"/>
                          <w:rPr>
                            <w:rFonts w:ascii="黑体" w:eastAsia="黑体"/>
                            <w:sz w:val="21"/>
                          </w:rPr>
                        </w:pPr>
                        <w:r>
                          <w:rPr>
                            <w:rFonts w:ascii="黑体" w:eastAsia="黑体"/>
                            <w:color w:val="000000"/>
                            <w:sz w:val="21"/>
                            <w:shd w:val="clear" w:color="auto" w:fill="DADADA"/>
                          </w:rPr>
                          <w:t>位癌和非侵袭性癌）</w:t>
                        </w:r>
                        <w:r>
                          <w:rPr>
                            <w:rFonts w:ascii="黑体" w:eastAsia="黑体"/>
                            <w:color w:val="000000"/>
                            <w:spacing w:val="-2"/>
                            <w:sz w:val="21"/>
                            <w:shd w:val="clear" w:color="auto" w:fill="DADADA"/>
                          </w:rPr>
                          <w:t>范畴的疾病，如：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957" w:type="dxa"/>
                        <w:tcBorders>
                          <w:top w:val="nil"/>
                          <w:bottom w:val="nil"/>
                        </w:tcBorders>
                      </w:tcPr>
                      <w:p>
                        <w:pPr>
                          <w:pStyle w:val="11"/>
                          <w:spacing w:before="25"/>
                          <w:ind w:left="125" w:right="117"/>
                          <w:jc w:val="center"/>
                          <w:rPr>
                            <w:sz w:val="21"/>
                          </w:rPr>
                        </w:pPr>
                        <w:r>
                          <w:rPr>
                            <w:spacing w:val="-5"/>
                            <w:sz w:val="21"/>
                          </w:rPr>
                          <w:t>重度</w:t>
                        </w:r>
                      </w:p>
                    </w:tc>
                    <w:tc>
                      <w:tcPr>
                        <w:tcW w:w="6986" w:type="dxa"/>
                        <w:tcBorders>
                          <w:top w:val="nil"/>
                          <w:bottom w:val="nil"/>
                        </w:tcBorders>
                      </w:tcPr>
                      <w:p>
                        <w:pPr>
                          <w:pStyle w:val="11"/>
                          <w:spacing w:before="24"/>
                          <w:ind w:right="-15"/>
                          <w:rPr>
                            <w:rFonts w:ascii="黑体" w:eastAsia="黑体"/>
                            <w:sz w:val="21"/>
                          </w:rPr>
                        </w:pPr>
                        <w:r>
                          <w:rPr>
                            <w:rFonts w:ascii="Times New Roman" w:eastAsia="Times New Roman"/>
                            <w:color w:val="000000"/>
                            <w:spacing w:val="-2"/>
                            <w:sz w:val="21"/>
                            <w:shd w:val="clear" w:color="auto" w:fill="DADADA"/>
                          </w:rPr>
                          <w:t>a</w:t>
                        </w:r>
                        <w:r>
                          <w:rPr>
                            <w:rFonts w:ascii="Times New Roman" w:eastAsia="Times New Roman"/>
                            <w:color w:val="000000"/>
                            <w:spacing w:val="9"/>
                            <w:sz w:val="21"/>
                            <w:shd w:val="clear" w:color="auto" w:fill="DADADA"/>
                          </w:rPr>
                          <w:t xml:space="preserve">. </w:t>
                        </w:r>
                        <w:r>
                          <w:rPr>
                            <w:rFonts w:ascii="黑体" w:eastAsia="黑体"/>
                            <w:color w:val="000000"/>
                            <w:spacing w:val="-3"/>
                            <w:sz w:val="21"/>
                            <w:shd w:val="clear" w:color="auto" w:fill="DADADA"/>
                          </w:rPr>
                          <w:t>原位癌，癌前病变，非浸润性癌，非侵袭性癌，肿瘤细胞未侵犯基底层，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3" w:line="267" w:lineRule="exact"/>
                          <w:rPr>
                            <w:rFonts w:ascii="黑体" w:eastAsia="黑体"/>
                            <w:sz w:val="21"/>
                          </w:rPr>
                        </w:pPr>
                        <w:r>
                          <w:rPr>
                            <w:rFonts w:ascii="黑体" w:eastAsia="黑体"/>
                            <w:color w:val="000000"/>
                            <w:spacing w:val="-1"/>
                            <w:sz w:val="21"/>
                            <w:shd w:val="clear" w:color="auto" w:fill="DADADA"/>
                          </w:rPr>
                          <w:t>上皮内瘤变，细胞不典型性增生等；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5"/>
                          <w:ind w:right="-15"/>
                          <w:rPr>
                            <w:rFonts w:ascii="黑体" w:eastAsia="黑体"/>
                            <w:sz w:val="21"/>
                          </w:rPr>
                        </w:pPr>
                        <w:r>
                          <w:rPr>
                            <w:rFonts w:ascii="Times New Roman" w:eastAsia="Times New Roman"/>
                            <w:color w:val="000000"/>
                            <w:spacing w:val="-4"/>
                            <w:sz w:val="21"/>
                            <w:shd w:val="clear" w:color="auto" w:fill="DADADA"/>
                          </w:rPr>
                          <w:t>b</w:t>
                        </w:r>
                        <w:r>
                          <w:rPr>
                            <w:rFonts w:ascii="Times New Roman" w:eastAsia="Times New Roman"/>
                            <w:color w:val="000000"/>
                            <w:spacing w:val="34"/>
                            <w:sz w:val="21"/>
                            <w:shd w:val="clear" w:color="auto" w:fill="DADADA"/>
                          </w:rPr>
                          <w:t xml:space="preserve">. </w:t>
                        </w:r>
                        <w:r>
                          <w:rPr>
                            <w:rFonts w:ascii="黑体" w:eastAsia="黑体"/>
                            <w:color w:val="000000"/>
                            <w:spacing w:val="-5"/>
                            <w:sz w:val="21"/>
                            <w:shd w:val="clear" w:color="auto" w:fill="DADADA"/>
                          </w:rPr>
                          <w:t>交界性肿瘤，交界恶性肿瘤，肿瘤低度恶性潜能，潜在低度恶性肿瘤等；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rFonts w:ascii="黑体" w:eastAsia="黑体"/>
                            <w:sz w:val="21"/>
                          </w:rPr>
                        </w:pPr>
                        <w:r>
                          <w:rPr>
                            <w:rFonts w:ascii="Times New Roman" w:eastAsia="Times New Roman"/>
                            <w:color w:val="000000"/>
                            <w:sz w:val="21"/>
                            <w:shd w:val="clear" w:color="auto" w:fill="DADADA"/>
                          </w:rPr>
                          <w:t>(2</w:t>
                        </w:r>
                        <w:r>
                          <w:rPr>
                            <w:rFonts w:ascii="Times New Roman" w:eastAsia="Times New Roman"/>
                            <w:color w:val="000000"/>
                            <w:spacing w:val="-5"/>
                            <w:sz w:val="21"/>
                            <w:shd w:val="clear" w:color="auto" w:fill="DADADA"/>
                          </w:rPr>
                          <w:t xml:space="preserve">) </w:t>
                        </w:r>
                        <w:r>
                          <w:rPr>
                            <w:rFonts w:ascii="Times New Roman" w:eastAsia="Times New Roman"/>
                            <w:color w:val="000000"/>
                            <w:sz w:val="21"/>
                            <w:shd w:val="clear" w:color="auto" w:fill="DADADA"/>
                          </w:rPr>
                          <w:t>TNM</w:t>
                        </w:r>
                        <w:r>
                          <w:rPr>
                            <w:rFonts w:ascii="Times New Roman" w:eastAsia="Times New Roman"/>
                            <w:color w:val="000000"/>
                            <w:spacing w:val="-3"/>
                            <w:sz w:val="21"/>
                            <w:shd w:val="clear" w:color="auto" w:fill="DADADA"/>
                          </w:rPr>
                          <w:t xml:space="preserve"> </w:t>
                        </w:r>
                        <w:r>
                          <w:rPr>
                            <w:rFonts w:ascii="黑体" w:eastAsia="黑体"/>
                            <w:color w:val="000000"/>
                            <w:spacing w:val="-13"/>
                            <w:sz w:val="21"/>
                            <w:shd w:val="clear" w:color="auto" w:fill="DADADA"/>
                          </w:rPr>
                          <w:t xml:space="preserve">分期为 </w:t>
                        </w:r>
                        <w:r>
                          <w:rPr>
                            <w:rFonts w:ascii="Times New Roman" w:eastAsia="Times New Roman"/>
                            <w:color w:val="000000"/>
                            <w:sz w:val="21"/>
                            <w:shd w:val="clear" w:color="auto" w:fill="DADADA"/>
                          </w:rPr>
                          <w:t>I</w:t>
                        </w:r>
                        <w:r>
                          <w:rPr>
                            <w:rFonts w:ascii="Times New Roman" w:eastAsia="Times New Roman"/>
                            <w:color w:val="000000"/>
                            <w:spacing w:val="-4"/>
                            <w:sz w:val="21"/>
                            <w:shd w:val="clear" w:color="auto" w:fill="DADADA"/>
                          </w:rPr>
                          <w:t xml:space="preserve"> </w:t>
                        </w:r>
                        <w:r>
                          <w:rPr>
                            <w:rFonts w:ascii="黑体" w:eastAsia="黑体"/>
                            <w:color w:val="000000"/>
                            <w:spacing w:val="-1"/>
                            <w:sz w:val="21"/>
                            <w:shd w:val="clear" w:color="auto" w:fill="DADADA"/>
                          </w:rPr>
                          <w:t>期或更轻分期的甲状腺癌；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numPr>
                            <w:ilvl w:val="0"/>
                            <w:numId w:val="30"/>
                          </w:numPr>
                          <w:tabs>
                            <w:tab w:val="left" w:pos="401"/>
                          </w:tabs>
                          <w:spacing w:before="17" w:after="0" w:line="240" w:lineRule="auto"/>
                          <w:ind w:left="400" w:right="0" w:hanging="295"/>
                          <w:jc w:val="left"/>
                          <w:rPr>
                            <w:rFonts w:ascii="黑体" w:eastAsia="黑体"/>
                            <w:sz w:val="21"/>
                          </w:rPr>
                        </w:pPr>
                        <w:r>
                          <w:rPr>
                            <w:rFonts w:ascii="Times New Roman" w:eastAsia="Times New Roman"/>
                            <w:color w:val="000000"/>
                            <w:sz w:val="21"/>
                            <w:shd w:val="clear" w:color="auto" w:fill="DADADA"/>
                          </w:rPr>
                          <w:t>TNM</w:t>
                        </w:r>
                        <w:r>
                          <w:rPr>
                            <w:rFonts w:ascii="Times New Roman" w:eastAsia="Times New Roman"/>
                            <w:color w:val="000000"/>
                            <w:spacing w:val="-6"/>
                            <w:sz w:val="21"/>
                            <w:shd w:val="clear" w:color="auto" w:fill="DADADA"/>
                          </w:rPr>
                          <w:t xml:space="preserve"> </w:t>
                        </w:r>
                        <w:r>
                          <w:rPr>
                            <w:rFonts w:ascii="黑体" w:eastAsia="黑体"/>
                            <w:color w:val="000000"/>
                            <w:spacing w:val="-13"/>
                            <w:sz w:val="21"/>
                            <w:shd w:val="clear" w:color="auto" w:fill="DADADA"/>
                          </w:rPr>
                          <w:t xml:space="preserve">分期为 </w:t>
                        </w:r>
                        <w:r>
                          <w:rPr>
                            <w:rFonts w:ascii="Times New Roman" w:eastAsia="Times New Roman"/>
                            <w:color w:val="000000"/>
                            <w:spacing w:val="11"/>
                            <w:sz w:val="21"/>
                            <w:shd w:val="clear" w:color="auto" w:fill="DADADA"/>
                          </w:rPr>
                          <w:t>T</w:t>
                        </w:r>
                        <w:r>
                          <w:rPr>
                            <w:rFonts w:ascii="Times New Roman" w:eastAsia="Times New Roman"/>
                            <w:color w:val="000000"/>
                            <w:spacing w:val="11"/>
                            <w:sz w:val="21"/>
                            <w:shd w:val="clear" w:color="auto" w:fill="DADADA"/>
                            <w:vertAlign w:val="subscript"/>
                          </w:rPr>
                          <w:t>1</w:t>
                        </w:r>
                        <w:r>
                          <w:rPr>
                            <w:rFonts w:ascii="Times New Roman" w:eastAsia="Times New Roman"/>
                            <w:color w:val="000000"/>
                            <w:spacing w:val="11"/>
                            <w:sz w:val="21"/>
                            <w:shd w:val="clear" w:color="auto" w:fill="DADADA"/>
                            <w:vertAlign w:val="baseline"/>
                          </w:rPr>
                          <w:t>N</w:t>
                        </w:r>
                        <w:r>
                          <w:rPr>
                            <w:rFonts w:ascii="Times New Roman" w:eastAsia="Times New Roman"/>
                            <w:color w:val="000000"/>
                            <w:spacing w:val="11"/>
                            <w:sz w:val="21"/>
                            <w:shd w:val="clear" w:color="auto" w:fill="DADADA"/>
                            <w:vertAlign w:val="subscript"/>
                          </w:rPr>
                          <w:t>0</w:t>
                        </w:r>
                        <w:r>
                          <w:rPr>
                            <w:rFonts w:ascii="Times New Roman" w:eastAsia="Times New Roman"/>
                            <w:color w:val="000000"/>
                            <w:spacing w:val="11"/>
                            <w:sz w:val="21"/>
                            <w:shd w:val="clear" w:color="auto" w:fill="DADADA"/>
                            <w:vertAlign w:val="baseline"/>
                          </w:rPr>
                          <w:t>M</w:t>
                        </w:r>
                        <w:r>
                          <w:rPr>
                            <w:rFonts w:ascii="Times New Roman" w:eastAsia="Times New Roman"/>
                            <w:color w:val="000000"/>
                            <w:spacing w:val="11"/>
                            <w:sz w:val="21"/>
                            <w:shd w:val="clear" w:color="auto" w:fill="DADADA"/>
                            <w:vertAlign w:val="subscript"/>
                          </w:rPr>
                          <w:t>0</w:t>
                        </w:r>
                        <w:r>
                          <w:rPr>
                            <w:rFonts w:ascii="黑体" w:eastAsia="黑体"/>
                            <w:color w:val="000000"/>
                            <w:spacing w:val="-1"/>
                            <w:sz w:val="21"/>
                            <w:shd w:val="clear" w:color="auto" w:fill="DADADA"/>
                            <w:vertAlign w:val="baseline"/>
                          </w:rPr>
                          <w:t>期或更轻分期的前列腺癌；</w:t>
                        </w:r>
                      </w:p>
                      <w:p>
                        <w:pPr>
                          <w:pStyle w:val="11"/>
                          <w:numPr>
                            <w:ilvl w:val="0"/>
                            <w:numId w:val="30"/>
                          </w:numPr>
                          <w:tabs>
                            <w:tab w:val="left" w:pos="458"/>
                          </w:tabs>
                          <w:spacing w:before="42" w:after="0" w:line="240" w:lineRule="auto"/>
                          <w:ind w:left="457" w:right="0" w:hanging="352"/>
                          <w:jc w:val="left"/>
                          <w:rPr>
                            <w:rFonts w:ascii="黑体" w:eastAsia="黑体"/>
                            <w:sz w:val="21"/>
                          </w:rPr>
                        </w:pPr>
                        <w:r>
                          <w:rPr>
                            <w:rFonts w:ascii="黑体" w:eastAsia="黑体"/>
                            <w:color w:val="000000"/>
                            <w:w w:val="95"/>
                            <w:sz w:val="21"/>
                            <w:shd w:val="clear" w:color="auto" w:fill="DADADA"/>
                          </w:rPr>
                          <w:t>黑色素瘤以外的未发生淋巴结和远处转移的皮肤恶性肿瘤</w:t>
                        </w:r>
                        <w:r>
                          <w:rPr>
                            <w:rFonts w:ascii="黑体" w:eastAsia="黑体"/>
                            <w:color w:val="000000"/>
                            <w:spacing w:val="-10"/>
                            <w:w w:val="95"/>
                            <w:sz w:val="21"/>
                            <w:shd w:val="clear" w:color="auto" w:fill="DADAD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rFonts w:ascii="黑体" w:eastAsia="黑体"/>
                            <w:sz w:val="21"/>
                          </w:rPr>
                        </w:pPr>
                        <w:r>
                          <w:rPr>
                            <w:rFonts w:ascii="Times New Roman" w:eastAsia="Times New Roman"/>
                            <w:color w:val="000000"/>
                            <w:sz w:val="21"/>
                            <w:shd w:val="clear" w:color="auto" w:fill="DADADA"/>
                          </w:rPr>
                          <w:t>(5</w:t>
                        </w:r>
                        <w:r>
                          <w:rPr>
                            <w:rFonts w:ascii="Times New Roman" w:eastAsia="Times New Roman"/>
                            <w:color w:val="000000"/>
                            <w:spacing w:val="16"/>
                            <w:sz w:val="21"/>
                            <w:shd w:val="clear" w:color="auto" w:fill="DADADA"/>
                          </w:rPr>
                          <w:t xml:space="preserve">) </w:t>
                        </w:r>
                        <w:r>
                          <w:rPr>
                            <w:rFonts w:ascii="黑体" w:eastAsia="黑体"/>
                            <w:color w:val="000000"/>
                            <w:sz w:val="21"/>
                            <w:shd w:val="clear" w:color="auto" w:fill="DADADA"/>
                          </w:rPr>
                          <w:t>相当</w:t>
                        </w:r>
                        <w:r>
                          <w:rPr>
                            <w:rFonts w:ascii="黑体" w:eastAsia="黑体"/>
                            <w:color w:val="000000"/>
                            <w:spacing w:val="-27"/>
                            <w:sz w:val="21"/>
                            <w:shd w:val="clear" w:color="auto" w:fill="DADADA"/>
                          </w:rPr>
                          <w:t xml:space="preserve">于 </w:t>
                        </w:r>
                        <w:r>
                          <w:rPr>
                            <w:rFonts w:ascii="Times New Roman" w:eastAsia="Times New Roman"/>
                            <w:color w:val="000000"/>
                            <w:sz w:val="21"/>
                            <w:shd w:val="clear" w:color="auto" w:fill="DADADA"/>
                          </w:rPr>
                          <w:t>Binet</w:t>
                        </w:r>
                        <w:r>
                          <w:rPr>
                            <w:rFonts w:ascii="Times New Roman" w:eastAsia="Times New Roman"/>
                            <w:color w:val="000000"/>
                            <w:spacing w:val="-6"/>
                            <w:sz w:val="21"/>
                            <w:shd w:val="clear" w:color="auto" w:fill="DADADA"/>
                          </w:rPr>
                          <w:t xml:space="preserve"> </w:t>
                        </w:r>
                        <w:r>
                          <w:rPr>
                            <w:rFonts w:ascii="黑体" w:eastAsia="黑体"/>
                            <w:color w:val="000000"/>
                            <w:sz w:val="21"/>
                            <w:shd w:val="clear" w:color="auto" w:fill="DADADA"/>
                          </w:rPr>
                          <w:t>分期方</w:t>
                        </w:r>
                        <w:r>
                          <w:rPr>
                            <w:rFonts w:ascii="黑体" w:eastAsia="黑体"/>
                            <w:color w:val="000000"/>
                            <w:spacing w:val="-27"/>
                            <w:sz w:val="21"/>
                            <w:shd w:val="clear" w:color="auto" w:fill="DADADA"/>
                          </w:rPr>
                          <w:t xml:space="preserve">案 </w:t>
                        </w:r>
                        <w:r>
                          <w:rPr>
                            <w:rFonts w:ascii="Times New Roman" w:eastAsia="Times New Roman"/>
                            <w:color w:val="000000"/>
                            <w:sz w:val="21"/>
                            <w:shd w:val="clear" w:color="auto" w:fill="DADADA"/>
                          </w:rPr>
                          <w:t>A</w:t>
                        </w:r>
                        <w:r>
                          <w:rPr>
                            <w:rFonts w:ascii="Times New Roman" w:eastAsia="Times New Roman"/>
                            <w:color w:val="000000"/>
                            <w:spacing w:val="-6"/>
                            <w:sz w:val="21"/>
                            <w:shd w:val="clear" w:color="auto" w:fill="DADADA"/>
                          </w:rPr>
                          <w:t xml:space="preserve"> </w:t>
                        </w:r>
                        <w:r>
                          <w:rPr>
                            <w:rFonts w:ascii="黑体" w:eastAsia="黑体"/>
                            <w:color w:val="000000"/>
                            <w:spacing w:val="-1"/>
                            <w:sz w:val="21"/>
                            <w:shd w:val="clear" w:color="auto" w:fill="DADADA"/>
                          </w:rPr>
                          <w:t>期程度的慢性淋巴细胞白血病；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rFonts w:ascii="黑体" w:eastAsia="黑体"/>
                            <w:sz w:val="21"/>
                          </w:rPr>
                        </w:pPr>
                        <w:r>
                          <w:rPr>
                            <w:rFonts w:ascii="Times New Roman" w:eastAsia="Times New Roman"/>
                            <w:color w:val="000000"/>
                            <w:sz w:val="21"/>
                            <w:shd w:val="clear" w:color="auto" w:fill="DADADA"/>
                          </w:rPr>
                          <w:t>(6</w:t>
                        </w:r>
                        <w:r>
                          <w:rPr>
                            <w:rFonts w:ascii="Times New Roman" w:eastAsia="Times New Roman"/>
                            <w:color w:val="000000"/>
                            <w:spacing w:val="9"/>
                            <w:sz w:val="21"/>
                            <w:shd w:val="clear" w:color="auto" w:fill="DADADA"/>
                          </w:rPr>
                          <w:t xml:space="preserve">) </w:t>
                        </w:r>
                        <w:r>
                          <w:rPr>
                            <w:rFonts w:ascii="黑体" w:eastAsia="黑体"/>
                            <w:color w:val="000000"/>
                            <w:sz w:val="21"/>
                            <w:shd w:val="clear" w:color="auto" w:fill="DADADA"/>
                          </w:rPr>
                          <w:t>相当</w:t>
                        </w:r>
                        <w:r>
                          <w:rPr>
                            <w:rFonts w:ascii="黑体" w:eastAsia="黑体"/>
                            <w:color w:val="000000"/>
                            <w:spacing w:val="-27"/>
                            <w:sz w:val="21"/>
                            <w:shd w:val="clear" w:color="auto" w:fill="DADADA"/>
                          </w:rPr>
                          <w:t xml:space="preserve">于 </w:t>
                        </w:r>
                        <w:r>
                          <w:rPr>
                            <w:rFonts w:ascii="Times New Roman" w:eastAsia="Times New Roman"/>
                            <w:color w:val="000000"/>
                            <w:sz w:val="21"/>
                            <w:shd w:val="clear" w:color="auto" w:fill="DADADA"/>
                          </w:rPr>
                          <w:t>Ann</w:t>
                        </w:r>
                        <w:r>
                          <w:rPr>
                            <w:rFonts w:ascii="Times New Roman" w:eastAsia="Times New Roman"/>
                            <w:color w:val="000000"/>
                            <w:spacing w:val="-14"/>
                            <w:sz w:val="21"/>
                            <w:shd w:val="clear" w:color="auto" w:fill="DADADA"/>
                          </w:rPr>
                          <w:t xml:space="preserve"> </w:t>
                        </w:r>
                        <w:r>
                          <w:rPr>
                            <w:rFonts w:ascii="Times New Roman" w:eastAsia="Times New Roman"/>
                            <w:color w:val="000000"/>
                            <w:sz w:val="21"/>
                            <w:shd w:val="clear" w:color="auto" w:fill="DADADA"/>
                          </w:rPr>
                          <w:t>Arbor</w:t>
                        </w:r>
                        <w:r>
                          <w:rPr>
                            <w:rFonts w:ascii="Times New Roman" w:eastAsia="Times New Roman"/>
                            <w:color w:val="000000"/>
                            <w:spacing w:val="-9"/>
                            <w:sz w:val="21"/>
                            <w:shd w:val="clear" w:color="auto" w:fill="DADADA"/>
                          </w:rPr>
                          <w:t xml:space="preserve"> </w:t>
                        </w:r>
                        <w:r>
                          <w:rPr>
                            <w:rFonts w:ascii="黑体" w:eastAsia="黑体"/>
                            <w:color w:val="000000"/>
                            <w:sz w:val="21"/>
                            <w:shd w:val="clear" w:color="auto" w:fill="DADADA"/>
                          </w:rPr>
                          <w:t>分期方</w:t>
                        </w:r>
                        <w:r>
                          <w:rPr>
                            <w:rFonts w:ascii="黑体" w:eastAsia="黑体"/>
                            <w:color w:val="000000"/>
                            <w:spacing w:val="-27"/>
                            <w:sz w:val="21"/>
                            <w:shd w:val="clear" w:color="auto" w:fill="DADADA"/>
                          </w:rPr>
                          <w:t xml:space="preserve">案 </w:t>
                        </w:r>
                        <w:r>
                          <w:rPr>
                            <w:rFonts w:ascii="Times New Roman" w:eastAsia="Times New Roman"/>
                            <w:color w:val="000000"/>
                            <w:sz w:val="21"/>
                            <w:shd w:val="clear" w:color="auto" w:fill="DADADA"/>
                          </w:rPr>
                          <w:t>I</w:t>
                        </w:r>
                        <w:r>
                          <w:rPr>
                            <w:rFonts w:ascii="Times New Roman" w:eastAsia="Times New Roman"/>
                            <w:color w:val="000000"/>
                            <w:spacing w:val="-9"/>
                            <w:sz w:val="21"/>
                            <w:shd w:val="clear" w:color="auto" w:fill="DADADA"/>
                          </w:rPr>
                          <w:t xml:space="preserve"> </w:t>
                        </w:r>
                        <w:r>
                          <w:rPr>
                            <w:rFonts w:ascii="黑体" w:eastAsia="黑体"/>
                            <w:color w:val="000000"/>
                            <w:sz w:val="21"/>
                            <w:shd w:val="clear" w:color="auto" w:fill="DADADA"/>
                          </w:rPr>
                          <w:t>期程度的何杰金氏病</w:t>
                        </w:r>
                        <w:r>
                          <w:rPr>
                            <w:rFonts w:ascii="黑体" w:eastAsia="黑体"/>
                            <w:color w:val="000000"/>
                            <w:spacing w:val="-10"/>
                            <w:sz w:val="21"/>
                            <w:shd w:val="clear" w:color="auto" w:fill="DADAD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17"/>
                          <w:rPr>
                            <w:rFonts w:ascii="Times New Roman" w:eastAsia="Times New Roman"/>
                            <w:sz w:val="21"/>
                          </w:rPr>
                        </w:pPr>
                        <w:r>
                          <w:rPr>
                            <w:rFonts w:ascii="Times New Roman" w:eastAsia="Times New Roman"/>
                            <w:color w:val="000000"/>
                            <w:sz w:val="21"/>
                            <w:shd w:val="clear" w:color="auto" w:fill="DADADA"/>
                          </w:rPr>
                          <w:t>(7</w:t>
                        </w:r>
                        <w:r>
                          <w:rPr>
                            <w:rFonts w:ascii="Times New Roman" w:eastAsia="Times New Roman"/>
                            <w:color w:val="000000"/>
                            <w:spacing w:val="9"/>
                            <w:sz w:val="21"/>
                            <w:shd w:val="clear" w:color="auto" w:fill="DADADA"/>
                          </w:rPr>
                          <w:t xml:space="preserve">) </w:t>
                        </w:r>
                        <w:r>
                          <w:rPr>
                            <w:rFonts w:ascii="黑体" w:eastAsia="黑体"/>
                            <w:color w:val="000000"/>
                            <w:sz w:val="21"/>
                            <w:shd w:val="clear" w:color="auto" w:fill="DADADA"/>
                          </w:rPr>
                          <w:t>未发生淋巴结和远处转移</w:t>
                        </w:r>
                        <w:r>
                          <w:rPr>
                            <w:rFonts w:ascii="黑体" w:eastAsia="黑体"/>
                            <w:color w:val="000000"/>
                            <w:spacing w:val="28"/>
                            <w:sz w:val="21"/>
                            <w:shd w:val="clear" w:color="auto" w:fill="DADADA"/>
                          </w:rPr>
                          <w:t>且</w:t>
                        </w:r>
                        <w:r>
                          <w:rPr>
                            <w:rFonts w:ascii="Times New Roman" w:eastAsia="Times New Roman"/>
                            <w:color w:val="000000"/>
                            <w:sz w:val="21"/>
                            <w:shd w:val="clear" w:color="auto" w:fill="DADADA"/>
                          </w:rPr>
                          <w:t>WHO</w:t>
                        </w:r>
                        <w:r>
                          <w:rPr>
                            <w:rFonts w:ascii="Times New Roman" w:eastAsia="Times New Roman"/>
                            <w:color w:val="000000"/>
                            <w:spacing w:val="-25"/>
                            <w:sz w:val="21"/>
                            <w:shd w:val="clear" w:color="auto" w:fill="DADADA"/>
                          </w:rPr>
                          <w:t xml:space="preserve"> </w:t>
                        </w:r>
                        <w:r>
                          <w:rPr>
                            <w:rFonts w:ascii="黑体" w:eastAsia="黑体"/>
                            <w:color w:val="000000"/>
                            <w:spacing w:val="9"/>
                            <w:sz w:val="21"/>
                            <w:shd w:val="clear" w:color="auto" w:fill="DADADA"/>
                          </w:rPr>
                          <w:t>分级为</w:t>
                        </w:r>
                        <w:r>
                          <w:rPr>
                            <w:rFonts w:ascii="Times New Roman" w:eastAsia="Times New Roman"/>
                            <w:color w:val="000000"/>
                            <w:sz w:val="21"/>
                            <w:shd w:val="clear" w:color="auto" w:fill="DADADA"/>
                          </w:rPr>
                          <w:t>G1</w:t>
                        </w:r>
                        <w:r>
                          <w:rPr>
                            <w:rFonts w:ascii="Times New Roman" w:eastAsia="Times New Roman"/>
                            <w:color w:val="000000"/>
                            <w:spacing w:val="-25"/>
                            <w:sz w:val="21"/>
                            <w:shd w:val="clear" w:color="auto" w:fill="DADADA"/>
                          </w:rPr>
                          <w:t xml:space="preserve"> </w:t>
                        </w:r>
                        <w:r>
                          <w:rPr>
                            <w:rFonts w:ascii="黑体" w:eastAsia="黑体"/>
                            <w:color w:val="000000"/>
                            <w:spacing w:val="-53"/>
                            <w:sz w:val="21"/>
                            <w:shd w:val="clear" w:color="auto" w:fill="DADADA"/>
                          </w:rPr>
                          <w:t>级别</w:t>
                        </w:r>
                        <w:r>
                          <w:rPr>
                            <w:rFonts w:ascii="黑体" w:eastAsia="黑体"/>
                            <w:color w:val="000000"/>
                            <w:sz w:val="21"/>
                            <w:shd w:val="clear" w:color="auto" w:fill="DADADA"/>
                          </w:rPr>
                          <w:t>（核分裂像</w:t>
                        </w:r>
                        <w:r>
                          <w:rPr>
                            <w:rFonts w:ascii="Times New Roman" w:eastAsia="Times New Roman"/>
                            <w:color w:val="000000"/>
                            <w:sz w:val="21"/>
                            <w:shd w:val="clear" w:color="auto" w:fill="DADADA"/>
                          </w:rPr>
                          <w:t>&lt;10/50</w:t>
                        </w:r>
                        <w:r>
                          <w:rPr>
                            <w:rFonts w:ascii="Times New Roman" w:eastAsia="Times New Roman"/>
                            <w:color w:val="000000"/>
                            <w:spacing w:val="-10"/>
                            <w:sz w:val="21"/>
                            <w:shd w:val="clear" w:color="auto" w:fill="DADADA"/>
                          </w:rPr>
                          <w:t xml:space="preserve"> </w:t>
                        </w:r>
                        <w:r>
                          <w:rPr>
                            <w:rFonts w:ascii="Times New Roman" w:eastAsia="Times New Roman"/>
                            <w:color w:val="000000"/>
                            <w:spacing w:val="-5"/>
                            <w:sz w:val="21"/>
                            <w:shd w:val="clear" w:color="auto" w:fill="DADADA"/>
                          </w:rPr>
                          <w:t>HPF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7" w:type="dxa"/>
                        <w:tcBorders>
                          <w:top w:val="nil"/>
                        </w:tcBorders>
                      </w:tcPr>
                      <w:p>
                        <w:pPr>
                          <w:pStyle w:val="11"/>
                          <w:ind w:left="0"/>
                          <w:rPr>
                            <w:rFonts w:ascii="Times New Roman"/>
                            <w:sz w:val="20"/>
                          </w:rPr>
                        </w:pPr>
                      </w:p>
                    </w:tc>
                    <w:tc>
                      <w:tcPr>
                        <w:tcW w:w="6986" w:type="dxa"/>
                        <w:tcBorders>
                          <w:top w:val="nil"/>
                        </w:tcBorders>
                      </w:tcPr>
                      <w:p>
                        <w:pPr>
                          <w:pStyle w:val="11"/>
                          <w:spacing w:before="17"/>
                          <w:rPr>
                            <w:rFonts w:ascii="黑体" w:hAnsi="黑体" w:eastAsia="黑体"/>
                            <w:sz w:val="21"/>
                          </w:rPr>
                        </w:pPr>
                        <w:r>
                          <w:rPr>
                            <w:rFonts w:ascii="黑体" w:hAnsi="黑体" w:eastAsia="黑体"/>
                            <w:color w:val="000000"/>
                            <w:spacing w:val="-8"/>
                            <w:sz w:val="21"/>
                            <w:shd w:val="clear" w:color="auto" w:fill="DADADA"/>
                          </w:rPr>
                          <w:t xml:space="preserve">和 </w:t>
                        </w:r>
                        <w:r>
                          <w:rPr>
                            <w:rFonts w:ascii="Times New Roman" w:hAnsi="Times New Roman" w:eastAsia="Times New Roman"/>
                            <w:color w:val="000000"/>
                            <w:spacing w:val="-2"/>
                            <w:sz w:val="21"/>
                            <w:shd w:val="clear" w:color="auto" w:fill="DADADA"/>
                          </w:rPr>
                          <w:t>ki-67</w:t>
                        </w:r>
                        <w:r>
                          <w:rPr>
                            <w:rFonts w:ascii="黑体" w:hAnsi="黑体" w:eastAsia="黑体"/>
                            <w:color w:val="000000"/>
                            <w:spacing w:val="-2"/>
                            <w:sz w:val="21"/>
                            <w:shd w:val="clear" w:color="auto" w:fill="DADADA"/>
                          </w:rPr>
                          <w:t>≤</w:t>
                        </w:r>
                        <w:r>
                          <w:rPr>
                            <w:rFonts w:ascii="Times New Roman" w:hAnsi="Times New Roman" w:eastAsia="Times New Roman"/>
                            <w:color w:val="000000"/>
                            <w:spacing w:val="-2"/>
                            <w:sz w:val="21"/>
                            <w:shd w:val="clear" w:color="auto" w:fill="DADADA"/>
                          </w:rPr>
                          <w:t>2%)</w:t>
                        </w:r>
                        <w:r>
                          <w:rPr>
                            <w:rFonts w:ascii="黑体" w:hAnsi="黑体" w:eastAsia="黑体"/>
                            <w:color w:val="000000"/>
                            <w:spacing w:val="-3"/>
                            <w:sz w:val="21"/>
                            <w:shd w:val="clear" w:color="auto" w:fill="DADADA"/>
                          </w:rPr>
                          <w:t>或更轻分级的神经内分泌肿瘤。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7" w:type="dxa"/>
                        <w:tcBorders>
                          <w:bottom w:val="nil"/>
                        </w:tcBorders>
                      </w:tcPr>
                      <w:p>
                        <w:pPr>
                          <w:pStyle w:val="11"/>
                          <w:ind w:left="0"/>
                          <w:rPr>
                            <w:rFonts w:ascii="Times New Roman"/>
                            <w:sz w:val="20"/>
                          </w:rPr>
                        </w:pPr>
                      </w:p>
                    </w:tc>
                    <w:tc>
                      <w:tcPr>
                        <w:tcW w:w="6986" w:type="dxa"/>
                        <w:tcBorders>
                          <w:bottom w:val="nil"/>
                        </w:tcBorders>
                      </w:tcPr>
                      <w:p>
                        <w:pPr>
                          <w:pStyle w:val="11"/>
                          <w:spacing w:before="21"/>
                          <w:rPr>
                            <w:sz w:val="21"/>
                          </w:rPr>
                        </w:pPr>
                        <w:r>
                          <w:rPr>
                            <w:spacing w:val="-1"/>
                            <w:sz w:val="21"/>
                          </w:rPr>
                          <w:t>急性心肌梗死指由于冠状动脉闭塞或梗阻引起部分心肌严重的持久性缺血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1" w:line="267" w:lineRule="exact"/>
                          <w:rPr>
                            <w:sz w:val="21"/>
                          </w:rPr>
                        </w:pPr>
                        <w:r>
                          <w:rPr>
                            <w:spacing w:val="-1"/>
                            <w:sz w:val="21"/>
                          </w:rPr>
                          <w:t>造成急性心肌坏死。急性心肌梗死的诊断必须依据国际国内诊断标准，符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5" w:line="278" w:lineRule="auto"/>
                          <w:ind w:right="98"/>
                          <w:rPr>
                            <w:sz w:val="21"/>
                          </w:rPr>
                        </w:pPr>
                        <w:r>
                          <w:rPr>
                            <w:spacing w:val="-2"/>
                            <w:sz w:val="21"/>
                          </w:rPr>
                          <w:t>合</w:t>
                        </w:r>
                        <w:r>
                          <w:rPr>
                            <w:rFonts w:ascii="Times New Roman" w:eastAsia="Times New Roman"/>
                            <w:spacing w:val="-2"/>
                            <w:sz w:val="21"/>
                          </w:rPr>
                          <w:t>(1)</w:t>
                        </w:r>
                        <w:r>
                          <w:rPr>
                            <w:spacing w:val="-2"/>
                            <w:sz w:val="21"/>
                          </w:rPr>
                          <w:t>检测到肌酸激酶同工酶（</w:t>
                        </w:r>
                        <w:r>
                          <w:rPr>
                            <w:rFonts w:ascii="Times New Roman" w:eastAsia="Times New Roman"/>
                            <w:spacing w:val="-2"/>
                            <w:sz w:val="21"/>
                          </w:rPr>
                          <w:t>CK-MB)</w:t>
                        </w:r>
                        <w:r>
                          <w:rPr>
                            <w:rFonts w:ascii="Times New Roman" w:eastAsia="Times New Roman"/>
                            <w:spacing w:val="40"/>
                            <w:sz w:val="21"/>
                          </w:rPr>
                          <w:t xml:space="preserve"> </w:t>
                        </w:r>
                        <w:r>
                          <w:rPr>
                            <w:spacing w:val="-2"/>
                            <w:sz w:val="21"/>
                          </w:rPr>
                          <w:t>或肌钙蛋白（</w:t>
                        </w:r>
                        <w:r>
                          <w:rPr>
                            <w:rFonts w:ascii="Times New Roman" w:eastAsia="Times New Roman"/>
                            <w:spacing w:val="-2"/>
                            <w:sz w:val="21"/>
                          </w:rPr>
                          <w:t>cTn)</w:t>
                        </w:r>
                        <w:r>
                          <w:rPr>
                            <w:spacing w:val="-2"/>
                            <w:sz w:val="21"/>
                          </w:rPr>
                          <w:t>升高和</w:t>
                        </w:r>
                        <w:r>
                          <w:rPr>
                            <w:rFonts w:ascii="Times New Roman" w:eastAsia="Times New Roman"/>
                            <w:spacing w:val="-2"/>
                            <w:sz w:val="21"/>
                          </w:rPr>
                          <w:t>/</w:t>
                        </w:r>
                        <w:r>
                          <w:rPr>
                            <w:spacing w:val="-2"/>
                            <w:sz w:val="21"/>
                          </w:rPr>
                          <w:t>或降低的</w:t>
                        </w:r>
                        <w:r>
                          <w:rPr>
                            <w:sz w:val="21"/>
                          </w:rPr>
                          <w:t>动态变化，至少一次达到或超过心肌梗死的临床诊断标准；</w:t>
                        </w:r>
                        <w:r>
                          <w:rPr>
                            <w:rFonts w:ascii="Times New Roman" w:eastAsia="Times New Roman"/>
                            <w:sz w:val="21"/>
                          </w:rPr>
                          <w:t>(2)</w:t>
                        </w:r>
                        <w:r>
                          <w:rPr>
                            <w:spacing w:val="-2"/>
                            <w:sz w:val="21"/>
                          </w:rPr>
                          <w:t>同时存在下</w:t>
                        </w:r>
                      </w:p>
                      <w:p>
                        <w:pPr>
                          <w:pStyle w:val="11"/>
                          <w:spacing w:line="267" w:lineRule="exact"/>
                          <w:rPr>
                            <w:sz w:val="21"/>
                          </w:rPr>
                        </w:pPr>
                        <w:r>
                          <w:rPr>
                            <w:spacing w:val="-1"/>
                            <w:sz w:val="21"/>
                          </w:rPr>
                          <w:t>列之一的证据，包括：缺血性胸痛症状、新发生的缺血性心电图改变、新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5"/>
                          <w:rPr>
                            <w:sz w:val="21"/>
                          </w:rPr>
                        </w:pPr>
                        <w:r>
                          <w:rPr>
                            <w:spacing w:val="-8"/>
                            <w:sz w:val="21"/>
                          </w:rPr>
                          <w:t xml:space="preserve">生成的病理性 </w:t>
                        </w:r>
                        <w:r>
                          <w:rPr>
                            <w:rFonts w:ascii="Times New Roman" w:eastAsia="Times New Roman"/>
                            <w:sz w:val="21"/>
                          </w:rPr>
                          <w:t xml:space="preserve">Q </w:t>
                        </w:r>
                        <w:r>
                          <w:rPr>
                            <w:spacing w:val="-1"/>
                            <w:sz w:val="21"/>
                          </w:rPr>
                          <w:t>波、影像学证据显示有新出现的心肌活性丧失或新出现局</w:t>
                        </w:r>
                      </w:p>
                      <w:p>
                        <w:pPr>
                          <w:pStyle w:val="11"/>
                          <w:spacing w:before="43"/>
                          <w:rPr>
                            <w:sz w:val="21"/>
                          </w:rPr>
                        </w:pPr>
                        <w:r>
                          <w:rPr>
                            <w:spacing w:val="-1"/>
                            <w:sz w:val="21"/>
                          </w:rPr>
                          <w:t>部室壁运动异常、冠脉造影证实存在冠状动脉血栓。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Borders>
                          <w:top w:val="nil"/>
                          <w:bottom w:val="nil"/>
                        </w:tcBorders>
                      </w:tcPr>
                      <w:p>
                        <w:pPr>
                          <w:pStyle w:val="11"/>
                          <w:ind w:left="0"/>
                          <w:rPr>
                            <w:rFonts w:ascii="Times New Roman"/>
                            <w:sz w:val="20"/>
                          </w:rPr>
                        </w:pPr>
                      </w:p>
                    </w:tc>
                    <w:tc>
                      <w:tcPr>
                        <w:tcW w:w="6986" w:type="dxa"/>
                        <w:tcBorders>
                          <w:top w:val="nil"/>
                          <w:bottom w:val="nil"/>
                        </w:tcBorders>
                      </w:tcPr>
                      <w:p>
                        <w:pPr>
                          <w:pStyle w:val="11"/>
                          <w:spacing w:before="21"/>
                          <w:rPr>
                            <w:sz w:val="21"/>
                          </w:rPr>
                        </w:pPr>
                        <w:r>
                          <w:rPr>
                            <w:spacing w:val="-1"/>
                            <w:sz w:val="21"/>
                          </w:rPr>
                          <w:t>较重急性心肌梗死指依照上述标准被明确诊断为急性心肌梗死，并且必须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957" w:type="dxa"/>
                        <w:tcBorders>
                          <w:top w:val="nil"/>
                          <w:bottom w:val="nil"/>
                        </w:tcBorders>
                      </w:tcPr>
                      <w:p>
                        <w:pPr>
                          <w:pStyle w:val="11"/>
                          <w:spacing w:before="21" w:line="268" w:lineRule="exact"/>
                          <w:ind w:left="125" w:right="117"/>
                          <w:jc w:val="center"/>
                          <w:rPr>
                            <w:sz w:val="21"/>
                          </w:rPr>
                        </w:pPr>
                        <w:r>
                          <w:rPr>
                            <w:spacing w:val="-2"/>
                            <w:sz w:val="21"/>
                          </w:rPr>
                          <w:t>二、较重急性心肌</w:t>
                        </w:r>
                      </w:p>
                    </w:tc>
                    <w:tc>
                      <w:tcPr>
                        <w:tcW w:w="6986" w:type="dxa"/>
                        <w:tcBorders>
                          <w:top w:val="nil"/>
                          <w:bottom w:val="nil"/>
                        </w:tcBorders>
                      </w:tcPr>
                      <w:p>
                        <w:pPr>
                          <w:pStyle w:val="11"/>
                          <w:spacing w:before="22" w:line="267" w:lineRule="exact"/>
                          <w:rPr>
                            <w:sz w:val="21"/>
                          </w:rPr>
                        </w:pPr>
                        <w:r>
                          <w:rPr>
                            <w:spacing w:val="-1"/>
                            <w:sz w:val="21"/>
                          </w:rPr>
                          <w:t>同时满足下列至少一项条件：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Borders>
                          <w:top w:val="nil"/>
                          <w:bottom w:val="nil"/>
                        </w:tcBorders>
                      </w:tcPr>
                      <w:p>
                        <w:pPr>
                          <w:pStyle w:val="11"/>
                          <w:spacing w:before="24"/>
                          <w:ind w:left="125" w:right="117"/>
                          <w:jc w:val="center"/>
                          <w:rPr>
                            <w:sz w:val="21"/>
                          </w:rPr>
                        </w:pPr>
                        <w:r>
                          <w:rPr>
                            <w:spacing w:val="-5"/>
                            <w:sz w:val="21"/>
                          </w:rPr>
                          <w:t>梗死</w:t>
                        </w:r>
                      </w:p>
                    </w:tc>
                    <w:tc>
                      <w:tcPr>
                        <w:tcW w:w="6986" w:type="dxa"/>
                        <w:tcBorders>
                          <w:top w:val="nil"/>
                          <w:bottom w:val="nil"/>
                        </w:tcBorders>
                      </w:tcPr>
                      <w:p>
                        <w:pPr>
                          <w:pStyle w:val="11"/>
                          <w:numPr>
                            <w:ilvl w:val="0"/>
                            <w:numId w:val="31"/>
                          </w:numPr>
                          <w:tabs>
                            <w:tab w:val="left" w:pos="457"/>
                          </w:tabs>
                          <w:spacing w:before="25" w:after="0" w:line="278" w:lineRule="auto"/>
                          <w:ind w:left="106" w:right="97" w:firstLine="0"/>
                          <w:jc w:val="left"/>
                          <w:rPr>
                            <w:sz w:val="21"/>
                          </w:rPr>
                        </w:pPr>
                        <w:r>
                          <w:rPr>
                            <w:spacing w:val="-4"/>
                            <w:sz w:val="21"/>
                          </w:rPr>
                          <w:t>心肌损伤标志物肌钙蛋白（</w:t>
                        </w:r>
                        <w:r>
                          <w:rPr>
                            <w:rFonts w:ascii="Times New Roman" w:eastAsia="Times New Roman"/>
                            <w:spacing w:val="-4"/>
                            <w:sz w:val="21"/>
                          </w:rPr>
                          <w:t>cTn)</w:t>
                        </w:r>
                        <w:r>
                          <w:rPr>
                            <w:spacing w:val="-4"/>
                            <w:sz w:val="21"/>
                          </w:rPr>
                          <w:t>升高，至少一次检测结果达到该检验正</w:t>
                        </w:r>
                        <w:r>
                          <w:rPr>
                            <w:sz w:val="21"/>
                          </w:rPr>
                          <w:t>常参考值上限的</w:t>
                        </w:r>
                        <w:r>
                          <w:rPr>
                            <w:spacing w:val="-23"/>
                            <w:sz w:val="21"/>
                          </w:rPr>
                          <w:t xml:space="preserve"> </w:t>
                        </w:r>
                        <w:r>
                          <w:rPr>
                            <w:rFonts w:ascii="Times New Roman" w:eastAsia="Times New Roman"/>
                            <w:sz w:val="21"/>
                          </w:rPr>
                          <w:t xml:space="preserve">15 </w:t>
                        </w:r>
                        <w:r>
                          <w:rPr>
                            <w:sz w:val="21"/>
                          </w:rPr>
                          <w:t>倍（含）以上；</w:t>
                        </w:r>
                      </w:p>
                      <w:p>
                        <w:pPr>
                          <w:pStyle w:val="11"/>
                          <w:numPr>
                            <w:ilvl w:val="0"/>
                            <w:numId w:val="31"/>
                          </w:numPr>
                          <w:tabs>
                            <w:tab w:val="left" w:pos="457"/>
                          </w:tabs>
                          <w:spacing w:before="0" w:after="0" w:line="278" w:lineRule="auto"/>
                          <w:ind w:left="106" w:right="97" w:firstLine="0"/>
                          <w:jc w:val="left"/>
                          <w:rPr>
                            <w:sz w:val="21"/>
                          </w:rPr>
                        </w:pPr>
                        <w:r>
                          <w:rPr>
                            <w:spacing w:val="-2"/>
                            <w:sz w:val="21"/>
                          </w:rPr>
                          <w:t>肌酸激酶同工酶（</w:t>
                        </w:r>
                        <w:r>
                          <w:rPr>
                            <w:rFonts w:ascii="Times New Roman" w:eastAsia="Times New Roman"/>
                            <w:spacing w:val="-2"/>
                            <w:sz w:val="21"/>
                          </w:rPr>
                          <w:t>CK-MB)</w:t>
                        </w:r>
                        <w:r>
                          <w:rPr>
                            <w:spacing w:val="-2"/>
                            <w:sz w:val="21"/>
                          </w:rPr>
                          <w:t>升高，至少一次检测结果达到该检验正常参</w:t>
                        </w:r>
                        <w:r>
                          <w:rPr>
                            <w:sz w:val="21"/>
                          </w:rPr>
                          <w:t>考值上限的</w:t>
                        </w:r>
                        <w:r>
                          <w:rPr>
                            <w:spacing w:val="-23"/>
                            <w:sz w:val="21"/>
                          </w:rPr>
                          <w:t xml:space="preserve"> </w:t>
                        </w:r>
                        <w:r>
                          <w:rPr>
                            <w:rFonts w:ascii="Times New Roman" w:eastAsia="Times New Roman"/>
                            <w:sz w:val="21"/>
                          </w:rPr>
                          <w:t xml:space="preserve">2 </w:t>
                        </w:r>
                        <w:r>
                          <w:rPr>
                            <w:sz w:val="21"/>
                          </w:rPr>
                          <w:t>倍（含）以上；</w:t>
                        </w:r>
                      </w:p>
                      <w:p>
                        <w:pPr>
                          <w:pStyle w:val="11"/>
                          <w:numPr>
                            <w:ilvl w:val="0"/>
                            <w:numId w:val="31"/>
                          </w:numPr>
                          <w:tabs>
                            <w:tab w:val="left" w:pos="457"/>
                          </w:tabs>
                          <w:spacing w:before="0" w:after="0" w:line="278" w:lineRule="auto"/>
                          <w:ind w:left="105" w:right="97" w:firstLine="0"/>
                          <w:jc w:val="left"/>
                          <w:rPr>
                            <w:sz w:val="21"/>
                          </w:rPr>
                        </w:pPr>
                        <w:r>
                          <w:rPr>
                            <w:spacing w:val="-2"/>
                            <w:sz w:val="21"/>
                          </w:rPr>
                          <w:t>出现左心室收缩功能下降</w:t>
                        </w:r>
                        <w:r>
                          <w:rPr>
                            <w:spacing w:val="-82"/>
                            <w:sz w:val="21"/>
                          </w:rPr>
                          <w:t>，</w:t>
                        </w:r>
                        <w:r>
                          <w:rPr>
                            <w:spacing w:val="-2"/>
                            <w:sz w:val="21"/>
                          </w:rPr>
                          <w:t>在确诊</w:t>
                        </w:r>
                        <w:r>
                          <w:rPr>
                            <w:spacing w:val="-51"/>
                            <w:sz w:val="21"/>
                          </w:rPr>
                          <w:t xml:space="preserve"> </w:t>
                        </w:r>
                        <w:r>
                          <w:rPr>
                            <w:rFonts w:ascii="Times New Roman" w:eastAsia="Times New Roman"/>
                            <w:spacing w:val="-2"/>
                            <w:sz w:val="21"/>
                          </w:rPr>
                          <w:t xml:space="preserve">6 </w:t>
                        </w:r>
                        <w:r>
                          <w:rPr>
                            <w:spacing w:val="-2"/>
                            <w:sz w:val="21"/>
                          </w:rPr>
                          <w:t>周以后</w:t>
                        </w:r>
                        <w:r>
                          <w:rPr>
                            <w:spacing w:val="-83"/>
                            <w:sz w:val="21"/>
                          </w:rPr>
                          <w:t>，</w:t>
                        </w:r>
                        <w:r>
                          <w:rPr>
                            <w:spacing w:val="-2"/>
                            <w:sz w:val="21"/>
                          </w:rPr>
                          <w:t>检测左室射血分</w:t>
                        </w:r>
                        <w:r>
                          <w:rPr>
                            <w:spacing w:val="-82"/>
                            <w:sz w:val="21"/>
                          </w:rPr>
                          <w:t>数</w:t>
                        </w:r>
                        <w:r>
                          <w:rPr>
                            <w:spacing w:val="-2"/>
                            <w:sz w:val="21"/>
                          </w:rPr>
                          <w:t>（</w:t>
                        </w:r>
                        <w:r>
                          <w:rPr>
                            <w:rFonts w:ascii="Times New Roman" w:eastAsia="Times New Roman"/>
                            <w:spacing w:val="-2"/>
                            <w:sz w:val="21"/>
                          </w:rPr>
                          <w:t>LVEF)</w:t>
                        </w:r>
                        <w:r>
                          <w:rPr>
                            <w:spacing w:val="-8"/>
                            <w:sz w:val="21"/>
                          </w:rPr>
                          <w:t xml:space="preserve">低于 </w:t>
                        </w:r>
                        <w:r>
                          <w:rPr>
                            <w:rFonts w:ascii="Times New Roman" w:eastAsia="Times New Roman"/>
                            <w:sz w:val="21"/>
                          </w:rPr>
                          <w:t>50% (</w:t>
                        </w:r>
                        <w:r>
                          <w:rPr>
                            <w:sz w:val="21"/>
                          </w:rPr>
                          <w:t>不含</w:t>
                        </w:r>
                        <w:r>
                          <w:rPr>
                            <w:spacing w:val="-105"/>
                            <w:sz w:val="21"/>
                          </w:rPr>
                          <w:t>）</w:t>
                        </w:r>
                        <w:r>
                          <w:rPr>
                            <w:sz w:val="21"/>
                          </w:rPr>
                          <w:t>；</w:t>
                        </w:r>
                      </w:p>
                      <w:p>
                        <w:pPr>
                          <w:pStyle w:val="11"/>
                          <w:numPr>
                            <w:ilvl w:val="0"/>
                            <w:numId w:val="31"/>
                          </w:numPr>
                          <w:tabs>
                            <w:tab w:val="left" w:pos="457"/>
                          </w:tabs>
                          <w:spacing w:before="0" w:after="0" w:line="240" w:lineRule="auto"/>
                          <w:ind w:left="456" w:right="0" w:hanging="352"/>
                          <w:jc w:val="left"/>
                          <w:rPr>
                            <w:sz w:val="21"/>
                          </w:rPr>
                        </w:pPr>
                        <w:r>
                          <w:rPr>
                            <w:w w:val="95"/>
                            <w:sz w:val="21"/>
                          </w:rPr>
                          <w:t>影像学检查证实存在新发的乳头肌功能失调或断裂引起的中度（含）</w:t>
                        </w:r>
                        <w:r>
                          <w:rPr>
                            <w:spacing w:val="-10"/>
                            <w:w w:val="95"/>
                            <w:sz w:val="21"/>
                          </w:rPr>
                          <w:t>以</w:t>
                        </w:r>
                      </w:p>
                      <w:p>
                        <w:pPr>
                          <w:pStyle w:val="11"/>
                          <w:spacing w:before="42" w:line="267" w:lineRule="exact"/>
                          <w:ind w:left="105"/>
                          <w:rPr>
                            <w:sz w:val="21"/>
                          </w:rPr>
                        </w:pPr>
                        <w:r>
                          <w:rPr>
                            <w:spacing w:val="-2"/>
                            <w:sz w:val="21"/>
                          </w:rPr>
                          <w:t>上的二尖瓣反流；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957" w:type="dxa"/>
                        <w:tcBorders>
                          <w:top w:val="nil"/>
                        </w:tcBorders>
                      </w:tcPr>
                      <w:p>
                        <w:pPr>
                          <w:pStyle w:val="11"/>
                          <w:ind w:left="0"/>
                          <w:rPr>
                            <w:rFonts w:ascii="Times New Roman"/>
                            <w:sz w:val="20"/>
                          </w:rPr>
                        </w:pPr>
                      </w:p>
                    </w:tc>
                    <w:tc>
                      <w:tcPr>
                        <w:tcW w:w="6986" w:type="dxa"/>
                        <w:tcBorders>
                          <w:top w:val="nil"/>
                        </w:tcBorders>
                      </w:tcPr>
                      <w:p>
                        <w:pPr>
                          <w:pStyle w:val="11"/>
                          <w:spacing w:before="25"/>
                          <w:ind w:left="105"/>
                          <w:rPr>
                            <w:sz w:val="21"/>
                          </w:rPr>
                        </w:pPr>
                        <w:r>
                          <w:rPr>
                            <w:rFonts w:ascii="Times New Roman" w:eastAsia="Times New Roman"/>
                            <w:spacing w:val="-2"/>
                            <w:sz w:val="21"/>
                          </w:rPr>
                          <w:t>(5)</w:t>
                        </w:r>
                        <w:r>
                          <w:rPr>
                            <w:rFonts w:ascii="Times New Roman" w:eastAsia="Times New Roman"/>
                            <w:spacing w:val="52"/>
                            <w:sz w:val="21"/>
                          </w:rPr>
                          <w:t xml:space="preserve"> </w:t>
                        </w:r>
                        <w:r>
                          <w:rPr>
                            <w:spacing w:val="-2"/>
                            <w:sz w:val="21"/>
                          </w:rPr>
                          <w:t>影像学检查证实存在新出现的室壁瘤</w:t>
                        </w:r>
                        <w:r>
                          <w:rPr>
                            <w:spacing w:val="-10"/>
                            <w:sz w:val="21"/>
                          </w:rPr>
                          <w:t>；</w:t>
                        </w:r>
                      </w:p>
                    </w:tc>
                  </w:tr>
                </w:tbl>
                <w:p>
                  <w:pPr>
                    <w:pStyle w:val="3"/>
                    <w:ind w:left="0"/>
                  </w:pPr>
                </w:p>
              </w:txbxContent>
            </v:textbox>
          </v:shape>
        </w:pict>
      </w:r>
      <w:r>
        <w:rPr>
          <w:rFonts w:ascii="黑体" w:eastAsia="黑体"/>
          <w:spacing w:val="-2"/>
        </w:rPr>
        <w:t>被保险人发生符合以下疾病定义所述条件的疾病，应当由专科医生明确诊断。以下疾病名称仅供理解使用，具体保障范围以每项疾病具体定义为准。</w:t>
      </w:r>
    </w:p>
    <w:p>
      <w:pPr>
        <w:spacing w:after="0" w:line="278" w:lineRule="auto"/>
        <w:rPr>
          <w:rFonts w:ascii="黑体" w:eastAsia="黑体"/>
        </w:rPr>
        <w:sectPr>
          <w:pgSz w:w="11910" w:h="16840"/>
          <w:pgMar w:top="140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957" w:type="dxa"/>
          </w:tcPr>
          <w:p>
            <w:pPr>
              <w:pStyle w:val="11"/>
              <w:ind w:left="0"/>
              <w:rPr>
                <w:rFonts w:ascii="Times New Roman"/>
                <w:sz w:val="20"/>
              </w:rPr>
            </w:pPr>
          </w:p>
        </w:tc>
        <w:tc>
          <w:tcPr>
            <w:tcW w:w="6986" w:type="dxa"/>
          </w:tcPr>
          <w:p>
            <w:pPr>
              <w:pStyle w:val="11"/>
              <w:spacing w:before="20"/>
              <w:rPr>
                <w:sz w:val="21"/>
              </w:rPr>
            </w:pPr>
            <w:r>
              <w:rPr>
                <w:rFonts w:ascii="Times New Roman" w:eastAsia="Times New Roman"/>
                <w:w w:val="95"/>
                <w:sz w:val="21"/>
              </w:rPr>
              <w:t>(6)</w:t>
            </w:r>
            <w:r>
              <w:rPr>
                <w:rFonts w:ascii="Times New Roman" w:eastAsia="Times New Roman"/>
                <w:spacing w:val="57"/>
                <w:w w:val="150"/>
                <w:sz w:val="21"/>
              </w:rPr>
              <w:t xml:space="preserve">  </w:t>
            </w:r>
            <w:r>
              <w:rPr>
                <w:w w:val="95"/>
                <w:sz w:val="21"/>
              </w:rPr>
              <w:t>出现室性心动过速、心室颤动或心源性休克</w:t>
            </w:r>
            <w:r>
              <w:rPr>
                <w:spacing w:val="-10"/>
                <w:w w:val="95"/>
                <w:sz w:val="21"/>
              </w:rPr>
              <w:t>。</w:t>
            </w:r>
          </w:p>
          <w:p>
            <w:pPr>
              <w:pStyle w:val="11"/>
              <w:spacing w:before="43"/>
              <w:ind w:right="-15"/>
              <w:rPr>
                <w:rFonts w:ascii="黑体" w:eastAsia="黑体"/>
                <w:sz w:val="21"/>
              </w:rPr>
            </w:pPr>
            <w:r>
              <w:rPr>
                <w:rFonts w:ascii="黑体" w:eastAsia="黑体"/>
                <w:color w:val="000000"/>
                <w:spacing w:val="-2"/>
                <w:sz w:val="21"/>
                <w:shd w:val="clear" w:color="auto" w:fill="DADADA"/>
              </w:rPr>
              <w:t>其他非冠状动脉阻塞性疾病所引起的肌钙蛋白（</w:t>
            </w:r>
            <w:r>
              <w:rPr>
                <w:rFonts w:ascii="Times New Roman" w:eastAsia="Times New Roman"/>
                <w:color w:val="000000"/>
                <w:spacing w:val="-2"/>
                <w:sz w:val="21"/>
                <w:shd w:val="clear" w:color="auto" w:fill="DADADA"/>
              </w:rPr>
              <w:t>cTn)</w:t>
            </w:r>
            <w:r>
              <w:rPr>
                <w:rFonts w:ascii="黑体" w:eastAsia="黑体"/>
                <w:color w:val="000000"/>
                <w:spacing w:val="-3"/>
                <w:sz w:val="21"/>
                <w:shd w:val="clear" w:color="auto" w:fill="DADADA"/>
              </w:rPr>
              <w:t>升高不在保障范围内。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rFonts w:ascii="黑体"/>
                <w:sz w:val="20"/>
              </w:rPr>
            </w:pPr>
          </w:p>
          <w:p>
            <w:pPr>
              <w:pStyle w:val="11"/>
              <w:ind w:left="0"/>
              <w:rPr>
                <w:rFonts w:ascii="黑体"/>
                <w:sz w:val="20"/>
              </w:rPr>
            </w:pPr>
          </w:p>
          <w:p>
            <w:pPr>
              <w:pStyle w:val="11"/>
              <w:ind w:left="0"/>
              <w:rPr>
                <w:rFonts w:ascii="黑体"/>
                <w:sz w:val="20"/>
              </w:rPr>
            </w:pPr>
          </w:p>
          <w:p>
            <w:pPr>
              <w:pStyle w:val="11"/>
              <w:spacing w:before="9"/>
              <w:ind w:left="0"/>
              <w:rPr>
                <w:rFonts w:ascii="黑体"/>
                <w:sz w:val="14"/>
              </w:rPr>
            </w:pPr>
          </w:p>
          <w:p>
            <w:pPr>
              <w:pStyle w:val="11"/>
              <w:spacing w:line="278" w:lineRule="auto"/>
              <w:ind w:left="767" w:right="127" w:hanging="630"/>
              <w:rPr>
                <w:sz w:val="21"/>
              </w:rPr>
            </w:pPr>
            <w:r>
              <w:rPr>
                <w:spacing w:val="-2"/>
                <w:sz w:val="21"/>
              </w:rPr>
              <w:t>三、严重脑中风后</w:t>
            </w:r>
            <w:r>
              <w:rPr>
                <w:spacing w:val="-6"/>
                <w:sz w:val="21"/>
              </w:rPr>
              <w:t>遗症</w:t>
            </w:r>
          </w:p>
        </w:tc>
        <w:tc>
          <w:tcPr>
            <w:tcW w:w="6986" w:type="dxa"/>
          </w:tcPr>
          <w:p>
            <w:pPr>
              <w:pStyle w:val="11"/>
              <w:spacing w:before="21"/>
              <w:rPr>
                <w:sz w:val="21"/>
              </w:rPr>
            </w:pPr>
            <w:r>
              <w:rPr>
                <w:spacing w:val="-1"/>
                <w:sz w:val="21"/>
              </w:rPr>
              <w:t>指因脑血管的突发病变引起脑血管出血、栓塞或梗塞，须由头颅断层扫描</w:t>
            </w:r>
          </w:p>
          <w:p>
            <w:pPr>
              <w:pStyle w:val="11"/>
              <w:spacing w:before="43" w:line="278" w:lineRule="auto"/>
              <w:ind w:right="97"/>
              <w:jc w:val="both"/>
              <w:rPr>
                <w:sz w:val="21"/>
              </w:rPr>
            </w:pPr>
            <w:r>
              <w:rPr>
                <w:spacing w:val="-2"/>
                <w:sz w:val="21"/>
              </w:rPr>
              <w:t>（</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 xml:space="preserve">等影像学检查证实，并导致神经系统永久性的功能障碍。神经系统永久性的功能障碍，指疾病确诊 </w:t>
            </w:r>
            <w:r>
              <w:rPr>
                <w:rFonts w:ascii="Times New Roman" w:eastAsia="Times New Roman"/>
                <w:sz w:val="21"/>
              </w:rPr>
              <w:t>180</w:t>
            </w:r>
            <w:r>
              <w:rPr>
                <w:rFonts w:ascii="Times New Roman" w:eastAsia="Times New Roman"/>
                <w:spacing w:val="-13"/>
                <w:sz w:val="21"/>
              </w:rPr>
              <w:t xml:space="preserve"> </w:t>
            </w:r>
            <w:r>
              <w:rPr>
                <w:sz w:val="21"/>
              </w:rPr>
              <w:t>天后，仍遗留</w:t>
            </w:r>
            <w:r>
              <w:rPr>
                <w:spacing w:val="-2"/>
                <w:sz w:val="21"/>
              </w:rPr>
              <w:t>下列至少一种障碍：</w:t>
            </w:r>
          </w:p>
          <w:p>
            <w:pPr>
              <w:pStyle w:val="11"/>
              <w:numPr>
                <w:ilvl w:val="0"/>
                <w:numId w:val="32"/>
              </w:numPr>
              <w:tabs>
                <w:tab w:val="left" w:pos="457"/>
              </w:tabs>
              <w:spacing w:before="0" w:after="0" w:line="240" w:lineRule="auto"/>
              <w:ind w:left="456" w:right="0" w:hanging="351"/>
              <w:jc w:val="both"/>
              <w:rPr>
                <w:sz w:val="21"/>
              </w:rPr>
            </w:pPr>
            <w:r>
              <w:rPr>
                <w:w w:val="95"/>
                <w:sz w:val="21"/>
              </w:rPr>
              <w:t>一肢（含）以上肢体肌力</w:t>
            </w:r>
            <w:r>
              <w:rPr>
                <w:spacing w:val="17"/>
                <w:sz w:val="21"/>
              </w:rPr>
              <w:t xml:space="preserve"> </w:t>
            </w:r>
            <w:r>
              <w:rPr>
                <w:rFonts w:ascii="Times New Roman" w:eastAsia="Times New Roman"/>
                <w:w w:val="95"/>
                <w:sz w:val="21"/>
              </w:rPr>
              <w:t>2</w:t>
            </w:r>
            <w:r>
              <w:rPr>
                <w:rFonts w:ascii="Times New Roman" w:eastAsia="Times New Roman"/>
                <w:spacing w:val="73"/>
                <w:sz w:val="21"/>
              </w:rPr>
              <w:t xml:space="preserve"> </w:t>
            </w:r>
            <w:r>
              <w:rPr>
                <w:w w:val="95"/>
                <w:sz w:val="21"/>
              </w:rPr>
              <w:t>级（含）以下</w:t>
            </w:r>
            <w:r>
              <w:rPr>
                <w:spacing w:val="-10"/>
                <w:w w:val="95"/>
                <w:sz w:val="21"/>
              </w:rPr>
              <w:t>；</w:t>
            </w:r>
          </w:p>
          <w:p>
            <w:pPr>
              <w:pStyle w:val="11"/>
              <w:numPr>
                <w:ilvl w:val="0"/>
                <w:numId w:val="32"/>
              </w:numPr>
              <w:tabs>
                <w:tab w:val="left" w:pos="458"/>
              </w:tabs>
              <w:spacing w:before="43" w:after="0" w:line="240" w:lineRule="auto"/>
              <w:ind w:left="457" w:right="0" w:hanging="352"/>
              <w:jc w:val="both"/>
              <w:rPr>
                <w:sz w:val="21"/>
              </w:rPr>
            </w:pPr>
            <w:r>
              <w:rPr>
                <w:b/>
                <w:w w:val="95"/>
                <w:sz w:val="21"/>
              </w:rPr>
              <w:t>语言能力完全丧失，或严重咀嚼吞咽功能障碍</w:t>
            </w:r>
            <w:r>
              <w:rPr>
                <w:b/>
                <w:spacing w:val="14"/>
                <w:sz w:val="21"/>
              </w:rPr>
              <w:t xml:space="preserve">  </w:t>
            </w:r>
            <w:r>
              <w:fldChar w:fldCharType="begin"/>
            </w:r>
            <w:r>
              <w:instrText xml:space="preserve"> HYPERLINK \l "_bookmark83" </w:instrText>
            </w:r>
            <w:r>
              <w:fldChar w:fldCharType="separate"/>
            </w:r>
            <w:r>
              <w:rPr>
                <w:rFonts w:ascii="Times New Roman" w:eastAsia="Times New Roman"/>
                <w:b/>
                <w:spacing w:val="-5"/>
                <w:w w:val="95"/>
                <w:sz w:val="21"/>
                <w:vertAlign w:val="superscript"/>
              </w:rPr>
              <w:t>46</w:t>
            </w:r>
            <w:r>
              <w:rPr>
                <w:rFonts w:ascii="Times New Roman" w:eastAsia="Times New Roman"/>
                <w:b/>
                <w:spacing w:val="-5"/>
                <w:w w:val="95"/>
                <w:sz w:val="21"/>
                <w:vertAlign w:val="superscript"/>
              </w:rPr>
              <w:fldChar w:fldCharType="end"/>
            </w:r>
            <w:r>
              <w:rPr>
                <w:spacing w:val="-5"/>
                <w:w w:val="95"/>
                <w:sz w:val="21"/>
                <w:vertAlign w:val="baseline"/>
              </w:rPr>
              <w:t>；</w:t>
            </w:r>
          </w:p>
          <w:p>
            <w:pPr>
              <w:pStyle w:val="11"/>
              <w:numPr>
                <w:ilvl w:val="0"/>
                <w:numId w:val="32"/>
              </w:numPr>
              <w:tabs>
                <w:tab w:val="left" w:pos="458"/>
              </w:tabs>
              <w:spacing w:before="2" w:after="0" w:line="312" w:lineRule="exact"/>
              <w:ind w:left="106" w:right="96" w:firstLine="0"/>
              <w:jc w:val="left"/>
              <w:rPr>
                <w:sz w:val="21"/>
              </w:rPr>
            </w:pPr>
            <w:r>
              <w:rPr>
                <w:spacing w:val="-2"/>
                <w:sz w:val="21"/>
              </w:rPr>
              <w:t>自主生活能力完全丧失</w:t>
            </w:r>
            <w:r>
              <w:rPr>
                <w:spacing w:val="-90"/>
                <w:sz w:val="21"/>
              </w:rPr>
              <w:t>，</w:t>
            </w:r>
            <w:r>
              <w:rPr>
                <w:spacing w:val="-2"/>
                <w:sz w:val="21"/>
              </w:rPr>
              <w:t>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spacing w:before="11"/>
              <w:ind w:left="0"/>
              <w:rPr>
                <w:rFonts w:ascii="黑体"/>
                <w:sz w:val="25"/>
              </w:rPr>
            </w:pPr>
          </w:p>
          <w:p>
            <w:pPr>
              <w:pStyle w:val="11"/>
              <w:spacing w:before="1" w:line="278" w:lineRule="auto"/>
              <w:ind w:left="137" w:right="127"/>
              <w:jc w:val="center"/>
              <w:rPr>
                <w:sz w:val="21"/>
              </w:rPr>
            </w:pPr>
            <w:r>
              <w:rPr>
                <w:spacing w:val="-2"/>
                <w:sz w:val="21"/>
              </w:rPr>
              <w:t>四、重大器官移植术或造血干细胞移</w:t>
            </w:r>
            <w:r>
              <w:rPr>
                <w:spacing w:val="-6"/>
                <w:sz w:val="21"/>
              </w:rPr>
              <w:t>植术</w:t>
            </w:r>
          </w:p>
        </w:tc>
        <w:tc>
          <w:tcPr>
            <w:tcW w:w="6986" w:type="dxa"/>
          </w:tcPr>
          <w:p>
            <w:pPr>
              <w:pStyle w:val="11"/>
              <w:spacing w:before="20" w:line="278" w:lineRule="auto"/>
              <w:ind w:right="-15"/>
              <w:rPr>
                <w:sz w:val="21"/>
              </w:rPr>
            </w:pPr>
            <w:r>
              <w:rPr>
                <w:spacing w:val="-2"/>
                <w:sz w:val="21"/>
              </w:rPr>
              <w:t>重大器官移植术，指因相应器官功能衰竭，已经实施了肾脏、肝脏、心脏、肺脏或小肠的异体移植手术。</w:t>
            </w:r>
          </w:p>
          <w:p>
            <w:pPr>
              <w:pStyle w:val="11"/>
              <w:spacing w:line="269" w:lineRule="exact"/>
              <w:ind w:right="-15"/>
              <w:rPr>
                <w:sz w:val="21"/>
              </w:rPr>
            </w:pPr>
            <w:r>
              <w:rPr>
                <w:spacing w:val="-1"/>
                <w:sz w:val="21"/>
              </w:rPr>
              <w:t>造血干细胞移植术，指因造血功能损害或造血系统恶性肿瘤，已经实施了</w:t>
            </w:r>
          </w:p>
          <w:p>
            <w:pPr>
              <w:pStyle w:val="11"/>
              <w:spacing w:before="2" w:line="310" w:lineRule="atLeast"/>
              <w:ind w:right="-15"/>
              <w:rPr>
                <w:sz w:val="21"/>
              </w:rPr>
            </w:pPr>
            <w:r>
              <w:rPr>
                <w:spacing w:val="-2"/>
                <w:sz w:val="21"/>
              </w:rPr>
              <w:t>造血干细胞（包括骨髓造血干细胞、外周血造血干细胞和脐血造血干细胞）的移植手术。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20" w:line="278" w:lineRule="auto"/>
              <w:ind w:left="137" w:right="127"/>
              <w:jc w:val="center"/>
              <w:rPr>
                <w:sz w:val="21"/>
              </w:rPr>
            </w:pPr>
            <w:r>
              <w:rPr>
                <w:spacing w:val="-2"/>
                <w:sz w:val="21"/>
              </w:rPr>
              <w:t>五、冠状动脉搭桥</w:t>
            </w:r>
            <w:r>
              <w:rPr>
                <w:sz w:val="21"/>
              </w:rPr>
              <w:t>术（</w:t>
            </w:r>
            <w:r>
              <w:rPr>
                <w:spacing w:val="-2"/>
                <w:sz w:val="21"/>
              </w:rPr>
              <w:t>或称冠状动脉</w:t>
            </w:r>
          </w:p>
          <w:p>
            <w:pPr>
              <w:pStyle w:val="11"/>
              <w:ind w:left="125" w:right="117"/>
              <w:jc w:val="center"/>
              <w:rPr>
                <w:sz w:val="21"/>
              </w:rPr>
            </w:pPr>
            <w:r>
              <w:rPr>
                <w:sz w:val="21"/>
              </w:rPr>
              <w:t>旁路移植术</w:t>
            </w:r>
            <w:r>
              <w:rPr>
                <w:spacing w:val="-10"/>
                <w:sz w:val="21"/>
              </w:rPr>
              <w:t>）</w:t>
            </w:r>
          </w:p>
        </w:tc>
        <w:tc>
          <w:tcPr>
            <w:tcW w:w="6986" w:type="dxa"/>
          </w:tcPr>
          <w:p>
            <w:pPr>
              <w:pStyle w:val="11"/>
              <w:spacing w:before="20" w:line="278" w:lineRule="auto"/>
              <w:ind w:right="93"/>
              <w:rPr>
                <w:sz w:val="21"/>
              </w:rPr>
            </w:pPr>
            <w:r>
              <w:rPr>
                <w:spacing w:val="-2"/>
                <w:sz w:val="21"/>
              </w:rPr>
              <w:t>指为治疗严重的冠心病，已经实施了切开心包进行的冠状动脉血管旁路移植的手术。</w:t>
            </w:r>
          </w:p>
          <w:p>
            <w:pPr>
              <w:pStyle w:val="11"/>
              <w:spacing w:line="269" w:lineRule="exact"/>
              <w:rPr>
                <w:rFonts w:ascii="黑体" w:eastAsia="黑体"/>
                <w:sz w:val="21"/>
              </w:rPr>
            </w:pPr>
            <w:r>
              <w:rPr>
                <w:rFonts w:ascii="黑体" w:eastAsia="黑体"/>
                <w:color w:val="000000"/>
                <w:spacing w:val="-1"/>
                <w:sz w:val="21"/>
                <w:shd w:val="clear" w:color="auto" w:fill="DADADA"/>
              </w:rPr>
              <w:t>所有未切开心包的冠状动脉介入治疗不在保障范围内。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spacing w:before="177" w:line="278" w:lineRule="auto"/>
              <w:ind w:left="873" w:right="127" w:hanging="736"/>
              <w:rPr>
                <w:sz w:val="21"/>
              </w:rPr>
            </w:pPr>
            <w:r>
              <w:rPr>
                <w:spacing w:val="-2"/>
                <w:sz w:val="21"/>
              </w:rPr>
              <w:t>六、严重慢性肾衰</w:t>
            </w:r>
            <w:r>
              <w:rPr>
                <w:spacing w:val="-10"/>
                <w:sz w:val="21"/>
              </w:rPr>
              <w:t>竭</w:t>
            </w:r>
          </w:p>
        </w:tc>
        <w:tc>
          <w:tcPr>
            <w:tcW w:w="6986" w:type="dxa"/>
          </w:tcPr>
          <w:p>
            <w:pPr>
              <w:pStyle w:val="11"/>
              <w:spacing w:before="21"/>
              <w:rPr>
                <w:sz w:val="21"/>
              </w:rPr>
            </w:pPr>
            <w:r>
              <w:rPr>
                <w:w w:val="95"/>
                <w:sz w:val="21"/>
              </w:rPr>
              <w:t>指双肾功能慢性不可逆性衰竭，依据肾脏病预后质量倡议</w:t>
            </w:r>
            <w:r>
              <w:rPr>
                <w:rFonts w:ascii="Times New Roman" w:eastAsia="Times New Roman"/>
                <w:w w:val="95"/>
                <w:sz w:val="21"/>
              </w:rPr>
              <w:t>(K/DOQI)</w:t>
            </w:r>
            <w:r>
              <w:rPr>
                <w:spacing w:val="-4"/>
                <w:w w:val="95"/>
                <w:sz w:val="21"/>
              </w:rPr>
              <w:t>制定的</w:t>
            </w:r>
          </w:p>
          <w:p>
            <w:pPr>
              <w:pStyle w:val="11"/>
              <w:spacing w:before="2" w:line="310" w:lineRule="atLeast"/>
              <w:ind w:right="98"/>
              <w:rPr>
                <w:sz w:val="21"/>
              </w:rPr>
            </w:pPr>
            <w:r>
              <w:rPr>
                <w:spacing w:val="-6"/>
                <w:sz w:val="21"/>
              </w:rPr>
              <w:t xml:space="preserve">指南，分期达到慢性肾脏病 </w:t>
            </w:r>
            <w:r>
              <w:rPr>
                <w:rFonts w:ascii="Times New Roman" w:eastAsia="Times New Roman"/>
                <w:spacing w:val="-2"/>
                <w:sz w:val="21"/>
              </w:rPr>
              <w:t>5</w:t>
            </w:r>
            <w:r>
              <w:rPr>
                <w:rFonts w:ascii="Times New Roman" w:eastAsia="Times New Roman"/>
                <w:spacing w:val="-12"/>
                <w:sz w:val="21"/>
              </w:rPr>
              <w:t xml:space="preserve"> </w:t>
            </w:r>
            <w:r>
              <w:rPr>
                <w:spacing w:val="-6"/>
                <w:sz w:val="21"/>
              </w:rPr>
              <w:t xml:space="preserve">期，且经诊断后已经进行了至少 </w:t>
            </w:r>
            <w:r>
              <w:rPr>
                <w:rFonts w:ascii="Times New Roman" w:eastAsia="Times New Roman"/>
                <w:spacing w:val="-2"/>
                <w:sz w:val="21"/>
              </w:rPr>
              <w:t>90</w:t>
            </w:r>
            <w:r>
              <w:rPr>
                <w:rFonts w:ascii="Times New Roman" w:eastAsia="Times New Roman"/>
                <w:spacing w:val="-11"/>
                <w:sz w:val="21"/>
              </w:rPr>
              <w:t xml:space="preserve"> </w:t>
            </w:r>
            <w:r>
              <w:rPr>
                <w:spacing w:val="-2"/>
                <w:sz w:val="21"/>
              </w:rPr>
              <w:t>天的规律性透析治疗。规律性透析是指每周进行血液透析或每天进行腹膜透析。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57" w:type="dxa"/>
          </w:tcPr>
          <w:p>
            <w:pPr>
              <w:pStyle w:val="11"/>
              <w:spacing w:before="176"/>
              <w:ind w:left="137"/>
              <w:rPr>
                <w:sz w:val="21"/>
              </w:rPr>
            </w:pPr>
            <w:r>
              <w:rPr>
                <w:spacing w:val="-2"/>
                <w:sz w:val="21"/>
              </w:rPr>
              <w:t>七、多个肢体缺失</w:t>
            </w:r>
          </w:p>
        </w:tc>
        <w:tc>
          <w:tcPr>
            <w:tcW w:w="6986" w:type="dxa"/>
          </w:tcPr>
          <w:p>
            <w:pPr>
              <w:pStyle w:val="11"/>
              <w:spacing w:before="20"/>
              <w:rPr>
                <w:sz w:val="21"/>
              </w:rPr>
            </w:pPr>
            <w:r>
              <w:rPr>
                <w:sz w:val="21"/>
              </w:rPr>
              <w:t>指因疾病或意外伤害导致两个或两个以上肢体自腕关节或踝关节近端（</w:t>
            </w:r>
            <w:r>
              <w:rPr>
                <w:spacing w:val="-10"/>
                <w:sz w:val="21"/>
              </w:rPr>
              <w:t>靠</w:t>
            </w:r>
          </w:p>
          <w:p>
            <w:pPr>
              <w:pStyle w:val="11"/>
              <w:spacing w:before="43"/>
              <w:rPr>
                <w:sz w:val="21"/>
              </w:rPr>
            </w:pPr>
            <w:r>
              <w:rPr>
                <w:sz w:val="21"/>
              </w:rPr>
              <w:t>近躯干端）</w:t>
            </w:r>
            <w:r>
              <w:rPr>
                <w:spacing w:val="-2"/>
                <w:sz w:val="21"/>
              </w:rPr>
              <w:t>以上完全性断离。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71" w:hRule="atLeast"/>
        </w:trPr>
        <w:tc>
          <w:tcPr>
            <w:tcW w:w="1957" w:type="dxa"/>
          </w:tcPr>
          <w:p>
            <w:pPr>
              <w:pStyle w:val="11"/>
              <w:ind w:left="0"/>
              <w:rPr>
                <w:rFonts w:ascii="黑体"/>
                <w:sz w:val="20"/>
              </w:rPr>
            </w:pPr>
          </w:p>
          <w:p>
            <w:pPr>
              <w:pStyle w:val="11"/>
              <w:ind w:left="0"/>
              <w:rPr>
                <w:rFonts w:ascii="黑体"/>
                <w:sz w:val="20"/>
              </w:rPr>
            </w:pPr>
          </w:p>
          <w:p>
            <w:pPr>
              <w:pStyle w:val="11"/>
              <w:spacing w:before="131" w:line="278" w:lineRule="auto"/>
              <w:ind w:left="137" w:right="127"/>
              <w:rPr>
                <w:sz w:val="21"/>
              </w:rPr>
            </w:pPr>
            <w:r>
              <w:rPr>
                <w:spacing w:val="-2"/>
                <w:sz w:val="21"/>
              </w:rPr>
              <w:t>八、急性重症肝炎或亚急性重症肝炎</w:t>
            </w:r>
          </w:p>
        </w:tc>
        <w:tc>
          <w:tcPr>
            <w:tcW w:w="6986" w:type="dxa"/>
          </w:tcPr>
          <w:p>
            <w:pPr>
              <w:pStyle w:val="11"/>
              <w:spacing w:before="20" w:line="278" w:lineRule="auto"/>
              <w:ind w:right="93"/>
              <w:rPr>
                <w:rFonts w:ascii="Times New Roman" w:eastAsia="Times New Roman"/>
                <w:sz w:val="21"/>
              </w:rPr>
            </w:pPr>
            <w:r>
              <w:rPr>
                <w:spacing w:val="-2"/>
                <w:sz w:val="21"/>
              </w:rPr>
              <w:t>指因肝炎病毒感染引起肝脏组织弥漫性坏死，导致急性肝功能衰竭，且经血清学或病毒学检查证实，并须满足下列全部条件</w:t>
            </w:r>
            <w:r>
              <w:rPr>
                <w:rFonts w:ascii="Times New Roman" w:eastAsia="Times New Roman"/>
                <w:spacing w:val="-2"/>
                <w:sz w:val="21"/>
              </w:rPr>
              <w:t>:</w:t>
            </w:r>
          </w:p>
          <w:p>
            <w:pPr>
              <w:pStyle w:val="11"/>
              <w:numPr>
                <w:ilvl w:val="0"/>
                <w:numId w:val="33"/>
              </w:numPr>
              <w:tabs>
                <w:tab w:val="left" w:pos="458"/>
              </w:tabs>
              <w:spacing w:before="0" w:after="0" w:line="240" w:lineRule="auto"/>
              <w:ind w:left="457" w:right="0" w:hanging="352"/>
              <w:jc w:val="left"/>
              <w:rPr>
                <w:sz w:val="21"/>
              </w:rPr>
            </w:pPr>
            <w:r>
              <w:rPr>
                <w:w w:val="95"/>
                <w:sz w:val="21"/>
              </w:rPr>
              <w:t>重度黄疸或黄疸迅速加重</w:t>
            </w:r>
            <w:r>
              <w:rPr>
                <w:spacing w:val="-10"/>
                <w:w w:val="95"/>
                <w:sz w:val="21"/>
              </w:rPr>
              <w:t>；</w:t>
            </w:r>
          </w:p>
          <w:p>
            <w:pPr>
              <w:pStyle w:val="11"/>
              <w:numPr>
                <w:ilvl w:val="0"/>
                <w:numId w:val="33"/>
              </w:numPr>
              <w:tabs>
                <w:tab w:val="left" w:pos="458"/>
              </w:tabs>
              <w:spacing w:before="43" w:after="0" w:line="240" w:lineRule="auto"/>
              <w:ind w:left="457" w:right="0" w:hanging="352"/>
              <w:jc w:val="left"/>
              <w:rPr>
                <w:sz w:val="21"/>
              </w:rPr>
            </w:pPr>
            <w:r>
              <w:rPr>
                <w:w w:val="95"/>
                <w:sz w:val="21"/>
              </w:rPr>
              <w:t>肝性脑病</w:t>
            </w:r>
            <w:r>
              <w:rPr>
                <w:spacing w:val="-10"/>
                <w:w w:val="95"/>
                <w:sz w:val="21"/>
              </w:rPr>
              <w:t>；</w:t>
            </w:r>
          </w:p>
          <w:p>
            <w:pPr>
              <w:pStyle w:val="11"/>
              <w:numPr>
                <w:ilvl w:val="0"/>
                <w:numId w:val="33"/>
              </w:numPr>
              <w:tabs>
                <w:tab w:val="left" w:pos="405"/>
              </w:tabs>
              <w:spacing w:before="43" w:after="0" w:line="240" w:lineRule="auto"/>
              <w:ind w:left="404" w:right="0" w:hanging="299"/>
              <w:jc w:val="left"/>
              <w:rPr>
                <w:sz w:val="21"/>
              </w:rPr>
            </w:pPr>
            <w:r>
              <w:rPr>
                <w:rFonts w:ascii="Times New Roman" w:eastAsia="Times New Roman"/>
                <w:w w:val="95"/>
                <w:sz w:val="21"/>
              </w:rPr>
              <w:t>B</w:t>
            </w:r>
            <w:r>
              <w:rPr>
                <w:rFonts w:ascii="Times New Roman" w:eastAsia="Times New Roman"/>
                <w:spacing w:val="55"/>
                <w:sz w:val="21"/>
              </w:rPr>
              <w:t xml:space="preserve">  </w:t>
            </w:r>
            <w:r>
              <w:rPr>
                <w:w w:val="95"/>
                <w:sz w:val="21"/>
              </w:rPr>
              <w:t>超或其他影像学检查显示肝脏体积急速萎缩</w:t>
            </w:r>
            <w:r>
              <w:rPr>
                <w:spacing w:val="-10"/>
                <w:w w:val="95"/>
                <w:sz w:val="21"/>
              </w:rPr>
              <w:t>；</w:t>
            </w:r>
          </w:p>
          <w:p>
            <w:pPr>
              <w:pStyle w:val="11"/>
              <w:numPr>
                <w:ilvl w:val="0"/>
                <w:numId w:val="33"/>
              </w:numPr>
              <w:tabs>
                <w:tab w:val="left" w:pos="458"/>
              </w:tabs>
              <w:spacing w:before="42" w:after="0" w:line="240" w:lineRule="auto"/>
              <w:ind w:left="457" w:right="0" w:hanging="352"/>
              <w:jc w:val="left"/>
              <w:rPr>
                <w:sz w:val="21"/>
              </w:rPr>
            </w:pPr>
            <w:r>
              <w:rPr>
                <w:w w:val="95"/>
                <w:sz w:val="21"/>
              </w:rPr>
              <w:t>肝功能指标进行性恶化</w:t>
            </w:r>
            <w:r>
              <w:rPr>
                <w:spacing w:val="-10"/>
                <w:w w:val="95"/>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957" w:type="dxa"/>
          </w:tcPr>
          <w:p>
            <w:pPr>
              <w:pStyle w:val="11"/>
              <w:ind w:left="0"/>
              <w:rPr>
                <w:rFonts w:ascii="黑体"/>
                <w:sz w:val="20"/>
              </w:rPr>
            </w:pPr>
          </w:p>
          <w:p>
            <w:pPr>
              <w:pStyle w:val="11"/>
              <w:ind w:left="0"/>
              <w:rPr>
                <w:rFonts w:ascii="黑体"/>
                <w:sz w:val="20"/>
              </w:rPr>
            </w:pPr>
          </w:p>
          <w:p>
            <w:pPr>
              <w:pStyle w:val="11"/>
              <w:ind w:left="0"/>
              <w:rPr>
                <w:rFonts w:ascii="黑体"/>
                <w:sz w:val="20"/>
              </w:rPr>
            </w:pPr>
          </w:p>
          <w:p>
            <w:pPr>
              <w:pStyle w:val="11"/>
              <w:ind w:left="0"/>
              <w:rPr>
                <w:rFonts w:ascii="黑体"/>
                <w:sz w:val="20"/>
              </w:rPr>
            </w:pPr>
          </w:p>
          <w:p>
            <w:pPr>
              <w:pStyle w:val="11"/>
              <w:ind w:left="0"/>
              <w:rPr>
                <w:rFonts w:ascii="黑体"/>
                <w:sz w:val="20"/>
              </w:rPr>
            </w:pPr>
          </w:p>
          <w:p>
            <w:pPr>
              <w:pStyle w:val="11"/>
              <w:spacing w:before="144" w:line="278" w:lineRule="auto"/>
              <w:ind w:left="663" w:right="127" w:hanging="526"/>
              <w:rPr>
                <w:sz w:val="21"/>
              </w:rPr>
            </w:pPr>
            <w:r>
              <w:rPr>
                <w:spacing w:val="-2"/>
                <w:sz w:val="21"/>
              </w:rPr>
              <w:t>九、严重非恶性颅</w:t>
            </w:r>
            <w:r>
              <w:rPr>
                <w:spacing w:val="-4"/>
                <w:sz w:val="21"/>
              </w:rPr>
              <w:t>内肿瘤</w:t>
            </w:r>
          </w:p>
        </w:tc>
        <w:tc>
          <w:tcPr>
            <w:tcW w:w="6986" w:type="dxa"/>
          </w:tcPr>
          <w:p>
            <w:pPr>
              <w:pStyle w:val="11"/>
              <w:spacing w:before="21" w:line="278" w:lineRule="auto"/>
              <w:ind w:right="93"/>
              <w:jc w:val="both"/>
              <w:rPr>
                <w:sz w:val="21"/>
              </w:rPr>
            </w:pPr>
            <w:r>
              <w:rPr>
                <w:sz w:val="21"/>
              </w:rPr>
              <w:t>指起源于脑、脑神经、脑被膜的非恶性肿瘤，</w:t>
            </w:r>
            <w:r>
              <w:rPr>
                <w:rFonts w:ascii="Times New Roman" w:eastAsia="Times New Roman"/>
                <w:sz w:val="21"/>
              </w:rPr>
              <w:t xml:space="preserve">ICD-O-3 </w:t>
            </w:r>
            <w:r>
              <w:rPr>
                <w:sz w:val="21"/>
              </w:rPr>
              <w:t>肿瘤形态学编码属于</w:t>
            </w:r>
            <w:r>
              <w:rPr>
                <w:spacing w:val="-27"/>
                <w:sz w:val="21"/>
              </w:rPr>
              <w:t xml:space="preserve"> </w:t>
            </w:r>
            <w:r>
              <w:rPr>
                <w:rFonts w:ascii="Times New Roman" w:eastAsia="Times New Roman"/>
                <w:sz w:val="21"/>
              </w:rPr>
              <w:t>0</w:t>
            </w:r>
            <w:r>
              <w:rPr>
                <w:rFonts w:ascii="Times New Roman" w:eastAsia="Times New Roman"/>
                <w:spacing w:val="-7"/>
                <w:sz w:val="21"/>
              </w:rPr>
              <w:t xml:space="preserve"> (</w:t>
            </w:r>
            <w:r>
              <w:rPr>
                <w:sz w:val="21"/>
              </w:rPr>
              <w:t>良性肿瘤</w:t>
            </w:r>
            <w:r>
              <w:rPr>
                <w:spacing w:val="-105"/>
                <w:sz w:val="21"/>
              </w:rPr>
              <w:t>）</w:t>
            </w:r>
            <w:r>
              <w:rPr>
                <w:sz w:val="21"/>
              </w:rPr>
              <w:t>、</w:t>
            </w:r>
            <w:r>
              <w:rPr>
                <w:rFonts w:ascii="Times New Roman" w:eastAsia="Times New Roman"/>
                <w:sz w:val="21"/>
              </w:rPr>
              <w:t>1</w:t>
            </w:r>
            <w:r>
              <w:rPr>
                <w:rFonts w:ascii="Times New Roman" w:eastAsia="Times New Roman"/>
                <w:spacing w:val="10"/>
                <w:sz w:val="21"/>
              </w:rPr>
              <w:t xml:space="preserve"> (</w:t>
            </w:r>
            <w:r>
              <w:rPr>
                <w:sz w:val="21"/>
              </w:rPr>
              <w:t>动态未定性肿瘤）范畴，并已经引起颅内压升高或神</w:t>
            </w:r>
            <w:r>
              <w:rPr>
                <w:spacing w:val="-2"/>
                <w:sz w:val="21"/>
              </w:rPr>
              <w:t>经系统功能损害，出现视乳头水肿或视觉受损、听觉受损、面部或肢体瘫痪、癫痫等，须由头颅断层扫描（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w:t>
            </w:r>
            <w:r>
              <w:rPr>
                <w:sz w:val="21"/>
              </w:rPr>
              <w:t>射断层扫描（</w:t>
            </w:r>
            <w:r>
              <w:rPr>
                <w:rFonts w:ascii="Times New Roman" w:eastAsia="Times New Roman"/>
                <w:sz w:val="21"/>
              </w:rPr>
              <w:t>PET)</w:t>
            </w:r>
            <w:r>
              <w:rPr>
                <w:rFonts w:ascii="Times New Roman" w:eastAsia="Times New Roman"/>
                <w:spacing w:val="40"/>
                <w:sz w:val="21"/>
              </w:rPr>
              <w:t xml:space="preserve"> </w:t>
            </w:r>
            <w:r>
              <w:rPr>
                <w:sz w:val="21"/>
              </w:rPr>
              <w:t>等影像学检查证实，且须满足下列至少一项条件：</w:t>
            </w:r>
          </w:p>
          <w:p>
            <w:pPr>
              <w:pStyle w:val="11"/>
              <w:numPr>
                <w:ilvl w:val="0"/>
                <w:numId w:val="34"/>
              </w:numPr>
              <w:tabs>
                <w:tab w:val="left" w:pos="458"/>
              </w:tabs>
              <w:spacing w:before="0" w:after="0" w:line="269" w:lineRule="exact"/>
              <w:ind w:left="457" w:right="0" w:hanging="352"/>
              <w:jc w:val="both"/>
              <w:rPr>
                <w:rFonts w:ascii="Times New Roman" w:eastAsia="Times New Roman"/>
                <w:sz w:val="21"/>
              </w:rPr>
            </w:pPr>
            <w:r>
              <w:rPr>
                <w:w w:val="95"/>
                <w:sz w:val="21"/>
              </w:rPr>
              <w:t>已经实施了开颅进行的颅内肿瘤完全或部分切除手术</w:t>
            </w:r>
            <w:r>
              <w:rPr>
                <w:rFonts w:ascii="Times New Roman" w:eastAsia="Times New Roman"/>
                <w:spacing w:val="-10"/>
                <w:w w:val="95"/>
                <w:sz w:val="21"/>
              </w:rPr>
              <w:t>;</w:t>
            </w:r>
          </w:p>
          <w:p>
            <w:pPr>
              <w:pStyle w:val="11"/>
              <w:numPr>
                <w:ilvl w:val="0"/>
                <w:numId w:val="34"/>
              </w:numPr>
              <w:tabs>
                <w:tab w:val="left" w:pos="458"/>
              </w:tabs>
              <w:spacing w:before="43" w:after="0" w:line="240" w:lineRule="auto"/>
              <w:ind w:left="457" w:right="0" w:hanging="352"/>
              <w:jc w:val="both"/>
              <w:rPr>
                <w:sz w:val="21"/>
              </w:rPr>
            </w:pPr>
            <w:r>
              <w:rPr>
                <w:w w:val="95"/>
                <w:sz w:val="21"/>
              </w:rPr>
              <w:t>已经实施了针对颅内肿瘤的放射治疗，如γ刀、质子重离子治疗等</w:t>
            </w:r>
            <w:r>
              <w:rPr>
                <w:spacing w:val="-10"/>
                <w:w w:val="95"/>
                <w:sz w:val="21"/>
              </w:rPr>
              <w:t>。</w:t>
            </w:r>
          </w:p>
          <w:p>
            <w:pPr>
              <w:pStyle w:val="11"/>
              <w:spacing w:before="43"/>
              <w:rPr>
                <w:rFonts w:ascii="黑体" w:eastAsia="黑体"/>
                <w:sz w:val="21"/>
              </w:rPr>
            </w:pPr>
            <w:r>
              <w:rPr>
                <w:rFonts w:ascii="黑体" w:eastAsia="黑体"/>
                <w:color w:val="000000"/>
                <w:spacing w:val="-1"/>
                <w:sz w:val="21"/>
                <w:shd w:val="clear" w:color="auto" w:fill="DADADA"/>
              </w:rPr>
              <w:t>下列疾病不在保障范围内：</w:t>
            </w:r>
          </w:p>
          <w:p>
            <w:pPr>
              <w:pStyle w:val="11"/>
              <w:numPr>
                <w:ilvl w:val="0"/>
                <w:numId w:val="35"/>
              </w:numPr>
              <w:tabs>
                <w:tab w:val="left" w:pos="458"/>
              </w:tabs>
              <w:spacing w:before="43" w:after="0" w:line="240" w:lineRule="auto"/>
              <w:ind w:left="457" w:right="0" w:hanging="352"/>
              <w:jc w:val="left"/>
              <w:rPr>
                <w:rFonts w:ascii="黑体" w:eastAsia="黑体"/>
                <w:sz w:val="21"/>
              </w:rPr>
            </w:pPr>
            <w:r>
              <w:rPr>
                <w:rFonts w:ascii="黑体" w:eastAsia="黑体"/>
                <w:color w:val="000000"/>
                <w:w w:val="95"/>
                <w:sz w:val="21"/>
                <w:shd w:val="clear" w:color="auto" w:fill="DADADA"/>
              </w:rPr>
              <w:t>脑垂体瘤</w:t>
            </w:r>
            <w:r>
              <w:rPr>
                <w:rFonts w:ascii="黑体" w:eastAsia="黑体"/>
                <w:color w:val="000000"/>
                <w:spacing w:val="-10"/>
                <w:w w:val="95"/>
                <w:sz w:val="21"/>
                <w:shd w:val="clear" w:color="auto" w:fill="DADADA"/>
              </w:rPr>
              <w:t>；</w:t>
            </w:r>
          </w:p>
          <w:p>
            <w:pPr>
              <w:pStyle w:val="11"/>
              <w:numPr>
                <w:ilvl w:val="0"/>
                <w:numId w:val="35"/>
              </w:numPr>
              <w:tabs>
                <w:tab w:val="left" w:pos="458"/>
              </w:tabs>
              <w:spacing w:before="43" w:after="0" w:line="240" w:lineRule="auto"/>
              <w:ind w:left="457" w:right="0" w:hanging="352"/>
              <w:jc w:val="left"/>
              <w:rPr>
                <w:rFonts w:ascii="黑体" w:eastAsia="黑体"/>
                <w:sz w:val="21"/>
              </w:rPr>
            </w:pPr>
            <w:r>
              <w:rPr>
                <w:rFonts w:ascii="黑体" w:eastAsia="黑体"/>
                <w:color w:val="000000"/>
                <w:w w:val="95"/>
                <w:sz w:val="21"/>
                <w:shd w:val="clear" w:color="auto" w:fill="DADADA"/>
              </w:rPr>
              <w:t>脑囊肿</w:t>
            </w:r>
            <w:r>
              <w:rPr>
                <w:rFonts w:ascii="黑体" w:eastAsia="黑体"/>
                <w:color w:val="000000"/>
                <w:spacing w:val="-10"/>
                <w:w w:val="95"/>
                <w:sz w:val="21"/>
                <w:shd w:val="clear" w:color="auto" w:fill="DADADA"/>
              </w:rPr>
              <w:t>；</w:t>
            </w:r>
          </w:p>
          <w:p>
            <w:pPr>
              <w:pStyle w:val="11"/>
              <w:numPr>
                <w:ilvl w:val="0"/>
                <w:numId w:val="35"/>
              </w:numPr>
              <w:tabs>
                <w:tab w:val="left" w:pos="458"/>
              </w:tabs>
              <w:spacing w:before="42" w:after="0" w:line="240" w:lineRule="auto"/>
              <w:ind w:left="457" w:right="0" w:hanging="352"/>
              <w:jc w:val="left"/>
              <w:rPr>
                <w:rFonts w:ascii="黑体" w:eastAsia="黑体"/>
                <w:sz w:val="21"/>
              </w:rPr>
            </w:pPr>
            <w:r>
              <w:rPr>
                <w:rFonts w:ascii="黑体" w:eastAsia="黑体"/>
                <w:color w:val="000000"/>
                <w:w w:val="95"/>
                <w:sz w:val="21"/>
                <w:shd w:val="clear" w:color="auto" w:fill="DADADA"/>
              </w:rPr>
              <w:t>颅内血管性疾病（如脑动脉瘤、脑动静脉畸形、海绵状血管瘤、毛细</w:t>
            </w:r>
            <w:r>
              <w:rPr>
                <w:rFonts w:ascii="黑体" w:eastAsia="黑体"/>
                <w:color w:val="000000"/>
                <w:spacing w:val="-10"/>
                <w:w w:val="95"/>
                <w:sz w:val="21"/>
                <w:shd w:val="clear" w:color="auto" w:fill="DADADA"/>
              </w:rPr>
              <w:t>血</w:t>
            </w:r>
          </w:p>
        </w:tc>
      </w:tr>
    </w:tbl>
    <w:p>
      <w:pPr>
        <w:pStyle w:val="3"/>
        <w:spacing w:before="10"/>
        <w:ind w:left="0"/>
        <w:rPr>
          <w:rFonts w:ascii="黑体"/>
          <w:sz w:val="16"/>
        </w:rPr>
      </w:pPr>
      <w:r>
        <w:drawing>
          <wp:anchor distT="0" distB="0" distL="0" distR="0" simplePos="0" relativeHeight="251660288" behindDoc="0" locked="0" layoutInCell="1" allowOverlap="1">
            <wp:simplePos x="0" y="0"/>
            <wp:positionH relativeFrom="page">
              <wp:posOffset>1141095</wp:posOffset>
            </wp:positionH>
            <wp:positionV relativeFrom="paragraph">
              <wp:posOffset>151765</wp:posOffset>
            </wp:positionV>
            <wp:extent cx="1828800" cy="6985"/>
            <wp:effectExtent l="0" t="0" r="0" b="0"/>
            <wp:wrapTopAndBottom/>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a:picLocks noChangeAspect="1"/>
                    </pic:cNvPicPr>
                  </pic:nvPicPr>
                  <pic:blipFill>
                    <a:blip r:embed="rId11" cstate="print"/>
                    <a:stretch>
                      <a:fillRect/>
                    </a:stretch>
                  </pic:blipFill>
                  <pic:spPr>
                    <a:xfrm>
                      <a:off x="0" y="0"/>
                      <a:ext cx="1828800" cy="6857"/>
                    </a:xfrm>
                    <a:prstGeom prst="rect">
                      <a:avLst/>
                    </a:prstGeom>
                  </pic:spPr>
                </pic:pic>
              </a:graphicData>
            </a:graphic>
          </wp:anchor>
        </w:drawing>
      </w:r>
    </w:p>
    <w:p>
      <w:pPr>
        <w:spacing w:before="90" w:line="242" w:lineRule="auto"/>
        <w:ind w:left="257" w:right="634" w:firstLine="0"/>
        <w:jc w:val="left"/>
        <w:rPr>
          <w:sz w:val="18"/>
        </w:rPr>
      </w:pPr>
      <w:bookmarkStart w:id="83" w:name="_bookmark83"/>
      <w:bookmarkEnd w:id="83"/>
      <w:r>
        <w:rPr>
          <w:rFonts w:ascii="Times New Roman" w:eastAsia="Times New Roman"/>
          <w:b/>
          <w:spacing w:val="-4"/>
          <w:sz w:val="18"/>
          <w:vertAlign w:val="superscript"/>
        </w:rPr>
        <w:t>46</w:t>
      </w:r>
      <w:r>
        <w:rPr>
          <w:rFonts w:ascii="Times New Roman" w:eastAsia="Times New Roman"/>
          <w:b/>
          <w:spacing w:val="14"/>
          <w:sz w:val="18"/>
          <w:vertAlign w:val="baseline"/>
        </w:rPr>
        <w:t xml:space="preserve"> </w:t>
      </w:r>
      <w:r>
        <w:rPr>
          <w:b/>
          <w:spacing w:val="-4"/>
          <w:sz w:val="18"/>
          <w:vertAlign w:val="baseline"/>
        </w:rPr>
        <w:t>语言能力完全丧失，或严重咀嚼吞咽功能障碍：</w:t>
      </w:r>
      <w:r>
        <w:rPr>
          <w:spacing w:val="-4"/>
          <w:sz w:val="18"/>
          <w:vertAlign w:val="baseline"/>
        </w:rPr>
        <w:t>语言能力完全丧失，指无法发出四种语音（包括口唇音、</w:t>
      </w:r>
      <w:r>
        <w:rPr>
          <w:spacing w:val="-2"/>
          <w:sz w:val="18"/>
          <w:vertAlign w:val="baseline"/>
        </w:rPr>
        <w:t>齿舌音、口盖音和喉头音）中的任何三种、或声带全部切除，或因大脑语言中枢受伤害而患失语症。</w:t>
      </w:r>
    </w:p>
    <w:p>
      <w:pPr>
        <w:spacing w:before="1" w:line="242" w:lineRule="auto"/>
        <w:ind w:left="257" w:right="666" w:firstLine="0"/>
        <w:jc w:val="left"/>
        <w:rPr>
          <w:sz w:val="18"/>
        </w:rPr>
      </w:pPr>
      <w:r>
        <w:rPr>
          <w:spacing w:val="-2"/>
          <w:sz w:val="18"/>
        </w:rPr>
        <w:t>严重咀嚼吞咽功能障碍，指因牙齿以外的原因导致器质障碍或机能障碍，以致不能作咀嚼吞咽运动，除流质食物外不能摄取或吞咽的状态。</w:t>
      </w:r>
    </w:p>
    <w:p>
      <w:pPr>
        <w:spacing w:after="0" w:line="242" w:lineRule="auto"/>
        <w:jc w:val="left"/>
        <w:rPr>
          <w:sz w:val="18"/>
        </w:rPr>
        <w:sectPr>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957" w:type="dxa"/>
          </w:tcPr>
          <w:p>
            <w:pPr>
              <w:pStyle w:val="11"/>
              <w:ind w:left="0"/>
              <w:rPr>
                <w:rFonts w:ascii="Times New Roman"/>
                <w:sz w:val="20"/>
              </w:rPr>
            </w:pPr>
          </w:p>
        </w:tc>
        <w:tc>
          <w:tcPr>
            <w:tcW w:w="6986" w:type="dxa"/>
          </w:tcPr>
          <w:p>
            <w:pPr>
              <w:pStyle w:val="11"/>
              <w:spacing w:before="20"/>
              <w:rPr>
                <w:rFonts w:ascii="黑体" w:eastAsia="黑体"/>
                <w:sz w:val="21"/>
              </w:rPr>
            </w:pPr>
            <w:r>
              <w:rPr>
                <w:rFonts w:ascii="黑体" w:eastAsia="黑体"/>
                <w:color w:val="000000"/>
                <w:spacing w:val="-2"/>
                <w:sz w:val="21"/>
                <w:shd w:val="clear" w:color="auto" w:fill="DADADA"/>
              </w:rPr>
              <w:t>管扩张症等</w:t>
            </w:r>
            <w:r>
              <w:rPr>
                <w:rFonts w:ascii="Times New Roman" w:eastAsia="Times New Roman"/>
                <w:color w:val="000000"/>
                <w:spacing w:val="-2"/>
                <w:sz w:val="21"/>
                <w:shd w:val="clear" w:color="auto" w:fill="DADADA"/>
              </w:rPr>
              <w:t>)</w:t>
            </w:r>
            <w:r>
              <w:rPr>
                <w:rFonts w:ascii="黑体" w:eastAsia="黑体"/>
                <w:color w:val="000000"/>
                <w:spacing w:val="-12"/>
                <w:sz w:val="21"/>
                <w:shd w:val="clear" w:color="auto" w:fill="DADAD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873" w:right="127" w:hanging="736"/>
              <w:rPr>
                <w:sz w:val="21"/>
              </w:rPr>
            </w:pPr>
            <w:r>
              <w:rPr>
                <w:spacing w:val="-2"/>
                <w:sz w:val="21"/>
              </w:rPr>
              <w:t>十、严重慢性肝衰</w:t>
            </w:r>
            <w:r>
              <w:rPr>
                <w:spacing w:val="-10"/>
                <w:sz w:val="21"/>
              </w:rPr>
              <w:t>竭</w:t>
            </w:r>
          </w:p>
        </w:tc>
        <w:tc>
          <w:tcPr>
            <w:tcW w:w="6986" w:type="dxa"/>
          </w:tcPr>
          <w:p>
            <w:pPr>
              <w:pStyle w:val="11"/>
              <w:spacing w:before="20"/>
              <w:rPr>
                <w:sz w:val="21"/>
              </w:rPr>
            </w:pPr>
            <w:r>
              <w:rPr>
                <w:spacing w:val="-1"/>
                <w:sz w:val="21"/>
              </w:rPr>
              <w:t>指因慢性肝脏疾病导致的肝衰竭，且须满足下列全部条件：</w:t>
            </w:r>
          </w:p>
          <w:p>
            <w:pPr>
              <w:pStyle w:val="11"/>
              <w:numPr>
                <w:ilvl w:val="0"/>
                <w:numId w:val="36"/>
              </w:numPr>
              <w:tabs>
                <w:tab w:val="left" w:pos="458"/>
              </w:tabs>
              <w:spacing w:before="43" w:after="0" w:line="240" w:lineRule="auto"/>
              <w:ind w:left="457" w:right="0" w:hanging="352"/>
              <w:jc w:val="left"/>
              <w:rPr>
                <w:sz w:val="21"/>
              </w:rPr>
            </w:pPr>
            <w:r>
              <w:rPr>
                <w:w w:val="95"/>
                <w:sz w:val="21"/>
              </w:rPr>
              <w:t>持续性黄疸</w:t>
            </w:r>
            <w:r>
              <w:rPr>
                <w:spacing w:val="-10"/>
                <w:w w:val="95"/>
                <w:sz w:val="21"/>
              </w:rPr>
              <w:t>；</w:t>
            </w:r>
          </w:p>
          <w:p>
            <w:pPr>
              <w:pStyle w:val="11"/>
              <w:numPr>
                <w:ilvl w:val="0"/>
                <w:numId w:val="36"/>
              </w:numPr>
              <w:tabs>
                <w:tab w:val="left" w:pos="458"/>
              </w:tabs>
              <w:spacing w:before="43" w:after="0" w:line="240" w:lineRule="auto"/>
              <w:ind w:left="457" w:right="0" w:hanging="352"/>
              <w:jc w:val="left"/>
              <w:rPr>
                <w:sz w:val="21"/>
              </w:rPr>
            </w:pPr>
            <w:r>
              <w:rPr>
                <w:w w:val="95"/>
                <w:sz w:val="21"/>
              </w:rPr>
              <w:t>腹水</w:t>
            </w:r>
            <w:r>
              <w:rPr>
                <w:spacing w:val="-10"/>
                <w:w w:val="95"/>
                <w:sz w:val="21"/>
              </w:rPr>
              <w:t>；</w:t>
            </w:r>
          </w:p>
          <w:p>
            <w:pPr>
              <w:pStyle w:val="11"/>
              <w:numPr>
                <w:ilvl w:val="0"/>
                <w:numId w:val="36"/>
              </w:numPr>
              <w:tabs>
                <w:tab w:val="left" w:pos="458"/>
              </w:tabs>
              <w:spacing w:before="43" w:after="0" w:line="240" w:lineRule="auto"/>
              <w:ind w:left="457" w:right="0" w:hanging="352"/>
              <w:jc w:val="left"/>
              <w:rPr>
                <w:sz w:val="21"/>
              </w:rPr>
            </w:pPr>
            <w:r>
              <w:rPr>
                <w:w w:val="95"/>
                <w:sz w:val="21"/>
              </w:rPr>
              <w:t>肝性脑病</w:t>
            </w:r>
            <w:r>
              <w:rPr>
                <w:spacing w:val="-10"/>
                <w:w w:val="95"/>
                <w:sz w:val="21"/>
              </w:rPr>
              <w:t>；</w:t>
            </w:r>
          </w:p>
          <w:p>
            <w:pPr>
              <w:pStyle w:val="11"/>
              <w:numPr>
                <w:ilvl w:val="0"/>
                <w:numId w:val="36"/>
              </w:numPr>
              <w:tabs>
                <w:tab w:val="left" w:pos="458"/>
              </w:tabs>
              <w:spacing w:before="43" w:after="0" w:line="240" w:lineRule="auto"/>
              <w:ind w:left="457" w:right="0" w:hanging="352"/>
              <w:jc w:val="left"/>
              <w:rPr>
                <w:sz w:val="21"/>
              </w:rPr>
            </w:pPr>
            <w:r>
              <w:rPr>
                <w:w w:val="95"/>
                <w:sz w:val="21"/>
              </w:rPr>
              <w:t>充血性脾肿大伴脾功能亢进或食管胃底静脉曲张</w:t>
            </w:r>
            <w:r>
              <w:rPr>
                <w:spacing w:val="-10"/>
                <w:w w:val="95"/>
                <w:sz w:val="21"/>
              </w:rPr>
              <w:t>。</w:t>
            </w:r>
          </w:p>
          <w:p>
            <w:pPr>
              <w:pStyle w:val="11"/>
              <w:spacing w:before="43"/>
              <w:rPr>
                <w:rFonts w:ascii="黑体" w:eastAsia="黑体"/>
                <w:sz w:val="21"/>
              </w:rPr>
            </w:pPr>
            <w:r>
              <w:rPr>
                <w:rFonts w:ascii="黑体" w:eastAsia="黑体"/>
                <w:color w:val="000000"/>
                <w:spacing w:val="-1"/>
                <w:sz w:val="21"/>
                <w:shd w:val="clear" w:color="auto" w:fill="DADADA"/>
              </w:rPr>
              <w:t>因酗酒或药物滥用导致的肝衰竭不在保障范围内。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9"/>
              <w:ind w:left="0"/>
              <w:rPr>
                <w:sz w:val="14"/>
              </w:rPr>
            </w:pPr>
          </w:p>
          <w:p>
            <w:pPr>
              <w:pStyle w:val="11"/>
              <w:spacing w:line="278" w:lineRule="auto"/>
              <w:ind w:left="137" w:right="127"/>
              <w:jc w:val="center"/>
              <w:rPr>
                <w:sz w:val="21"/>
              </w:rPr>
            </w:pPr>
            <w:r>
              <w:rPr>
                <w:spacing w:val="-2"/>
                <w:sz w:val="21"/>
              </w:rPr>
              <w:t>十一、严重脑炎后遗症或严重脑膜炎</w:t>
            </w:r>
            <w:r>
              <w:rPr>
                <w:spacing w:val="-4"/>
                <w:sz w:val="21"/>
              </w:rPr>
              <w:t>后遗症</w:t>
            </w:r>
          </w:p>
        </w:tc>
        <w:tc>
          <w:tcPr>
            <w:tcW w:w="6986" w:type="dxa"/>
          </w:tcPr>
          <w:p>
            <w:pPr>
              <w:pStyle w:val="11"/>
              <w:spacing w:before="21" w:line="278" w:lineRule="auto"/>
              <w:ind w:right="93"/>
              <w:jc w:val="both"/>
              <w:rPr>
                <w:sz w:val="21"/>
              </w:rPr>
            </w:pPr>
            <w:r>
              <w:rPr>
                <w:spacing w:val="-2"/>
                <w:sz w:val="21"/>
              </w:rPr>
              <w:t xml:space="preserve">指因患脑炎或脑膜炎导致的神经系统永久性的功能障碍。神经系统永久性的功能障碍，指经相关专科医生确诊疾病 </w:t>
            </w:r>
            <w:r>
              <w:rPr>
                <w:rFonts w:ascii="Times New Roman" w:eastAsia="Times New Roman"/>
                <w:sz w:val="21"/>
              </w:rPr>
              <w:t>180</w:t>
            </w:r>
            <w:r>
              <w:rPr>
                <w:rFonts w:ascii="Times New Roman" w:eastAsia="Times New Roman"/>
                <w:spacing w:val="-9"/>
                <w:sz w:val="21"/>
              </w:rPr>
              <w:t xml:space="preserve"> </w:t>
            </w:r>
            <w:r>
              <w:rPr>
                <w:sz w:val="21"/>
              </w:rPr>
              <w:t>天后，仍遗留下列至少一种</w:t>
            </w:r>
            <w:r>
              <w:rPr>
                <w:spacing w:val="-4"/>
                <w:sz w:val="21"/>
              </w:rPr>
              <w:t>障碍：</w:t>
            </w:r>
          </w:p>
          <w:p>
            <w:pPr>
              <w:pStyle w:val="11"/>
              <w:numPr>
                <w:ilvl w:val="0"/>
                <w:numId w:val="37"/>
              </w:numPr>
              <w:tabs>
                <w:tab w:val="left" w:pos="458"/>
              </w:tabs>
              <w:spacing w:before="0" w:after="0" w:line="240" w:lineRule="auto"/>
              <w:ind w:left="457" w:right="0" w:hanging="352"/>
              <w:jc w:val="both"/>
              <w:rPr>
                <w:sz w:val="21"/>
              </w:rPr>
            </w:pPr>
            <w:r>
              <w:rPr>
                <w:w w:val="95"/>
                <w:sz w:val="21"/>
              </w:rPr>
              <w:t>一肢（含）以上肢体肌力</w:t>
            </w:r>
            <w:r>
              <w:rPr>
                <w:spacing w:val="17"/>
                <w:sz w:val="21"/>
              </w:rPr>
              <w:t xml:space="preserve"> </w:t>
            </w:r>
            <w:r>
              <w:rPr>
                <w:rFonts w:ascii="Times New Roman" w:eastAsia="Times New Roman"/>
                <w:w w:val="95"/>
                <w:sz w:val="21"/>
              </w:rPr>
              <w:t>2</w:t>
            </w:r>
            <w:r>
              <w:rPr>
                <w:rFonts w:ascii="Times New Roman" w:eastAsia="Times New Roman"/>
                <w:spacing w:val="73"/>
                <w:sz w:val="21"/>
              </w:rPr>
              <w:t xml:space="preserve"> </w:t>
            </w:r>
            <w:r>
              <w:rPr>
                <w:w w:val="95"/>
                <w:sz w:val="21"/>
              </w:rPr>
              <w:t>级（含）以下</w:t>
            </w:r>
            <w:r>
              <w:rPr>
                <w:spacing w:val="-10"/>
                <w:w w:val="95"/>
                <w:sz w:val="21"/>
              </w:rPr>
              <w:t>；</w:t>
            </w:r>
          </w:p>
          <w:p>
            <w:pPr>
              <w:pStyle w:val="11"/>
              <w:numPr>
                <w:ilvl w:val="0"/>
                <w:numId w:val="37"/>
              </w:numPr>
              <w:tabs>
                <w:tab w:val="left" w:pos="458"/>
              </w:tabs>
              <w:spacing w:before="43" w:after="0" w:line="240" w:lineRule="auto"/>
              <w:ind w:left="457" w:right="0" w:hanging="352"/>
              <w:jc w:val="both"/>
              <w:rPr>
                <w:sz w:val="21"/>
              </w:rPr>
            </w:pPr>
            <w:r>
              <w:rPr>
                <w:w w:val="95"/>
                <w:sz w:val="21"/>
              </w:rPr>
              <w:t>语言能力完全丧失，或严重咀嚼吞咽功能障碍</w:t>
            </w:r>
            <w:r>
              <w:rPr>
                <w:spacing w:val="-10"/>
                <w:w w:val="95"/>
                <w:sz w:val="21"/>
              </w:rPr>
              <w:t>；</w:t>
            </w:r>
          </w:p>
          <w:p>
            <w:pPr>
              <w:pStyle w:val="11"/>
              <w:numPr>
                <w:ilvl w:val="0"/>
                <w:numId w:val="37"/>
              </w:numPr>
              <w:tabs>
                <w:tab w:val="left" w:pos="470"/>
              </w:tabs>
              <w:spacing w:before="43" w:after="0" w:line="278" w:lineRule="auto"/>
              <w:ind w:left="106" w:right="95" w:firstLine="0"/>
              <w:jc w:val="left"/>
              <w:rPr>
                <w:sz w:val="21"/>
              </w:rPr>
            </w:pPr>
            <w:r>
              <w:rPr>
                <w:spacing w:val="11"/>
                <w:sz w:val="21"/>
              </w:rPr>
              <w:t>由具有评估资格</w:t>
            </w:r>
            <w:r>
              <w:rPr>
                <w:spacing w:val="13"/>
                <w:sz w:val="21"/>
              </w:rPr>
              <w:t>的</w:t>
            </w:r>
            <w:r>
              <w:rPr>
                <w:spacing w:val="11"/>
                <w:sz w:val="21"/>
              </w:rPr>
              <w:t>专科医生</w:t>
            </w:r>
            <w:r>
              <w:rPr>
                <w:spacing w:val="13"/>
                <w:sz w:val="21"/>
              </w:rPr>
              <w:t>根</w:t>
            </w:r>
            <w:r>
              <w:rPr>
                <w:spacing w:val="11"/>
                <w:sz w:val="21"/>
              </w:rPr>
              <w:t>据临床痴</w:t>
            </w:r>
            <w:r>
              <w:rPr>
                <w:spacing w:val="13"/>
                <w:sz w:val="21"/>
              </w:rPr>
              <w:t>呆</w:t>
            </w:r>
            <w:r>
              <w:rPr>
                <w:spacing w:val="11"/>
                <w:sz w:val="21"/>
              </w:rPr>
              <w:t>评定量</w:t>
            </w:r>
            <w:r>
              <w:rPr>
                <w:sz w:val="21"/>
              </w:rPr>
              <w:t xml:space="preserve">表 </w:t>
            </w:r>
            <w:r>
              <w:rPr>
                <w:rFonts w:ascii="Times New Roman" w:eastAsia="Times New Roman"/>
                <w:sz w:val="21"/>
              </w:rPr>
              <w:t>(CDR</w:t>
            </w:r>
            <w:r>
              <w:rPr>
                <w:sz w:val="21"/>
              </w:rPr>
              <w:t>，</w:t>
            </w:r>
            <w:r>
              <w:rPr>
                <w:rFonts w:ascii="Times New Roman" w:eastAsia="Times New Roman"/>
                <w:sz w:val="21"/>
              </w:rPr>
              <w:t>Clinical Dementia Rating)</w:t>
            </w:r>
            <w:r>
              <w:rPr>
                <w:spacing w:val="-3"/>
                <w:sz w:val="21"/>
              </w:rPr>
              <w:t xml:space="preserve">评估结果为 </w:t>
            </w:r>
            <w:r>
              <w:rPr>
                <w:rFonts w:ascii="Times New Roman" w:eastAsia="Times New Roman"/>
                <w:sz w:val="21"/>
              </w:rPr>
              <w:t xml:space="preserve">3 </w:t>
            </w:r>
            <w:r>
              <w:rPr>
                <w:sz w:val="21"/>
              </w:rPr>
              <w:t>分；</w:t>
            </w:r>
          </w:p>
          <w:p>
            <w:pPr>
              <w:pStyle w:val="11"/>
              <w:numPr>
                <w:ilvl w:val="0"/>
                <w:numId w:val="37"/>
              </w:numPr>
              <w:tabs>
                <w:tab w:val="left" w:pos="458"/>
              </w:tabs>
              <w:spacing w:before="0" w:after="0" w:line="240" w:lineRule="auto"/>
              <w:ind w:left="457" w:right="0" w:hanging="352"/>
              <w:jc w:val="left"/>
              <w:rPr>
                <w:sz w:val="21"/>
              </w:rPr>
            </w:pPr>
            <w:r>
              <w:rPr>
                <w:w w:val="95"/>
                <w:sz w:val="21"/>
              </w:rPr>
              <w:t>自主生活能力完全丧失</w:t>
            </w:r>
            <w:r>
              <w:rPr>
                <w:spacing w:val="-90"/>
                <w:w w:val="95"/>
                <w:sz w:val="21"/>
              </w:rPr>
              <w:t>，</w:t>
            </w:r>
            <w:r>
              <w:rPr>
                <w:w w:val="95"/>
                <w:sz w:val="21"/>
              </w:rPr>
              <w:t>无法独立完成六项基本日常生活活动中的三</w:t>
            </w:r>
            <w:r>
              <w:rPr>
                <w:spacing w:val="-10"/>
                <w:w w:val="95"/>
                <w:sz w:val="21"/>
              </w:rPr>
              <w:t>项</w:t>
            </w:r>
          </w:p>
          <w:p>
            <w:pPr>
              <w:pStyle w:val="11"/>
              <w:spacing w:before="43"/>
              <w:rPr>
                <w:sz w:val="21"/>
              </w:rPr>
            </w:pPr>
            <w:r>
              <w:rPr>
                <w:spacing w:val="-2"/>
                <w:sz w:val="21"/>
              </w:rPr>
              <w:t>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ind w:left="0"/>
              <w:rPr>
                <w:sz w:val="20"/>
              </w:rPr>
            </w:pPr>
          </w:p>
          <w:p>
            <w:pPr>
              <w:pStyle w:val="11"/>
              <w:spacing w:before="1"/>
              <w:ind w:left="0"/>
              <w:rPr>
                <w:sz w:val="18"/>
              </w:rPr>
            </w:pPr>
          </w:p>
          <w:p>
            <w:pPr>
              <w:pStyle w:val="11"/>
              <w:ind w:left="125" w:right="116"/>
              <w:jc w:val="center"/>
              <w:rPr>
                <w:sz w:val="21"/>
              </w:rPr>
            </w:pPr>
            <w:r>
              <w:rPr>
                <w:spacing w:val="-2"/>
                <w:sz w:val="21"/>
              </w:rPr>
              <w:t>十二、深度昏迷</w:t>
            </w:r>
          </w:p>
        </w:tc>
        <w:tc>
          <w:tcPr>
            <w:tcW w:w="6986" w:type="dxa"/>
          </w:tcPr>
          <w:p>
            <w:pPr>
              <w:pStyle w:val="11"/>
              <w:spacing w:before="20" w:line="278" w:lineRule="auto"/>
              <w:ind w:right="93"/>
              <w:jc w:val="both"/>
              <w:rPr>
                <w:sz w:val="21"/>
              </w:rPr>
            </w:pPr>
            <w:r>
              <w:rPr>
                <w:spacing w:val="-2"/>
                <w:sz w:val="21"/>
              </w:rPr>
              <w:t>指因疾病或意外伤害导致意识丧失，对外界刺激和体内需求均无反应，昏</w:t>
            </w:r>
            <w:r>
              <w:rPr>
                <w:sz w:val="21"/>
              </w:rPr>
              <w:t>迷程度按照格拉斯哥昏迷分级（</w:t>
            </w:r>
            <w:r>
              <w:rPr>
                <w:rFonts w:ascii="Times New Roman" w:eastAsia="Times New Roman"/>
                <w:sz w:val="21"/>
              </w:rPr>
              <w:t>GCS</w:t>
            </w:r>
            <w:r>
              <w:rPr>
                <w:spacing w:val="-14"/>
                <w:sz w:val="21"/>
              </w:rPr>
              <w:t xml:space="preserve">， </w:t>
            </w:r>
            <w:r>
              <w:rPr>
                <w:rFonts w:ascii="Times New Roman" w:eastAsia="Times New Roman"/>
                <w:sz w:val="21"/>
              </w:rPr>
              <w:t>Glasgow</w:t>
            </w:r>
            <w:r>
              <w:rPr>
                <w:rFonts w:ascii="Times New Roman" w:eastAsia="Times New Roman"/>
                <w:spacing w:val="-13"/>
                <w:sz w:val="21"/>
              </w:rPr>
              <w:t xml:space="preserve"> </w:t>
            </w:r>
            <w:r>
              <w:rPr>
                <w:rFonts w:ascii="Times New Roman" w:eastAsia="Times New Roman"/>
                <w:sz w:val="21"/>
              </w:rPr>
              <w:t>Coma</w:t>
            </w:r>
            <w:r>
              <w:rPr>
                <w:rFonts w:ascii="Times New Roman" w:eastAsia="Times New Roman"/>
                <w:spacing w:val="-13"/>
                <w:sz w:val="21"/>
              </w:rPr>
              <w:t xml:space="preserve"> </w:t>
            </w:r>
            <w:r>
              <w:rPr>
                <w:rFonts w:ascii="Times New Roman" w:eastAsia="Times New Roman"/>
                <w:sz w:val="21"/>
              </w:rPr>
              <w:t>Scale)</w:t>
            </w:r>
            <w:r>
              <w:rPr>
                <w:spacing w:val="-7"/>
                <w:sz w:val="21"/>
              </w:rPr>
              <w:t xml:space="preserve">结果为 </w:t>
            </w:r>
            <w:r>
              <w:rPr>
                <w:rFonts w:ascii="Times New Roman" w:eastAsia="Times New Roman"/>
                <w:sz w:val="21"/>
              </w:rPr>
              <w:t>5</w:t>
            </w:r>
            <w:r>
              <w:rPr>
                <w:rFonts w:ascii="Times New Roman" w:eastAsia="Times New Roman"/>
                <w:spacing w:val="-13"/>
                <w:sz w:val="21"/>
              </w:rPr>
              <w:t xml:space="preserve"> </w:t>
            </w:r>
            <w:r>
              <w:rPr>
                <w:sz w:val="21"/>
              </w:rPr>
              <w:t xml:space="preserve">分或 </w:t>
            </w:r>
            <w:r>
              <w:rPr>
                <w:rFonts w:ascii="Times New Roman" w:eastAsia="Times New Roman"/>
                <w:sz w:val="21"/>
              </w:rPr>
              <w:t xml:space="preserve">5 </w:t>
            </w:r>
            <w:r>
              <w:rPr>
                <w:spacing w:val="-1"/>
                <w:sz w:val="21"/>
              </w:rPr>
              <w:t xml:space="preserve">分以下，且已经持续使用呼吸机及其他生命维持系统 </w:t>
            </w:r>
            <w:r>
              <w:rPr>
                <w:rFonts w:ascii="Times New Roman" w:eastAsia="Times New Roman"/>
                <w:sz w:val="21"/>
              </w:rPr>
              <w:t xml:space="preserve">96 </w:t>
            </w:r>
            <w:r>
              <w:rPr>
                <w:sz w:val="21"/>
              </w:rPr>
              <w:t>小时以上。</w:t>
            </w:r>
          </w:p>
          <w:p>
            <w:pPr>
              <w:pStyle w:val="11"/>
              <w:spacing w:line="269" w:lineRule="exact"/>
              <w:rPr>
                <w:rFonts w:ascii="黑体" w:eastAsia="黑体"/>
                <w:sz w:val="21"/>
              </w:rPr>
            </w:pPr>
            <w:r>
              <w:rPr>
                <w:rFonts w:ascii="黑体" w:eastAsia="黑体"/>
                <w:color w:val="000000"/>
                <w:spacing w:val="-1"/>
                <w:sz w:val="21"/>
                <w:shd w:val="clear" w:color="auto" w:fill="DADADA"/>
              </w:rPr>
              <w:t>因酗酒或药物滥用导致的深度昏迷不在保障范围内。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ind w:left="0"/>
              <w:rPr>
                <w:sz w:val="20"/>
              </w:rPr>
            </w:pPr>
          </w:p>
          <w:p>
            <w:pPr>
              <w:pStyle w:val="11"/>
              <w:spacing w:before="131"/>
              <w:ind w:left="125" w:right="116"/>
              <w:jc w:val="center"/>
              <w:rPr>
                <w:sz w:val="21"/>
              </w:rPr>
            </w:pPr>
            <w:r>
              <w:rPr>
                <w:spacing w:val="-2"/>
                <w:sz w:val="21"/>
              </w:rPr>
              <w:t>十三、双耳失聪</w:t>
            </w:r>
          </w:p>
        </w:tc>
        <w:tc>
          <w:tcPr>
            <w:tcW w:w="6986" w:type="dxa"/>
          </w:tcPr>
          <w:p>
            <w:pPr>
              <w:pStyle w:val="11"/>
              <w:spacing w:before="20"/>
              <w:rPr>
                <w:rFonts w:ascii="Times New Roman" w:eastAsia="Times New Roman"/>
                <w:sz w:val="21"/>
              </w:rPr>
            </w:pPr>
            <w:r>
              <w:rPr>
                <w:spacing w:val="-2"/>
                <w:sz w:val="21"/>
              </w:rPr>
              <w:t xml:space="preserve">指因疾病或意外伤害导致双耳听力永久不可逆性丧失，在 </w:t>
            </w:r>
            <w:r>
              <w:rPr>
                <w:rFonts w:ascii="Times New Roman" w:eastAsia="Times New Roman"/>
                <w:sz w:val="21"/>
              </w:rPr>
              <w:t>500</w:t>
            </w:r>
            <w:r>
              <w:rPr>
                <w:rFonts w:ascii="Times New Roman" w:eastAsia="Times New Roman"/>
                <w:spacing w:val="25"/>
                <w:sz w:val="21"/>
              </w:rPr>
              <w:t xml:space="preserve"> </w:t>
            </w:r>
            <w:r>
              <w:rPr>
                <w:sz w:val="21"/>
              </w:rPr>
              <w:t>赫兹、</w:t>
            </w:r>
            <w:r>
              <w:rPr>
                <w:rFonts w:ascii="Times New Roman" w:eastAsia="Times New Roman"/>
                <w:spacing w:val="-4"/>
                <w:sz w:val="21"/>
              </w:rPr>
              <w:t>1000</w:t>
            </w:r>
          </w:p>
          <w:p>
            <w:pPr>
              <w:pStyle w:val="11"/>
              <w:spacing w:before="43" w:line="278" w:lineRule="auto"/>
              <w:ind w:right="97" w:hanging="1"/>
              <w:rPr>
                <w:sz w:val="21"/>
              </w:rPr>
            </w:pPr>
            <w:r>
              <w:rPr>
                <w:spacing w:val="-11"/>
                <w:sz w:val="21"/>
              </w:rPr>
              <w:t xml:space="preserve">赫兹和 </w:t>
            </w:r>
            <w:r>
              <w:rPr>
                <w:rFonts w:ascii="Times New Roman" w:eastAsia="Times New Roman"/>
                <w:sz w:val="21"/>
              </w:rPr>
              <w:t>2000</w:t>
            </w:r>
            <w:r>
              <w:rPr>
                <w:rFonts w:ascii="Times New Roman" w:eastAsia="Times New Roman"/>
                <w:spacing w:val="-12"/>
                <w:sz w:val="21"/>
              </w:rPr>
              <w:t xml:space="preserve"> </w:t>
            </w:r>
            <w:r>
              <w:rPr>
                <w:spacing w:val="-3"/>
                <w:sz w:val="21"/>
              </w:rPr>
              <w:t xml:space="preserve">赫兹语音频率下，平均听阈大于等于 </w:t>
            </w:r>
            <w:r>
              <w:rPr>
                <w:rFonts w:ascii="Times New Roman" w:eastAsia="Times New Roman"/>
                <w:sz w:val="21"/>
              </w:rPr>
              <w:t>91</w:t>
            </w:r>
            <w:r>
              <w:rPr>
                <w:rFonts w:ascii="Times New Roman" w:eastAsia="Times New Roman"/>
                <w:spacing w:val="2"/>
                <w:sz w:val="21"/>
              </w:rPr>
              <w:t xml:space="preserve"> </w:t>
            </w:r>
            <w:r>
              <w:rPr>
                <w:sz w:val="21"/>
              </w:rPr>
              <w:t>分贝，且经纯音听力</w:t>
            </w:r>
            <w:r>
              <w:rPr>
                <w:spacing w:val="-2"/>
                <w:sz w:val="21"/>
              </w:rPr>
              <w:t>测试、声导抗检测或听觉诱发电位检测等证实。</w:t>
            </w:r>
          </w:p>
          <w:p>
            <w:pPr>
              <w:pStyle w:val="11"/>
              <w:rPr>
                <w:rFonts w:ascii="黑体" w:eastAsia="黑体"/>
                <w:sz w:val="21"/>
              </w:rPr>
            </w:pPr>
            <w:r>
              <w:rPr>
                <w:rFonts w:ascii="黑体" w:eastAsia="黑体"/>
                <w:spacing w:val="-1"/>
                <w:sz w:val="21"/>
              </w:rPr>
              <w:t>被保险人申请理赔时年龄必须在三周岁以上，并且提供三周岁以后的听力</w:t>
            </w:r>
          </w:p>
          <w:p>
            <w:pPr>
              <w:pStyle w:val="11"/>
              <w:spacing w:before="43"/>
              <w:rPr>
                <w:rFonts w:ascii="黑体" w:eastAsia="黑体"/>
                <w:sz w:val="21"/>
              </w:rPr>
            </w:pPr>
            <w:r>
              <w:rPr>
                <w:rFonts w:ascii="黑体" w:eastAsia="黑体"/>
                <w:spacing w:val="-1"/>
                <w:sz w:val="21"/>
              </w:rPr>
              <w:t>丧失诊断及检查证明。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1"/>
              <w:ind w:left="0"/>
              <w:rPr>
                <w:sz w:val="26"/>
              </w:rPr>
            </w:pPr>
          </w:p>
          <w:p>
            <w:pPr>
              <w:pStyle w:val="11"/>
              <w:ind w:left="125" w:right="116"/>
              <w:jc w:val="center"/>
              <w:rPr>
                <w:sz w:val="21"/>
              </w:rPr>
            </w:pPr>
            <w:r>
              <w:rPr>
                <w:spacing w:val="-2"/>
                <w:sz w:val="21"/>
              </w:rPr>
              <w:t>十四、双目失明</w:t>
            </w:r>
          </w:p>
        </w:tc>
        <w:tc>
          <w:tcPr>
            <w:tcW w:w="6986" w:type="dxa"/>
          </w:tcPr>
          <w:p>
            <w:pPr>
              <w:pStyle w:val="11"/>
              <w:spacing w:before="21" w:line="278" w:lineRule="auto"/>
              <w:ind w:right="93"/>
              <w:rPr>
                <w:sz w:val="21"/>
              </w:rPr>
            </w:pPr>
            <w:r>
              <w:rPr>
                <w:spacing w:val="-2"/>
                <w:sz w:val="21"/>
              </w:rPr>
              <w:t>指因疾病或意外伤害导致双眼视力永久不可逆性丧失，双眼中较好眼须满足下列至少一项条件：</w:t>
            </w:r>
          </w:p>
          <w:p>
            <w:pPr>
              <w:pStyle w:val="11"/>
              <w:numPr>
                <w:ilvl w:val="0"/>
                <w:numId w:val="38"/>
              </w:numPr>
              <w:tabs>
                <w:tab w:val="left" w:pos="458"/>
              </w:tabs>
              <w:spacing w:before="0" w:after="0" w:line="240" w:lineRule="auto"/>
              <w:ind w:left="457" w:right="0" w:hanging="352"/>
              <w:jc w:val="left"/>
              <w:rPr>
                <w:sz w:val="21"/>
              </w:rPr>
            </w:pPr>
            <w:r>
              <w:rPr>
                <w:w w:val="95"/>
                <w:sz w:val="21"/>
              </w:rPr>
              <w:t>眼球缺失或摘除</w:t>
            </w:r>
            <w:r>
              <w:rPr>
                <w:spacing w:val="-10"/>
                <w:w w:val="95"/>
                <w:sz w:val="21"/>
              </w:rPr>
              <w:t>；</w:t>
            </w:r>
          </w:p>
          <w:p>
            <w:pPr>
              <w:pStyle w:val="11"/>
              <w:numPr>
                <w:ilvl w:val="0"/>
                <w:numId w:val="38"/>
              </w:numPr>
              <w:tabs>
                <w:tab w:val="left" w:pos="458"/>
              </w:tabs>
              <w:spacing w:before="43" w:after="0" w:line="278" w:lineRule="auto"/>
              <w:ind w:left="106" w:right="96" w:firstLine="0"/>
              <w:jc w:val="left"/>
              <w:rPr>
                <w:sz w:val="21"/>
              </w:rPr>
            </w:pPr>
            <w:r>
              <w:rPr>
                <w:sz w:val="21"/>
              </w:rPr>
              <w:t>矫正视力低于</w:t>
            </w:r>
            <w:r>
              <w:rPr>
                <w:spacing w:val="-55"/>
                <w:sz w:val="21"/>
              </w:rPr>
              <w:t xml:space="preserve"> </w:t>
            </w:r>
            <w:r>
              <w:rPr>
                <w:rFonts w:ascii="Times New Roman" w:eastAsia="Times New Roman"/>
                <w:sz w:val="21"/>
              </w:rPr>
              <w:t>0.02</w:t>
            </w:r>
            <w:r>
              <w:rPr>
                <w:rFonts w:ascii="Times New Roman" w:eastAsia="Times New Roman"/>
                <w:spacing w:val="-7"/>
                <w:sz w:val="21"/>
              </w:rPr>
              <w:t xml:space="preserve"> (</w:t>
            </w:r>
            <w:r>
              <w:rPr>
                <w:sz w:val="21"/>
              </w:rPr>
              <w:t>釆用国际标准视力表，如果使用其他视力表应进行</w:t>
            </w:r>
            <w:r>
              <w:rPr>
                <w:spacing w:val="-6"/>
                <w:sz w:val="21"/>
              </w:rPr>
              <w:t>换算</w:t>
            </w:r>
            <w:r>
              <w:rPr>
                <w:spacing w:val="-105"/>
                <w:sz w:val="21"/>
              </w:rPr>
              <w:t>）</w:t>
            </w:r>
            <w:r>
              <w:rPr>
                <w:sz w:val="21"/>
              </w:rPr>
              <w:t>；</w:t>
            </w:r>
          </w:p>
          <w:p>
            <w:pPr>
              <w:pStyle w:val="11"/>
              <w:numPr>
                <w:ilvl w:val="0"/>
                <w:numId w:val="38"/>
              </w:numPr>
              <w:tabs>
                <w:tab w:val="left" w:pos="458"/>
              </w:tabs>
              <w:spacing w:before="0" w:after="0" w:line="240" w:lineRule="auto"/>
              <w:ind w:left="457" w:right="0" w:hanging="352"/>
              <w:jc w:val="left"/>
              <w:rPr>
                <w:sz w:val="21"/>
              </w:rPr>
            </w:pPr>
            <w:r>
              <w:rPr>
                <w:w w:val="95"/>
                <w:sz w:val="21"/>
              </w:rPr>
              <w:t>视野半径小于</w:t>
            </w:r>
            <w:r>
              <w:rPr>
                <w:spacing w:val="-18"/>
                <w:w w:val="95"/>
                <w:sz w:val="21"/>
              </w:rPr>
              <w:t xml:space="preserve"> </w:t>
            </w:r>
            <w:r>
              <w:rPr>
                <w:rFonts w:ascii="Times New Roman" w:eastAsia="Times New Roman"/>
                <w:w w:val="95"/>
                <w:sz w:val="21"/>
              </w:rPr>
              <w:t>5</w:t>
            </w:r>
            <w:r>
              <w:rPr>
                <w:rFonts w:ascii="Times New Roman" w:eastAsia="Times New Roman"/>
                <w:spacing w:val="31"/>
                <w:sz w:val="21"/>
              </w:rPr>
              <w:t xml:space="preserve"> </w:t>
            </w:r>
            <w:r>
              <w:rPr>
                <w:w w:val="95"/>
                <w:sz w:val="21"/>
              </w:rPr>
              <w:t>度</w:t>
            </w:r>
            <w:r>
              <w:rPr>
                <w:spacing w:val="-10"/>
                <w:w w:val="95"/>
                <w:sz w:val="21"/>
              </w:rPr>
              <w:t>。</w:t>
            </w:r>
          </w:p>
          <w:p>
            <w:pPr>
              <w:pStyle w:val="11"/>
              <w:spacing w:before="2" w:line="310" w:lineRule="atLeast"/>
              <w:ind w:right="93"/>
              <w:rPr>
                <w:rFonts w:ascii="黑体" w:eastAsia="黑体"/>
                <w:sz w:val="21"/>
              </w:rPr>
            </w:pPr>
            <w:r>
              <w:rPr>
                <w:rFonts w:ascii="黑体" w:eastAsia="黑体"/>
                <w:spacing w:val="-2"/>
                <w:sz w:val="21"/>
              </w:rPr>
              <w:t>被保险人申请理赔时年龄必须在三周岁以上，并且提供三周岁以后的视力丧失诊断及检查证明。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ind w:left="0"/>
              <w:rPr>
                <w:sz w:val="20"/>
              </w:rPr>
            </w:pPr>
          </w:p>
          <w:p>
            <w:pPr>
              <w:pStyle w:val="11"/>
              <w:spacing w:before="1"/>
              <w:ind w:left="0"/>
              <w:rPr>
                <w:sz w:val="18"/>
              </w:rPr>
            </w:pPr>
          </w:p>
          <w:p>
            <w:pPr>
              <w:pStyle w:val="11"/>
              <w:ind w:left="125" w:right="116"/>
              <w:jc w:val="center"/>
              <w:rPr>
                <w:sz w:val="21"/>
              </w:rPr>
            </w:pPr>
            <w:r>
              <w:rPr>
                <w:spacing w:val="-2"/>
                <w:sz w:val="21"/>
              </w:rPr>
              <w:t>十五、瘫痪</w:t>
            </w:r>
          </w:p>
        </w:tc>
        <w:tc>
          <w:tcPr>
            <w:tcW w:w="6986" w:type="dxa"/>
          </w:tcPr>
          <w:p>
            <w:pPr>
              <w:pStyle w:val="11"/>
              <w:spacing w:before="20" w:line="278" w:lineRule="auto"/>
              <w:ind w:right="96"/>
              <w:rPr>
                <w:sz w:val="21"/>
              </w:rPr>
            </w:pPr>
            <w:r>
              <w:rPr>
                <w:spacing w:val="7"/>
                <w:sz w:val="21"/>
              </w:rPr>
              <w:t>指因疾病或意外伤害导致两肢或两肢以上肢体随意运动功能永久完全丧</w:t>
            </w:r>
            <w:r>
              <w:rPr>
                <w:spacing w:val="5"/>
                <w:sz w:val="21"/>
              </w:rPr>
              <w:t xml:space="preserve">失。肢体随意运动功能永久完全丧失，指疾病确诊 </w:t>
            </w:r>
            <w:r>
              <w:rPr>
                <w:rFonts w:ascii="Times New Roman" w:eastAsia="Times New Roman"/>
                <w:sz w:val="21"/>
              </w:rPr>
              <w:t>1</w:t>
            </w:r>
            <w:r>
              <w:rPr>
                <w:rFonts w:ascii="Times New Roman" w:eastAsia="Times New Roman"/>
                <w:spacing w:val="-1"/>
                <w:sz w:val="21"/>
              </w:rPr>
              <w:t>8</w:t>
            </w:r>
            <w:r>
              <w:rPr>
                <w:rFonts w:ascii="Times New Roman" w:eastAsia="Times New Roman"/>
                <w:sz w:val="21"/>
              </w:rPr>
              <w:t>0</w:t>
            </w:r>
            <w:r>
              <w:rPr>
                <w:rFonts w:ascii="Times New Roman" w:eastAsia="Times New Roman"/>
                <w:spacing w:val="26"/>
                <w:sz w:val="21"/>
              </w:rPr>
              <w:t xml:space="preserve"> </w:t>
            </w:r>
            <w:r>
              <w:rPr>
                <w:spacing w:val="-3"/>
                <w:sz w:val="21"/>
              </w:rPr>
              <w:t>天后或意外伤害发</w:t>
            </w:r>
          </w:p>
          <w:p>
            <w:pPr>
              <w:pStyle w:val="11"/>
              <w:rPr>
                <w:rFonts w:ascii="Times New Roman" w:eastAsia="Times New Roman"/>
                <w:sz w:val="21"/>
              </w:rPr>
            </w:pPr>
            <w:r>
              <w:rPr>
                <w:spacing w:val="-10"/>
                <w:sz w:val="21"/>
              </w:rPr>
              <w:t xml:space="preserve">生 </w:t>
            </w:r>
            <w:r>
              <w:rPr>
                <w:rFonts w:ascii="Times New Roman" w:eastAsia="Times New Roman"/>
                <w:sz w:val="21"/>
              </w:rPr>
              <w:t>180</w:t>
            </w:r>
            <w:r>
              <w:rPr>
                <w:rFonts w:ascii="Times New Roman" w:eastAsia="Times New Roman"/>
                <w:spacing w:val="32"/>
                <w:sz w:val="21"/>
              </w:rPr>
              <w:t xml:space="preserve"> </w:t>
            </w:r>
            <w:r>
              <w:rPr>
                <w:spacing w:val="-1"/>
                <w:sz w:val="21"/>
              </w:rPr>
              <w:t xml:space="preserve">天后，每肢三大关节中的两大关节仍然完全僵硬，或肢体肌力在 </w:t>
            </w:r>
            <w:r>
              <w:rPr>
                <w:rFonts w:ascii="Times New Roman" w:eastAsia="Times New Roman"/>
                <w:spacing w:val="-10"/>
                <w:sz w:val="21"/>
              </w:rPr>
              <w:t>2</w:t>
            </w:r>
          </w:p>
          <w:p>
            <w:pPr>
              <w:pStyle w:val="11"/>
              <w:spacing w:before="43"/>
              <w:rPr>
                <w:sz w:val="21"/>
              </w:rPr>
            </w:pPr>
            <w:r>
              <w:rPr>
                <w:sz w:val="21"/>
              </w:rPr>
              <w:t>级（含）</w:t>
            </w:r>
            <w:r>
              <w:rPr>
                <w:spacing w:val="-4"/>
                <w:sz w:val="21"/>
              </w:rPr>
              <w:t>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76" w:line="278" w:lineRule="auto"/>
              <w:ind w:left="873" w:right="127" w:hanging="736"/>
              <w:rPr>
                <w:sz w:val="21"/>
              </w:rPr>
            </w:pPr>
            <w:r>
              <w:rPr>
                <w:spacing w:val="-2"/>
                <w:sz w:val="21"/>
              </w:rPr>
              <w:t>十六、心脏瓣膜手</w:t>
            </w:r>
            <w:r>
              <w:rPr>
                <w:spacing w:val="-10"/>
                <w:sz w:val="21"/>
              </w:rPr>
              <w:t>术</w:t>
            </w:r>
          </w:p>
        </w:tc>
        <w:tc>
          <w:tcPr>
            <w:tcW w:w="6986" w:type="dxa"/>
          </w:tcPr>
          <w:p>
            <w:pPr>
              <w:pStyle w:val="11"/>
              <w:spacing w:before="20" w:line="278" w:lineRule="auto"/>
              <w:ind w:right="93"/>
              <w:rPr>
                <w:sz w:val="21"/>
              </w:rPr>
            </w:pPr>
            <w:r>
              <w:rPr>
                <w:spacing w:val="-2"/>
                <w:sz w:val="21"/>
              </w:rPr>
              <w:t>指为治疗心脏瓣膜疾病，已经实施了切开心脏进行的心脏瓣膜置换或修复</w:t>
            </w:r>
            <w:r>
              <w:rPr>
                <w:spacing w:val="-4"/>
                <w:sz w:val="21"/>
              </w:rPr>
              <w:t>的手术。</w:t>
            </w:r>
          </w:p>
          <w:p>
            <w:pPr>
              <w:pStyle w:val="11"/>
              <w:rPr>
                <w:rFonts w:ascii="黑体" w:eastAsia="黑体"/>
                <w:sz w:val="21"/>
              </w:rPr>
            </w:pPr>
            <w:r>
              <w:rPr>
                <w:rFonts w:ascii="黑体" w:eastAsia="黑体"/>
                <w:color w:val="000000"/>
                <w:spacing w:val="-1"/>
                <w:sz w:val="21"/>
                <w:shd w:val="clear" w:color="auto" w:fill="DADADA"/>
              </w:rPr>
              <w:t>所有未切开心脏的心脏瓣膜介入手术不在保障范围内。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spacing w:before="177" w:line="278" w:lineRule="auto"/>
              <w:ind w:left="663" w:right="127" w:hanging="526"/>
              <w:rPr>
                <w:sz w:val="21"/>
              </w:rPr>
            </w:pPr>
            <w:r>
              <w:rPr>
                <w:spacing w:val="-2"/>
                <w:sz w:val="21"/>
              </w:rPr>
              <w:t>十七、严重阿尔茨</w:t>
            </w:r>
            <w:r>
              <w:rPr>
                <w:spacing w:val="-4"/>
                <w:sz w:val="21"/>
              </w:rPr>
              <w:t>海默病</w:t>
            </w:r>
          </w:p>
        </w:tc>
        <w:tc>
          <w:tcPr>
            <w:tcW w:w="6986" w:type="dxa"/>
          </w:tcPr>
          <w:p>
            <w:pPr>
              <w:pStyle w:val="11"/>
              <w:spacing w:before="21"/>
              <w:rPr>
                <w:sz w:val="21"/>
              </w:rPr>
            </w:pPr>
            <w:r>
              <w:rPr>
                <w:spacing w:val="-1"/>
                <w:sz w:val="21"/>
              </w:rPr>
              <w:t>指因大脑进行性、不可逆性改变导致智能严重衰退或丧失，临床表现为严</w:t>
            </w:r>
          </w:p>
          <w:p>
            <w:pPr>
              <w:pStyle w:val="11"/>
              <w:spacing w:before="2" w:line="310" w:lineRule="atLeast"/>
              <w:ind w:right="93"/>
              <w:rPr>
                <w:sz w:val="21"/>
              </w:rPr>
            </w:pPr>
            <w:r>
              <w:rPr>
                <w:spacing w:val="-2"/>
                <w:sz w:val="21"/>
              </w:rPr>
              <w:t>重的认知功能障碍、精神行为异常和社交能力减退等，其日常生活必须持</w:t>
            </w:r>
            <w:r>
              <w:rPr>
                <w:sz w:val="21"/>
              </w:rPr>
              <w:t>续受到他人监护。须由头颅断层扫描</w:t>
            </w:r>
            <w:r>
              <w:rPr>
                <w:rFonts w:ascii="Times New Roman" w:eastAsia="Times New Roman"/>
                <w:sz w:val="21"/>
              </w:rPr>
              <w:t>(CT)</w:t>
            </w:r>
            <w:r>
              <w:rPr>
                <w:sz w:val="21"/>
              </w:rPr>
              <w:t>、核磁共振检查（</w:t>
            </w:r>
            <w:r>
              <w:rPr>
                <w:rFonts w:ascii="Times New Roman" w:eastAsia="Times New Roman"/>
                <w:sz w:val="21"/>
              </w:rPr>
              <w:t>MRI)</w:t>
            </w:r>
            <w:r>
              <w:rPr>
                <w:spacing w:val="-3"/>
                <w:sz w:val="21"/>
              </w:rPr>
              <w:t>或正电子</w:t>
            </w:r>
          </w:p>
        </w:tc>
      </w:tr>
    </w:tbl>
    <w:p>
      <w:pPr>
        <w:spacing w:after="0" w:line="310" w:lineRule="atLeast"/>
        <w:rPr>
          <w:sz w:val="21"/>
        </w:rPr>
        <w:sectPr>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rFonts w:ascii="Times New Roman"/>
                <w:sz w:val="20"/>
              </w:rPr>
            </w:pPr>
          </w:p>
        </w:tc>
        <w:tc>
          <w:tcPr>
            <w:tcW w:w="6986" w:type="dxa"/>
          </w:tcPr>
          <w:p>
            <w:pPr>
              <w:pStyle w:val="11"/>
              <w:spacing w:before="20" w:line="278" w:lineRule="auto"/>
              <w:ind w:right="93"/>
              <w:rPr>
                <w:sz w:val="21"/>
              </w:rPr>
            </w:pPr>
            <w:r>
              <w:rPr>
                <w:spacing w:val="-2"/>
                <w:sz w:val="21"/>
              </w:rPr>
              <w:t>发射断层扫描（</w:t>
            </w:r>
            <w:r>
              <w:rPr>
                <w:rFonts w:ascii="Times New Roman" w:eastAsia="Times New Roman"/>
                <w:spacing w:val="-2"/>
                <w:sz w:val="21"/>
              </w:rPr>
              <w:t>PET)</w:t>
            </w:r>
            <w:r>
              <w:rPr>
                <w:spacing w:val="-2"/>
                <w:sz w:val="21"/>
              </w:rPr>
              <w:t>等影像学检查证实，并经相关专科医生确诊，且须满足下列至少一项条件：</w:t>
            </w:r>
          </w:p>
          <w:p>
            <w:pPr>
              <w:pStyle w:val="11"/>
              <w:numPr>
                <w:ilvl w:val="0"/>
                <w:numId w:val="39"/>
              </w:numPr>
              <w:tabs>
                <w:tab w:val="left" w:pos="470"/>
              </w:tabs>
              <w:spacing w:before="0" w:after="0" w:line="278" w:lineRule="auto"/>
              <w:ind w:left="106" w:right="95" w:firstLine="0"/>
              <w:jc w:val="left"/>
              <w:rPr>
                <w:sz w:val="21"/>
              </w:rPr>
            </w:pPr>
            <w:r>
              <w:rPr>
                <w:spacing w:val="11"/>
                <w:sz w:val="21"/>
              </w:rPr>
              <w:t>由具有评估资格</w:t>
            </w:r>
            <w:r>
              <w:rPr>
                <w:spacing w:val="13"/>
                <w:sz w:val="21"/>
              </w:rPr>
              <w:t>的</w:t>
            </w:r>
            <w:r>
              <w:rPr>
                <w:spacing w:val="11"/>
                <w:sz w:val="21"/>
              </w:rPr>
              <w:t>专科医生</w:t>
            </w:r>
            <w:r>
              <w:rPr>
                <w:spacing w:val="13"/>
                <w:sz w:val="21"/>
              </w:rPr>
              <w:t>根</w:t>
            </w:r>
            <w:r>
              <w:rPr>
                <w:spacing w:val="11"/>
                <w:sz w:val="21"/>
              </w:rPr>
              <w:t>据临床痴</w:t>
            </w:r>
            <w:r>
              <w:rPr>
                <w:spacing w:val="13"/>
                <w:sz w:val="21"/>
              </w:rPr>
              <w:t>呆</w:t>
            </w:r>
            <w:r>
              <w:rPr>
                <w:spacing w:val="11"/>
                <w:sz w:val="21"/>
              </w:rPr>
              <w:t>评定量</w:t>
            </w:r>
            <w:r>
              <w:rPr>
                <w:sz w:val="21"/>
              </w:rPr>
              <w:t xml:space="preserve">表 </w:t>
            </w:r>
            <w:r>
              <w:rPr>
                <w:rFonts w:ascii="Times New Roman" w:eastAsia="Times New Roman"/>
                <w:sz w:val="21"/>
              </w:rPr>
              <w:t>(CDR</w:t>
            </w:r>
            <w:r>
              <w:rPr>
                <w:sz w:val="21"/>
              </w:rPr>
              <w:t>，</w:t>
            </w:r>
            <w:r>
              <w:rPr>
                <w:rFonts w:ascii="Times New Roman" w:eastAsia="Times New Roman"/>
                <w:sz w:val="21"/>
              </w:rPr>
              <w:t>Clinical Dementia Rating)</w:t>
            </w:r>
            <w:r>
              <w:rPr>
                <w:spacing w:val="-3"/>
                <w:sz w:val="21"/>
              </w:rPr>
              <w:t xml:space="preserve">评估结果为 </w:t>
            </w:r>
            <w:r>
              <w:rPr>
                <w:rFonts w:ascii="Times New Roman" w:eastAsia="Times New Roman"/>
                <w:sz w:val="21"/>
              </w:rPr>
              <w:t xml:space="preserve">3 </w:t>
            </w:r>
            <w:r>
              <w:rPr>
                <w:sz w:val="21"/>
              </w:rPr>
              <w:t>分；</w:t>
            </w:r>
          </w:p>
          <w:p>
            <w:pPr>
              <w:pStyle w:val="11"/>
              <w:numPr>
                <w:ilvl w:val="0"/>
                <w:numId w:val="39"/>
              </w:numPr>
              <w:tabs>
                <w:tab w:val="left" w:pos="458"/>
              </w:tabs>
              <w:spacing w:before="0" w:after="0" w:line="278" w:lineRule="auto"/>
              <w:ind w:left="106" w:right="96" w:firstLine="0"/>
              <w:jc w:val="left"/>
              <w:rPr>
                <w:sz w:val="21"/>
              </w:rPr>
            </w:pPr>
            <w:r>
              <w:rPr>
                <w:spacing w:val="-2"/>
                <w:sz w:val="21"/>
              </w:rPr>
              <w:t>自主生活能力完全丧失</w:t>
            </w:r>
            <w:r>
              <w:rPr>
                <w:spacing w:val="-90"/>
                <w:sz w:val="21"/>
              </w:rPr>
              <w:t>，</w:t>
            </w:r>
            <w:r>
              <w:rPr>
                <w:spacing w:val="-2"/>
                <w:sz w:val="21"/>
              </w:rPr>
              <w:t>无法独立完成六项基本日常生活活动中的三项或三项以上。</w:t>
            </w:r>
          </w:p>
          <w:p>
            <w:pPr>
              <w:pStyle w:val="11"/>
              <w:spacing w:line="269" w:lineRule="exact"/>
              <w:rPr>
                <w:rFonts w:ascii="黑体" w:eastAsia="黑体"/>
                <w:sz w:val="21"/>
              </w:rPr>
            </w:pPr>
            <w:r>
              <w:rPr>
                <w:rFonts w:ascii="黑体" w:eastAsia="黑体"/>
                <w:color w:val="000000"/>
                <w:spacing w:val="-1"/>
                <w:sz w:val="21"/>
                <w:shd w:val="clear" w:color="auto" w:fill="DADADA"/>
              </w:rPr>
              <w:t>阿尔茨海默病之外的其他类型痴呆不在保障范围内。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1"/>
              <w:ind w:left="0"/>
              <w:rPr>
                <w:sz w:val="26"/>
              </w:rPr>
            </w:pPr>
          </w:p>
          <w:p>
            <w:pPr>
              <w:pStyle w:val="11"/>
              <w:ind w:left="137"/>
              <w:rPr>
                <w:sz w:val="21"/>
              </w:rPr>
            </w:pPr>
            <w:r>
              <w:rPr>
                <w:spacing w:val="-2"/>
                <w:sz w:val="21"/>
              </w:rPr>
              <w:t>十八、严重脑损伤</w:t>
            </w:r>
          </w:p>
        </w:tc>
        <w:tc>
          <w:tcPr>
            <w:tcW w:w="6986" w:type="dxa"/>
          </w:tcPr>
          <w:p>
            <w:pPr>
              <w:pStyle w:val="11"/>
              <w:spacing w:before="21" w:line="278" w:lineRule="auto"/>
              <w:ind w:right="93"/>
              <w:jc w:val="both"/>
              <w:rPr>
                <w:sz w:val="21"/>
              </w:rPr>
            </w:pPr>
            <w:r>
              <w:rPr>
                <w:spacing w:val="-2"/>
                <w:sz w:val="21"/>
              </w:rPr>
              <w:t>指因头部遭受机械性外力，引起脑重要部位损伤，导致神经系统永久性的功能障碍。须由头颅断层扫描（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或正电子发射断层扫描（</w:t>
            </w:r>
            <w:r>
              <w:rPr>
                <w:rFonts w:ascii="Times New Roman" w:eastAsia="Times New Roman"/>
                <w:spacing w:val="-2"/>
                <w:sz w:val="21"/>
              </w:rPr>
              <w:t>PET)</w:t>
            </w:r>
            <w:r>
              <w:rPr>
                <w:spacing w:val="-2"/>
                <w:sz w:val="21"/>
              </w:rPr>
              <w:t>等影像学检查证实。神经系统永久性的功能障碍，指脑损</w:t>
            </w:r>
            <w:r>
              <w:rPr>
                <w:spacing w:val="-11"/>
                <w:sz w:val="21"/>
              </w:rPr>
              <w:t xml:space="preserve">伤 </w:t>
            </w:r>
            <w:r>
              <w:rPr>
                <w:rFonts w:ascii="Times New Roman" w:eastAsia="Times New Roman"/>
                <w:sz w:val="21"/>
              </w:rPr>
              <w:t xml:space="preserve">180 </w:t>
            </w:r>
            <w:r>
              <w:rPr>
                <w:sz w:val="21"/>
              </w:rPr>
              <w:t>天后，仍遗留下列至少一种障碍：</w:t>
            </w:r>
          </w:p>
          <w:p>
            <w:pPr>
              <w:pStyle w:val="11"/>
              <w:numPr>
                <w:ilvl w:val="0"/>
                <w:numId w:val="40"/>
              </w:numPr>
              <w:tabs>
                <w:tab w:val="left" w:pos="457"/>
              </w:tabs>
              <w:spacing w:before="0" w:after="0" w:line="269" w:lineRule="exact"/>
              <w:ind w:left="457" w:right="0" w:hanging="351"/>
              <w:jc w:val="left"/>
              <w:rPr>
                <w:sz w:val="21"/>
              </w:rPr>
            </w:pPr>
            <w:r>
              <w:rPr>
                <w:w w:val="95"/>
                <w:sz w:val="21"/>
              </w:rPr>
              <w:t>一肢（含）以上肢体肌力</w:t>
            </w:r>
            <w:r>
              <w:rPr>
                <w:spacing w:val="17"/>
                <w:sz w:val="21"/>
              </w:rPr>
              <w:t xml:space="preserve"> </w:t>
            </w:r>
            <w:r>
              <w:rPr>
                <w:rFonts w:ascii="Times New Roman" w:eastAsia="Times New Roman"/>
                <w:w w:val="95"/>
                <w:sz w:val="21"/>
              </w:rPr>
              <w:t>2</w:t>
            </w:r>
            <w:r>
              <w:rPr>
                <w:rFonts w:ascii="Times New Roman" w:eastAsia="Times New Roman"/>
                <w:spacing w:val="73"/>
                <w:sz w:val="21"/>
              </w:rPr>
              <w:t xml:space="preserve"> </w:t>
            </w:r>
            <w:r>
              <w:rPr>
                <w:w w:val="95"/>
                <w:sz w:val="21"/>
              </w:rPr>
              <w:t>级（含）以下</w:t>
            </w:r>
            <w:r>
              <w:rPr>
                <w:spacing w:val="-10"/>
                <w:w w:val="95"/>
                <w:sz w:val="21"/>
              </w:rPr>
              <w:t>；</w:t>
            </w:r>
          </w:p>
          <w:p>
            <w:pPr>
              <w:pStyle w:val="11"/>
              <w:numPr>
                <w:ilvl w:val="0"/>
                <w:numId w:val="40"/>
              </w:numPr>
              <w:tabs>
                <w:tab w:val="left" w:pos="457"/>
              </w:tabs>
              <w:spacing w:before="43" w:after="0" w:line="240" w:lineRule="auto"/>
              <w:ind w:left="457" w:right="0" w:hanging="351"/>
              <w:jc w:val="left"/>
              <w:rPr>
                <w:sz w:val="21"/>
              </w:rPr>
            </w:pPr>
            <w:r>
              <w:rPr>
                <w:w w:val="95"/>
                <w:sz w:val="21"/>
              </w:rPr>
              <w:t>语言能力完全丧失，或严重咀嚼吞咽功能障碍</w:t>
            </w:r>
            <w:r>
              <w:rPr>
                <w:spacing w:val="-10"/>
                <w:w w:val="95"/>
                <w:sz w:val="21"/>
              </w:rPr>
              <w:t>；</w:t>
            </w:r>
          </w:p>
          <w:p>
            <w:pPr>
              <w:pStyle w:val="11"/>
              <w:numPr>
                <w:ilvl w:val="0"/>
                <w:numId w:val="40"/>
              </w:numPr>
              <w:tabs>
                <w:tab w:val="left" w:pos="457"/>
              </w:tabs>
              <w:spacing w:before="2" w:after="0" w:line="310" w:lineRule="atLeast"/>
              <w:ind w:left="106" w:right="97" w:firstLine="0"/>
              <w:jc w:val="left"/>
              <w:rPr>
                <w:sz w:val="21"/>
              </w:rPr>
            </w:pPr>
            <w:r>
              <w:rPr>
                <w:spacing w:val="-2"/>
                <w:sz w:val="21"/>
              </w:rPr>
              <w:t>自主生活能力完全丧失</w:t>
            </w:r>
            <w:r>
              <w:rPr>
                <w:spacing w:val="-90"/>
                <w:sz w:val="21"/>
              </w:rPr>
              <w:t>，</w:t>
            </w:r>
            <w:r>
              <w:rPr>
                <w:spacing w:val="-2"/>
                <w:sz w:val="21"/>
              </w:rPr>
              <w:t>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spacing w:before="11"/>
              <w:ind w:left="0"/>
              <w:rPr>
                <w:sz w:val="25"/>
              </w:rPr>
            </w:pPr>
          </w:p>
          <w:p>
            <w:pPr>
              <w:pStyle w:val="11"/>
              <w:spacing w:before="1" w:line="278" w:lineRule="auto"/>
              <w:ind w:left="557" w:right="127" w:hanging="420"/>
              <w:rPr>
                <w:sz w:val="21"/>
              </w:rPr>
            </w:pPr>
            <w:r>
              <w:rPr>
                <w:spacing w:val="-2"/>
                <w:sz w:val="21"/>
              </w:rPr>
              <w:t>十九、严重原发性</w:t>
            </w:r>
            <w:r>
              <w:rPr>
                <w:spacing w:val="-4"/>
                <w:sz w:val="21"/>
              </w:rPr>
              <w:t>帕金森病</w:t>
            </w:r>
          </w:p>
        </w:tc>
        <w:tc>
          <w:tcPr>
            <w:tcW w:w="6986" w:type="dxa"/>
          </w:tcPr>
          <w:p>
            <w:pPr>
              <w:pStyle w:val="11"/>
              <w:spacing w:before="20" w:line="278" w:lineRule="auto"/>
              <w:ind w:right="93"/>
              <w:jc w:val="both"/>
              <w:rPr>
                <w:sz w:val="21"/>
              </w:rPr>
            </w:pPr>
            <w:r>
              <w:rPr>
                <w:spacing w:val="-2"/>
                <w:sz w:val="21"/>
              </w:rPr>
              <w:t>是一种中枢神经系统的退行性疾病，临床表现为运动迟缓、静止性震颤或肌强直等，经相关专科医生确诊，且须满足自主生活能力完全丧失，无法独立完成六项基本日常生活活动中的三项或三项以上。</w:t>
            </w:r>
          </w:p>
          <w:p>
            <w:pPr>
              <w:pStyle w:val="11"/>
              <w:spacing w:line="269" w:lineRule="exact"/>
              <w:rPr>
                <w:rFonts w:ascii="黑体" w:eastAsia="黑体"/>
                <w:sz w:val="21"/>
              </w:rPr>
            </w:pPr>
            <w:r>
              <w:rPr>
                <w:rFonts w:ascii="黑体" w:eastAsia="黑体"/>
                <w:color w:val="000000"/>
                <w:spacing w:val="-1"/>
                <w:sz w:val="21"/>
                <w:shd w:val="clear" w:color="auto" w:fill="DADADA"/>
              </w:rPr>
              <w:t>继发性帕金森综合征、帕金森叠加综合征不在保障范围内。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957" w:type="dxa"/>
          </w:tcPr>
          <w:p>
            <w:pPr>
              <w:pStyle w:val="11"/>
              <w:spacing w:before="8" w:line="310" w:lineRule="atLeast"/>
              <w:ind w:left="873" w:right="127" w:hanging="736"/>
              <w:rPr>
                <w:sz w:val="21"/>
              </w:rPr>
            </w:pPr>
            <w:r>
              <w:rPr>
                <w:spacing w:val="-2"/>
                <w:sz w:val="21"/>
              </w:rPr>
              <w:t>二十、严重Ⅲ度烧</w:t>
            </w:r>
            <w:r>
              <w:rPr>
                <w:spacing w:val="-10"/>
                <w:sz w:val="21"/>
              </w:rPr>
              <w:t>伤</w:t>
            </w:r>
          </w:p>
        </w:tc>
        <w:tc>
          <w:tcPr>
            <w:tcW w:w="6986" w:type="dxa"/>
          </w:tcPr>
          <w:p>
            <w:pPr>
              <w:pStyle w:val="11"/>
              <w:spacing w:before="35" w:line="310" w:lineRule="atLeast"/>
              <w:ind w:right="96"/>
              <w:rPr>
                <w:sz w:val="21"/>
              </w:rPr>
            </w:pPr>
            <w:r>
              <w:rPr>
                <w:spacing w:val="-3"/>
                <w:sz w:val="21"/>
              </w:rPr>
              <w:t xml:space="preserve">指烧伤程度为Ⅲ度，且Ⅲ度烧伤的面积达到全身体表面积的 </w:t>
            </w:r>
            <w:r>
              <w:rPr>
                <w:rFonts w:ascii="Times New Roman" w:hAnsi="Times New Roman" w:eastAsia="Times New Roman"/>
                <w:spacing w:val="-2"/>
                <w:sz w:val="21"/>
              </w:rPr>
              <w:t>20%</w:t>
            </w:r>
            <w:r>
              <w:rPr>
                <w:spacing w:val="-17"/>
                <w:sz w:val="21"/>
              </w:rPr>
              <w:t xml:space="preserve">或 </w:t>
            </w:r>
            <w:r>
              <w:rPr>
                <w:rFonts w:ascii="Times New Roman" w:hAnsi="Times New Roman" w:eastAsia="Times New Roman"/>
                <w:spacing w:val="-2"/>
                <w:sz w:val="21"/>
              </w:rPr>
              <w:t>20%</w:t>
            </w:r>
            <w:r>
              <w:rPr>
                <w:spacing w:val="-2"/>
                <w:sz w:val="21"/>
              </w:rPr>
              <w:t>以上。体表面积根据《中国新九分法》计算。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spacing w:before="11"/>
              <w:ind w:left="0"/>
              <w:rPr>
                <w:sz w:val="25"/>
              </w:rPr>
            </w:pPr>
          </w:p>
          <w:p>
            <w:pPr>
              <w:pStyle w:val="11"/>
              <w:spacing w:before="1" w:line="278" w:lineRule="auto"/>
              <w:ind w:left="347" w:right="127" w:hanging="210"/>
              <w:rPr>
                <w:sz w:val="21"/>
              </w:rPr>
            </w:pPr>
            <w:r>
              <w:rPr>
                <w:spacing w:val="-2"/>
                <w:sz w:val="21"/>
              </w:rPr>
              <w:t>二十一、严重特发性肺动脉高压</w:t>
            </w:r>
          </w:p>
        </w:tc>
        <w:tc>
          <w:tcPr>
            <w:tcW w:w="6986" w:type="dxa"/>
          </w:tcPr>
          <w:p>
            <w:pPr>
              <w:pStyle w:val="11"/>
              <w:spacing w:before="20" w:line="278" w:lineRule="auto"/>
              <w:ind w:right="93"/>
              <w:jc w:val="both"/>
              <w:rPr>
                <w:sz w:val="21"/>
              </w:rPr>
            </w:pPr>
            <w:r>
              <w:rPr>
                <w:spacing w:val="-2"/>
                <w:sz w:val="21"/>
              </w:rPr>
              <w:t>指不明原因的肺动脉压力持续性增高，进行性发展而导致的慢性疾病，已经造成永久不可逆性的体力活动能力受限，达到美国纽约心脏病学会</w:t>
            </w:r>
            <w:r>
              <w:rPr>
                <w:rFonts w:ascii="Times New Roman" w:eastAsia="Times New Roman"/>
                <w:spacing w:val="-2"/>
                <w:sz w:val="21"/>
              </w:rPr>
              <w:t>(New York</w:t>
            </w:r>
            <w:r>
              <w:rPr>
                <w:rFonts w:ascii="Times New Roman" w:eastAsia="Times New Roman"/>
                <w:spacing w:val="16"/>
                <w:sz w:val="21"/>
              </w:rPr>
              <w:t xml:space="preserve"> </w:t>
            </w:r>
            <w:r>
              <w:rPr>
                <w:rFonts w:ascii="Times New Roman" w:eastAsia="Times New Roman"/>
                <w:spacing w:val="-2"/>
                <w:sz w:val="21"/>
              </w:rPr>
              <w:t>Heart</w:t>
            </w:r>
            <w:r>
              <w:rPr>
                <w:rFonts w:ascii="Times New Roman" w:eastAsia="Times New Roman"/>
                <w:spacing w:val="14"/>
                <w:sz w:val="21"/>
              </w:rPr>
              <w:t xml:space="preserve"> </w:t>
            </w:r>
            <w:r>
              <w:rPr>
                <w:rFonts w:ascii="Times New Roman" w:eastAsia="Times New Roman"/>
                <w:spacing w:val="-2"/>
                <w:sz w:val="21"/>
              </w:rPr>
              <w:t>Association</w:t>
            </w:r>
            <w:r>
              <w:rPr>
                <w:spacing w:val="-2"/>
                <w:sz w:val="21"/>
              </w:rPr>
              <w:t>，</w:t>
            </w:r>
            <w:r>
              <w:rPr>
                <w:rFonts w:ascii="Times New Roman" w:eastAsia="Times New Roman"/>
                <w:spacing w:val="-2"/>
                <w:sz w:val="21"/>
              </w:rPr>
              <w:t>NYHA)</w:t>
            </w:r>
            <w:r>
              <w:rPr>
                <w:spacing w:val="-8"/>
                <w:sz w:val="21"/>
              </w:rPr>
              <w:t xml:space="preserve">心功能状态分级 </w:t>
            </w:r>
            <w:r>
              <w:rPr>
                <w:rFonts w:ascii="Times New Roman" w:eastAsia="Times New Roman"/>
                <w:spacing w:val="-2"/>
                <w:sz w:val="21"/>
              </w:rPr>
              <w:t>IV</w:t>
            </w:r>
            <w:r>
              <w:rPr>
                <w:rFonts w:ascii="Times New Roman" w:eastAsia="Times New Roman"/>
                <w:spacing w:val="8"/>
                <w:sz w:val="21"/>
              </w:rPr>
              <w:t xml:space="preserve"> </w:t>
            </w:r>
            <w:r>
              <w:rPr>
                <w:spacing w:val="-3"/>
                <w:sz w:val="21"/>
              </w:rPr>
              <w:t>级，且静息状态下肺动</w:t>
            </w:r>
          </w:p>
          <w:p>
            <w:pPr>
              <w:pStyle w:val="11"/>
              <w:jc w:val="both"/>
              <w:rPr>
                <w:sz w:val="21"/>
              </w:rPr>
            </w:pPr>
            <w:r>
              <w:rPr>
                <w:spacing w:val="-9"/>
                <w:sz w:val="21"/>
              </w:rPr>
              <w:t xml:space="preserve">脉平均压在 </w:t>
            </w:r>
            <w:r>
              <w:rPr>
                <w:rFonts w:ascii="Times New Roman" w:eastAsia="Times New Roman"/>
                <w:sz w:val="21"/>
              </w:rPr>
              <w:t>36mmHg</w:t>
            </w:r>
            <w:r>
              <w:rPr>
                <w:rFonts w:ascii="Times New Roman" w:eastAsia="Times New Roman"/>
                <w:spacing w:val="-4"/>
                <w:sz w:val="21"/>
              </w:rPr>
              <w:t xml:space="preserve"> (</w:t>
            </w:r>
            <w:r>
              <w:rPr>
                <w:sz w:val="21"/>
              </w:rPr>
              <w:t>含）</w:t>
            </w:r>
            <w:r>
              <w:rPr>
                <w:spacing w:val="-4"/>
                <w:sz w:val="21"/>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7"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557" w:right="127" w:hanging="420"/>
              <w:rPr>
                <w:sz w:val="21"/>
              </w:rPr>
            </w:pPr>
            <w:r>
              <w:rPr>
                <w:spacing w:val="-2"/>
                <w:sz w:val="21"/>
              </w:rPr>
              <w:t>二十二、严重运动</w:t>
            </w:r>
            <w:r>
              <w:rPr>
                <w:spacing w:val="-4"/>
                <w:sz w:val="21"/>
              </w:rPr>
              <w:t>神经元病</w:t>
            </w:r>
          </w:p>
        </w:tc>
        <w:tc>
          <w:tcPr>
            <w:tcW w:w="6986" w:type="dxa"/>
          </w:tcPr>
          <w:p>
            <w:pPr>
              <w:pStyle w:val="11"/>
              <w:spacing w:before="21" w:line="278" w:lineRule="auto"/>
              <w:ind w:right="93"/>
              <w:jc w:val="both"/>
              <w:rPr>
                <w:sz w:val="21"/>
              </w:rPr>
            </w:pPr>
            <w:r>
              <w:rPr>
                <w:spacing w:val="-2"/>
                <w:sz w:val="21"/>
              </w:rPr>
              <w:t>是一组中枢神经系统运动神经元的进行性变性疾病，包括进行性脊肌萎缩症、进行性延髓麻痹症、原发性侧索硬化症、肌萎缩性侧索硬化症，经相关专科医生确诊，且须满足下列至少一项条件：</w:t>
            </w:r>
          </w:p>
          <w:p>
            <w:pPr>
              <w:pStyle w:val="11"/>
              <w:numPr>
                <w:ilvl w:val="0"/>
                <w:numId w:val="41"/>
              </w:numPr>
              <w:tabs>
                <w:tab w:val="left" w:pos="458"/>
              </w:tabs>
              <w:spacing w:before="0" w:after="0" w:line="240" w:lineRule="auto"/>
              <w:ind w:left="457" w:right="0" w:hanging="352"/>
              <w:jc w:val="left"/>
              <w:rPr>
                <w:sz w:val="21"/>
              </w:rPr>
            </w:pPr>
            <w:r>
              <w:rPr>
                <w:w w:val="95"/>
                <w:sz w:val="21"/>
              </w:rPr>
              <w:t>严重咀嚼吞咽功能障碍</w:t>
            </w:r>
            <w:r>
              <w:rPr>
                <w:spacing w:val="-10"/>
                <w:w w:val="95"/>
                <w:sz w:val="21"/>
              </w:rPr>
              <w:t>；</w:t>
            </w:r>
          </w:p>
          <w:p>
            <w:pPr>
              <w:pStyle w:val="11"/>
              <w:numPr>
                <w:ilvl w:val="0"/>
                <w:numId w:val="41"/>
              </w:numPr>
              <w:tabs>
                <w:tab w:val="left" w:pos="458"/>
              </w:tabs>
              <w:spacing w:before="43" w:after="0" w:line="240" w:lineRule="auto"/>
              <w:ind w:left="457" w:right="-15" w:hanging="352"/>
              <w:jc w:val="left"/>
              <w:rPr>
                <w:sz w:val="21"/>
              </w:rPr>
            </w:pPr>
            <w:r>
              <w:rPr>
                <w:w w:val="95"/>
                <w:sz w:val="21"/>
              </w:rPr>
              <w:t>呼吸肌麻痹导致严重呼吸困难</w:t>
            </w:r>
            <w:r>
              <w:rPr>
                <w:spacing w:val="-65"/>
                <w:w w:val="95"/>
                <w:sz w:val="21"/>
              </w:rPr>
              <w:t>，</w:t>
            </w:r>
            <w:r>
              <w:rPr>
                <w:w w:val="95"/>
                <w:sz w:val="21"/>
              </w:rPr>
              <w:t>且已经持续使用呼吸机</w:t>
            </w:r>
            <w:r>
              <w:rPr>
                <w:spacing w:val="74"/>
                <w:sz w:val="21"/>
              </w:rPr>
              <w:t xml:space="preserve"> </w:t>
            </w:r>
            <w:r>
              <w:rPr>
                <w:rFonts w:ascii="Times New Roman" w:eastAsia="Times New Roman"/>
                <w:w w:val="95"/>
                <w:sz w:val="21"/>
              </w:rPr>
              <w:t>7</w:t>
            </w:r>
            <w:r>
              <w:rPr>
                <w:rFonts w:ascii="Times New Roman" w:eastAsia="Times New Roman"/>
                <w:spacing w:val="37"/>
                <w:sz w:val="21"/>
              </w:rPr>
              <w:t xml:space="preserve">  </w:t>
            </w:r>
            <w:r>
              <w:rPr>
                <w:spacing w:val="-65"/>
                <w:w w:val="95"/>
                <w:sz w:val="21"/>
              </w:rPr>
              <w:t>天</w:t>
            </w:r>
            <w:r>
              <w:rPr>
                <w:w w:val="95"/>
                <w:sz w:val="21"/>
              </w:rPr>
              <w:t>（含</w:t>
            </w:r>
            <w:r>
              <w:rPr>
                <w:spacing w:val="-65"/>
                <w:w w:val="95"/>
                <w:sz w:val="21"/>
              </w:rPr>
              <w:t>）</w:t>
            </w:r>
            <w:r>
              <w:rPr>
                <w:w w:val="95"/>
                <w:sz w:val="21"/>
              </w:rPr>
              <w:t>以上</w:t>
            </w:r>
            <w:r>
              <w:rPr>
                <w:spacing w:val="-10"/>
                <w:w w:val="95"/>
                <w:sz w:val="21"/>
              </w:rPr>
              <w:t>；</w:t>
            </w:r>
          </w:p>
          <w:p>
            <w:pPr>
              <w:pStyle w:val="11"/>
              <w:numPr>
                <w:ilvl w:val="0"/>
                <w:numId w:val="41"/>
              </w:numPr>
              <w:tabs>
                <w:tab w:val="left" w:pos="458"/>
              </w:tabs>
              <w:spacing w:before="2" w:after="0" w:line="312" w:lineRule="exact"/>
              <w:ind w:left="106" w:right="96" w:firstLine="0"/>
              <w:jc w:val="left"/>
              <w:rPr>
                <w:sz w:val="21"/>
              </w:rPr>
            </w:pPr>
            <w:r>
              <w:rPr>
                <w:spacing w:val="-2"/>
                <w:sz w:val="21"/>
              </w:rPr>
              <w:t>自主生活能力完全丧失</w:t>
            </w:r>
            <w:r>
              <w:rPr>
                <w:spacing w:val="-90"/>
                <w:sz w:val="21"/>
              </w:rPr>
              <w:t>，</w:t>
            </w:r>
            <w:r>
              <w:rPr>
                <w:spacing w:val="-2"/>
                <w:sz w:val="21"/>
              </w:rPr>
              <w:t>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76" w:line="278" w:lineRule="auto"/>
              <w:ind w:left="767" w:right="127" w:hanging="630"/>
              <w:rPr>
                <w:sz w:val="21"/>
              </w:rPr>
            </w:pPr>
            <w:r>
              <w:rPr>
                <w:spacing w:val="-2"/>
                <w:sz w:val="21"/>
              </w:rPr>
              <w:t>二十三、语言能力</w:t>
            </w:r>
            <w:r>
              <w:rPr>
                <w:spacing w:val="-6"/>
                <w:sz w:val="21"/>
              </w:rPr>
              <w:t>丧失</w:t>
            </w:r>
          </w:p>
        </w:tc>
        <w:tc>
          <w:tcPr>
            <w:tcW w:w="6986" w:type="dxa"/>
          </w:tcPr>
          <w:p>
            <w:pPr>
              <w:pStyle w:val="11"/>
              <w:spacing w:before="20"/>
              <w:rPr>
                <w:sz w:val="21"/>
              </w:rPr>
            </w:pPr>
            <w:r>
              <w:rPr>
                <w:sz w:val="21"/>
              </w:rPr>
              <w:t xml:space="preserve">指因疾病或意外伤害导致语言能力完全丧失，经过积极治疗至少 </w:t>
            </w:r>
            <w:r>
              <w:rPr>
                <w:rFonts w:ascii="Times New Roman" w:eastAsia="Times New Roman"/>
                <w:sz w:val="21"/>
              </w:rPr>
              <w:t>12</w:t>
            </w:r>
            <w:r>
              <w:rPr>
                <w:rFonts w:ascii="Times New Roman" w:eastAsia="Times New Roman"/>
                <w:spacing w:val="74"/>
                <w:sz w:val="21"/>
              </w:rPr>
              <w:t xml:space="preserve"> </w:t>
            </w:r>
            <w:r>
              <w:rPr>
                <w:spacing w:val="-5"/>
                <w:sz w:val="21"/>
              </w:rPr>
              <w:t>个月</w:t>
            </w:r>
          </w:p>
          <w:p>
            <w:pPr>
              <w:pStyle w:val="11"/>
              <w:spacing w:before="43"/>
              <w:rPr>
                <w:sz w:val="21"/>
              </w:rPr>
            </w:pPr>
            <w:r>
              <w:rPr>
                <w:sz w:val="21"/>
              </w:rPr>
              <w:t>（声带完全切除不受此时间限制</w:t>
            </w:r>
            <w:r>
              <w:rPr>
                <w:spacing w:val="-105"/>
                <w:sz w:val="21"/>
              </w:rPr>
              <w:t>）</w:t>
            </w:r>
            <w:r>
              <w:rPr>
                <w:spacing w:val="-2"/>
                <w:sz w:val="21"/>
              </w:rPr>
              <w:t>，仍无法通过现有医疗手段恢复。</w:t>
            </w:r>
          </w:p>
          <w:p>
            <w:pPr>
              <w:pStyle w:val="11"/>
              <w:spacing w:before="43"/>
              <w:rPr>
                <w:rFonts w:ascii="黑体" w:eastAsia="黑体"/>
                <w:sz w:val="21"/>
              </w:rPr>
            </w:pPr>
            <w:r>
              <w:rPr>
                <w:rFonts w:ascii="黑体" w:eastAsia="黑体"/>
                <w:color w:val="000000"/>
                <w:spacing w:val="-1"/>
                <w:sz w:val="21"/>
                <w:shd w:val="clear" w:color="auto" w:fill="DADADA"/>
              </w:rPr>
              <w:t>精神心理因素所致的语言能力丧失不在保障范围内。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spacing w:line="278" w:lineRule="auto"/>
              <w:ind w:left="453" w:right="127" w:hanging="316"/>
              <w:rPr>
                <w:sz w:val="21"/>
              </w:rPr>
            </w:pPr>
            <w:r>
              <w:rPr>
                <w:spacing w:val="-2"/>
                <w:sz w:val="21"/>
              </w:rPr>
              <w:t>二十四、重型再生障碍性贫血</w:t>
            </w:r>
          </w:p>
        </w:tc>
        <w:tc>
          <w:tcPr>
            <w:tcW w:w="6986" w:type="dxa"/>
          </w:tcPr>
          <w:p>
            <w:pPr>
              <w:pStyle w:val="11"/>
              <w:spacing w:before="20" w:line="278" w:lineRule="auto"/>
              <w:ind w:right="93"/>
              <w:rPr>
                <w:sz w:val="21"/>
              </w:rPr>
            </w:pPr>
            <w:r>
              <w:rPr>
                <w:spacing w:val="-2"/>
                <w:sz w:val="21"/>
              </w:rPr>
              <w:t>指因骨髓造血功能慢性持续性衰竭导致的贫血、中性粒细胞减少及血小板减少，且须满足下列全部条件：</w:t>
            </w:r>
          </w:p>
          <w:p>
            <w:pPr>
              <w:pStyle w:val="11"/>
              <w:numPr>
                <w:ilvl w:val="0"/>
                <w:numId w:val="42"/>
              </w:numPr>
              <w:tabs>
                <w:tab w:val="left" w:pos="637"/>
              </w:tabs>
              <w:spacing w:before="0" w:after="0" w:line="240" w:lineRule="auto"/>
              <w:ind w:left="636" w:right="0" w:hanging="531"/>
              <w:jc w:val="left"/>
              <w:rPr>
                <w:sz w:val="21"/>
              </w:rPr>
            </w:pPr>
            <w:r>
              <w:rPr>
                <w:sz w:val="21"/>
              </w:rPr>
              <w:t>骨髓穿刺检查或骨髓活检结果支持诊断：骨髓细胞增生程度</w:t>
            </w:r>
            <w:r>
              <w:rPr>
                <w:rFonts w:ascii="Times New Roman" w:eastAsia="Times New Roman"/>
                <w:sz w:val="21"/>
              </w:rPr>
              <w:t>&lt;</w:t>
            </w:r>
            <w:r>
              <w:rPr>
                <w:spacing w:val="-4"/>
                <w:sz w:val="21"/>
              </w:rPr>
              <w:t>正常的</w:t>
            </w:r>
          </w:p>
          <w:p>
            <w:pPr>
              <w:pStyle w:val="11"/>
              <w:spacing w:before="43"/>
              <w:ind w:left="107"/>
              <w:rPr>
                <w:sz w:val="21"/>
              </w:rPr>
            </w:pPr>
            <w:r>
              <w:rPr>
                <w:rFonts w:ascii="Times New Roman" w:hAnsi="Times New Roman" w:eastAsia="Times New Roman"/>
                <w:spacing w:val="-2"/>
                <w:sz w:val="21"/>
              </w:rPr>
              <w:t>25%</w:t>
            </w:r>
            <w:r>
              <w:rPr>
                <w:spacing w:val="-3"/>
                <w:sz w:val="21"/>
              </w:rPr>
              <w:t xml:space="preserve">；如≥正常的 </w:t>
            </w:r>
            <w:r>
              <w:rPr>
                <w:rFonts w:ascii="Times New Roman" w:hAnsi="Times New Roman" w:eastAsia="Times New Roman"/>
                <w:spacing w:val="-2"/>
                <w:sz w:val="21"/>
              </w:rPr>
              <w:t>25%</w:t>
            </w:r>
            <w:r>
              <w:rPr>
                <w:spacing w:val="-2"/>
                <w:sz w:val="21"/>
              </w:rPr>
              <w:t>但</w:t>
            </w:r>
            <w:r>
              <w:rPr>
                <w:rFonts w:ascii="Times New Roman" w:hAnsi="Times New Roman" w:eastAsia="Times New Roman"/>
                <w:spacing w:val="-2"/>
                <w:sz w:val="21"/>
              </w:rPr>
              <w:t>&lt;50%</w:t>
            </w:r>
            <w:r>
              <w:rPr>
                <w:spacing w:val="-2"/>
                <w:sz w:val="21"/>
              </w:rPr>
              <w:t>，则残存的造血细胞应</w:t>
            </w:r>
            <w:r>
              <w:rPr>
                <w:rFonts w:ascii="Times New Roman" w:hAnsi="Times New Roman" w:eastAsia="Times New Roman"/>
                <w:spacing w:val="-2"/>
                <w:sz w:val="21"/>
              </w:rPr>
              <w:t>&lt;30%</w:t>
            </w:r>
            <w:r>
              <w:rPr>
                <w:spacing w:val="-2"/>
                <w:sz w:val="21"/>
              </w:rPr>
              <w:t>；</w:t>
            </w:r>
          </w:p>
          <w:p>
            <w:pPr>
              <w:pStyle w:val="11"/>
              <w:numPr>
                <w:ilvl w:val="0"/>
                <w:numId w:val="42"/>
              </w:numPr>
              <w:tabs>
                <w:tab w:val="left" w:pos="634"/>
              </w:tabs>
              <w:spacing w:before="43" w:after="0" w:line="240" w:lineRule="auto"/>
              <w:ind w:left="633" w:right="0" w:hanging="528"/>
              <w:jc w:val="left"/>
              <w:rPr>
                <w:sz w:val="21"/>
              </w:rPr>
            </w:pPr>
            <w:r>
              <w:rPr>
                <w:spacing w:val="-3"/>
                <w:sz w:val="21"/>
              </w:rPr>
              <w:t>外周血象须具备以下三项条件中的两项：</w:t>
            </w:r>
          </w:p>
          <w:p>
            <w:pPr>
              <w:pStyle w:val="11"/>
              <w:spacing w:before="43"/>
              <w:rPr>
                <w:rFonts w:ascii="Times New Roman" w:hAnsi="Times New Roman" w:eastAsia="Times New Roman"/>
                <w:sz w:val="21"/>
              </w:rPr>
            </w:pPr>
            <w:r>
              <w:rPr>
                <w:sz w:val="21"/>
              </w:rPr>
              <w:t>①中性粒细胞绝对值</w:t>
            </w:r>
            <w:r>
              <w:rPr>
                <w:rFonts w:ascii="Times New Roman" w:hAnsi="Times New Roman" w:eastAsia="Times New Roman"/>
                <w:spacing w:val="-2"/>
                <w:sz w:val="21"/>
              </w:rPr>
              <w:t>&lt;0.5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p>
          <w:p>
            <w:pPr>
              <w:pStyle w:val="11"/>
              <w:spacing w:before="42"/>
              <w:rPr>
                <w:rFonts w:ascii="Times New Roman" w:hAnsi="Times New Roman" w:eastAsia="Times New Roman"/>
                <w:sz w:val="21"/>
              </w:rPr>
            </w:pPr>
            <w:r>
              <w:rPr>
                <w:sz w:val="21"/>
              </w:rPr>
              <w:t>②网织红细胞计数</w:t>
            </w:r>
            <w:r>
              <w:rPr>
                <w:rFonts w:ascii="Times New Roman" w:hAnsi="Times New Roman" w:eastAsia="Times New Roman"/>
                <w:spacing w:val="-2"/>
                <w:sz w:val="21"/>
              </w:rPr>
              <w:t>&lt;20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p>
          <w:p>
            <w:pPr>
              <w:pStyle w:val="11"/>
              <w:spacing w:before="43"/>
              <w:rPr>
                <w:sz w:val="21"/>
              </w:rPr>
            </w:pPr>
            <w:r>
              <w:rPr>
                <w:spacing w:val="-2"/>
                <w:sz w:val="21"/>
              </w:rPr>
              <w:t>③血小板绝对值</w:t>
            </w:r>
            <w:r>
              <w:rPr>
                <w:rFonts w:ascii="Times New Roman" w:hAnsi="Times New Roman" w:eastAsia="Times New Roman"/>
                <w:spacing w:val="-2"/>
                <w:sz w:val="21"/>
              </w:rPr>
              <w:t>&lt;20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10"/>
                <w:sz w:val="21"/>
                <w:vertAlign w:val="baseline"/>
              </w:rPr>
              <w:t>。</w:t>
            </w:r>
          </w:p>
        </w:tc>
      </w:tr>
    </w:tbl>
    <w:p>
      <w:pPr>
        <w:spacing w:after="0"/>
        <w:rPr>
          <w:sz w:val="21"/>
        </w:rPr>
        <w:sectPr>
          <w:type w:val="continuous"/>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873" w:right="127" w:hanging="736"/>
              <w:rPr>
                <w:sz w:val="21"/>
              </w:rPr>
            </w:pPr>
            <w:r>
              <w:rPr>
                <w:spacing w:val="-2"/>
                <w:sz w:val="21"/>
              </w:rPr>
              <w:t>二十五、主动脉手</w:t>
            </w:r>
            <w:r>
              <w:rPr>
                <w:spacing w:val="-10"/>
                <w:sz w:val="21"/>
              </w:rPr>
              <w:t>术</w:t>
            </w:r>
          </w:p>
        </w:tc>
        <w:tc>
          <w:tcPr>
            <w:tcW w:w="6986" w:type="dxa"/>
          </w:tcPr>
          <w:p>
            <w:pPr>
              <w:pStyle w:val="11"/>
              <w:spacing w:before="20" w:line="278" w:lineRule="auto"/>
              <w:ind w:right="93"/>
              <w:jc w:val="both"/>
              <w:rPr>
                <w:rFonts w:ascii="黑体" w:eastAsia="黑体"/>
                <w:sz w:val="21"/>
              </w:rPr>
            </w:pPr>
            <w:r>
              <w:rPr>
                <w:spacing w:val="-2"/>
                <w:sz w:val="21"/>
              </w:rPr>
              <w:t>指为治疗主动脉疾病或主动脉创伤，已经实施了开胸（含胸腔镜下）或开腹（含腹腔镜下）进行的切除、置换、修补病损主动脉血管、主动脉创伤后修复的手术。主动脉指升主动脉、主动脉弓和降主动脉（含胸主动脉和腹主动脉</w:t>
            </w:r>
            <w:r>
              <w:rPr>
                <w:spacing w:val="-105"/>
                <w:sz w:val="21"/>
              </w:rPr>
              <w:t>）</w:t>
            </w:r>
            <w:r>
              <w:rPr>
                <w:spacing w:val="-2"/>
                <w:sz w:val="21"/>
              </w:rPr>
              <w:t>，</w:t>
            </w:r>
            <w:r>
              <w:rPr>
                <w:rFonts w:ascii="黑体" w:eastAsia="黑体"/>
                <w:spacing w:val="-2"/>
                <w:sz w:val="21"/>
              </w:rPr>
              <w:t>不包括升主动脉、主动脉弓和降主动脉的分支血管。</w:t>
            </w:r>
          </w:p>
          <w:p>
            <w:pPr>
              <w:pStyle w:val="11"/>
              <w:spacing w:line="268" w:lineRule="exact"/>
              <w:rPr>
                <w:rFonts w:ascii="黑体" w:eastAsia="黑体"/>
                <w:sz w:val="21"/>
              </w:rPr>
            </w:pPr>
            <w:r>
              <w:rPr>
                <w:rFonts w:ascii="黑体" w:eastAsia="黑体"/>
                <w:color w:val="000000"/>
                <w:spacing w:val="-1"/>
                <w:sz w:val="21"/>
                <w:shd w:val="clear" w:color="auto" w:fill="DADADA"/>
              </w:rPr>
              <w:t>所有未实施开胸或开腹的动脉内介入治疗不在保障范围内。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2"/>
              <w:ind w:left="0"/>
              <w:rPr>
                <w:sz w:val="18"/>
              </w:rPr>
            </w:pPr>
          </w:p>
          <w:p>
            <w:pPr>
              <w:pStyle w:val="11"/>
              <w:spacing w:line="278" w:lineRule="auto"/>
              <w:ind w:left="557" w:right="127" w:hanging="420"/>
              <w:rPr>
                <w:sz w:val="21"/>
              </w:rPr>
            </w:pPr>
            <w:r>
              <w:rPr>
                <w:spacing w:val="-2"/>
                <w:sz w:val="21"/>
              </w:rPr>
              <w:t>二十六、严重慢性</w:t>
            </w:r>
            <w:r>
              <w:rPr>
                <w:spacing w:val="-4"/>
                <w:sz w:val="21"/>
              </w:rPr>
              <w:t>呼吸衰竭</w:t>
            </w:r>
          </w:p>
        </w:tc>
        <w:tc>
          <w:tcPr>
            <w:tcW w:w="6986" w:type="dxa"/>
          </w:tcPr>
          <w:p>
            <w:pPr>
              <w:pStyle w:val="11"/>
              <w:spacing w:before="21"/>
              <w:rPr>
                <w:rFonts w:ascii="Times New Roman" w:eastAsia="Times New Roman"/>
                <w:sz w:val="21"/>
              </w:rPr>
            </w:pPr>
            <w:r>
              <w:rPr>
                <w:spacing w:val="1"/>
                <w:sz w:val="21"/>
              </w:rPr>
              <w:t xml:space="preserve">指因慢性呼吸系统疾病导致永久不可逆性的呼吸衰竭，经过积极治疗 </w:t>
            </w:r>
            <w:r>
              <w:rPr>
                <w:rFonts w:ascii="Times New Roman" w:eastAsia="Times New Roman"/>
                <w:spacing w:val="-5"/>
                <w:sz w:val="21"/>
              </w:rPr>
              <w:t>180</w:t>
            </w:r>
          </w:p>
          <w:p>
            <w:pPr>
              <w:pStyle w:val="11"/>
              <w:spacing w:before="43"/>
              <w:rPr>
                <w:sz w:val="21"/>
              </w:rPr>
            </w:pPr>
            <w:r>
              <w:rPr>
                <w:spacing w:val="-1"/>
                <w:sz w:val="21"/>
              </w:rPr>
              <w:t>天后满足以下所有条件：</w:t>
            </w:r>
          </w:p>
          <w:p>
            <w:pPr>
              <w:pStyle w:val="11"/>
              <w:numPr>
                <w:ilvl w:val="0"/>
                <w:numId w:val="43"/>
              </w:numPr>
              <w:tabs>
                <w:tab w:val="left" w:pos="458"/>
              </w:tabs>
              <w:spacing w:before="43" w:after="0" w:line="240" w:lineRule="auto"/>
              <w:ind w:left="457" w:right="0" w:hanging="352"/>
              <w:jc w:val="left"/>
              <w:rPr>
                <w:sz w:val="21"/>
              </w:rPr>
            </w:pPr>
            <w:r>
              <w:rPr>
                <w:w w:val="95"/>
                <w:sz w:val="21"/>
              </w:rPr>
              <w:t>静息时出现呼吸困难</w:t>
            </w:r>
            <w:r>
              <w:rPr>
                <w:spacing w:val="-10"/>
                <w:w w:val="95"/>
                <w:sz w:val="21"/>
              </w:rPr>
              <w:t>；</w:t>
            </w:r>
          </w:p>
          <w:p>
            <w:pPr>
              <w:pStyle w:val="11"/>
              <w:numPr>
                <w:ilvl w:val="0"/>
                <w:numId w:val="43"/>
              </w:numPr>
              <w:tabs>
                <w:tab w:val="left" w:pos="458"/>
              </w:tabs>
              <w:spacing w:before="43" w:after="0" w:line="240" w:lineRule="auto"/>
              <w:ind w:left="457" w:right="0" w:hanging="352"/>
              <w:jc w:val="left"/>
              <w:rPr>
                <w:rFonts w:ascii="Times New Roman" w:eastAsia="Times New Roman"/>
                <w:sz w:val="21"/>
              </w:rPr>
            </w:pPr>
            <w:r>
              <w:rPr>
                <w:w w:val="95"/>
                <w:sz w:val="21"/>
              </w:rPr>
              <w:t>肺功能第一秒用力呼气容积（</w:t>
            </w:r>
            <w:r>
              <w:rPr>
                <w:rFonts w:ascii="Times New Roman" w:eastAsia="Times New Roman"/>
                <w:w w:val="95"/>
                <w:sz w:val="21"/>
              </w:rPr>
              <w:t>FEV</w:t>
            </w:r>
            <w:r>
              <w:rPr>
                <w:rFonts w:ascii="Times New Roman" w:eastAsia="Times New Roman"/>
                <w:w w:val="95"/>
                <w:sz w:val="21"/>
                <w:vertAlign w:val="subscript"/>
              </w:rPr>
              <w:t>1</w:t>
            </w:r>
            <w:r>
              <w:rPr>
                <w:rFonts w:ascii="Times New Roman" w:eastAsia="Times New Roman"/>
                <w:w w:val="95"/>
                <w:sz w:val="21"/>
                <w:vertAlign w:val="baseline"/>
              </w:rPr>
              <w:t>)</w:t>
            </w:r>
            <w:r>
              <w:rPr>
                <w:w w:val="95"/>
                <w:sz w:val="21"/>
                <w:vertAlign w:val="baseline"/>
              </w:rPr>
              <w:t>占预计值的百分比</w:t>
            </w:r>
            <w:r>
              <w:rPr>
                <w:rFonts w:ascii="Times New Roman" w:eastAsia="Times New Roman"/>
                <w:spacing w:val="-2"/>
                <w:w w:val="95"/>
                <w:sz w:val="21"/>
                <w:vertAlign w:val="baseline"/>
              </w:rPr>
              <w:t>&lt;30%;</w:t>
            </w:r>
          </w:p>
          <w:p>
            <w:pPr>
              <w:pStyle w:val="11"/>
              <w:numPr>
                <w:ilvl w:val="0"/>
                <w:numId w:val="43"/>
              </w:numPr>
              <w:tabs>
                <w:tab w:val="left" w:pos="458"/>
              </w:tabs>
              <w:spacing w:before="43" w:after="0" w:line="240" w:lineRule="auto"/>
              <w:ind w:left="457" w:right="0" w:hanging="352"/>
              <w:jc w:val="left"/>
              <w:rPr>
                <w:sz w:val="21"/>
              </w:rPr>
            </w:pPr>
            <w:r>
              <w:rPr>
                <w:w w:val="95"/>
                <w:sz w:val="21"/>
              </w:rPr>
              <w:t>在静息状态、呼吸空气条件下，动脉血氧分压（</w:t>
            </w:r>
            <w:r>
              <w:rPr>
                <w:rFonts w:ascii="Times New Roman" w:eastAsia="Times New Roman"/>
                <w:w w:val="95"/>
                <w:sz w:val="21"/>
              </w:rPr>
              <w:t>PaO</w:t>
            </w:r>
            <w:r>
              <w:rPr>
                <w:rFonts w:ascii="Times New Roman" w:eastAsia="Times New Roman"/>
                <w:w w:val="95"/>
                <w:sz w:val="21"/>
                <w:vertAlign w:val="subscript"/>
              </w:rPr>
              <w:t>2</w:t>
            </w:r>
            <w:r>
              <w:rPr>
                <w:rFonts w:ascii="Times New Roman" w:eastAsia="Times New Roman"/>
                <w:w w:val="95"/>
                <w:sz w:val="21"/>
                <w:vertAlign w:val="baseline"/>
              </w:rPr>
              <w:t>)&lt;50mmHg</w:t>
            </w:r>
            <w:r>
              <w:rPr>
                <w:spacing w:val="-10"/>
                <w:w w:val="95"/>
                <w:sz w:val="21"/>
                <w:vertAlign w:val="baseli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76" w:line="278" w:lineRule="auto"/>
              <w:ind w:left="767" w:right="127" w:hanging="630"/>
              <w:rPr>
                <w:sz w:val="21"/>
              </w:rPr>
            </w:pPr>
            <w:r>
              <w:rPr>
                <w:spacing w:val="-2"/>
                <w:sz w:val="21"/>
              </w:rPr>
              <w:t>二十七、严重克罗</w:t>
            </w:r>
            <w:r>
              <w:rPr>
                <w:spacing w:val="-6"/>
                <w:sz w:val="21"/>
              </w:rPr>
              <w:t>恩病</w:t>
            </w:r>
          </w:p>
        </w:tc>
        <w:tc>
          <w:tcPr>
            <w:tcW w:w="6986" w:type="dxa"/>
          </w:tcPr>
          <w:p>
            <w:pPr>
              <w:pStyle w:val="11"/>
              <w:spacing w:before="20" w:line="278" w:lineRule="auto"/>
              <w:ind w:right="93"/>
              <w:rPr>
                <w:sz w:val="21"/>
              </w:rPr>
            </w:pPr>
            <w:r>
              <w:rPr>
                <w:sz w:val="21"/>
              </w:rPr>
              <w:t>指一种慢性肉芽肿性肠炎，具有特征性的克罗恩病（</w:t>
            </w:r>
            <w:r>
              <w:rPr>
                <w:rFonts w:ascii="Times New Roman" w:eastAsia="Times New Roman"/>
                <w:sz w:val="21"/>
              </w:rPr>
              <w:t>Crohn</w:t>
            </w:r>
            <w:r>
              <w:rPr>
                <w:rFonts w:ascii="Times New Roman" w:eastAsia="Times New Roman"/>
                <w:spacing w:val="53"/>
                <w:sz w:val="21"/>
              </w:rPr>
              <w:t xml:space="preserve"> </w:t>
            </w:r>
            <w:r>
              <w:rPr>
                <w:sz w:val="21"/>
              </w:rPr>
              <w:t>病）病理组织</w:t>
            </w:r>
            <w:r>
              <w:rPr>
                <w:spacing w:val="-1"/>
                <w:sz w:val="21"/>
              </w:rPr>
              <w:t>学变化，须根据组织病理学特点诊断，且已经造成瘘管形成并伴有肠梗阻</w:t>
            </w:r>
          </w:p>
          <w:p>
            <w:pPr>
              <w:pStyle w:val="11"/>
              <w:rPr>
                <w:sz w:val="21"/>
              </w:rPr>
            </w:pPr>
            <w:r>
              <w:rPr>
                <w:spacing w:val="-2"/>
                <w:sz w:val="21"/>
              </w:rPr>
              <w:t>或肠穿孔。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76" w:line="278" w:lineRule="auto"/>
              <w:ind w:left="557" w:right="127" w:hanging="420"/>
              <w:rPr>
                <w:sz w:val="21"/>
              </w:rPr>
            </w:pPr>
            <w:r>
              <w:rPr>
                <w:spacing w:val="-2"/>
                <w:sz w:val="21"/>
              </w:rPr>
              <w:t>二十八、严重溃疡</w:t>
            </w:r>
            <w:r>
              <w:rPr>
                <w:spacing w:val="-4"/>
                <w:sz w:val="21"/>
              </w:rPr>
              <w:t>性结肠炎</w:t>
            </w:r>
          </w:p>
        </w:tc>
        <w:tc>
          <w:tcPr>
            <w:tcW w:w="6986" w:type="dxa"/>
          </w:tcPr>
          <w:p>
            <w:pPr>
              <w:pStyle w:val="11"/>
              <w:spacing w:before="20"/>
              <w:rPr>
                <w:sz w:val="21"/>
              </w:rPr>
            </w:pPr>
            <w:r>
              <w:rPr>
                <w:spacing w:val="-1"/>
                <w:sz w:val="21"/>
              </w:rPr>
              <w:t>指伴有致命性电解质紊乱的急性暴发性溃疡性结肠炎，病变已经累及全结</w:t>
            </w:r>
          </w:p>
          <w:p>
            <w:pPr>
              <w:pStyle w:val="11"/>
              <w:spacing w:before="2" w:line="310" w:lineRule="atLeast"/>
              <w:ind w:right="93"/>
              <w:rPr>
                <w:sz w:val="21"/>
              </w:rPr>
            </w:pPr>
            <w:r>
              <w:rPr>
                <w:spacing w:val="-2"/>
                <w:sz w:val="21"/>
              </w:rPr>
              <w:t>肠，表现为严重的血便和系统性症状体征，须根据组织病理学特点诊断，且已经实施了结肠切除或回肠造瘘术。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2"/>
              <w:ind w:left="0"/>
              <w:rPr>
                <w:sz w:val="18"/>
              </w:rPr>
            </w:pPr>
          </w:p>
          <w:p>
            <w:pPr>
              <w:pStyle w:val="11"/>
              <w:spacing w:line="278" w:lineRule="auto"/>
              <w:ind w:left="107" w:right="88"/>
              <w:rPr>
                <w:sz w:val="21"/>
              </w:rPr>
            </w:pPr>
            <w:r>
              <w:rPr>
                <w:spacing w:val="-2"/>
                <w:sz w:val="21"/>
              </w:rPr>
              <w:t>二十九、植物人状</w:t>
            </w:r>
            <w:r>
              <w:rPr>
                <w:spacing w:val="-10"/>
                <w:sz w:val="21"/>
              </w:rPr>
              <w:t>态</w:t>
            </w:r>
          </w:p>
        </w:tc>
        <w:tc>
          <w:tcPr>
            <w:tcW w:w="6986" w:type="dxa"/>
          </w:tcPr>
          <w:p>
            <w:pPr>
              <w:pStyle w:val="11"/>
              <w:spacing w:before="21" w:line="278" w:lineRule="auto"/>
              <w:ind w:right="6"/>
              <w:rPr>
                <w:sz w:val="21"/>
              </w:rPr>
            </w:pPr>
            <w:r>
              <w:rPr>
                <w:sz w:val="21"/>
              </w:rPr>
              <w:t>指脑皮质广泛性坏死而导致对自身及周边的认知能力完全丧失，但脑干功</w:t>
            </w:r>
            <w:r>
              <w:rPr>
                <w:spacing w:val="2"/>
                <w:sz w:val="21"/>
              </w:rPr>
              <w:t>能依然存在。必须由神经专科医生明确诊断，并有头颅断层扫描</w:t>
            </w:r>
            <w:r>
              <w:rPr>
                <w:spacing w:val="3"/>
                <w:sz w:val="21"/>
              </w:rPr>
              <w:t>（</w:t>
            </w:r>
            <w:r>
              <w:rPr>
                <w:rFonts w:ascii="Times New Roman" w:eastAsia="Times New Roman"/>
                <w:sz w:val="21"/>
              </w:rPr>
              <w:t>C</w:t>
            </w:r>
            <w:r>
              <w:rPr>
                <w:rFonts w:ascii="Times New Roman" w:eastAsia="Times New Roman"/>
                <w:spacing w:val="2"/>
                <w:sz w:val="21"/>
              </w:rPr>
              <w:t>T</w:t>
            </w:r>
            <w:r>
              <w:rPr>
                <w:spacing w:val="-103"/>
                <w:sz w:val="21"/>
              </w:rPr>
              <w:t xml:space="preserve">），       </w:t>
            </w:r>
            <w:r>
              <w:rPr>
                <w:sz w:val="21"/>
              </w:rPr>
              <w:t>核磁共振检查（</w:t>
            </w:r>
            <w:r>
              <w:rPr>
                <w:rFonts w:ascii="Times New Roman" w:eastAsia="Times New Roman"/>
                <w:sz w:val="21"/>
              </w:rPr>
              <w:t>MR</w:t>
            </w:r>
            <w:r>
              <w:rPr>
                <w:rFonts w:ascii="Times New Roman" w:eastAsia="Times New Roman"/>
                <w:spacing w:val="-1"/>
                <w:sz w:val="21"/>
              </w:rPr>
              <w:t>I</w:t>
            </w:r>
            <w:r>
              <w:rPr>
                <w:sz w:val="21"/>
              </w:rPr>
              <w:t>）或正电子发射断层扫描（</w:t>
            </w:r>
            <w:r>
              <w:rPr>
                <w:rFonts w:ascii="Times New Roman" w:eastAsia="Times New Roman"/>
                <w:spacing w:val="-1"/>
                <w:w w:val="99"/>
                <w:sz w:val="21"/>
              </w:rPr>
              <w:t>P</w:t>
            </w:r>
            <w:r>
              <w:rPr>
                <w:rFonts w:ascii="Times New Roman" w:eastAsia="Times New Roman"/>
                <w:w w:val="99"/>
                <w:sz w:val="21"/>
              </w:rPr>
              <w:t>E</w:t>
            </w:r>
            <w:r>
              <w:rPr>
                <w:rFonts w:ascii="Times New Roman" w:eastAsia="Times New Roman"/>
                <w:sz w:val="21"/>
              </w:rPr>
              <w:t>T</w:t>
            </w:r>
            <w:r>
              <w:rPr>
                <w:sz w:val="21"/>
              </w:rPr>
              <w:t>）</w:t>
            </w:r>
            <w:r>
              <w:rPr>
                <w:spacing w:val="-2"/>
                <w:sz w:val="21"/>
              </w:rPr>
              <w:t>等影像学检查证实。</w:t>
            </w:r>
            <w:r>
              <w:rPr>
                <w:sz w:val="21"/>
              </w:rPr>
              <w:t>上述情况必须有至少一个月的病历记录加以证实。</w:t>
            </w:r>
          </w:p>
          <w:p>
            <w:pPr>
              <w:pStyle w:val="11"/>
              <w:spacing w:line="268" w:lineRule="exact"/>
              <w:rPr>
                <w:rFonts w:ascii="黑体" w:eastAsia="黑体"/>
                <w:sz w:val="21"/>
              </w:rPr>
            </w:pPr>
            <w:r>
              <w:rPr>
                <w:rFonts w:ascii="黑体" w:eastAsia="黑体"/>
                <w:color w:val="000000"/>
                <w:spacing w:val="-1"/>
                <w:sz w:val="21"/>
                <w:shd w:val="clear" w:color="auto" w:fill="DADADA"/>
              </w:rPr>
              <w:t>由于酗酒或滥用药物所致的植物人状态不在保障范围内。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三十、严重多发性</w:t>
            </w:r>
            <w:r>
              <w:rPr>
                <w:spacing w:val="-4"/>
                <w:sz w:val="21"/>
              </w:rPr>
              <w:t>硬化症</w:t>
            </w:r>
          </w:p>
        </w:tc>
        <w:tc>
          <w:tcPr>
            <w:tcW w:w="6986" w:type="dxa"/>
          </w:tcPr>
          <w:p>
            <w:pPr>
              <w:pStyle w:val="11"/>
              <w:spacing w:before="20" w:line="278" w:lineRule="auto"/>
              <w:ind w:right="93"/>
              <w:jc w:val="both"/>
              <w:rPr>
                <w:sz w:val="21"/>
              </w:rPr>
            </w:pPr>
            <w:r>
              <w:rPr>
                <w:spacing w:val="-5"/>
                <w:sz w:val="21"/>
              </w:rPr>
              <w:t>指因脑及脊髓内的脱髓鞘病变而出现神经系统多灶性</w:t>
            </w:r>
            <w:r>
              <w:rPr>
                <w:spacing w:val="-2"/>
                <w:sz w:val="21"/>
              </w:rPr>
              <w:t>（多发性</w:t>
            </w:r>
            <w:r>
              <w:rPr>
                <w:spacing w:val="-53"/>
                <w:sz w:val="21"/>
              </w:rPr>
              <w:t>）</w:t>
            </w:r>
            <w:r>
              <w:rPr>
                <w:spacing w:val="-19"/>
                <w:sz w:val="21"/>
              </w:rPr>
              <w:t>多时相</w:t>
            </w:r>
            <w:r>
              <w:rPr>
                <w:spacing w:val="-2"/>
                <w:sz w:val="21"/>
              </w:rPr>
              <w:t>（至</w:t>
            </w:r>
            <w:r>
              <w:rPr>
                <w:spacing w:val="-14"/>
                <w:sz w:val="21"/>
              </w:rPr>
              <w:t xml:space="preserve">少 </w:t>
            </w:r>
            <w:r>
              <w:rPr>
                <w:rFonts w:ascii="Times New Roman" w:eastAsia="Times New Roman"/>
                <w:sz w:val="21"/>
              </w:rPr>
              <w:t>6</w:t>
            </w:r>
            <w:r>
              <w:rPr>
                <w:rFonts w:ascii="Times New Roman" w:eastAsia="Times New Roman"/>
                <w:spacing w:val="-9"/>
                <w:sz w:val="21"/>
              </w:rPr>
              <w:t xml:space="preserve"> </w:t>
            </w:r>
            <w:r>
              <w:rPr>
                <w:sz w:val="21"/>
              </w:rPr>
              <w:t>个月以内有一次以上（不包含一次）的发作）的病变，须由计算机断</w:t>
            </w:r>
            <w:r>
              <w:rPr>
                <w:spacing w:val="-6"/>
                <w:sz w:val="21"/>
              </w:rPr>
              <w:t>层扫描</w:t>
            </w:r>
            <w:r>
              <w:rPr>
                <w:spacing w:val="20"/>
                <w:sz w:val="21"/>
              </w:rPr>
              <w:t>（</w:t>
            </w:r>
            <w:r>
              <w:rPr>
                <w:rFonts w:ascii="Times New Roman" w:eastAsia="Times New Roman"/>
                <w:spacing w:val="20"/>
                <w:sz w:val="21"/>
              </w:rPr>
              <w:t>CT</w:t>
            </w:r>
            <w:r>
              <w:rPr>
                <w:spacing w:val="-86"/>
                <w:sz w:val="21"/>
              </w:rPr>
              <w:t>）</w:t>
            </w:r>
            <w:r>
              <w:rPr>
                <w:spacing w:val="-6"/>
                <w:sz w:val="21"/>
              </w:rPr>
              <w:t>、核磁共振检查（</w:t>
            </w:r>
            <w:r>
              <w:rPr>
                <w:rFonts w:ascii="Times New Roman" w:eastAsia="Times New Roman"/>
                <w:spacing w:val="-6"/>
                <w:sz w:val="21"/>
              </w:rPr>
              <w:t>MRI</w:t>
            </w:r>
            <w:r>
              <w:rPr>
                <w:spacing w:val="-6"/>
                <w:sz w:val="21"/>
              </w:rPr>
              <w:t>）或正电子发射断层扫描（</w:t>
            </w:r>
            <w:r>
              <w:rPr>
                <w:rFonts w:ascii="Times New Roman" w:eastAsia="Times New Roman"/>
                <w:spacing w:val="-6"/>
                <w:sz w:val="21"/>
              </w:rPr>
              <w:t>PET</w:t>
            </w:r>
            <w:r>
              <w:rPr>
                <w:spacing w:val="-6"/>
                <w:sz w:val="21"/>
              </w:rPr>
              <w:t>）等影</w:t>
            </w:r>
            <w:r>
              <w:rPr>
                <w:spacing w:val="-1"/>
                <w:sz w:val="21"/>
              </w:rPr>
              <w:t>像学检查证实，且已经造成自主生活能力完全丧失，无法独立完成六项基</w:t>
            </w:r>
          </w:p>
          <w:p>
            <w:pPr>
              <w:pStyle w:val="11"/>
              <w:spacing w:line="269" w:lineRule="exact"/>
              <w:jc w:val="both"/>
              <w:rPr>
                <w:sz w:val="21"/>
              </w:rPr>
            </w:pPr>
            <w:r>
              <w:rPr>
                <w:spacing w:val="-3"/>
                <w:sz w:val="21"/>
              </w:rPr>
              <w:t xml:space="preserve">本日常生活活动中的三项或三项以上，持续至少 </w:t>
            </w:r>
            <w:r>
              <w:rPr>
                <w:rFonts w:ascii="Times New Roman" w:eastAsia="Times New Roman"/>
                <w:sz w:val="21"/>
              </w:rPr>
              <w:t>180</w:t>
            </w:r>
            <w:r>
              <w:rPr>
                <w:rFonts w:ascii="Times New Roman" w:eastAsia="Times New Roman"/>
                <w:spacing w:val="-1"/>
                <w:sz w:val="21"/>
              </w:rPr>
              <w:t xml:space="preserve"> </w:t>
            </w:r>
            <w:r>
              <w:rPr>
                <w:spacing w:val="-6"/>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三十一、严重心肌</w:t>
            </w:r>
            <w:r>
              <w:rPr>
                <w:spacing w:val="-10"/>
                <w:sz w:val="21"/>
              </w:rPr>
              <w:t>病</w:t>
            </w:r>
          </w:p>
        </w:tc>
        <w:tc>
          <w:tcPr>
            <w:tcW w:w="6986" w:type="dxa"/>
          </w:tcPr>
          <w:p>
            <w:pPr>
              <w:pStyle w:val="11"/>
              <w:spacing w:before="20" w:line="278" w:lineRule="auto"/>
              <w:ind w:right="42"/>
              <w:jc w:val="both"/>
              <w:rPr>
                <w:sz w:val="21"/>
              </w:rPr>
            </w:pPr>
            <w:r>
              <w:rPr>
                <w:spacing w:val="-2"/>
                <w:sz w:val="21"/>
              </w:rPr>
              <w:t xml:space="preserve">指不明原因引起的一类心肌病变，包括原发性扩张型心肌病、原发性肥厚型心肌病及原发性限制型心肌病三种，病变必须已造成事实上心室功能障碍而出现明显的心功能衰竭（美国纽约心脏协会心功能分类标准心功能达 </w:t>
            </w:r>
            <w:r>
              <w:rPr>
                <w:color w:val="303030"/>
                <w:sz w:val="21"/>
              </w:rPr>
              <w:t>Ⅳ</w:t>
            </w:r>
            <w:r>
              <w:rPr>
                <w:sz w:val="21"/>
              </w:rPr>
              <w:t>级</w:t>
            </w:r>
            <w:r>
              <w:rPr>
                <w:spacing w:val="-105"/>
                <w:sz w:val="21"/>
              </w:rPr>
              <w:t>）</w:t>
            </w:r>
            <w:r>
              <w:rPr>
                <w:sz w:val="21"/>
              </w:rPr>
              <w:t>，且有相关住院医疗记录显示</w:t>
            </w:r>
            <w:r>
              <w:rPr>
                <w:color w:val="303030"/>
                <w:sz w:val="21"/>
              </w:rPr>
              <w:t>Ⅳ</w:t>
            </w:r>
            <w:r>
              <w:rPr>
                <w:spacing w:val="-5"/>
                <w:sz w:val="21"/>
              </w:rPr>
              <w:t xml:space="preserve">级心功能衰竭状态持续至少 </w:t>
            </w:r>
            <w:r>
              <w:rPr>
                <w:rFonts w:ascii="Times New Roman" w:hAnsi="Times New Roman" w:eastAsia="Times New Roman"/>
                <w:sz w:val="21"/>
              </w:rPr>
              <w:t>180</w:t>
            </w:r>
            <w:r>
              <w:rPr>
                <w:rFonts w:ascii="Times New Roman" w:hAnsi="Times New Roman" w:eastAsia="Times New Roman"/>
                <w:spacing w:val="-4"/>
                <w:sz w:val="21"/>
              </w:rPr>
              <w:t xml:space="preserve"> </w:t>
            </w:r>
            <w:r>
              <w:rPr>
                <w:spacing w:val="-5"/>
                <w:sz w:val="21"/>
              </w:rPr>
              <w:t>天。</w:t>
            </w:r>
          </w:p>
          <w:p>
            <w:pPr>
              <w:pStyle w:val="11"/>
              <w:spacing w:line="269" w:lineRule="exact"/>
              <w:rPr>
                <w:rFonts w:ascii="黑体" w:eastAsia="黑体"/>
                <w:sz w:val="21"/>
              </w:rPr>
            </w:pPr>
            <w:r>
              <w:rPr>
                <w:rFonts w:ascii="黑体" w:eastAsia="黑体"/>
                <w:color w:val="000000"/>
                <w:spacing w:val="-1"/>
                <w:sz w:val="21"/>
                <w:shd w:val="clear" w:color="auto" w:fill="DADADA"/>
              </w:rPr>
              <w:t>继发于全身性疾病或其他器官系统疾病造成的心肌病变不在保障范围内。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ind w:left="0"/>
              <w:rPr>
                <w:sz w:val="20"/>
              </w:rPr>
            </w:pPr>
          </w:p>
          <w:p>
            <w:pPr>
              <w:pStyle w:val="11"/>
              <w:spacing w:before="133" w:line="278" w:lineRule="auto"/>
              <w:ind w:left="107" w:right="88"/>
              <w:rPr>
                <w:sz w:val="21"/>
              </w:rPr>
            </w:pPr>
            <w:r>
              <w:rPr>
                <w:spacing w:val="-2"/>
                <w:sz w:val="21"/>
              </w:rPr>
              <w:t>三十二、严重类风湿性关节炎</w:t>
            </w:r>
          </w:p>
        </w:tc>
        <w:tc>
          <w:tcPr>
            <w:tcW w:w="6986" w:type="dxa"/>
          </w:tcPr>
          <w:p>
            <w:pPr>
              <w:pStyle w:val="11"/>
              <w:spacing w:before="21" w:line="278" w:lineRule="auto"/>
              <w:ind w:right="93"/>
              <w:jc w:val="both"/>
              <w:rPr>
                <w:sz w:val="21"/>
              </w:rPr>
            </w:pPr>
            <w:r>
              <w:rPr>
                <w:spacing w:val="-2"/>
                <w:sz w:val="21"/>
              </w:rPr>
              <w:t>类风湿性关节炎为广泛分布的慢性进行性多关节病变，表现为关节严重变</w:t>
            </w:r>
            <w:r>
              <w:rPr>
                <w:spacing w:val="-6"/>
                <w:sz w:val="21"/>
              </w:rPr>
              <w:t>形，侵犯至少三个主要关节或关节组（如：双手（多手指）关节、双足（多</w:t>
            </w:r>
            <w:r>
              <w:rPr>
                <w:spacing w:val="-2"/>
                <w:sz w:val="21"/>
              </w:rPr>
              <w:t>足趾）关节、双腕关节、双膝关节和双髋关节</w:t>
            </w:r>
            <w:r>
              <w:rPr>
                <w:spacing w:val="-106"/>
                <w:sz w:val="21"/>
              </w:rPr>
              <w:t>）</w:t>
            </w:r>
            <w:r>
              <w:rPr>
                <w:spacing w:val="-2"/>
                <w:sz w:val="21"/>
              </w:rPr>
              <w:t>。类风湿性关节炎必须明确诊断并且已经达到类风湿性关节炎功能分级Ⅲ级以上的功能障碍（关节活</w:t>
            </w:r>
            <w:r>
              <w:rPr>
                <w:sz w:val="21"/>
              </w:rPr>
              <w:t>动严重限制，不能完成大部分的日常工作和活动）</w:t>
            </w:r>
            <w:r>
              <w:rPr>
                <w:spacing w:val="-1"/>
                <w:sz w:val="21"/>
              </w:rPr>
              <w:t>并且自主生活能力完全</w:t>
            </w:r>
          </w:p>
          <w:p>
            <w:pPr>
              <w:pStyle w:val="11"/>
              <w:spacing w:line="269" w:lineRule="exact"/>
              <w:rPr>
                <w:sz w:val="21"/>
              </w:rPr>
            </w:pPr>
            <w:r>
              <w:rPr>
                <w:spacing w:val="-1"/>
                <w:sz w:val="21"/>
              </w:rPr>
              <w:t>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sz w:val="20"/>
              </w:rPr>
            </w:pPr>
          </w:p>
          <w:p>
            <w:pPr>
              <w:pStyle w:val="11"/>
              <w:spacing w:before="1"/>
              <w:ind w:left="0"/>
              <w:rPr>
                <w:sz w:val="18"/>
              </w:rPr>
            </w:pPr>
          </w:p>
          <w:p>
            <w:pPr>
              <w:pStyle w:val="11"/>
              <w:spacing w:line="278" w:lineRule="auto"/>
              <w:ind w:left="107" w:right="52"/>
              <w:jc w:val="both"/>
              <w:rPr>
                <w:sz w:val="21"/>
              </w:rPr>
            </w:pPr>
            <w:r>
              <w:rPr>
                <w:spacing w:val="-2"/>
                <w:sz w:val="21"/>
              </w:rPr>
              <w:t>三十三、系统性红</w:t>
            </w:r>
            <w:r>
              <w:rPr>
                <w:spacing w:val="-6"/>
                <w:sz w:val="21"/>
              </w:rPr>
              <w:t>斑狼疮 －</w:t>
            </w:r>
            <w:r>
              <w:rPr>
                <w:sz w:val="21"/>
              </w:rPr>
              <w:t xml:space="preserve">（并发） </w:t>
            </w:r>
            <w:r>
              <w:rPr>
                <w:spacing w:val="-2"/>
                <w:sz w:val="21"/>
              </w:rPr>
              <w:t>Ⅲ型或以上狼疮性</w:t>
            </w:r>
            <w:r>
              <w:rPr>
                <w:spacing w:val="-6"/>
                <w:sz w:val="21"/>
              </w:rPr>
              <w:t>肾炎</w:t>
            </w:r>
          </w:p>
        </w:tc>
        <w:tc>
          <w:tcPr>
            <w:tcW w:w="6986" w:type="dxa"/>
          </w:tcPr>
          <w:p>
            <w:pPr>
              <w:pStyle w:val="11"/>
              <w:spacing w:before="20" w:line="278" w:lineRule="auto"/>
              <w:ind w:right="93"/>
              <w:rPr>
                <w:sz w:val="21"/>
              </w:rPr>
            </w:pPr>
            <w:r>
              <w:rPr>
                <w:spacing w:val="-2"/>
                <w:sz w:val="21"/>
              </w:rPr>
              <w:t>系统性红斑狼疮是由多种因素引起，累及多系统的自身免疫性疾病。其特点是生成自身抗体对抗多种自身抗原。多见于育龄妇女。</w:t>
            </w:r>
          </w:p>
          <w:p>
            <w:pPr>
              <w:pStyle w:val="11"/>
              <w:spacing w:line="278" w:lineRule="auto"/>
              <w:ind w:right="-15"/>
              <w:rPr>
                <w:sz w:val="21"/>
              </w:rPr>
            </w:pPr>
            <w:r>
              <w:rPr>
                <w:spacing w:val="-2"/>
                <w:sz w:val="21"/>
              </w:rPr>
              <w:t xml:space="preserve">本合同所指的系统性红斑狼疮仅限于累及肾脏（经肾脏活检确认的，符合 </w:t>
            </w:r>
            <w:r>
              <w:rPr>
                <w:rFonts w:ascii="Times New Roman" w:hAnsi="Times New Roman" w:eastAsia="Times New Roman"/>
                <w:sz w:val="21"/>
              </w:rPr>
              <w:t>WHO</w:t>
            </w:r>
            <w:r>
              <w:rPr>
                <w:rFonts w:ascii="Times New Roman" w:hAnsi="Times New Roman" w:eastAsia="Times New Roman"/>
                <w:spacing w:val="25"/>
                <w:sz w:val="21"/>
              </w:rPr>
              <w:t xml:space="preserve"> </w:t>
            </w:r>
            <w:r>
              <w:rPr>
                <w:spacing w:val="-1"/>
                <w:sz w:val="21"/>
              </w:rPr>
              <w:t xml:space="preserve">诊断标准定义Ⅲ型至 </w:t>
            </w:r>
            <w:r>
              <w:rPr>
                <w:rFonts w:ascii="Times New Roman" w:hAnsi="Times New Roman" w:eastAsia="Times New Roman"/>
                <w:sz w:val="21"/>
              </w:rPr>
              <w:t>V</w:t>
            </w:r>
            <w:r>
              <w:rPr>
                <w:rFonts w:ascii="Times New Roman" w:hAnsi="Times New Roman" w:eastAsia="Times New Roman"/>
                <w:spacing w:val="26"/>
                <w:sz w:val="21"/>
              </w:rPr>
              <w:t xml:space="preserve"> </w:t>
            </w:r>
            <w:r>
              <w:rPr>
                <w:sz w:val="21"/>
              </w:rPr>
              <w:t>型狼疮性肾炎）的系统性红斑狼疮。</w:t>
            </w:r>
            <w:r>
              <w:rPr>
                <w:rFonts w:ascii="黑体" w:hAnsi="黑体" w:eastAsia="黑体"/>
                <w:color w:val="000000"/>
                <w:sz w:val="21"/>
                <w:shd w:val="clear" w:color="auto" w:fill="DADADA"/>
              </w:rPr>
              <w:t>其他类</w:t>
            </w:r>
            <w:r>
              <w:rPr>
                <w:rFonts w:ascii="黑体" w:hAnsi="黑体" w:eastAsia="黑体"/>
                <w:color w:val="000000"/>
                <w:spacing w:val="80"/>
                <w:w w:val="150"/>
                <w:sz w:val="21"/>
                <w:shd w:val="clear" w:color="auto" w:fill="DADADA"/>
              </w:rPr>
              <w:t xml:space="preserve">                                     </w:t>
            </w:r>
            <w:r>
              <w:rPr>
                <w:rFonts w:ascii="黑体" w:hAnsi="黑体" w:eastAsia="黑体"/>
                <w:color w:val="000000"/>
                <w:spacing w:val="-2"/>
                <w:sz w:val="21"/>
                <w:shd w:val="clear" w:color="auto" w:fill="DADADA"/>
              </w:rPr>
              <w:t>型的红斑性狼疮，如盘状狼疮、仅累及血液及关节的狼疮不在保障范围内。</w:t>
            </w:r>
            <w:r>
              <w:rPr>
                <w:color w:val="000000"/>
                <w:spacing w:val="-2"/>
                <w:sz w:val="21"/>
              </w:rPr>
              <w:t>本病必须由免疫和风湿科专家医师确诊。</w:t>
            </w:r>
          </w:p>
          <w:p>
            <w:pPr>
              <w:pStyle w:val="11"/>
              <w:spacing w:line="269" w:lineRule="exact"/>
              <w:rPr>
                <w:sz w:val="21"/>
              </w:rPr>
            </w:pPr>
            <w:r>
              <w:rPr>
                <w:w w:val="95"/>
                <w:sz w:val="21"/>
              </w:rPr>
              <w:t>世界卫生组织（</w:t>
            </w:r>
            <w:r>
              <w:rPr>
                <w:rFonts w:ascii="Times New Roman" w:eastAsia="Times New Roman"/>
                <w:w w:val="95"/>
                <w:sz w:val="21"/>
              </w:rPr>
              <w:t>WHO</w:t>
            </w:r>
            <w:r>
              <w:rPr>
                <w:w w:val="95"/>
                <w:sz w:val="21"/>
              </w:rPr>
              <w:t>）狼疮性肾炎分型</w:t>
            </w:r>
            <w:r>
              <w:rPr>
                <w:spacing w:val="-10"/>
                <w:w w:val="95"/>
                <w:sz w:val="21"/>
              </w:rPr>
              <w:t>：</w:t>
            </w:r>
          </w:p>
        </w:tc>
      </w:tr>
    </w:tbl>
    <w:p>
      <w:pPr>
        <w:spacing w:after="0" w:line="269" w:lineRule="exact"/>
        <w:rPr>
          <w:sz w:val="21"/>
        </w:rPr>
        <w:sectPr>
          <w:type w:val="continuous"/>
          <w:pgSz w:w="11910" w:h="16840"/>
          <w:pgMar w:top="1420" w:right="1160" w:bottom="148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rFonts w:ascii="Times New Roman"/>
                <w:sz w:val="20"/>
              </w:rPr>
            </w:pPr>
          </w:p>
        </w:tc>
        <w:tc>
          <w:tcPr>
            <w:tcW w:w="6986" w:type="dxa"/>
          </w:tcPr>
          <w:p>
            <w:pPr>
              <w:pStyle w:val="11"/>
              <w:tabs>
                <w:tab w:val="left" w:pos="2732"/>
              </w:tabs>
              <w:spacing w:before="20" w:line="278" w:lineRule="auto"/>
              <w:ind w:right="404"/>
              <w:rPr>
                <w:sz w:val="21"/>
              </w:rPr>
            </w:pPr>
            <w:r>
              <w:rPr>
                <w:spacing w:val="-2"/>
                <w:sz w:val="21"/>
              </w:rPr>
              <w:t>Ⅰ型（微小病变型）</w:t>
            </w:r>
            <w:r>
              <w:rPr>
                <w:sz w:val="21"/>
              </w:rPr>
              <w:tab/>
            </w:r>
            <w:r>
              <w:rPr>
                <w:spacing w:val="-2"/>
                <w:sz w:val="21"/>
              </w:rPr>
              <w:t>镜下阴性，尿液正常</w:t>
            </w:r>
            <w:r>
              <w:rPr>
                <w:spacing w:val="80"/>
                <w:w w:val="150"/>
                <w:sz w:val="21"/>
              </w:rPr>
              <w:t xml:space="preserve">        </w:t>
            </w:r>
            <w:r>
              <w:rPr>
                <w:spacing w:val="-2"/>
                <w:sz w:val="21"/>
              </w:rPr>
              <w:t>Ⅱ型（系膜病变型）</w:t>
            </w:r>
            <w:r>
              <w:rPr>
                <w:sz w:val="21"/>
              </w:rPr>
              <w:tab/>
            </w:r>
            <w:r>
              <w:rPr>
                <w:spacing w:val="-2"/>
                <w:sz w:val="21"/>
              </w:rPr>
              <w:t>中度蛋白尿，偶有尿沉渣改变</w:t>
            </w:r>
            <w:r>
              <w:rPr>
                <w:spacing w:val="80"/>
                <w:w w:val="150"/>
                <w:sz w:val="21"/>
              </w:rPr>
              <w:t xml:space="preserve">     </w:t>
            </w:r>
            <w:r>
              <w:rPr>
                <w:sz w:val="21"/>
              </w:rPr>
              <w:t>Ⅲ型（局灶及节段增生型）</w:t>
            </w:r>
            <w:r>
              <w:rPr>
                <w:spacing w:val="60"/>
                <w:w w:val="150"/>
                <w:sz w:val="21"/>
              </w:rPr>
              <w:t xml:space="preserve">        </w:t>
            </w:r>
            <w:r>
              <w:rPr>
                <w:sz w:val="21"/>
              </w:rPr>
              <w:t>蛋白尿，尿沉渣改变</w:t>
            </w:r>
            <w:r>
              <w:rPr>
                <w:spacing w:val="80"/>
                <w:sz w:val="21"/>
              </w:rPr>
              <w:t xml:space="preserve"> </w:t>
            </w:r>
            <w:r>
              <w:rPr>
                <w:spacing w:val="-2"/>
                <w:sz w:val="21"/>
              </w:rPr>
              <w:t>Ⅳ型（弥漫增生型）</w:t>
            </w:r>
            <w:r>
              <w:rPr>
                <w:sz w:val="21"/>
              </w:rPr>
              <w:tab/>
            </w:r>
            <w:r>
              <w:rPr>
                <w:spacing w:val="-2"/>
                <w:sz w:val="21"/>
              </w:rPr>
              <w:t>急性肾炎伴有尿沉渣改变及</w:t>
            </w:r>
            <w:r>
              <w:rPr>
                <w:rFonts w:ascii="Times New Roman" w:hAnsi="Times New Roman" w:eastAsia="Times New Roman"/>
                <w:spacing w:val="-2"/>
                <w:sz w:val="21"/>
              </w:rPr>
              <w:t>/</w:t>
            </w:r>
            <w:r>
              <w:rPr>
                <w:spacing w:val="-2"/>
                <w:sz w:val="21"/>
              </w:rPr>
              <w:t>或肾病综合征</w:t>
            </w:r>
          </w:p>
          <w:p>
            <w:pPr>
              <w:pStyle w:val="11"/>
              <w:tabs>
                <w:tab w:val="left" w:pos="2732"/>
              </w:tabs>
              <w:spacing w:line="269" w:lineRule="exact"/>
              <w:rPr>
                <w:sz w:val="21"/>
              </w:rPr>
            </w:pPr>
            <w:r>
              <w:rPr>
                <w:sz w:val="21"/>
              </w:rPr>
              <w:t>Ⅴ型（膜型</w:t>
            </w:r>
            <w:r>
              <w:rPr>
                <w:spacing w:val="-10"/>
                <w:sz w:val="21"/>
              </w:rPr>
              <w:t>）</w:t>
            </w:r>
            <w:r>
              <w:rPr>
                <w:sz w:val="21"/>
              </w:rPr>
              <w:tab/>
            </w:r>
            <w:r>
              <w:rPr>
                <w:spacing w:val="-2"/>
                <w:sz w:val="21"/>
              </w:rPr>
              <w:t>肾病综合征或重度蛋白</w:t>
            </w:r>
            <w:r>
              <w:rPr>
                <w:spacing w:val="-10"/>
                <w:sz w:val="21"/>
              </w:rPr>
              <w:t>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ind w:left="0"/>
              <w:rPr>
                <w:sz w:val="20"/>
              </w:rPr>
            </w:pPr>
          </w:p>
          <w:p>
            <w:pPr>
              <w:pStyle w:val="11"/>
              <w:spacing w:before="133"/>
              <w:ind w:left="107"/>
              <w:rPr>
                <w:sz w:val="21"/>
              </w:rPr>
            </w:pPr>
            <w:r>
              <w:rPr>
                <w:spacing w:val="18"/>
                <w:sz w:val="21"/>
              </w:rPr>
              <w:t>三十四、 全身性</w:t>
            </w:r>
            <w:r>
              <w:rPr>
                <w:spacing w:val="-10"/>
                <w:sz w:val="21"/>
              </w:rPr>
              <w:t xml:space="preserve"> </w:t>
            </w:r>
          </w:p>
          <w:p>
            <w:pPr>
              <w:pStyle w:val="11"/>
              <w:spacing w:before="43"/>
              <w:ind w:left="107"/>
              <w:rPr>
                <w:sz w:val="21"/>
              </w:rPr>
            </w:pPr>
            <w:r>
              <w:rPr>
                <w:sz w:val="21"/>
              </w:rPr>
              <w:t>（型）</w:t>
            </w:r>
            <w:r>
              <w:rPr>
                <w:spacing w:val="-2"/>
                <w:sz w:val="21"/>
              </w:rPr>
              <w:t>重症肌无力</w:t>
            </w:r>
          </w:p>
        </w:tc>
        <w:tc>
          <w:tcPr>
            <w:tcW w:w="6986" w:type="dxa"/>
          </w:tcPr>
          <w:p>
            <w:pPr>
              <w:pStyle w:val="11"/>
              <w:spacing w:before="21" w:line="278" w:lineRule="auto"/>
              <w:ind w:right="93"/>
              <w:jc w:val="both"/>
              <w:rPr>
                <w:sz w:val="21"/>
              </w:rPr>
            </w:pPr>
            <w:r>
              <w:rPr>
                <w:spacing w:val="-9"/>
                <w:sz w:val="21"/>
              </w:rPr>
              <w:t>是指一种神经肌肉接头传递障碍所致的疾病，表现为局部或全身骨骼肌</w:t>
            </w:r>
            <w:r>
              <w:rPr>
                <w:spacing w:val="-2"/>
                <w:sz w:val="21"/>
              </w:rPr>
              <w:t>（特别是眼外肌）极易疲劳。疾病可以累及呼吸肌、上肢或下肢的近端肌群或全身肌肉，必须满足下列全部条件：</w:t>
            </w:r>
          </w:p>
          <w:p>
            <w:pPr>
              <w:pStyle w:val="11"/>
              <w:numPr>
                <w:ilvl w:val="0"/>
                <w:numId w:val="44"/>
              </w:numPr>
              <w:tabs>
                <w:tab w:val="left" w:pos="634"/>
              </w:tabs>
              <w:spacing w:before="0" w:after="0" w:line="269" w:lineRule="exact"/>
              <w:ind w:left="633" w:right="0" w:hanging="528"/>
              <w:jc w:val="left"/>
              <w:rPr>
                <w:sz w:val="21"/>
              </w:rPr>
            </w:pPr>
            <w:r>
              <w:rPr>
                <w:spacing w:val="-3"/>
                <w:sz w:val="21"/>
              </w:rPr>
              <w:t>经药物治疗和胸腺切除治疗一年以上仍无法控制病情；</w:t>
            </w:r>
          </w:p>
          <w:p>
            <w:pPr>
              <w:pStyle w:val="11"/>
              <w:numPr>
                <w:ilvl w:val="0"/>
                <w:numId w:val="44"/>
              </w:numPr>
              <w:tabs>
                <w:tab w:val="left" w:pos="634"/>
              </w:tabs>
              <w:spacing w:before="2" w:after="0" w:line="310" w:lineRule="atLeast"/>
              <w:ind w:left="106" w:right="96" w:firstLine="0"/>
              <w:jc w:val="left"/>
              <w:rPr>
                <w:sz w:val="21"/>
              </w:rPr>
            </w:pPr>
            <w:r>
              <w:rPr>
                <w:spacing w:val="-3"/>
                <w:sz w:val="21"/>
              </w:rPr>
              <w:t>自主生活能力完全丧失，无法独立完成六项基本日常生活活动中的</w:t>
            </w:r>
            <w:r>
              <w:rPr>
                <w:spacing w:val="-4"/>
                <w:sz w:val="21"/>
              </w:rPr>
              <w:t>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107" w:right="88"/>
              <w:rPr>
                <w:sz w:val="21"/>
              </w:rPr>
            </w:pPr>
            <w:r>
              <w:rPr>
                <w:spacing w:val="-2"/>
                <w:sz w:val="21"/>
              </w:rPr>
              <w:t>三十五、重症急性坏死性筋膜炎</w:t>
            </w:r>
          </w:p>
        </w:tc>
        <w:tc>
          <w:tcPr>
            <w:tcW w:w="6986" w:type="dxa"/>
          </w:tcPr>
          <w:p>
            <w:pPr>
              <w:pStyle w:val="11"/>
              <w:spacing w:before="20" w:line="278" w:lineRule="auto"/>
              <w:ind w:right="93"/>
              <w:jc w:val="both"/>
              <w:rPr>
                <w:sz w:val="21"/>
              </w:rPr>
            </w:pPr>
            <w:r>
              <w:rPr>
                <w:spacing w:val="-2"/>
                <w:sz w:val="21"/>
              </w:rPr>
              <w:t>是一种由细菌侵入皮下组织和筋膜引起的急性坏死性软组织感染，可伴有毒血症、败血症、中毒性休克、弥漫性血管内凝血及多器官衰竭。必须满足以下所有条件：</w:t>
            </w:r>
          </w:p>
          <w:p>
            <w:pPr>
              <w:pStyle w:val="11"/>
              <w:numPr>
                <w:ilvl w:val="0"/>
                <w:numId w:val="45"/>
              </w:numPr>
              <w:tabs>
                <w:tab w:val="left" w:pos="634"/>
              </w:tabs>
              <w:spacing w:before="0" w:after="0" w:line="240" w:lineRule="auto"/>
              <w:ind w:left="633" w:right="0" w:hanging="528"/>
              <w:jc w:val="left"/>
              <w:rPr>
                <w:sz w:val="21"/>
              </w:rPr>
            </w:pPr>
            <w:r>
              <w:rPr>
                <w:spacing w:val="-3"/>
                <w:sz w:val="21"/>
              </w:rPr>
              <w:t>细菌培养和临床表现符合坏死性筋膜炎诊断标准；</w:t>
            </w:r>
          </w:p>
          <w:p>
            <w:pPr>
              <w:pStyle w:val="11"/>
              <w:numPr>
                <w:ilvl w:val="0"/>
                <w:numId w:val="45"/>
              </w:numPr>
              <w:tabs>
                <w:tab w:val="left" w:pos="634"/>
              </w:tabs>
              <w:spacing w:before="43" w:after="0" w:line="240" w:lineRule="auto"/>
              <w:ind w:left="633" w:right="0" w:hanging="528"/>
              <w:jc w:val="left"/>
              <w:rPr>
                <w:sz w:val="21"/>
              </w:rPr>
            </w:pPr>
            <w:r>
              <w:rPr>
                <w:spacing w:val="-3"/>
                <w:sz w:val="21"/>
              </w:rPr>
              <w:t>病情迅速恶化，有脓毒血症表现；</w:t>
            </w:r>
          </w:p>
          <w:p>
            <w:pPr>
              <w:pStyle w:val="11"/>
              <w:numPr>
                <w:ilvl w:val="0"/>
                <w:numId w:val="45"/>
              </w:numPr>
              <w:tabs>
                <w:tab w:val="left" w:pos="634"/>
              </w:tabs>
              <w:spacing w:before="43" w:after="0" w:line="240" w:lineRule="auto"/>
              <w:ind w:left="633" w:right="0" w:hanging="528"/>
              <w:jc w:val="left"/>
              <w:rPr>
                <w:sz w:val="21"/>
              </w:rPr>
            </w:pPr>
            <w:r>
              <w:rPr>
                <w:spacing w:val="-2"/>
                <w:sz w:val="21"/>
              </w:rPr>
              <w:t>受感染肢体被截肢（自腕关节或踝关节近端</w:t>
            </w:r>
            <w:r>
              <w:rPr>
                <w:spacing w:val="-105"/>
                <w:sz w:val="21"/>
              </w:rPr>
              <w:t>）</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2"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4"/>
              <w:ind w:left="0"/>
              <w:rPr>
                <w:sz w:val="29"/>
              </w:rPr>
            </w:pPr>
          </w:p>
          <w:p>
            <w:pPr>
              <w:pStyle w:val="11"/>
              <w:spacing w:line="278" w:lineRule="auto"/>
              <w:ind w:left="107" w:right="88"/>
              <w:rPr>
                <w:sz w:val="21"/>
              </w:rPr>
            </w:pPr>
            <w:r>
              <w:rPr>
                <w:spacing w:val="-2"/>
                <w:sz w:val="21"/>
              </w:rPr>
              <w:t>三十六、慢性复发</w:t>
            </w:r>
            <w:r>
              <w:rPr>
                <w:spacing w:val="-4"/>
                <w:sz w:val="21"/>
              </w:rPr>
              <w:t>性胰腺炎</w:t>
            </w:r>
          </w:p>
        </w:tc>
        <w:tc>
          <w:tcPr>
            <w:tcW w:w="6986" w:type="dxa"/>
          </w:tcPr>
          <w:p>
            <w:pPr>
              <w:pStyle w:val="11"/>
              <w:spacing w:before="52" w:line="278" w:lineRule="auto"/>
              <w:ind w:right="-15" w:hanging="1"/>
              <w:rPr>
                <w:sz w:val="21"/>
              </w:rPr>
            </w:pPr>
            <w:r>
              <w:rPr>
                <w:spacing w:val="-1"/>
                <w:sz w:val="21"/>
              </w:rPr>
              <w:t>指慢性反复发作</w:t>
            </w:r>
            <w:r>
              <w:rPr>
                <w:sz w:val="21"/>
              </w:rPr>
              <w:t>（</w:t>
            </w:r>
            <w:r>
              <w:rPr>
                <w:rFonts w:ascii="Times New Roman" w:eastAsia="Times New Roman"/>
                <w:sz w:val="21"/>
              </w:rPr>
              <w:t xml:space="preserve">3 </w:t>
            </w:r>
            <w:r>
              <w:rPr>
                <w:sz w:val="21"/>
              </w:rPr>
              <w:t>次及以上</w:t>
            </w:r>
            <w:r>
              <w:rPr>
                <w:spacing w:val="-2"/>
                <w:sz w:val="21"/>
              </w:rPr>
              <w:t>）</w:t>
            </w:r>
            <w:r>
              <w:rPr>
                <w:spacing w:val="-1"/>
                <w:sz w:val="21"/>
              </w:rPr>
              <w:t>的胰腺炎症导致胰腺的广泛纤维化、坏死、</w:t>
            </w:r>
            <w:r>
              <w:rPr>
                <w:spacing w:val="1"/>
                <w:sz w:val="21"/>
              </w:rPr>
              <w:t>弥漫性钙化及假性囊肿形成，造成胰腺功能障碍出现严重糖尿病和营养不</w:t>
            </w:r>
            <w:r>
              <w:rPr>
                <w:sz w:val="21"/>
              </w:rPr>
              <w:t>良。必须满足以下所有条件：</w:t>
            </w:r>
          </w:p>
          <w:p>
            <w:pPr>
              <w:pStyle w:val="11"/>
              <w:numPr>
                <w:ilvl w:val="0"/>
                <w:numId w:val="46"/>
              </w:numPr>
              <w:tabs>
                <w:tab w:val="left" w:pos="634"/>
              </w:tabs>
              <w:spacing w:before="0" w:after="0" w:line="278" w:lineRule="auto"/>
              <w:ind w:left="106" w:right="96" w:firstLine="0"/>
              <w:jc w:val="left"/>
              <w:rPr>
                <w:sz w:val="21"/>
              </w:rPr>
            </w:pPr>
            <w:r>
              <w:rPr>
                <w:sz w:val="21"/>
              </w:rPr>
              <w:t>医疗记录证实存在有腹痛等典型症状的慢性胰腺炎急性反复发作超</w:t>
            </w:r>
            <w:r>
              <w:rPr>
                <w:spacing w:val="-5"/>
                <w:sz w:val="21"/>
              </w:rPr>
              <w:t>过三次；</w:t>
            </w:r>
          </w:p>
          <w:p>
            <w:pPr>
              <w:pStyle w:val="11"/>
              <w:numPr>
                <w:ilvl w:val="0"/>
                <w:numId w:val="46"/>
              </w:numPr>
              <w:tabs>
                <w:tab w:val="left" w:pos="634"/>
              </w:tabs>
              <w:spacing w:before="0" w:after="0" w:line="278" w:lineRule="auto"/>
              <w:ind w:left="106" w:right="97" w:firstLine="0"/>
              <w:jc w:val="left"/>
              <w:rPr>
                <w:sz w:val="21"/>
              </w:rPr>
            </w:pPr>
            <w:r>
              <w:rPr>
                <w:rFonts w:ascii="Times New Roman" w:eastAsia="Times New Roman"/>
                <w:spacing w:val="-2"/>
                <w:sz w:val="21"/>
              </w:rPr>
              <w:t>CT</w:t>
            </w:r>
            <w:r>
              <w:rPr>
                <w:rFonts w:ascii="Times New Roman" w:eastAsia="Times New Roman"/>
                <w:spacing w:val="-12"/>
                <w:sz w:val="21"/>
              </w:rPr>
              <w:t xml:space="preserve"> </w:t>
            </w:r>
            <w:r>
              <w:rPr>
                <w:spacing w:val="-2"/>
                <w:sz w:val="21"/>
              </w:rPr>
              <w:t>显示胰腺广泛钙化或逆行胰胆管造影（</w:t>
            </w:r>
            <w:r>
              <w:rPr>
                <w:rFonts w:ascii="Times New Roman" w:eastAsia="Times New Roman"/>
                <w:spacing w:val="-2"/>
                <w:sz w:val="21"/>
              </w:rPr>
              <w:t>ERCP</w:t>
            </w:r>
            <w:r>
              <w:rPr>
                <w:spacing w:val="-2"/>
                <w:sz w:val="21"/>
              </w:rPr>
              <w:t>）显示胰管扭曲、扩张和狭窄；</w:t>
            </w:r>
          </w:p>
          <w:p>
            <w:pPr>
              <w:pStyle w:val="11"/>
              <w:numPr>
                <w:ilvl w:val="0"/>
                <w:numId w:val="46"/>
              </w:numPr>
              <w:tabs>
                <w:tab w:val="left" w:pos="634"/>
              </w:tabs>
              <w:spacing w:before="0" w:after="0" w:line="240" w:lineRule="auto"/>
              <w:ind w:left="633" w:right="0" w:hanging="528"/>
              <w:jc w:val="left"/>
              <w:rPr>
                <w:sz w:val="21"/>
              </w:rPr>
            </w:pPr>
            <w:r>
              <w:rPr>
                <w:spacing w:val="-4"/>
                <w:sz w:val="21"/>
              </w:rPr>
              <w:t xml:space="preserve">接受胰岛素替代治疗和酶替代治疗 </w:t>
            </w:r>
            <w:r>
              <w:rPr>
                <w:rFonts w:ascii="Times New Roman" w:eastAsia="Times New Roman"/>
                <w:sz w:val="21"/>
              </w:rPr>
              <w:t>180</w:t>
            </w:r>
            <w:r>
              <w:rPr>
                <w:rFonts w:ascii="Times New Roman" w:eastAsia="Times New Roman"/>
                <w:spacing w:val="-5"/>
                <w:sz w:val="21"/>
              </w:rPr>
              <w:t xml:space="preserve"> </w:t>
            </w:r>
            <w:r>
              <w:rPr>
                <w:spacing w:val="-3"/>
                <w:sz w:val="21"/>
              </w:rPr>
              <w:t>天以上。</w:t>
            </w:r>
          </w:p>
          <w:p>
            <w:pPr>
              <w:pStyle w:val="11"/>
              <w:spacing w:before="42"/>
              <w:rPr>
                <w:rFonts w:ascii="黑体" w:eastAsia="黑体"/>
                <w:sz w:val="21"/>
              </w:rPr>
            </w:pPr>
            <w:r>
              <w:rPr>
                <w:rFonts w:ascii="黑体" w:eastAsia="黑体"/>
                <w:color w:val="000000"/>
                <w:spacing w:val="-1"/>
                <w:sz w:val="21"/>
                <w:shd w:val="clear" w:color="auto" w:fill="DADADA"/>
              </w:rPr>
              <w:t>酒精导致的慢性复发性胰腺炎不在保障范围内。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0" w:hRule="atLeast"/>
        </w:trPr>
        <w:tc>
          <w:tcPr>
            <w:tcW w:w="1957" w:type="dxa"/>
          </w:tcPr>
          <w:p>
            <w:pPr>
              <w:pStyle w:val="11"/>
              <w:ind w:left="0"/>
              <w:rPr>
                <w:sz w:val="20"/>
              </w:rPr>
            </w:pPr>
          </w:p>
          <w:p>
            <w:pPr>
              <w:pStyle w:val="11"/>
              <w:ind w:left="0"/>
              <w:rPr>
                <w:sz w:val="20"/>
              </w:rPr>
            </w:pPr>
          </w:p>
          <w:p>
            <w:pPr>
              <w:pStyle w:val="11"/>
              <w:spacing w:before="2"/>
              <w:ind w:left="0"/>
              <w:rPr>
                <w:sz w:val="28"/>
              </w:rPr>
            </w:pPr>
          </w:p>
          <w:p>
            <w:pPr>
              <w:pStyle w:val="11"/>
              <w:spacing w:line="278" w:lineRule="auto"/>
              <w:ind w:left="107" w:right="88"/>
              <w:rPr>
                <w:sz w:val="21"/>
              </w:rPr>
            </w:pPr>
            <w:r>
              <w:rPr>
                <w:spacing w:val="-2"/>
                <w:sz w:val="21"/>
              </w:rPr>
              <w:t>三十七、严重肌营</w:t>
            </w:r>
            <w:r>
              <w:rPr>
                <w:spacing w:val="-4"/>
                <w:sz w:val="21"/>
              </w:rPr>
              <w:t>养不良症</w:t>
            </w:r>
          </w:p>
        </w:tc>
        <w:tc>
          <w:tcPr>
            <w:tcW w:w="6986" w:type="dxa"/>
          </w:tcPr>
          <w:p>
            <w:pPr>
              <w:pStyle w:val="11"/>
              <w:spacing w:before="93" w:line="278" w:lineRule="auto"/>
              <w:ind w:right="93"/>
              <w:rPr>
                <w:sz w:val="21"/>
              </w:rPr>
            </w:pPr>
            <w:r>
              <w:rPr>
                <w:spacing w:val="-2"/>
                <w:sz w:val="21"/>
              </w:rPr>
              <w:t>指一组遗传性肌肉变性病变，临床特征为与神经系统无关的骨骼肌肉对称地进行性无力和萎缩。其诊断需满足下列全部条件：</w:t>
            </w:r>
          </w:p>
          <w:p>
            <w:pPr>
              <w:pStyle w:val="11"/>
              <w:numPr>
                <w:ilvl w:val="0"/>
                <w:numId w:val="47"/>
              </w:numPr>
              <w:tabs>
                <w:tab w:val="left" w:pos="634"/>
              </w:tabs>
              <w:spacing w:before="0" w:after="0" w:line="240" w:lineRule="auto"/>
              <w:ind w:left="633" w:right="0" w:hanging="528"/>
              <w:jc w:val="left"/>
              <w:rPr>
                <w:sz w:val="21"/>
              </w:rPr>
            </w:pPr>
            <w:r>
              <w:rPr>
                <w:spacing w:val="-3"/>
                <w:sz w:val="21"/>
              </w:rPr>
              <w:t>肌电图显示典型肌营养不良症的阳性改变；</w:t>
            </w:r>
          </w:p>
          <w:p>
            <w:pPr>
              <w:pStyle w:val="11"/>
              <w:numPr>
                <w:ilvl w:val="0"/>
                <w:numId w:val="47"/>
              </w:numPr>
              <w:tabs>
                <w:tab w:val="left" w:pos="642"/>
              </w:tabs>
              <w:spacing w:before="43" w:after="0" w:line="278" w:lineRule="auto"/>
              <w:ind w:left="106" w:right="93" w:firstLine="0"/>
              <w:jc w:val="left"/>
              <w:rPr>
                <w:sz w:val="21"/>
              </w:rPr>
            </w:pPr>
            <w:r>
              <w:rPr>
                <w:spacing w:val="-2"/>
                <w:sz w:val="21"/>
              </w:rPr>
              <w:t>肌肉活检的病理学诊断符合肌营养不良症的肌肉细胞变性</w:t>
            </w:r>
            <w:r>
              <w:rPr>
                <w:rFonts w:ascii="Times New Roman" w:eastAsia="Times New Roman"/>
                <w:spacing w:val="-2"/>
                <w:sz w:val="21"/>
              </w:rPr>
              <w:t>\</w:t>
            </w:r>
            <w:r>
              <w:rPr>
                <w:spacing w:val="-2"/>
                <w:sz w:val="21"/>
              </w:rPr>
              <w:t>坏死等阳</w:t>
            </w:r>
            <w:r>
              <w:rPr>
                <w:spacing w:val="-4"/>
                <w:sz w:val="21"/>
              </w:rPr>
              <w:t>性改变；</w:t>
            </w:r>
          </w:p>
          <w:p>
            <w:pPr>
              <w:pStyle w:val="11"/>
              <w:numPr>
                <w:ilvl w:val="0"/>
                <w:numId w:val="47"/>
              </w:numPr>
              <w:tabs>
                <w:tab w:val="left" w:pos="634"/>
              </w:tabs>
              <w:spacing w:before="0" w:after="0" w:line="278" w:lineRule="auto"/>
              <w:ind w:left="106" w:right="96" w:firstLine="0"/>
              <w:jc w:val="left"/>
              <w:rPr>
                <w:sz w:val="21"/>
              </w:rPr>
            </w:pPr>
            <w:r>
              <w:rPr>
                <w:sz w:val="21"/>
              </w:rPr>
              <w:t>已导致被保险人持续超过三个月无法独立完成六项基本日常生活活</w:t>
            </w:r>
            <w:r>
              <w:rPr>
                <w:spacing w:val="-4"/>
                <w:sz w:val="21"/>
              </w:rPr>
              <w:t>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spacing w:before="2"/>
              <w:ind w:left="0"/>
              <w:rPr>
                <w:sz w:val="18"/>
              </w:rPr>
            </w:pPr>
          </w:p>
          <w:p>
            <w:pPr>
              <w:pStyle w:val="11"/>
              <w:spacing w:line="278" w:lineRule="auto"/>
              <w:ind w:left="107" w:right="88"/>
              <w:jc w:val="both"/>
              <w:rPr>
                <w:sz w:val="21"/>
              </w:rPr>
            </w:pPr>
            <w:r>
              <w:rPr>
                <w:spacing w:val="-2"/>
                <w:sz w:val="21"/>
              </w:rPr>
              <w:t>三十八、非阿尔茨海默病所致严重痴</w:t>
            </w:r>
            <w:r>
              <w:rPr>
                <w:spacing w:val="-10"/>
                <w:sz w:val="21"/>
              </w:rPr>
              <w:t>呆</w:t>
            </w:r>
          </w:p>
        </w:tc>
        <w:tc>
          <w:tcPr>
            <w:tcW w:w="6986" w:type="dxa"/>
          </w:tcPr>
          <w:p>
            <w:pPr>
              <w:pStyle w:val="11"/>
              <w:spacing w:before="21" w:line="278" w:lineRule="auto"/>
              <w:ind w:right="93"/>
              <w:jc w:val="both"/>
              <w:rPr>
                <w:sz w:val="21"/>
              </w:rPr>
            </w:pPr>
            <w:r>
              <w:rPr>
                <w:spacing w:val="-2"/>
                <w:sz w:val="21"/>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由完整的临床、实验室和影像学检查结果证实。</w:t>
            </w:r>
          </w:p>
          <w:p>
            <w:pPr>
              <w:pStyle w:val="11"/>
              <w:spacing w:line="268" w:lineRule="exact"/>
              <w:rPr>
                <w:rFonts w:ascii="黑体" w:eastAsia="黑体"/>
                <w:sz w:val="21"/>
              </w:rPr>
            </w:pPr>
            <w:r>
              <w:rPr>
                <w:rFonts w:ascii="黑体" w:eastAsia="黑体"/>
                <w:color w:val="000000"/>
                <w:spacing w:val="-1"/>
                <w:sz w:val="21"/>
                <w:shd w:val="clear" w:color="auto" w:fill="DADADA"/>
              </w:rPr>
              <w:t>神经官能症、精神疾病及酒精中毒所致脑损害不在保障范围内。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spacing w:before="11"/>
              <w:ind w:left="0"/>
              <w:rPr>
                <w:sz w:val="25"/>
              </w:rPr>
            </w:pPr>
          </w:p>
          <w:p>
            <w:pPr>
              <w:pStyle w:val="11"/>
              <w:spacing w:before="1" w:line="278" w:lineRule="auto"/>
              <w:ind w:left="107" w:right="88"/>
              <w:rPr>
                <w:sz w:val="21"/>
              </w:rPr>
            </w:pPr>
            <w:r>
              <w:rPr>
                <w:spacing w:val="-2"/>
                <w:sz w:val="21"/>
              </w:rPr>
              <w:t>三十九、严重川崎</w:t>
            </w:r>
            <w:r>
              <w:rPr>
                <w:spacing w:val="-10"/>
                <w:sz w:val="21"/>
              </w:rPr>
              <w:t>病</w:t>
            </w:r>
          </w:p>
        </w:tc>
        <w:tc>
          <w:tcPr>
            <w:tcW w:w="6986" w:type="dxa"/>
          </w:tcPr>
          <w:p>
            <w:pPr>
              <w:pStyle w:val="11"/>
              <w:spacing w:before="20" w:line="278" w:lineRule="auto"/>
              <w:ind w:right="-15"/>
              <w:rPr>
                <w:sz w:val="21"/>
              </w:rPr>
            </w:pPr>
            <w:r>
              <w:rPr>
                <w:spacing w:val="-2"/>
                <w:sz w:val="21"/>
              </w:rPr>
              <w:t>是一种血管炎综合征，临床表现为急性发热，皮肤粘膜病损和淋巴结肿大，同时须由血管造影或超声心动图检查证实，满足下列至少一项条件：</w:t>
            </w:r>
          </w:p>
          <w:p>
            <w:pPr>
              <w:pStyle w:val="11"/>
              <w:numPr>
                <w:ilvl w:val="0"/>
                <w:numId w:val="48"/>
              </w:numPr>
              <w:tabs>
                <w:tab w:val="left" w:pos="634"/>
              </w:tabs>
              <w:spacing w:before="0" w:after="0" w:line="240" w:lineRule="auto"/>
              <w:ind w:left="633" w:right="0" w:hanging="528"/>
              <w:jc w:val="left"/>
              <w:rPr>
                <w:sz w:val="21"/>
              </w:rPr>
            </w:pPr>
            <w:r>
              <w:rPr>
                <w:spacing w:val="-3"/>
                <w:sz w:val="21"/>
              </w:rPr>
              <w:t xml:space="preserve">伴有冠状动脉瘤，且冠状动脉瘤于最初急性发病后持续至少 </w:t>
            </w:r>
            <w:r>
              <w:rPr>
                <w:rFonts w:ascii="Times New Roman" w:eastAsia="Times New Roman"/>
                <w:sz w:val="21"/>
              </w:rPr>
              <w:t>180</w:t>
            </w:r>
            <w:r>
              <w:rPr>
                <w:rFonts w:ascii="Times New Roman" w:eastAsia="Times New Roman"/>
                <w:spacing w:val="-4"/>
                <w:sz w:val="21"/>
              </w:rPr>
              <w:t xml:space="preserve"> </w:t>
            </w:r>
            <w:r>
              <w:rPr>
                <w:spacing w:val="-5"/>
                <w:sz w:val="21"/>
              </w:rPr>
              <w:t>天；</w:t>
            </w:r>
          </w:p>
          <w:p>
            <w:pPr>
              <w:pStyle w:val="11"/>
              <w:numPr>
                <w:ilvl w:val="0"/>
                <w:numId w:val="48"/>
              </w:numPr>
              <w:tabs>
                <w:tab w:val="left" w:pos="634"/>
              </w:tabs>
              <w:spacing w:before="43" w:after="0" w:line="240" w:lineRule="auto"/>
              <w:ind w:left="633" w:right="0" w:hanging="527"/>
              <w:jc w:val="left"/>
              <w:rPr>
                <w:sz w:val="21"/>
              </w:rPr>
            </w:pPr>
            <w:r>
              <w:rPr>
                <w:spacing w:val="-3"/>
                <w:sz w:val="21"/>
              </w:rPr>
              <w:t>伴有冠状动脉瘤，且实际接受了对冠状动脉瘤进行的手术治疗。</w:t>
            </w:r>
          </w:p>
        </w:tc>
      </w:tr>
    </w:tbl>
    <w:p>
      <w:pPr>
        <w:spacing w:after="0" w:line="240" w:lineRule="auto"/>
        <w:jc w:val="left"/>
        <w:rPr>
          <w:sz w:val="21"/>
        </w:rPr>
        <w:sectPr>
          <w:type w:val="continuous"/>
          <w:pgSz w:w="11910" w:h="16840"/>
          <w:pgMar w:top="1420" w:right="1160" w:bottom="154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spacing w:before="11"/>
              <w:ind w:left="0"/>
              <w:rPr>
                <w:sz w:val="25"/>
              </w:rPr>
            </w:pPr>
          </w:p>
          <w:p>
            <w:pPr>
              <w:pStyle w:val="11"/>
              <w:spacing w:before="1" w:line="278" w:lineRule="auto"/>
              <w:ind w:left="107" w:right="88"/>
              <w:rPr>
                <w:sz w:val="21"/>
              </w:rPr>
            </w:pPr>
            <w:r>
              <w:rPr>
                <w:spacing w:val="-2"/>
                <w:sz w:val="21"/>
              </w:rPr>
              <w:t>四十、重度幼年型类风湿性关节炎</w:t>
            </w:r>
          </w:p>
        </w:tc>
        <w:tc>
          <w:tcPr>
            <w:tcW w:w="6986" w:type="dxa"/>
          </w:tcPr>
          <w:p>
            <w:pPr>
              <w:pStyle w:val="11"/>
              <w:spacing w:before="20" w:line="278" w:lineRule="auto"/>
              <w:ind w:right="93"/>
              <w:jc w:val="both"/>
              <w:rPr>
                <w:sz w:val="21"/>
              </w:rPr>
            </w:pPr>
            <w:r>
              <w:rPr>
                <w:spacing w:val="-2"/>
                <w:sz w:val="21"/>
              </w:rPr>
              <w:t>指为了治疗幼年型类风湿关节炎，实际实施了膝关节或髋关节置换手术。幼年型类风湿关节炎是一种儿童期发病的慢性关节炎，其特点为在高热和系统性病征出现数月后发生关节炎。</w:t>
            </w:r>
          </w:p>
          <w:p>
            <w:pPr>
              <w:pStyle w:val="11"/>
              <w:rPr>
                <w:rFonts w:ascii="黑体" w:eastAsia="黑体"/>
                <w:sz w:val="21"/>
              </w:rPr>
            </w:pPr>
            <w:r>
              <w:rPr>
                <w:rFonts w:ascii="黑体" w:eastAsia="黑体"/>
                <w:spacing w:val="-1"/>
                <w:sz w:val="21"/>
              </w:rPr>
              <w:t>被保险人疾病诊断时年龄必须在年满十八周岁之前。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ind w:left="0"/>
              <w:rPr>
                <w:sz w:val="20"/>
              </w:rPr>
            </w:pPr>
          </w:p>
          <w:p>
            <w:pPr>
              <w:pStyle w:val="11"/>
              <w:spacing w:before="133" w:line="278" w:lineRule="auto"/>
              <w:ind w:left="107" w:right="88"/>
              <w:rPr>
                <w:sz w:val="21"/>
              </w:rPr>
            </w:pPr>
            <w:r>
              <w:rPr>
                <w:spacing w:val="-2"/>
                <w:sz w:val="21"/>
              </w:rPr>
              <w:t>四十一、严重心肌</w:t>
            </w:r>
            <w:r>
              <w:rPr>
                <w:spacing w:val="-10"/>
                <w:sz w:val="21"/>
              </w:rPr>
              <w:t>炎</w:t>
            </w:r>
          </w:p>
        </w:tc>
        <w:tc>
          <w:tcPr>
            <w:tcW w:w="6986" w:type="dxa"/>
          </w:tcPr>
          <w:p>
            <w:pPr>
              <w:pStyle w:val="11"/>
              <w:spacing w:before="21" w:line="278" w:lineRule="auto"/>
              <w:ind w:right="92"/>
              <w:rPr>
                <w:sz w:val="21"/>
              </w:rPr>
            </w:pPr>
            <w:r>
              <w:rPr>
                <w:spacing w:val="-18"/>
                <w:sz w:val="21"/>
              </w:rPr>
              <w:t>指被保险人因严重心肌炎性病变导致心功能损害造成持续的永久不可逆性的心功</w:t>
            </w:r>
            <w:r>
              <w:rPr>
                <w:spacing w:val="-8"/>
                <w:sz w:val="21"/>
              </w:rPr>
              <w:t>能衰竭。必须满足所有以下条件：</w:t>
            </w:r>
          </w:p>
          <w:p>
            <w:pPr>
              <w:pStyle w:val="11"/>
              <w:numPr>
                <w:ilvl w:val="0"/>
                <w:numId w:val="49"/>
              </w:numPr>
              <w:tabs>
                <w:tab w:val="left" w:pos="638"/>
              </w:tabs>
              <w:spacing w:before="0" w:after="0" w:line="278" w:lineRule="auto"/>
              <w:ind w:left="106" w:right="96" w:firstLine="0"/>
              <w:jc w:val="left"/>
              <w:rPr>
                <w:sz w:val="21"/>
              </w:rPr>
            </w:pPr>
            <w:r>
              <w:rPr>
                <w:spacing w:val="-22"/>
                <w:sz w:val="21"/>
              </w:rPr>
              <w:t>心功能衰竭程度达到纽约心脏病学会的心功能分级标准之心功能Ⅳ级，或左</w:t>
            </w:r>
            <w:r>
              <w:rPr>
                <w:spacing w:val="2"/>
                <w:sz w:val="21"/>
              </w:rPr>
              <w:t>室射血分数低于</w:t>
            </w:r>
            <w:r>
              <w:rPr>
                <w:rFonts w:ascii="Times New Roman" w:hAnsi="Times New Roman" w:eastAsia="Times New Roman"/>
                <w:sz w:val="21"/>
              </w:rPr>
              <w:t>30%</w:t>
            </w:r>
            <w:r>
              <w:rPr>
                <w:sz w:val="21"/>
              </w:rPr>
              <w:t>；</w:t>
            </w:r>
          </w:p>
          <w:p>
            <w:pPr>
              <w:pStyle w:val="11"/>
              <w:numPr>
                <w:ilvl w:val="0"/>
                <w:numId w:val="49"/>
              </w:numPr>
              <w:tabs>
                <w:tab w:val="left" w:pos="668"/>
              </w:tabs>
              <w:spacing w:before="0" w:after="0" w:line="240" w:lineRule="auto"/>
              <w:ind w:left="667" w:right="0" w:hanging="562"/>
              <w:jc w:val="left"/>
              <w:rPr>
                <w:sz w:val="21"/>
              </w:rPr>
            </w:pPr>
            <w:r>
              <w:rPr>
                <w:spacing w:val="-13"/>
                <w:sz w:val="21"/>
              </w:rPr>
              <w:t>持续不间断</w:t>
            </w:r>
            <w:r>
              <w:rPr>
                <w:rFonts w:ascii="Times New Roman" w:eastAsia="Times New Roman"/>
                <w:spacing w:val="-13"/>
                <w:sz w:val="21"/>
              </w:rPr>
              <w:t>180</w:t>
            </w:r>
            <w:r>
              <w:rPr>
                <w:rFonts w:ascii="Times New Roman" w:eastAsia="Times New Roman"/>
                <w:spacing w:val="-10"/>
                <w:sz w:val="21"/>
              </w:rPr>
              <w:t xml:space="preserve"> </w:t>
            </w:r>
            <w:r>
              <w:rPr>
                <w:spacing w:val="-13"/>
                <w:sz w:val="21"/>
              </w:rPr>
              <w:t>天以上；</w:t>
            </w:r>
          </w:p>
          <w:p>
            <w:pPr>
              <w:pStyle w:val="11"/>
              <w:numPr>
                <w:ilvl w:val="0"/>
                <w:numId w:val="49"/>
              </w:numPr>
              <w:tabs>
                <w:tab w:val="left" w:pos="668"/>
              </w:tabs>
              <w:spacing w:before="43" w:after="0" w:line="240" w:lineRule="auto"/>
              <w:ind w:left="667" w:right="0" w:hanging="562"/>
              <w:jc w:val="left"/>
              <w:rPr>
                <w:sz w:val="21"/>
              </w:rPr>
            </w:pPr>
            <w:r>
              <w:rPr>
                <w:spacing w:val="-22"/>
                <w:sz w:val="21"/>
              </w:rPr>
              <w:t>被保险人永久不可逆性的体力活动能力受限，不能从事任何体力活动。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8"/>
              <w:rPr>
                <w:sz w:val="21"/>
              </w:rPr>
            </w:pPr>
            <w:r>
              <w:rPr>
                <w:spacing w:val="-2"/>
                <w:sz w:val="21"/>
              </w:rPr>
              <w:t>四十二、原发性硬化性胆管炎</w:t>
            </w:r>
          </w:p>
        </w:tc>
        <w:tc>
          <w:tcPr>
            <w:tcW w:w="6986" w:type="dxa"/>
          </w:tcPr>
          <w:p>
            <w:pPr>
              <w:pStyle w:val="11"/>
              <w:spacing w:before="20" w:line="278" w:lineRule="auto"/>
              <w:ind w:right="93"/>
              <w:jc w:val="both"/>
              <w:rPr>
                <w:sz w:val="21"/>
              </w:rPr>
            </w:pPr>
            <w:r>
              <w:rPr>
                <w:spacing w:val="-2"/>
                <w:sz w:val="21"/>
              </w:rPr>
              <w:t>指一种胆汁淤积综合征，其特征是肝内、肝外胆道因纤维化性炎症逐渐狭窄，并最终导致完全阻塞而发展为肝硬化。本病须经内镜逆行胰胆管造影等影像学检查证实，并须满足下列全部条件：</w:t>
            </w:r>
          </w:p>
          <w:p>
            <w:pPr>
              <w:pStyle w:val="11"/>
              <w:numPr>
                <w:ilvl w:val="0"/>
                <w:numId w:val="50"/>
              </w:numPr>
              <w:tabs>
                <w:tab w:val="left" w:pos="634"/>
              </w:tabs>
              <w:spacing w:before="0" w:after="0" w:line="240" w:lineRule="auto"/>
              <w:ind w:left="633" w:right="0" w:hanging="528"/>
              <w:jc w:val="left"/>
              <w:rPr>
                <w:sz w:val="21"/>
              </w:rPr>
            </w:pPr>
            <w:r>
              <w:rPr>
                <w:spacing w:val="-4"/>
                <w:sz w:val="21"/>
              </w:rPr>
              <w:t xml:space="preserve">总胆红素和直接胆红素同时升高，血清 </w:t>
            </w:r>
            <w:r>
              <w:rPr>
                <w:rFonts w:ascii="Times New Roman" w:eastAsia="Times New Roman"/>
                <w:spacing w:val="-2"/>
                <w:sz w:val="21"/>
              </w:rPr>
              <w:t>ALP&gt;200U/L</w:t>
            </w:r>
            <w:r>
              <w:rPr>
                <w:spacing w:val="-2"/>
                <w:sz w:val="21"/>
              </w:rPr>
              <w:t>；</w:t>
            </w:r>
          </w:p>
          <w:p>
            <w:pPr>
              <w:pStyle w:val="11"/>
              <w:numPr>
                <w:ilvl w:val="0"/>
                <w:numId w:val="50"/>
              </w:numPr>
              <w:tabs>
                <w:tab w:val="left" w:pos="634"/>
              </w:tabs>
              <w:spacing w:before="43" w:after="0" w:line="240" w:lineRule="auto"/>
              <w:ind w:left="633" w:right="0" w:hanging="528"/>
              <w:jc w:val="left"/>
              <w:rPr>
                <w:sz w:val="21"/>
              </w:rPr>
            </w:pPr>
            <w:r>
              <w:rPr>
                <w:spacing w:val="-4"/>
                <w:sz w:val="21"/>
              </w:rPr>
              <w:t>持续性黄疸病史；</w:t>
            </w:r>
          </w:p>
          <w:p>
            <w:pPr>
              <w:pStyle w:val="11"/>
              <w:numPr>
                <w:ilvl w:val="0"/>
                <w:numId w:val="50"/>
              </w:numPr>
              <w:tabs>
                <w:tab w:val="left" w:pos="634"/>
              </w:tabs>
              <w:spacing w:before="43" w:after="0" w:line="240" w:lineRule="auto"/>
              <w:ind w:left="633" w:right="0" w:hanging="528"/>
              <w:jc w:val="left"/>
              <w:rPr>
                <w:sz w:val="21"/>
              </w:rPr>
            </w:pPr>
            <w:r>
              <w:rPr>
                <w:spacing w:val="-3"/>
                <w:sz w:val="21"/>
              </w:rPr>
              <w:t>出现胆汁性肝硬化或门脉高压。</w:t>
            </w:r>
          </w:p>
          <w:p>
            <w:pPr>
              <w:pStyle w:val="11"/>
              <w:spacing w:before="42"/>
              <w:rPr>
                <w:rFonts w:ascii="黑体" w:eastAsia="黑体"/>
                <w:sz w:val="21"/>
              </w:rPr>
            </w:pPr>
            <w:r>
              <w:rPr>
                <w:rFonts w:ascii="黑体" w:eastAsia="黑体"/>
                <w:color w:val="000000"/>
                <w:spacing w:val="-1"/>
                <w:sz w:val="21"/>
                <w:shd w:val="clear" w:color="auto" w:fill="DADADA"/>
              </w:rPr>
              <w:t>因肿瘤或胆管损伤等继发性的硬化性胆管炎不在保障范围内。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spacing w:before="11"/>
              <w:ind w:left="0"/>
              <w:rPr>
                <w:sz w:val="25"/>
              </w:rPr>
            </w:pPr>
          </w:p>
          <w:p>
            <w:pPr>
              <w:pStyle w:val="11"/>
              <w:spacing w:before="1" w:line="278" w:lineRule="auto"/>
              <w:ind w:left="107" w:right="88"/>
              <w:rPr>
                <w:sz w:val="21"/>
              </w:rPr>
            </w:pPr>
            <w:r>
              <w:rPr>
                <w:spacing w:val="-2"/>
                <w:sz w:val="21"/>
              </w:rPr>
              <w:t>四十三、急性坏死性胰腺炎开腹手术</w:t>
            </w:r>
          </w:p>
        </w:tc>
        <w:tc>
          <w:tcPr>
            <w:tcW w:w="6986" w:type="dxa"/>
          </w:tcPr>
          <w:p>
            <w:pPr>
              <w:pStyle w:val="11"/>
              <w:spacing w:before="20" w:line="278" w:lineRule="auto"/>
              <w:ind w:right="93"/>
              <w:rPr>
                <w:sz w:val="21"/>
              </w:rPr>
            </w:pPr>
            <w:r>
              <w:rPr>
                <w:spacing w:val="-2"/>
                <w:sz w:val="21"/>
              </w:rPr>
              <w:t>指被保险人因为急性出血坏死性胰腺炎已经接受了外科开腹手术治疗，以进行坏死组织清除、坏死病灶切除或胰腺切除。</w:t>
            </w:r>
          </w:p>
          <w:p>
            <w:pPr>
              <w:pStyle w:val="11"/>
              <w:spacing w:line="269" w:lineRule="exact"/>
              <w:rPr>
                <w:rFonts w:ascii="黑体" w:eastAsia="黑体"/>
                <w:sz w:val="21"/>
              </w:rPr>
            </w:pPr>
            <w:r>
              <w:rPr>
                <w:rFonts w:ascii="黑体" w:eastAsia="黑体"/>
                <w:color w:val="000000"/>
                <w:spacing w:val="-1"/>
                <w:sz w:val="21"/>
                <w:shd w:val="clear" w:color="auto" w:fill="DADADA"/>
              </w:rPr>
              <w:t>因饮酒所致的急性出血坏死性胰腺炎或经腹腔镜手术进行的治疗不在保障</w:t>
            </w:r>
          </w:p>
          <w:p>
            <w:pPr>
              <w:pStyle w:val="11"/>
              <w:spacing w:before="43"/>
              <w:rPr>
                <w:rFonts w:ascii="黑体" w:eastAsia="黑体"/>
                <w:sz w:val="21"/>
              </w:rPr>
            </w:pPr>
            <w:r>
              <w:rPr>
                <w:rFonts w:ascii="黑体" w:eastAsia="黑体"/>
                <w:color w:val="000000"/>
                <w:spacing w:val="-3"/>
                <w:sz w:val="21"/>
                <w:shd w:val="clear" w:color="auto" w:fill="DADADA"/>
              </w:rPr>
              <w:t>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8" w:hRule="atLeast"/>
        </w:trPr>
        <w:tc>
          <w:tcPr>
            <w:tcW w:w="1957" w:type="dxa"/>
          </w:tcPr>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spacing w:before="9"/>
              <w:ind w:left="0"/>
              <w:rPr>
                <w:sz w:val="15"/>
              </w:rPr>
            </w:pPr>
          </w:p>
          <w:p>
            <w:pPr>
              <w:pStyle w:val="11"/>
              <w:spacing w:before="1" w:line="278" w:lineRule="auto"/>
              <w:ind w:left="107" w:right="88"/>
              <w:rPr>
                <w:sz w:val="21"/>
              </w:rPr>
            </w:pPr>
            <w:r>
              <w:rPr>
                <w:spacing w:val="-2"/>
                <w:sz w:val="21"/>
              </w:rPr>
              <w:t>四十四、经输血导</w:t>
            </w:r>
            <w:r>
              <w:rPr>
                <w:spacing w:val="-8"/>
                <w:sz w:val="21"/>
              </w:rPr>
              <w:t xml:space="preserve">致的 </w:t>
            </w:r>
            <w:r>
              <w:rPr>
                <w:rFonts w:ascii="Times New Roman" w:eastAsia="Times New Roman"/>
                <w:sz w:val="21"/>
              </w:rPr>
              <w:t xml:space="preserve">HIV </w:t>
            </w:r>
            <w:r>
              <w:rPr>
                <w:sz w:val="21"/>
              </w:rPr>
              <w:t>感染</w:t>
            </w:r>
          </w:p>
        </w:tc>
        <w:tc>
          <w:tcPr>
            <w:tcW w:w="6986" w:type="dxa"/>
          </w:tcPr>
          <w:p>
            <w:pPr>
              <w:pStyle w:val="11"/>
              <w:spacing w:before="21"/>
              <w:rPr>
                <w:sz w:val="21"/>
              </w:rPr>
            </w:pPr>
            <w:r>
              <w:rPr>
                <w:w w:val="95"/>
                <w:sz w:val="21"/>
              </w:rPr>
              <w:t>指被保险人感染上人类免疫缺陷病毒（</w:t>
            </w:r>
            <w:r>
              <w:rPr>
                <w:rFonts w:ascii="Times New Roman" w:eastAsia="Times New Roman"/>
                <w:w w:val="95"/>
                <w:sz w:val="21"/>
              </w:rPr>
              <w:t>HIV</w:t>
            </w:r>
            <w:r>
              <w:rPr>
                <w:w w:val="95"/>
                <w:sz w:val="21"/>
              </w:rPr>
              <w:t>）并且符合下列所有条件</w:t>
            </w:r>
            <w:r>
              <w:rPr>
                <w:spacing w:val="-10"/>
                <w:w w:val="95"/>
                <w:sz w:val="21"/>
              </w:rPr>
              <w:t>：</w:t>
            </w:r>
          </w:p>
          <w:p>
            <w:pPr>
              <w:pStyle w:val="11"/>
              <w:numPr>
                <w:ilvl w:val="0"/>
                <w:numId w:val="51"/>
              </w:numPr>
              <w:tabs>
                <w:tab w:val="left" w:pos="634"/>
              </w:tabs>
              <w:spacing w:before="43" w:after="0" w:line="278" w:lineRule="auto"/>
              <w:ind w:left="106" w:right="96" w:firstLine="0"/>
              <w:jc w:val="left"/>
              <w:rPr>
                <w:sz w:val="21"/>
              </w:rPr>
            </w:pPr>
            <w:r>
              <w:rPr>
                <w:spacing w:val="-2"/>
                <w:sz w:val="21"/>
              </w:rPr>
              <w:t>被保险人因治疗必需而接受输血，并且因输血而感染人类免疫缺陷</w:t>
            </w:r>
            <w:r>
              <w:rPr>
                <w:spacing w:val="-8"/>
                <w:sz w:val="21"/>
              </w:rPr>
              <w:t>病毒</w:t>
            </w:r>
            <w:r>
              <w:rPr>
                <w:sz w:val="21"/>
              </w:rPr>
              <w:t>（</w:t>
            </w:r>
            <w:r>
              <w:rPr>
                <w:rFonts w:ascii="Times New Roman" w:eastAsia="Times New Roman"/>
                <w:spacing w:val="-1"/>
                <w:w w:val="99"/>
                <w:sz w:val="21"/>
              </w:rPr>
              <w:t>HIV</w:t>
            </w:r>
            <w:r>
              <w:rPr>
                <w:spacing w:val="-105"/>
                <w:sz w:val="21"/>
              </w:rPr>
              <w:t>）；</w:t>
            </w:r>
          </w:p>
          <w:p>
            <w:pPr>
              <w:pStyle w:val="11"/>
              <w:numPr>
                <w:ilvl w:val="0"/>
                <w:numId w:val="51"/>
              </w:numPr>
              <w:tabs>
                <w:tab w:val="left" w:pos="634"/>
              </w:tabs>
              <w:spacing w:before="0" w:after="0" w:line="278" w:lineRule="auto"/>
              <w:ind w:left="106" w:right="96" w:firstLine="0"/>
              <w:jc w:val="left"/>
              <w:rPr>
                <w:sz w:val="21"/>
              </w:rPr>
            </w:pPr>
            <w:r>
              <w:rPr>
                <w:sz w:val="21"/>
              </w:rPr>
              <w:t>提供输血治疗的输血中心或医院出具该项输血感染属医疗责任事故</w:t>
            </w:r>
            <w:r>
              <w:rPr>
                <w:spacing w:val="-4"/>
                <w:sz w:val="21"/>
              </w:rPr>
              <w:t>的报告，或者法院终审裁定为医疗责任并且不准上诉；</w:t>
            </w:r>
          </w:p>
          <w:p>
            <w:pPr>
              <w:pStyle w:val="11"/>
              <w:numPr>
                <w:ilvl w:val="0"/>
                <w:numId w:val="51"/>
              </w:numPr>
              <w:tabs>
                <w:tab w:val="left" w:pos="634"/>
              </w:tabs>
              <w:spacing w:before="0" w:after="0" w:line="240" w:lineRule="auto"/>
              <w:ind w:left="633" w:right="0" w:hanging="528"/>
              <w:jc w:val="left"/>
              <w:rPr>
                <w:sz w:val="21"/>
              </w:rPr>
            </w:pPr>
            <w:r>
              <w:rPr>
                <w:spacing w:val="-3"/>
                <w:sz w:val="21"/>
              </w:rPr>
              <w:t>提供输血治疗的输血中心或医院必须拥有合法经营执照；</w:t>
            </w:r>
          </w:p>
          <w:p>
            <w:pPr>
              <w:pStyle w:val="11"/>
              <w:numPr>
                <w:ilvl w:val="0"/>
                <w:numId w:val="51"/>
              </w:numPr>
              <w:tabs>
                <w:tab w:val="left" w:pos="634"/>
              </w:tabs>
              <w:spacing w:before="43" w:after="0" w:line="240" w:lineRule="auto"/>
              <w:ind w:left="633" w:right="0" w:hanging="528"/>
              <w:jc w:val="left"/>
              <w:rPr>
                <w:sz w:val="21"/>
              </w:rPr>
            </w:pPr>
            <w:r>
              <w:rPr>
                <w:spacing w:val="-3"/>
                <w:sz w:val="21"/>
              </w:rPr>
              <w:t>受感染的被保险人不是血友病患者。</w:t>
            </w:r>
          </w:p>
          <w:p>
            <w:pPr>
              <w:pStyle w:val="11"/>
              <w:spacing w:before="42" w:line="278" w:lineRule="auto"/>
              <w:ind w:right="93"/>
              <w:jc w:val="both"/>
              <w:rPr>
                <w:rFonts w:ascii="黑体" w:eastAsia="黑体"/>
                <w:sz w:val="21"/>
              </w:rPr>
            </w:pPr>
            <w:r>
              <w:rPr>
                <w:rFonts w:ascii="黑体" w:eastAsia="黑体"/>
                <w:color w:val="000000"/>
                <w:spacing w:val="-2"/>
                <w:sz w:val="21"/>
                <w:shd w:val="clear" w:color="auto" w:fill="DADADA"/>
              </w:rPr>
              <w:t>在任何治愈艾滋病或阻止人类免疫缺陷病毒（</w:t>
            </w:r>
            <w:r>
              <w:rPr>
                <w:rFonts w:ascii="Times New Roman" w:eastAsia="Times New Roman"/>
                <w:color w:val="000000"/>
                <w:spacing w:val="-2"/>
                <w:sz w:val="21"/>
                <w:shd w:val="clear" w:color="auto" w:fill="DADADA"/>
              </w:rPr>
              <w:t>HIV</w:t>
            </w:r>
            <w:r>
              <w:rPr>
                <w:rFonts w:ascii="黑体" w:eastAsia="黑体"/>
                <w:color w:val="000000"/>
                <w:spacing w:val="-2"/>
                <w:sz w:val="21"/>
                <w:shd w:val="clear" w:color="auto" w:fill="DADADA"/>
              </w:rPr>
              <w:t>）病毒作用的疗法被发</w:t>
            </w:r>
            <w:r>
              <w:rPr>
                <w:rFonts w:ascii="黑体" w:eastAsia="黑体"/>
                <w:color w:val="000000"/>
                <w:spacing w:val="40"/>
                <w:sz w:val="21"/>
                <w:shd w:val="clear" w:color="auto" w:fill="DADADA"/>
              </w:rPr>
              <w:t xml:space="preserve"> </w:t>
            </w:r>
            <w:r>
              <w:rPr>
                <w:rFonts w:ascii="黑体" w:eastAsia="黑体"/>
                <w:color w:val="000000"/>
                <w:spacing w:val="-2"/>
                <w:sz w:val="21"/>
                <w:shd w:val="clear" w:color="auto" w:fill="DADADA"/>
              </w:rPr>
              <w:t>现以后，或能防止艾滋病发生的医疗方法被研究出来以后，本保障将不再予以赔付。</w:t>
            </w:r>
          </w:p>
          <w:p>
            <w:pPr>
              <w:pStyle w:val="11"/>
              <w:spacing w:line="278" w:lineRule="auto"/>
              <w:ind w:right="93"/>
              <w:rPr>
                <w:rFonts w:ascii="黑体" w:eastAsia="黑体"/>
                <w:sz w:val="21"/>
              </w:rPr>
            </w:pPr>
            <w:r>
              <w:rPr>
                <w:rFonts w:ascii="黑体" w:eastAsia="黑体"/>
                <w:spacing w:val="-2"/>
                <w:sz w:val="21"/>
              </w:rPr>
              <w:t>我们拥有获得使用被保险人的所有血液样本的权利和能够对这些样本进行独立检验的权利。</w:t>
            </w:r>
          </w:p>
          <w:p>
            <w:pPr>
              <w:pStyle w:val="11"/>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11"/>
              <w:spacing w:before="43"/>
              <w:rPr>
                <w:rFonts w:ascii="黑体" w:hAnsi="黑体" w:eastAsia="黑体"/>
                <w:sz w:val="21"/>
              </w:rPr>
            </w:pPr>
            <w:r>
              <w:rPr>
                <w:rFonts w:ascii="黑体" w:hAnsi="黑体" w:eastAsia="黑体"/>
                <w:spacing w:val="-1"/>
                <w:sz w:val="21"/>
              </w:rPr>
              <w:t>或患艾滋病”的限制。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0"/>
              <w:ind w:left="0"/>
              <w:rPr>
                <w:sz w:val="26"/>
              </w:rPr>
            </w:pPr>
          </w:p>
          <w:p>
            <w:pPr>
              <w:pStyle w:val="11"/>
              <w:spacing w:line="278" w:lineRule="auto"/>
              <w:ind w:left="107" w:right="88"/>
              <w:rPr>
                <w:sz w:val="21"/>
              </w:rPr>
            </w:pPr>
            <w:r>
              <w:rPr>
                <w:spacing w:val="-2"/>
                <w:sz w:val="21"/>
              </w:rPr>
              <w:t>四十五、系统性硬</w:t>
            </w:r>
            <w:r>
              <w:rPr>
                <w:spacing w:val="-6"/>
                <w:sz w:val="21"/>
              </w:rPr>
              <w:t>皮病</w:t>
            </w:r>
          </w:p>
        </w:tc>
        <w:tc>
          <w:tcPr>
            <w:tcW w:w="6986" w:type="dxa"/>
          </w:tcPr>
          <w:p>
            <w:pPr>
              <w:pStyle w:val="11"/>
              <w:spacing w:before="20" w:line="278" w:lineRule="auto"/>
              <w:ind w:right="93"/>
              <w:jc w:val="both"/>
              <w:rPr>
                <w:sz w:val="21"/>
              </w:rPr>
            </w:pPr>
            <w:r>
              <w:rPr>
                <w:spacing w:val="-2"/>
                <w:sz w:val="21"/>
              </w:rPr>
              <w:t>指一种全身性的胶原血管性疾病，可以导致皮肤、血管及内脏器官进行性弥漫性纤维化。诊断必须经活检及血清学检查证实，疾病必须是全身性，且须满足下列至少一项条件：</w:t>
            </w:r>
          </w:p>
          <w:p>
            <w:pPr>
              <w:pStyle w:val="11"/>
              <w:numPr>
                <w:ilvl w:val="0"/>
                <w:numId w:val="52"/>
              </w:numPr>
              <w:tabs>
                <w:tab w:val="left" w:pos="634"/>
              </w:tabs>
              <w:spacing w:before="0" w:after="0" w:line="240" w:lineRule="auto"/>
              <w:ind w:left="633" w:right="0" w:hanging="528"/>
              <w:jc w:val="left"/>
              <w:rPr>
                <w:sz w:val="21"/>
              </w:rPr>
            </w:pPr>
            <w:r>
              <w:rPr>
                <w:spacing w:val="-3"/>
                <w:sz w:val="21"/>
              </w:rPr>
              <w:t>肺脏：肺部病变进而发展为肺间质纤维化和肺动脉高压；</w:t>
            </w:r>
          </w:p>
          <w:p>
            <w:pPr>
              <w:pStyle w:val="11"/>
              <w:numPr>
                <w:ilvl w:val="0"/>
                <w:numId w:val="52"/>
              </w:numPr>
              <w:tabs>
                <w:tab w:val="left" w:pos="634"/>
              </w:tabs>
              <w:spacing w:before="43" w:after="0" w:line="240" w:lineRule="auto"/>
              <w:ind w:left="633" w:right="0" w:hanging="528"/>
              <w:jc w:val="left"/>
              <w:rPr>
                <w:sz w:val="21"/>
              </w:rPr>
            </w:pPr>
            <w:r>
              <w:rPr>
                <w:spacing w:val="-2"/>
                <w:sz w:val="21"/>
              </w:rPr>
              <w:t xml:space="preserve">心脏：心功能受损达到美国纽约心脏病学会心功能状态分级 </w:t>
            </w:r>
            <w:r>
              <w:rPr>
                <w:rFonts w:ascii="Times New Roman" w:eastAsia="Times New Roman"/>
                <w:sz w:val="21"/>
              </w:rPr>
              <w:t>IV</w:t>
            </w:r>
            <w:r>
              <w:rPr>
                <w:rFonts w:ascii="Times New Roman" w:eastAsia="Times New Roman"/>
                <w:spacing w:val="-6"/>
                <w:sz w:val="21"/>
              </w:rPr>
              <w:t xml:space="preserve"> </w:t>
            </w:r>
            <w:r>
              <w:rPr>
                <w:spacing w:val="-5"/>
                <w:sz w:val="21"/>
              </w:rPr>
              <w:t>级；</w:t>
            </w:r>
          </w:p>
          <w:p>
            <w:pPr>
              <w:pStyle w:val="11"/>
              <w:numPr>
                <w:ilvl w:val="0"/>
                <w:numId w:val="52"/>
              </w:numPr>
              <w:tabs>
                <w:tab w:val="left" w:pos="634"/>
              </w:tabs>
              <w:spacing w:before="43" w:after="0" w:line="240" w:lineRule="auto"/>
              <w:ind w:left="633" w:right="0" w:hanging="528"/>
              <w:jc w:val="left"/>
              <w:rPr>
                <w:sz w:val="21"/>
              </w:rPr>
            </w:pPr>
            <w:r>
              <w:rPr>
                <w:spacing w:val="-3"/>
                <w:sz w:val="21"/>
              </w:rPr>
              <w:t>肾脏：肾脏受损导致双肾功能慢性不可逆衰竭，达到尿毒症期。</w:t>
            </w:r>
          </w:p>
          <w:p>
            <w:pPr>
              <w:pStyle w:val="11"/>
              <w:spacing w:before="42"/>
              <w:rPr>
                <w:rFonts w:ascii="黑体" w:eastAsia="黑体"/>
                <w:sz w:val="21"/>
              </w:rPr>
            </w:pPr>
            <w:r>
              <w:rPr>
                <w:rFonts w:ascii="黑体" w:eastAsia="黑体"/>
                <w:color w:val="000000"/>
                <w:spacing w:val="-1"/>
                <w:sz w:val="21"/>
                <w:shd w:val="clear" w:color="auto" w:fill="DADADA"/>
              </w:rPr>
              <w:t>以下情况不在保障范围内：</w:t>
            </w:r>
          </w:p>
          <w:p>
            <w:pPr>
              <w:pStyle w:val="11"/>
              <w:numPr>
                <w:ilvl w:val="0"/>
                <w:numId w:val="53"/>
              </w:numPr>
              <w:tabs>
                <w:tab w:val="left" w:pos="633"/>
              </w:tabs>
              <w:spacing w:before="43" w:after="0" w:line="240" w:lineRule="auto"/>
              <w:ind w:left="632" w:right="0" w:hanging="527"/>
              <w:jc w:val="left"/>
              <w:rPr>
                <w:rFonts w:ascii="黑体" w:eastAsia="黑体"/>
                <w:sz w:val="21"/>
              </w:rPr>
            </w:pPr>
            <w:r>
              <w:rPr>
                <w:rFonts w:ascii="黑体" w:eastAsia="黑体"/>
                <w:color w:val="000000"/>
                <w:sz w:val="21"/>
                <w:shd w:val="clear" w:color="auto" w:fill="DADADA"/>
              </w:rPr>
              <w:t>局限性硬皮病（带状硬皮病或斑状损害</w:t>
            </w:r>
            <w:r>
              <w:rPr>
                <w:rFonts w:ascii="黑体" w:eastAsia="黑体"/>
                <w:color w:val="000000"/>
                <w:spacing w:val="-110"/>
                <w:sz w:val="21"/>
                <w:shd w:val="clear" w:color="auto" w:fill="DADADA"/>
              </w:rPr>
              <w:t>）</w:t>
            </w:r>
            <w:r>
              <w:rPr>
                <w:rFonts w:ascii="黑体" w:eastAsia="黑体"/>
                <w:color w:val="000000"/>
                <w:spacing w:val="-5"/>
                <w:sz w:val="21"/>
                <w:shd w:val="clear" w:color="auto" w:fill="DADADA"/>
              </w:rPr>
              <w:t>；</w:t>
            </w:r>
          </w:p>
          <w:p>
            <w:pPr>
              <w:pStyle w:val="11"/>
              <w:numPr>
                <w:ilvl w:val="0"/>
                <w:numId w:val="53"/>
              </w:numPr>
              <w:tabs>
                <w:tab w:val="left" w:pos="633"/>
              </w:tabs>
              <w:spacing w:before="43" w:after="0" w:line="240" w:lineRule="auto"/>
              <w:ind w:left="632" w:right="0" w:hanging="527"/>
              <w:jc w:val="left"/>
              <w:rPr>
                <w:rFonts w:ascii="黑体" w:eastAsia="黑体"/>
                <w:sz w:val="21"/>
              </w:rPr>
            </w:pPr>
            <w:r>
              <w:rPr>
                <w:rFonts w:ascii="黑体" w:eastAsia="黑体"/>
                <w:color w:val="000000"/>
                <w:spacing w:val="-2"/>
                <w:sz w:val="21"/>
                <w:shd w:val="clear" w:color="auto" w:fill="DADADA"/>
              </w:rPr>
              <w:t>嗜酸性筋膜炎；</w:t>
            </w:r>
          </w:p>
        </w:tc>
      </w:tr>
    </w:tbl>
    <w:p>
      <w:pPr>
        <w:spacing w:after="0" w:line="240" w:lineRule="auto"/>
        <w:jc w:val="left"/>
        <w:rPr>
          <w:rFonts w:ascii="黑体" w:eastAsia="黑体"/>
          <w:sz w:val="21"/>
        </w:rPr>
        <w:sectPr>
          <w:type w:val="continuous"/>
          <w:pgSz w:w="11910" w:h="16840"/>
          <w:pgMar w:top="1420" w:right="1160" w:bottom="152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Pr>
          <w:p>
            <w:pPr>
              <w:pStyle w:val="11"/>
              <w:ind w:left="0"/>
              <w:rPr>
                <w:rFonts w:ascii="Times New Roman"/>
                <w:sz w:val="20"/>
              </w:rPr>
            </w:pPr>
          </w:p>
        </w:tc>
        <w:tc>
          <w:tcPr>
            <w:tcW w:w="6986" w:type="dxa"/>
          </w:tcPr>
          <w:p>
            <w:pPr>
              <w:pStyle w:val="11"/>
              <w:spacing w:before="20"/>
              <w:rPr>
                <w:rFonts w:ascii="黑体" w:eastAsia="黑体"/>
                <w:sz w:val="21"/>
              </w:rPr>
            </w:pPr>
            <w:r>
              <w:rPr>
                <w:rFonts w:ascii="黑体" w:eastAsia="黑体"/>
                <w:color w:val="000000"/>
                <w:sz w:val="21"/>
                <w:shd w:val="clear" w:color="auto" w:fill="DADADA"/>
              </w:rPr>
              <w:t>（</w:t>
            </w:r>
            <w:r>
              <w:rPr>
                <w:rFonts w:ascii="Times New Roman" w:eastAsia="Times New Roman"/>
                <w:color w:val="000000"/>
                <w:sz w:val="21"/>
                <w:shd w:val="clear" w:color="auto" w:fill="DADADA"/>
              </w:rPr>
              <w:t>3</w:t>
            </w:r>
            <w:r>
              <w:rPr>
                <w:rFonts w:ascii="黑体" w:eastAsia="黑体"/>
                <w:color w:val="000000"/>
                <w:sz w:val="21"/>
                <w:shd w:val="clear" w:color="auto" w:fill="DADADA"/>
              </w:rPr>
              <w:t>）</w:t>
            </w:r>
            <w:r>
              <w:rPr>
                <w:rFonts w:ascii="Times New Roman" w:eastAsia="Times New Roman"/>
                <w:color w:val="000000"/>
                <w:sz w:val="21"/>
                <w:shd w:val="clear" w:color="auto" w:fill="DADADA"/>
              </w:rPr>
              <w:t>CREST</w:t>
            </w:r>
            <w:r>
              <w:rPr>
                <w:rFonts w:ascii="Times New Roman" w:eastAsia="Times New Roman"/>
                <w:color w:val="000000"/>
                <w:spacing w:val="-4"/>
                <w:sz w:val="21"/>
                <w:shd w:val="clear" w:color="auto" w:fill="DADADA"/>
              </w:rPr>
              <w:t xml:space="preserve"> </w:t>
            </w:r>
            <w:r>
              <w:rPr>
                <w:rFonts w:ascii="黑体" w:eastAsia="黑体"/>
                <w:color w:val="000000"/>
                <w:spacing w:val="-3"/>
                <w:sz w:val="21"/>
                <w:shd w:val="clear" w:color="auto" w:fill="DADADA"/>
              </w:rPr>
              <w:t>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spacing w:before="177" w:line="278" w:lineRule="auto"/>
              <w:ind w:left="107" w:right="88"/>
              <w:rPr>
                <w:sz w:val="21"/>
              </w:rPr>
            </w:pPr>
            <w:r>
              <w:rPr>
                <w:spacing w:val="-2"/>
                <w:sz w:val="21"/>
              </w:rPr>
              <w:t>四十六、丝虫病所</w:t>
            </w:r>
            <w:r>
              <w:rPr>
                <w:spacing w:val="-4"/>
                <w:sz w:val="21"/>
              </w:rPr>
              <w:t>致象皮肿</w:t>
            </w:r>
          </w:p>
        </w:tc>
        <w:tc>
          <w:tcPr>
            <w:tcW w:w="6986" w:type="dxa"/>
          </w:tcPr>
          <w:p>
            <w:pPr>
              <w:pStyle w:val="11"/>
              <w:spacing w:before="21" w:line="278" w:lineRule="auto"/>
              <w:ind w:right="93"/>
              <w:rPr>
                <w:sz w:val="21"/>
              </w:rPr>
            </w:pPr>
            <w:r>
              <w:rPr>
                <w:spacing w:val="-2"/>
                <w:sz w:val="21"/>
              </w:rPr>
              <w:t>指末期丝虫病，按国际淋巴学会分级为三度淋巴液肿，其临床表现为肢体</w:t>
            </w:r>
            <w:r>
              <w:rPr>
                <w:spacing w:val="-1"/>
                <w:sz w:val="21"/>
              </w:rPr>
              <w:t>非凹陷性水肿伴畸形增大、硬皮症和疣状增生。此病症须经我们认可的专</w:t>
            </w:r>
          </w:p>
          <w:p>
            <w:pPr>
              <w:pStyle w:val="11"/>
              <w:rPr>
                <w:sz w:val="21"/>
              </w:rPr>
            </w:pPr>
            <w:r>
              <w:rPr>
                <w:spacing w:val="-1"/>
                <w:sz w:val="21"/>
              </w:rPr>
              <w:t>科医生根据临床表现和微丝蚴的化验结果确诊。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0"/>
              <w:ind w:left="0"/>
              <w:rPr>
                <w:sz w:val="26"/>
              </w:rPr>
            </w:pPr>
          </w:p>
          <w:p>
            <w:pPr>
              <w:pStyle w:val="11"/>
              <w:spacing w:line="278" w:lineRule="auto"/>
              <w:ind w:left="107" w:right="88"/>
              <w:rPr>
                <w:sz w:val="21"/>
              </w:rPr>
            </w:pPr>
            <w:r>
              <w:rPr>
                <w:spacing w:val="-2"/>
                <w:sz w:val="21"/>
              </w:rPr>
              <w:t>四十七、肾髓质囊</w:t>
            </w:r>
            <w:r>
              <w:rPr>
                <w:spacing w:val="-6"/>
                <w:sz w:val="21"/>
              </w:rPr>
              <w:t>性病</w:t>
            </w:r>
          </w:p>
        </w:tc>
        <w:tc>
          <w:tcPr>
            <w:tcW w:w="6986" w:type="dxa"/>
          </w:tcPr>
          <w:p>
            <w:pPr>
              <w:pStyle w:val="11"/>
              <w:spacing w:before="20"/>
              <w:rPr>
                <w:sz w:val="21"/>
              </w:rPr>
            </w:pPr>
            <w:r>
              <w:rPr>
                <w:spacing w:val="-1"/>
                <w:sz w:val="21"/>
              </w:rPr>
              <w:t>肾髓质囊性病的诊断须同时符合下列要求：</w:t>
            </w:r>
          </w:p>
          <w:p>
            <w:pPr>
              <w:pStyle w:val="11"/>
              <w:numPr>
                <w:ilvl w:val="0"/>
                <w:numId w:val="54"/>
              </w:numPr>
              <w:tabs>
                <w:tab w:val="left" w:pos="634"/>
              </w:tabs>
              <w:spacing w:before="43" w:after="0" w:line="240" w:lineRule="auto"/>
              <w:ind w:left="633" w:right="0" w:hanging="528"/>
              <w:jc w:val="left"/>
              <w:rPr>
                <w:sz w:val="21"/>
              </w:rPr>
            </w:pPr>
            <w:r>
              <w:rPr>
                <w:spacing w:val="-3"/>
                <w:sz w:val="21"/>
              </w:rPr>
              <w:t>肾髓质有囊肿、肾小管萎缩及间质纤维化等病理改变；</w:t>
            </w:r>
          </w:p>
          <w:p>
            <w:pPr>
              <w:pStyle w:val="11"/>
              <w:numPr>
                <w:ilvl w:val="0"/>
                <w:numId w:val="54"/>
              </w:numPr>
              <w:tabs>
                <w:tab w:val="left" w:pos="634"/>
              </w:tabs>
              <w:spacing w:before="43" w:after="0" w:line="240" w:lineRule="auto"/>
              <w:ind w:left="633" w:right="0" w:hanging="528"/>
              <w:jc w:val="left"/>
              <w:rPr>
                <w:sz w:val="21"/>
              </w:rPr>
            </w:pPr>
            <w:r>
              <w:rPr>
                <w:spacing w:val="-4"/>
                <w:sz w:val="21"/>
              </w:rPr>
              <w:t>肾功能衰竭；</w:t>
            </w:r>
          </w:p>
          <w:p>
            <w:pPr>
              <w:pStyle w:val="11"/>
              <w:numPr>
                <w:ilvl w:val="0"/>
                <w:numId w:val="54"/>
              </w:numPr>
              <w:tabs>
                <w:tab w:val="left" w:pos="634"/>
              </w:tabs>
              <w:spacing w:before="43" w:after="0" w:line="240" w:lineRule="auto"/>
              <w:ind w:left="633" w:right="0" w:hanging="528"/>
              <w:jc w:val="left"/>
              <w:rPr>
                <w:sz w:val="21"/>
              </w:rPr>
            </w:pPr>
            <w:r>
              <w:rPr>
                <w:spacing w:val="-3"/>
                <w:sz w:val="21"/>
              </w:rPr>
              <w:t>诊断须由肾组织活检确定。</w:t>
            </w:r>
          </w:p>
          <w:p>
            <w:pPr>
              <w:pStyle w:val="11"/>
              <w:spacing w:before="43"/>
              <w:rPr>
                <w:rFonts w:ascii="黑体" w:eastAsia="黑体"/>
                <w:sz w:val="21"/>
              </w:rPr>
            </w:pPr>
            <w:r>
              <w:rPr>
                <w:rFonts w:ascii="黑体" w:eastAsia="黑体"/>
                <w:color w:val="000000"/>
                <w:spacing w:val="-1"/>
                <w:sz w:val="21"/>
                <w:shd w:val="clear" w:color="auto" w:fill="DADADA"/>
              </w:rPr>
              <w:t>以下情况不在本保障范围内：</w:t>
            </w:r>
          </w:p>
          <w:p>
            <w:pPr>
              <w:pStyle w:val="11"/>
              <w:numPr>
                <w:ilvl w:val="0"/>
                <w:numId w:val="55"/>
              </w:numPr>
              <w:tabs>
                <w:tab w:val="left" w:pos="633"/>
              </w:tabs>
              <w:spacing w:before="43" w:after="0" w:line="240" w:lineRule="auto"/>
              <w:ind w:left="632" w:right="0" w:hanging="527"/>
              <w:jc w:val="left"/>
              <w:rPr>
                <w:rFonts w:ascii="黑体" w:eastAsia="黑体"/>
                <w:sz w:val="21"/>
              </w:rPr>
            </w:pPr>
            <w:r>
              <w:rPr>
                <w:rFonts w:ascii="黑体" w:eastAsia="黑体"/>
                <w:color w:val="000000"/>
                <w:spacing w:val="-3"/>
                <w:sz w:val="21"/>
                <w:shd w:val="clear" w:color="auto" w:fill="DADADA"/>
              </w:rPr>
              <w:t>多囊肾；</w:t>
            </w:r>
          </w:p>
          <w:p>
            <w:pPr>
              <w:pStyle w:val="11"/>
              <w:numPr>
                <w:ilvl w:val="0"/>
                <w:numId w:val="55"/>
              </w:numPr>
              <w:tabs>
                <w:tab w:val="left" w:pos="633"/>
              </w:tabs>
              <w:spacing w:before="43" w:after="0" w:line="240" w:lineRule="auto"/>
              <w:ind w:left="632" w:right="0" w:hanging="527"/>
              <w:jc w:val="left"/>
              <w:rPr>
                <w:rFonts w:ascii="黑体" w:eastAsia="黑体"/>
                <w:sz w:val="21"/>
              </w:rPr>
            </w:pPr>
            <w:r>
              <w:rPr>
                <w:rFonts w:ascii="黑体" w:eastAsia="黑体"/>
                <w:color w:val="000000"/>
                <w:spacing w:val="-1"/>
                <w:sz w:val="21"/>
                <w:shd w:val="clear" w:color="auto" w:fill="DADADA"/>
              </w:rPr>
              <w:t>多囊性肾发育不良和髓质海绵肾；</w:t>
            </w:r>
          </w:p>
          <w:p>
            <w:pPr>
              <w:pStyle w:val="11"/>
              <w:spacing w:before="2" w:line="310" w:lineRule="atLeast"/>
              <w:ind w:right="-15"/>
              <w:rPr>
                <w:rFonts w:ascii="黑体" w:hAnsi="黑体" w:eastAsia="黑体"/>
                <w:sz w:val="21"/>
              </w:rPr>
            </w:pPr>
            <w:r>
              <w:rPr>
                <w:rFonts w:ascii="黑体" w:hAnsi="黑体" w:eastAsia="黑体"/>
                <w:spacing w:val="-2"/>
                <w:sz w:val="21"/>
              </w:rPr>
              <w:t>我们承担本项疾病责任不受本合同责任免除中“遗传性疾病，先天性畸形、变形或染色体异常”的限制。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20" w:line="278" w:lineRule="auto"/>
              <w:ind w:left="107" w:right="88"/>
              <w:rPr>
                <w:sz w:val="21"/>
              </w:rPr>
            </w:pPr>
            <w:r>
              <w:rPr>
                <w:spacing w:val="-2"/>
                <w:sz w:val="21"/>
              </w:rPr>
              <w:t>四十八、侵蚀性葡</w:t>
            </w:r>
            <w:r>
              <w:rPr>
                <w:sz w:val="21"/>
              </w:rPr>
              <w:t>萄胎（</w:t>
            </w:r>
            <w:r>
              <w:rPr>
                <w:spacing w:val="-2"/>
                <w:sz w:val="21"/>
              </w:rPr>
              <w:t>或称恶性葡</w:t>
            </w:r>
          </w:p>
          <w:p>
            <w:pPr>
              <w:pStyle w:val="11"/>
              <w:ind w:left="107"/>
              <w:rPr>
                <w:sz w:val="21"/>
              </w:rPr>
            </w:pPr>
            <w:r>
              <w:rPr>
                <w:sz w:val="21"/>
              </w:rPr>
              <w:t>萄胎</w:t>
            </w:r>
            <w:r>
              <w:rPr>
                <w:spacing w:val="-10"/>
                <w:sz w:val="21"/>
              </w:rPr>
              <w:t>）</w:t>
            </w:r>
          </w:p>
        </w:tc>
        <w:tc>
          <w:tcPr>
            <w:tcW w:w="6986" w:type="dxa"/>
          </w:tcPr>
          <w:p>
            <w:pPr>
              <w:pStyle w:val="11"/>
              <w:spacing w:before="176" w:line="278" w:lineRule="auto"/>
              <w:ind w:right="93"/>
              <w:rPr>
                <w:sz w:val="21"/>
              </w:rPr>
            </w:pPr>
            <w:r>
              <w:rPr>
                <w:spacing w:val="-2"/>
                <w:sz w:val="21"/>
              </w:rPr>
              <w:t>该类疾病是指异常增生的绒毛组织浸润性生长浸入子宫肌层或转移至其他器官或组织的葡萄胎，并已经进行化疗或手术治疗的。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957"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19"/>
              </w:rPr>
            </w:pPr>
          </w:p>
          <w:p>
            <w:pPr>
              <w:pStyle w:val="11"/>
              <w:spacing w:before="1" w:line="278" w:lineRule="auto"/>
              <w:ind w:left="107" w:right="88"/>
              <w:jc w:val="both"/>
              <w:rPr>
                <w:sz w:val="21"/>
              </w:rPr>
            </w:pPr>
            <w:r>
              <w:rPr>
                <w:spacing w:val="-2"/>
                <w:sz w:val="21"/>
              </w:rPr>
              <w:t>四十九、特发性慢性肾上腺皮质功能</w:t>
            </w:r>
            <w:r>
              <w:rPr>
                <w:spacing w:val="-6"/>
                <w:sz w:val="21"/>
              </w:rPr>
              <w:t>减退</w:t>
            </w:r>
          </w:p>
        </w:tc>
        <w:tc>
          <w:tcPr>
            <w:tcW w:w="6986" w:type="dxa"/>
          </w:tcPr>
          <w:p>
            <w:pPr>
              <w:pStyle w:val="11"/>
              <w:spacing w:before="21" w:line="278" w:lineRule="auto"/>
              <w:ind w:right="93"/>
              <w:rPr>
                <w:sz w:val="21"/>
              </w:rPr>
            </w:pPr>
            <w:r>
              <w:rPr>
                <w:spacing w:val="-2"/>
                <w:sz w:val="21"/>
              </w:rPr>
              <w:t>指自身免疫性肾上腺炎（既往称：特发性肾上腺皮质萎缩）导致肾上腺萎缩和慢性肾上腺皮质功能减退。必须满足所有以下条件：</w:t>
            </w:r>
          </w:p>
          <w:p>
            <w:pPr>
              <w:pStyle w:val="11"/>
              <w:numPr>
                <w:ilvl w:val="0"/>
                <w:numId w:val="56"/>
              </w:numPr>
              <w:tabs>
                <w:tab w:val="left" w:pos="634"/>
              </w:tabs>
              <w:spacing w:before="0" w:after="0" w:line="240" w:lineRule="auto"/>
              <w:ind w:left="633" w:right="0" w:hanging="528"/>
              <w:jc w:val="left"/>
              <w:rPr>
                <w:sz w:val="21"/>
              </w:rPr>
            </w:pPr>
            <w:r>
              <w:rPr>
                <w:spacing w:val="-3"/>
                <w:sz w:val="21"/>
              </w:rPr>
              <w:t>必须由专科医生明确诊断，符合所有以下诊断标准：</w:t>
            </w:r>
          </w:p>
          <w:p>
            <w:pPr>
              <w:pStyle w:val="11"/>
              <w:spacing w:before="43"/>
              <w:rPr>
                <w:sz w:val="21"/>
              </w:rPr>
            </w:pPr>
            <w:r>
              <w:rPr>
                <w:w w:val="95"/>
                <w:sz w:val="21"/>
              </w:rPr>
              <w:t>①血浆促肾上腺皮质激素</w:t>
            </w:r>
            <w:r>
              <w:rPr>
                <w:rFonts w:ascii="Times New Roman" w:hAnsi="Times New Roman" w:eastAsia="Times New Roman"/>
                <w:w w:val="95"/>
                <w:sz w:val="21"/>
              </w:rPr>
              <w:t>(ACTH)</w:t>
            </w:r>
            <w:r>
              <w:rPr>
                <w:w w:val="95"/>
                <w:sz w:val="21"/>
              </w:rPr>
              <w:t>水平测定</w:t>
            </w:r>
            <w:r>
              <w:rPr>
                <w:spacing w:val="-2"/>
                <w:w w:val="95"/>
                <w:sz w:val="21"/>
              </w:rPr>
              <w:t>，</w:t>
            </w:r>
            <w:r>
              <w:rPr>
                <w:rFonts w:ascii="Times New Roman" w:hAnsi="Times New Roman" w:eastAsia="Times New Roman"/>
                <w:spacing w:val="-2"/>
                <w:w w:val="95"/>
                <w:sz w:val="21"/>
              </w:rPr>
              <w:t>&gt;100pg/ml</w:t>
            </w:r>
            <w:r>
              <w:rPr>
                <w:spacing w:val="-2"/>
                <w:w w:val="95"/>
                <w:sz w:val="21"/>
              </w:rPr>
              <w:t>；</w:t>
            </w:r>
          </w:p>
          <w:p>
            <w:pPr>
              <w:pStyle w:val="11"/>
              <w:spacing w:before="43" w:line="278" w:lineRule="auto"/>
              <w:ind w:right="93"/>
              <w:rPr>
                <w:sz w:val="21"/>
              </w:rPr>
            </w:pPr>
            <w:r>
              <w:rPr>
                <w:spacing w:val="-2"/>
                <w:sz w:val="21"/>
              </w:rPr>
              <w:t>②血浆肾素活性、血管紧张素Ⅱ和醛固酮测定，显示为原发性肾上腺皮质功能减退症；</w:t>
            </w:r>
          </w:p>
          <w:p>
            <w:pPr>
              <w:pStyle w:val="11"/>
              <w:spacing w:line="278" w:lineRule="auto"/>
              <w:ind w:right="96" w:hanging="1"/>
              <w:rPr>
                <w:sz w:val="21"/>
              </w:rPr>
            </w:pPr>
            <w:r>
              <w:rPr>
                <w:spacing w:val="5"/>
                <w:sz w:val="21"/>
              </w:rPr>
              <w:t>③促肾上腺皮质激素</w:t>
            </w:r>
            <w:r>
              <w:rPr>
                <w:rFonts w:ascii="Times New Roman" w:hAnsi="Times New Roman" w:eastAsia="Times New Roman"/>
                <w:spacing w:val="-1"/>
                <w:w w:val="99"/>
                <w:sz w:val="21"/>
              </w:rPr>
              <w:t>(A</w:t>
            </w:r>
            <w:r>
              <w:rPr>
                <w:rFonts w:ascii="Times New Roman" w:hAnsi="Times New Roman" w:eastAsia="Times New Roman"/>
                <w:spacing w:val="1"/>
                <w:w w:val="99"/>
                <w:sz w:val="21"/>
              </w:rPr>
              <w:t>C</w:t>
            </w:r>
            <w:r>
              <w:rPr>
                <w:rFonts w:ascii="Times New Roman" w:hAnsi="Times New Roman" w:eastAsia="Times New Roman"/>
                <w:sz w:val="21"/>
              </w:rPr>
              <w:t>T</w:t>
            </w:r>
            <w:r>
              <w:rPr>
                <w:rFonts w:ascii="Times New Roman" w:hAnsi="Times New Roman" w:eastAsia="Times New Roman"/>
                <w:spacing w:val="-1"/>
                <w:w w:val="99"/>
                <w:sz w:val="21"/>
              </w:rPr>
              <w:t>H</w:t>
            </w:r>
            <w:r>
              <w:rPr>
                <w:rFonts w:ascii="Times New Roman" w:hAnsi="Times New Roman" w:eastAsia="Times New Roman"/>
                <w:spacing w:val="5"/>
                <w:w w:val="99"/>
                <w:sz w:val="21"/>
              </w:rPr>
              <w:t>)</w:t>
            </w:r>
            <w:r>
              <w:rPr>
                <w:spacing w:val="4"/>
                <w:sz w:val="21"/>
              </w:rPr>
              <w:t>刺激试验显示为原发性肾上腺皮质功能减退症。</w:t>
            </w:r>
          </w:p>
          <w:p>
            <w:pPr>
              <w:pStyle w:val="11"/>
              <w:numPr>
                <w:ilvl w:val="0"/>
                <w:numId w:val="56"/>
              </w:numPr>
              <w:tabs>
                <w:tab w:val="left" w:pos="634"/>
              </w:tabs>
              <w:spacing w:before="0" w:after="0" w:line="240" w:lineRule="auto"/>
              <w:ind w:left="633" w:right="0" w:hanging="528"/>
              <w:jc w:val="left"/>
              <w:rPr>
                <w:sz w:val="21"/>
              </w:rPr>
            </w:pPr>
            <w:r>
              <w:rPr>
                <w:spacing w:val="-4"/>
                <w:sz w:val="21"/>
              </w:rPr>
              <w:t xml:space="preserve">已经采用皮质类固醇替代治疗 </w:t>
            </w:r>
            <w:r>
              <w:rPr>
                <w:rFonts w:ascii="Times New Roman" w:eastAsia="Times New Roman"/>
                <w:sz w:val="21"/>
              </w:rPr>
              <w:t>180</w:t>
            </w:r>
            <w:r>
              <w:rPr>
                <w:rFonts w:ascii="Times New Roman" w:eastAsia="Times New Roman"/>
                <w:spacing w:val="-3"/>
                <w:sz w:val="21"/>
              </w:rPr>
              <w:t xml:space="preserve"> </w:t>
            </w:r>
            <w:r>
              <w:rPr>
                <w:spacing w:val="-3"/>
                <w:sz w:val="21"/>
              </w:rPr>
              <w:t>天以上。</w:t>
            </w:r>
          </w:p>
          <w:p>
            <w:pPr>
              <w:pStyle w:val="11"/>
              <w:spacing w:before="2" w:line="312" w:lineRule="exact"/>
              <w:ind w:right="96"/>
              <w:rPr>
                <w:rFonts w:ascii="黑体" w:eastAsia="黑体"/>
                <w:sz w:val="21"/>
              </w:rPr>
            </w:pPr>
            <w:r>
              <w:rPr>
                <w:rFonts w:ascii="黑体" w:eastAsia="黑体"/>
                <w:color w:val="000000"/>
                <w:sz w:val="21"/>
                <w:shd w:val="clear" w:color="auto" w:fill="DADADA"/>
              </w:rPr>
              <w:t>肾上腺结核、</w:t>
            </w:r>
            <w:r>
              <w:rPr>
                <w:rFonts w:ascii="Times New Roman" w:eastAsia="Times New Roman"/>
                <w:color w:val="000000"/>
                <w:sz w:val="21"/>
                <w:shd w:val="clear" w:color="auto" w:fill="DADADA"/>
              </w:rPr>
              <w:t>HIV</w:t>
            </w:r>
            <w:r>
              <w:rPr>
                <w:rFonts w:ascii="Times New Roman" w:eastAsia="Times New Roman"/>
                <w:color w:val="000000"/>
                <w:spacing w:val="9"/>
                <w:sz w:val="21"/>
                <w:shd w:val="clear" w:color="auto" w:fill="DADADA"/>
              </w:rPr>
              <w:t xml:space="preserve"> </w:t>
            </w:r>
            <w:r>
              <w:rPr>
                <w:rFonts w:ascii="黑体" w:eastAsia="黑体"/>
                <w:color w:val="000000"/>
                <w:sz w:val="21"/>
                <w:shd w:val="clear" w:color="auto" w:fill="DADADA"/>
              </w:rPr>
              <w:t>感染或艾滋病、感染、肿瘤所致的原发性肾上腺皮质功</w:t>
            </w:r>
            <w:r>
              <w:rPr>
                <w:rFonts w:ascii="黑体" w:eastAsia="黑体"/>
                <w:color w:val="000000"/>
                <w:spacing w:val="-2"/>
                <w:sz w:val="21"/>
                <w:shd w:val="clear" w:color="auto" w:fill="DADADA"/>
              </w:rPr>
              <w:t>能减退和继发性肾上腺皮质功能减退不在保障范围内。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1957"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12"/>
              <w:ind w:left="0"/>
              <w:rPr>
                <w:sz w:val="18"/>
              </w:rPr>
            </w:pPr>
          </w:p>
          <w:p>
            <w:pPr>
              <w:pStyle w:val="11"/>
              <w:spacing w:line="278" w:lineRule="auto"/>
              <w:ind w:left="107" w:right="88"/>
              <w:rPr>
                <w:sz w:val="21"/>
              </w:rPr>
            </w:pPr>
            <w:r>
              <w:rPr>
                <w:spacing w:val="-2"/>
                <w:sz w:val="21"/>
              </w:rPr>
              <w:t>五十、原发性骨髓</w:t>
            </w:r>
            <w:r>
              <w:rPr>
                <w:spacing w:val="-4"/>
                <w:sz w:val="21"/>
              </w:rPr>
              <w:t>纤维化</w:t>
            </w:r>
          </w:p>
        </w:tc>
        <w:tc>
          <w:tcPr>
            <w:tcW w:w="6986" w:type="dxa"/>
          </w:tcPr>
          <w:p>
            <w:pPr>
              <w:pStyle w:val="11"/>
              <w:spacing w:before="20" w:line="278" w:lineRule="auto"/>
              <w:ind w:right="93"/>
              <w:jc w:val="both"/>
              <w:rPr>
                <w:sz w:val="21"/>
              </w:rPr>
            </w:pPr>
            <w:r>
              <w:rPr>
                <w:spacing w:val="-2"/>
                <w:sz w:val="21"/>
              </w:rPr>
              <w:t xml:space="preserve">原发性骨髓纤维化为原因不明的骨髓中成纤维细胞增殖，伴有髓外造血，表现为进行性贫血、脾肿大等症状。本疾病须根据骨髓的活组织检查和周围血象检查由我们认可的医院血液科专科医生明确诊断，并至少符合下列条件中的三项，且符合条件的状态持续 </w:t>
            </w:r>
            <w:r>
              <w:rPr>
                <w:rFonts w:ascii="Times New Roman" w:eastAsia="Times New Roman"/>
                <w:sz w:val="21"/>
              </w:rPr>
              <w:t>180</w:t>
            </w:r>
            <w:r>
              <w:rPr>
                <w:rFonts w:ascii="Times New Roman" w:eastAsia="Times New Roman"/>
                <w:spacing w:val="-9"/>
                <w:sz w:val="21"/>
              </w:rPr>
              <w:t xml:space="preserve"> </w:t>
            </w:r>
            <w:r>
              <w:rPr>
                <w:sz w:val="21"/>
              </w:rPr>
              <w:t>天及以上，并已经实际实施了</w:t>
            </w:r>
            <w:r>
              <w:rPr>
                <w:spacing w:val="-2"/>
                <w:sz w:val="21"/>
              </w:rPr>
              <w:t>针对此症的治疗：</w:t>
            </w:r>
          </w:p>
          <w:p>
            <w:pPr>
              <w:pStyle w:val="11"/>
              <w:spacing w:line="269" w:lineRule="exact"/>
              <w:rPr>
                <w:sz w:val="21"/>
              </w:rPr>
            </w:pPr>
            <w:r>
              <w:rPr>
                <w:spacing w:val="-2"/>
                <w:sz w:val="21"/>
              </w:rPr>
              <w:t>（</w:t>
            </w:r>
            <w:r>
              <w:rPr>
                <w:rFonts w:ascii="Times New Roman" w:eastAsia="Times New Roman"/>
                <w:spacing w:val="-2"/>
                <w:sz w:val="21"/>
              </w:rPr>
              <w:t>1</w:t>
            </w:r>
            <w:r>
              <w:rPr>
                <w:spacing w:val="-2"/>
                <w:sz w:val="21"/>
              </w:rPr>
              <w:t>）血红蛋白</w:t>
            </w:r>
            <w:r>
              <w:rPr>
                <w:rFonts w:ascii="Times New Roman" w:eastAsia="Times New Roman"/>
                <w:spacing w:val="-2"/>
                <w:sz w:val="21"/>
              </w:rPr>
              <w:t>&lt;100g/L</w:t>
            </w:r>
            <w:r>
              <w:rPr>
                <w:spacing w:val="-2"/>
                <w:sz w:val="21"/>
              </w:rPr>
              <w:t>；</w:t>
            </w:r>
          </w:p>
          <w:p>
            <w:pPr>
              <w:pStyle w:val="11"/>
              <w:spacing w:before="43"/>
              <w:rPr>
                <w:sz w:val="21"/>
              </w:rPr>
            </w:pPr>
            <w:r>
              <w:rPr>
                <w:spacing w:val="-2"/>
                <w:sz w:val="21"/>
              </w:rPr>
              <w:t>（</w:t>
            </w:r>
            <w:r>
              <w:rPr>
                <w:rFonts w:ascii="Times New Roman" w:hAnsi="Times New Roman" w:eastAsia="Times New Roman"/>
                <w:spacing w:val="-2"/>
                <w:sz w:val="21"/>
              </w:rPr>
              <w:t>2</w:t>
            </w:r>
            <w:r>
              <w:rPr>
                <w:spacing w:val="-2"/>
                <w:sz w:val="21"/>
              </w:rPr>
              <w:t>）白细胞计数</w:t>
            </w:r>
            <w:r>
              <w:rPr>
                <w:rFonts w:ascii="Times New Roman" w:hAnsi="Times New Roman" w:eastAsia="Times New Roman"/>
                <w:spacing w:val="-2"/>
                <w:sz w:val="21"/>
              </w:rPr>
              <w:t>&gt;25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11"/>
              <w:spacing w:before="43"/>
              <w:rPr>
                <w:sz w:val="21"/>
              </w:rPr>
            </w:pPr>
            <w:r>
              <w:rPr>
                <w:spacing w:val="-2"/>
                <w:sz w:val="21"/>
              </w:rPr>
              <w:t>（</w:t>
            </w:r>
            <w:r>
              <w:rPr>
                <w:rFonts w:ascii="Times New Roman" w:hAnsi="Times New Roman" w:eastAsia="Times New Roman"/>
                <w:spacing w:val="-2"/>
                <w:sz w:val="21"/>
              </w:rPr>
              <w:t>3</w:t>
            </w:r>
            <w:r>
              <w:rPr>
                <w:spacing w:val="-2"/>
                <w:sz w:val="21"/>
              </w:rPr>
              <w:t>）</w:t>
            </w:r>
            <w:r>
              <w:rPr>
                <w:spacing w:val="-3"/>
                <w:sz w:val="21"/>
              </w:rPr>
              <w:t>外周血原始细胞≥</w:t>
            </w:r>
            <w:r>
              <w:rPr>
                <w:rFonts w:ascii="Times New Roman" w:hAnsi="Times New Roman" w:eastAsia="Times New Roman"/>
                <w:spacing w:val="-4"/>
                <w:sz w:val="21"/>
              </w:rPr>
              <w:t>1%</w:t>
            </w:r>
            <w:r>
              <w:rPr>
                <w:spacing w:val="-4"/>
                <w:sz w:val="21"/>
              </w:rPr>
              <w:t>；</w:t>
            </w:r>
          </w:p>
          <w:p>
            <w:pPr>
              <w:pStyle w:val="11"/>
              <w:spacing w:before="43"/>
              <w:rPr>
                <w:sz w:val="21"/>
              </w:rPr>
            </w:pPr>
            <w:r>
              <w:rPr>
                <w:spacing w:val="-2"/>
                <w:sz w:val="21"/>
              </w:rPr>
              <w:t>（</w:t>
            </w:r>
            <w:r>
              <w:rPr>
                <w:rFonts w:ascii="Times New Roman" w:hAnsi="Times New Roman" w:eastAsia="Times New Roman"/>
                <w:spacing w:val="-2"/>
                <w:sz w:val="21"/>
              </w:rPr>
              <w:t>4</w:t>
            </w:r>
            <w:r>
              <w:rPr>
                <w:spacing w:val="-2"/>
                <w:sz w:val="21"/>
              </w:rPr>
              <w:t>）血小板计数</w:t>
            </w:r>
            <w:r>
              <w:rPr>
                <w:rFonts w:ascii="Times New Roman" w:hAnsi="Times New Roman" w:eastAsia="Times New Roman"/>
                <w:spacing w:val="-2"/>
                <w:sz w:val="21"/>
              </w:rPr>
              <w:t>&lt;100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10"/>
                <w:sz w:val="21"/>
                <w:vertAlign w:val="baseline"/>
              </w:rPr>
              <w:t>。</w:t>
            </w:r>
          </w:p>
          <w:p>
            <w:pPr>
              <w:pStyle w:val="11"/>
              <w:spacing w:before="42"/>
              <w:rPr>
                <w:rFonts w:ascii="黑体" w:eastAsia="黑体"/>
                <w:sz w:val="21"/>
              </w:rPr>
            </w:pPr>
            <w:r>
              <w:rPr>
                <w:rFonts w:ascii="黑体" w:eastAsia="黑体"/>
                <w:color w:val="000000"/>
                <w:spacing w:val="-1"/>
                <w:sz w:val="21"/>
                <w:shd w:val="clear" w:color="auto" w:fill="DADADA"/>
              </w:rPr>
              <w:t>任何其他病因导致的继发性骨髓纤维化不在保障范围内。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7"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8"/>
              <w:rPr>
                <w:sz w:val="21"/>
              </w:rPr>
            </w:pPr>
            <w:r>
              <w:rPr>
                <w:spacing w:val="-2"/>
                <w:sz w:val="21"/>
              </w:rPr>
              <w:t>五十一、严重骨髓异常增生综合征</w:t>
            </w:r>
          </w:p>
        </w:tc>
        <w:tc>
          <w:tcPr>
            <w:tcW w:w="6986" w:type="dxa"/>
          </w:tcPr>
          <w:p>
            <w:pPr>
              <w:pStyle w:val="11"/>
              <w:spacing w:before="20" w:line="278" w:lineRule="auto"/>
              <w:ind w:right="98"/>
              <w:jc w:val="both"/>
              <w:rPr>
                <w:sz w:val="21"/>
              </w:rPr>
            </w:pPr>
            <w:r>
              <w:rPr>
                <w:spacing w:val="-4"/>
                <w:sz w:val="21"/>
              </w:rPr>
              <w:t>严重骨髓异常增生综合征是指符合世界卫生组织（</w:t>
            </w:r>
            <w:r>
              <w:rPr>
                <w:rFonts w:ascii="Times New Roman" w:eastAsia="Times New Roman"/>
                <w:spacing w:val="-4"/>
                <w:sz w:val="21"/>
              </w:rPr>
              <w:t>WHO</w:t>
            </w:r>
            <w:r>
              <w:rPr>
                <w:spacing w:val="-4"/>
                <w:sz w:val="21"/>
              </w:rPr>
              <w:t>）</w:t>
            </w:r>
            <w:r>
              <w:rPr>
                <w:rFonts w:ascii="Times New Roman" w:eastAsia="Times New Roman"/>
                <w:spacing w:val="-4"/>
                <w:sz w:val="21"/>
              </w:rPr>
              <w:t xml:space="preserve">2008 </w:t>
            </w:r>
            <w:r>
              <w:rPr>
                <w:spacing w:val="-4"/>
                <w:sz w:val="21"/>
              </w:rPr>
              <w:t>年分型方案</w:t>
            </w:r>
            <w:r>
              <w:rPr>
                <w:spacing w:val="-2"/>
                <w:sz w:val="21"/>
              </w:rPr>
              <w:t>中的难治性贫血细胞减少伴原始细胞增多</w:t>
            </w:r>
            <w:r>
              <w:rPr>
                <w:rFonts w:ascii="Times New Roman" w:eastAsia="Times New Roman"/>
                <w:spacing w:val="-2"/>
                <w:sz w:val="21"/>
              </w:rPr>
              <w:t>-1</w:t>
            </w:r>
            <w:r>
              <w:rPr>
                <w:spacing w:val="-2"/>
                <w:sz w:val="21"/>
              </w:rPr>
              <w:t>（</w:t>
            </w:r>
            <w:r>
              <w:rPr>
                <w:rFonts w:ascii="Times New Roman" w:eastAsia="Times New Roman"/>
                <w:spacing w:val="-2"/>
                <w:sz w:val="21"/>
              </w:rPr>
              <w:t>RAEB-</w:t>
            </w:r>
            <w:r>
              <w:rPr>
                <w:rFonts w:ascii="Times New Roman" w:eastAsia="Times New Roman"/>
                <w:spacing w:val="50"/>
                <w:sz w:val="21"/>
              </w:rPr>
              <w:t>1</w:t>
            </w:r>
            <w:r>
              <w:rPr>
                <w:spacing w:val="-55"/>
                <w:sz w:val="21"/>
              </w:rPr>
              <w:t>）</w:t>
            </w:r>
            <w:r>
              <w:rPr>
                <w:spacing w:val="-2"/>
                <w:sz w:val="21"/>
              </w:rPr>
              <w:t>、难治性贫血细胞减少伴原始细胞增多</w:t>
            </w:r>
            <w:r>
              <w:rPr>
                <w:rFonts w:ascii="Times New Roman" w:eastAsia="Times New Roman"/>
                <w:spacing w:val="-2"/>
                <w:sz w:val="21"/>
              </w:rPr>
              <w:t>-2</w:t>
            </w:r>
            <w:r>
              <w:rPr>
                <w:spacing w:val="-2"/>
                <w:sz w:val="21"/>
              </w:rPr>
              <w:t>（</w:t>
            </w:r>
            <w:r>
              <w:rPr>
                <w:rFonts w:ascii="Times New Roman" w:eastAsia="Times New Roman"/>
                <w:spacing w:val="-2"/>
                <w:sz w:val="21"/>
              </w:rPr>
              <w:t>RAEB-</w:t>
            </w:r>
            <w:r>
              <w:rPr>
                <w:rFonts w:ascii="Times New Roman" w:eastAsia="Times New Roman"/>
                <w:sz w:val="21"/>
              </w:rPr>
              <w:t>2</w:t>
            </w:r>
            <w:r>
              <w:rPr>
                <w:spacing w:val="-105"/>
                <w:sz w:val="21"/>
              </w:rPr>
              <w:t>）</w:t>
            </w:r>
            <w:r>
              <w:rPr>
                <w:spacing w:val="-2"/>
                <w:sz w:val="21"/>
              </w:rPr>
              <w:t>、</w:t>
            </w:r>
            <w:r>
              <w:rPr>
                <w:rFonts w:ascii="Times New Roman" w:eastAsia="Times New Roman"/>
                <w:spacing w:val="-2"/>
                <w:sz w:val="21"/>
              </w:rPr>
              <w:t>MDS-</w:t>
            </w:r>
            <w:r>
              <w:rPr>
                <w:spacing w:val="-2"/>
                <w:sz w:val="21"/>
              </w:rPr>
              <w:t>未分类（</w:t>
            </w:r>
            <w:r>
              <w:rPr>
                <w:rFonts w:ascii="Times New Roman" w:eastAsia="Times New Roman"/>
                <w:spacing w:val="-2"/>
                <w:sz w:val="21"/>
              </w:rPr>
              <w:t>MDS-</w:t>
            </w:r>
            <w:r>
              <w:rPr>
                <w:rFonts w:ascii="Times New Roman" w:eastAsia="Times New Roman"/>
                <w:spacing w:val="-1"/>
                <w:w w:val="99"/>
                <w:sz w:val="21"/>
              </w:rPr>
              <w:t>U</w:t>
            </w:r>
            <w:r>
              <w:rPr>
                <w:spacing w:val="-105"/>
                <w:sz w:val="21"/>
              </w:rPr>
              <w:t>）</w:t>
            </w:r>
            <w:r>
              <w:rPr>
                <w:spacing w:val="-2"/>
                <w:sz w:val="21"/>
              </w:rPr>
              <w:t>、</w:t>
            </w:r>
            <w:r>
              <w:rPr>
                <w:rFonts w:ascii="Times New Roman" w:eastAsia="Times New Roman"/>
                <w:spacing w:val="-2"/>
                <w:sz w:val="21"/>
              </w:rPr>
              <w:t>MDS</w:t>
            </w:r>
            <w:r>
              <w:rPr>
                <w:rFonts w:ascii="Times New Roman" w:eastAsia="Times New Roman"/>
                <w:spacing w:val="-12"/>
                <w:sz w:val="21"/>
              </w:rPr>
              <w:t xml:space="preserve"> </w:t>
            </w:r>
            <w:r>
              <w:rPr>
                <w:spacing w:val="-2"/>
                <w:sz w:val="21"/>
              </w:rPr>
              <w:t xml:space="preserve">伴单纯 </w:t>
            </w:r>
            <w:r>
              <w:rPr>
                <w:rFonts w:ascii="Times New Roman" w:eastAsia="Times New Roman"/>
                <w:spacing w:val="-2"/>
                <w:sz w:val="21"/>
              </w:rPr>
              <w:t>5q-</w:t>
            </w:r>
            <w:r>
              <w:rPr>
                <w:spacing w:val="-2"/>
                <w:sz w:val="21"/>
              </w:rPr>
              <w:t>，且需满足下列所有条件：</w:t>
            </w:r>
          </w:p>
          <w:p>
            <w:pPr>
              <w:pStyle w:val="11"/>
              <w:numPr>
                <w:ilvl w:val="0"/>
                <w:numId w:val="57"/>
              </w:numPr>
              <w:tabs>
                <w:tab w:val="left" w:pos="634"/>
              </w:tabs>
              <w:spacing w:before="0" w:after="0" w:line="278" w:lineRule="auto"/>
              <w:ind w:left="106" w:right="96" w:firstLine="0"/>
              <w:jc w:val="left"/>
              <w:rPr>
                <w:sz w:val="21"/>
              </w:rPr>
            </w:pPr>
            <w:r>
              <w:rPr>
                <w:spacing w:val="-1"/>
                <w:sz w:val="21"/>
              </w:rPr>
              <w:t>由我们认可的医院中设有专门血液病专科的公立三级甲等医院，血</w:t>
            </w:r>
            <w:r>
              <w:rPr>
                <w:spacing w:val="-4"/>
                <w:sz w:val="21"/>
              </w:rPr>
              <w:t>液病专科的主治级别以上的医师确诊；</w:t>
            </w:r>
          </w:p>
          <w:p>
            <w:pPr>
              <w:pStyle w:val="11"/>
              <w:numPr>
                <w:ilvl w:val="0"/>
                <w:numId w:val="57"/>
              </w:numPr>
              <w:tabs>
                <w:tab w:val="left" w:pos="634"/>
              </w:tabs>
              <w:spacing w:before="0" w:after="0" w:line="240" w:lineRule="auto"/>
              <w:ind w:left="633" w:right="0" w:hanging="528"/>
              <w:jc w:val="left"/>
              <w:rPr>
                <w:sz w:val="21"/>
              </w:rPr>
            </w:pPr>
            <w:r>
              <w:rPr>
                <w:spacing w:val="-3"/>
                <w:sz w:val="21"/>
              </w:rPr>
              <w:t>骨髓穿刺或骨髓活检结果支持诊断；</w:t>
            </w:r>
          </w:p>
        </w:tc>
      </w:tr>
    </w:tbl>
    <w:p>
      <w:pPr>
        <w:spacing w:after="0" w:line="240" w:lineRule="auto"/>
        <w:jc w:val="left"/>
        <w:rPr>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ind w:left="0"/>
              <w:rPr>
                <w:rFonts w:ascii="Times New Roman"/>
                <w:sz w:val="20"/>
              </w:rPr>
            </w:pPr>
          </w:p>
        </w:tc>
        <w:tc>
          <w:tcPr>
            <w:tcW w:w="6986" w:type="dxa"/>
          </w:tcPr>
          <w:p>
            <w:pPr>
              <w:pStyle w:val="11"/>
              <w:numPr>
                <w:ilvl w:val="0"/>
                <w:numId w:val="58"/>
              </w:numPr>
              <w:tabs>
                <w:tab w:val="left" w:pos="634"/>
              </w:tabs>
              <w:spacing w:before="20" w:after="0" w:line="240" w:lineRule="auto"/>
              <w:ind w:left="633" w:right="0" w:hanging="528"/>
              <w:jc w:val="left"/>
              <w:rPr>
                <w:sz w:val="21"/>
              </w:rPr>
            </w:pPr>
            <w:r>
              <w:rPr>
                <w:spacing w:val="-3"/>
                <w:sz w:val="21"/>
              </w:rPr>
              <w:t>被保险人已持续接受一个月以上的化疗或已接受骨髓移植治疗。</w:t>
            </w:r>
          </w:p>
          <w:p>
            <w:pPr>
              <w:pStyle w:val="11"/>
              <w:numPr>
                <w:ilvl w:val="0"/>
                <w:numId w:val="58"/>
              </w:numPr>
              <w:tabs>
                <w:tab w:val="left" w:pos="637"/>
              </w:tabs>
              <w:spacing w:before="43" w:after="0" w:line="240" w:lineRule="auto"/>
              <w:ind w:left="636" w:right="0" w:hanging="531"/>
              <w:jc w:val="left"/>
              <w:rPr>
                <w:sz w:val="21"/>
              </w:rPr>
            </w:pPr>
            <w:r>
              <w:rPr>
                <w:w w:val="95"/>
                <w:sz w:val="21"/>
              </w:rPr>
              <w:t>根据“骨髓增生异常综合征修订国际预后积分系统（</w:t>
            </w:r>
            <w:r>
              <w:rPr>
                <w:rFonts w:ascii="Times New Roman" w:hAnsi="Times New Roman" w:eastAsia="Times New Roman"/>
                <w:w w:val="95"/>
                <w:sz w:val="21"/>
              </w:rPr>
              <w:t>IPSS-</w:t>
            </w:r>
            <w:r>
              <w:rPr>
                <w:rFonts w:ascii="Times New Roman" w:hAnsi="Times New Roman" w:eastAsia="Times New Roman"/>
                <w:spacing w:val="34"/>
                <w:w w:val="95"/>
                <w:sz w:val="21"/>
              </w:rPr>
              <w:t>R</w:t>
            </w:r>
            <w:r>
              <w:rPr>
                <w:spacing w:val="-70"/>
                <w:w w:val="95"/>
                <w:sz w:val="21"/>
              </w:rPr>
              <w:t>）</w:t>
            </w:r>
            <w:r>
              <w:rPr>
                <w:spacing w:val="7"/>
                <w:w w:val="95"/>
                <w:sz w:val="21"/>
              </w:rPr>
              <w:t>”积分</w:t>
            </w:r>
          </w:p>
          <w:p>
            <w:pPr>
              <w:pStyle w:val="11"/>
              <w:spacing w:before="43"/>
              <w:ind w:left="736"/>
              <w:rPr>
                <w:sz w:val="21"/>
              </w:rPr>
            </w:pPr>
            <w:r>
              <w:rPr>
                <w:spacing w:val="-2"/>
                <w:sz w:val="21"/>
              </w:rPr>
              <w:t>≥</w:t>
            </w:r>
            <w:r>
              <w:rPr>
                <w:rFonts w:ascii="Times New Roman" w:hAnsi="Times New Roman" w:eastAsia="Times New Roman"/>
                <w:spacing w:val="-2"/>
                <w:sz w:val="21"/>
              </w:rPr>
              <w:t>3</w:t>
            </w:r>
            <w:r>
              <w:rPr>
                <w:spacing w:val="-3"/>
                <w:sz w:val="21"/>
              </w:rPr>
              <w:t>，属于中危及以上组。</w:t>
            </w:r>
          </w:p>
          <w:p>
            <w:pPr>
              <w:pStyle w:val="11"/>
              <w:spacing w:before="43"/>
              <w:rPr>
                <w:sz w:val="21"/>
              </w:rPr>
            </w:pPr>
            <w:r>
              <w:rPr>
                <w:spacing w:val="-1"/>
                <w:sz w:val="21"/>
              </w:rPr>
              <w:t>化疗日数的计算以被保险人实际服用、注射化疗药物的天数为准。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7"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107" w:right="88"/>
              <w:rPr>
                <w:sz w:val="21"/>
              </w:rPr>
            </w:pPr>
            <w:r>
              <w:rPr>
                <w:spacing w:val="-2"/>
                <w:sz w:val="21"/>
              </w:rPr>
              <w:t>五十二、弥漫性血</w:t>
            </w:r>
            <w:r>
              <w:rPr>
                <w:spacing w:val="-4"/>
                <w:sz w:val="21"/>
              </w:rPr>
              <w:t>管内凝血</w:t>
            </w:r>
          </w:p>
        </w:tc>
        <w:tc>
          <w:tcPr>
            <w:tcW w:w="6986" w:type="dxa"/>
          </w:tcPr>
          <w:p>
            <w:pPr>
              <w:pStyle w:val="11"/>
              <w:spacing w:before="21" w:line="278" w:lineRule="auto"/>
              <w:ind w:right="93"/>
              <w:jc w:val="both"/>
              <w:rPr>
                <w:sz w:val="21"/>
              </w:rPr>
            </w:pPr>
            <w:r>
              <w:rPr>
                <w:spacing w:val="-2"/>
                <w:sz w:val="21"/>
              </w:rPr>
              <w:t>指血液凝固系统和纤溶系统的过度活动导致微血管血栓形成、血小板及凝血因子耗竭和严重出血，需要输注血浆和浓缩血小板进行治疗。须提供同时具有下列条件中的至少三项的检验报告：</w:t>
            </w:r>
          </w:p>
          <w:p>
            <w:pPr>
              <w:pStyle w:val="11"/>
              <w:numPr>
                <w:ilvl w:val="0"/>
                <w:numId w:val="59"/>
              </w:numPr>
              <w:tabs>
                <w:tab w:val="left" w:pos="634"/>
              </w:tabs>
              <w:spacing w:before="0" w:after="0" w:line="240" w:lineRule="auto"/>
              <w:ind w:left="633" w:right="0" w:hanging="528"/>
              <w:jc w:val="left"/>
              <w:rPr>
                <w:sz w:val="21"/>
              </w:rPr>
            </w:pPr>
            <w:r>
              <w:rPr>
                <w:sz w:val="21"/>
              </w:rPr>
              <w:t>血小板计数</w:t>
            </w:r>
            <w:r>
              <w:rPr>
                <w:rFonts w:ascii="Times New Roman" w:hAnsi="Times New Roman" w:eastAsia="Times New Roman"/>
                <w:sz w:val="21"/>
              </w:rPr>
              <w:t>&lt;100</w:t>
            </w:r>
            <w:r>
              <w:rPr>
                <w:sz w:val="21"/>
              </w:rPr>
              <w:t>×</w:t>
            </w:r>
            <w:r>
              <w:rPr>
                <w:rFonts w:ascii="Times New Roman" w:hAnsi="Times New Roman" w:eastAsia="Times New Roman"/>
                <w:sz w:val="21"/>
              </w:rPr>
              <w:t>10</w:t>
            </w:r>
            <w:r>
              <w:rPr>
                <w:rFonts w:ascii="Times New Roman" w:hAnsi="Times New Roman" w:eastAsia="Times New Roman"/>
                <w:sz w:val="21"/>
                <w:vertAlign w:val="superscript"/>
              </w:rPr>
              <w:t>9</w:t>
            </w:r>
            <w:r>
              <w:rPr>
                <w:rFonts w:ascii="Times New Roman" w:hAnsi="Times New Roman" w:eastAsia="Times New Roman"/>
                <w:sz w:val="21"/>
                <w:vertAlign w:val="baseline"/>
              </w:rPr>
              <w:t>/L</w:t>
            </w:r>
            <w:r>
              <w:rPr>
                <w:rFonts w:ascii="Times New Roman" w:hAnsi="Times New Roman" w:eastAsia="Times New Roman"/>
                <w:spacing w:val="37"/>
                <w:sz w:val="21"/>
                <w:vertAlign w:val="baseline"/>
              </w:rPr>
              <w:t xml:space="preserve"> </w:t>
            </w:r>
            <w:r>
              <w:rPr>
                <w:spacing w:val="-2"/>
                <w:sz w:val="21"/>
                <w:vertAlign w:val="baseline"/>
              </w:rPr>
              <w:t>或者呈进行性下降；</w:t>
            </w:r>
          </w:p>
          <w:p>
            <w:pPr>
              <w:pStyle w:val="11"/>
              <w:numPr>
                <w:ilvl w:val="0"/>
                <w:numId w:val="59"/>
              </w:numPr>
              <w:tabs>
                <w:tab w:val="left" w:pos="634"/>
              </w:tabs>
              <w:spacing w:before="43" w:after="0" w:line="240" w:lineRule="auto"/>
              <w:ind w:left="633" w:right="0" w:hanging="528"/>
              <w:jc w:val="left"/>
              <w:rPr>
                <w:sz w:val="21"/>
              </w:rPr>
            </w:pPr>
            <w:r>
              <w:rPr>
                <w:sz w:val="21"/>
              </w:rPr>
              <w:t>血浆纤维蛋白原含量</w:t>
            </w:r>
            <w:r>
              <w:rPr>
                <w:rFonts w:ascii="Times New Roman" w:eastAsia="Times New Roman"/>
                <w:sz w:val="21"/>
              </w:rPr>
              <w:t>&lt;1.5g/L</w:t>
            </w:r>
            <w:r>
              <w:rPr>
                <w:rFonts w:ascii="Times New Roman" w:eastAsia="Times New Roman"/>
                <w:spacing w:val="-4"/>
                <w:sz w:val="21"/>
              </w:rPr>
              <w:t xml:space="preserve"> </w:t>
            </w:r>
            <w:r>
              <w:rPr>
                <w:sz w:val="21"/>
              </w:rPr>
              <w:t>或者</w:t>
            </w:r>
            <w:r>
              <w:rPr>
                <w:rFonts w:ascii="Times New Roman" w:eastAsia="Times New Roman"/>
                <w:sz w:val="21"/>
              </w:rPr>
              <w:t>&gt;4g/L</w:t>
            </w:r>
            <w:r>
              <w:rPr>
                <w:rFonts w:ascii="Times New Roman" w:eastAsia="Times New Roman"/>
                <w:spacing w:val="39"/>
                <w:sz w:val="21"/>
              </w:rPr>
              <w:t xml:space="preserve"> </w:t>
            </w:r>
            <w:r>
              <w:rPr>
                <w:spacing w:val="-2"/>
                <w:sz w:val="21"/>
              </w:rPr>
              <w:t>或者呈进行性下降；</w:t>
            </w:r>
          </w:p>
          <w:p>
            <w:pPr>
              <w:pStyle w:val="11"/>
              <w:spacing w:before="43"/>
              <w:rPr>
                <w:sz w:val="21"/>
              </w:rPr>
            </w:pPr>
            <w:r>
              <w:rPr>
                <w:sz w:val="21"/>
              </w:rPr>
              <w:t>（</w:t>
            </w:r>
            <w:r>
              <w:rPr>
                <w:rFonts w:ascii="Times New Roman" w:eastAsia="Times New Roman"/>
                <w:sz w:val="21"/>
              </w:rPr>
              <w:t>3</w:t>
            </w:r>
            <w:r>
              <w:rPr>
                <w:sz w:val="21"/>
              </w:rPr>
              <w:t>）</w:t>
            </w:r>
            <w:r>
              <w:rPr>
                <w:rFonts w:ascii="Times New Roman" w:eastAsia="Times New Roman"/>
                <w:sz w:val="21"/>
              </w:rPr>
              <w:t>3P</w:t>
            </w:r>
            <w:r>
              <w:rPr>
                <w:rFonts w:ascii="Times New Roman" w:eastAsia="Times New Roman"/>
                <w:spacing w:val="-5"/>
                <w:sz w:val="21"/>
              </w:rPr>
              <w:t xml:space="preserve"> </w:t>
            </w:r>
            <w:r>
              <w:rPr>
                <w:spacing w:val="-6"/>
                <w:sz w:val="21"/>
              </w:rPr>
              <w:t xml:space="preserve">试验阳性或者血浆 </w:t>
            </w:r>
            <w:r>
              <w:rPr>
                <w:rFonts w:ascii="Times New Roman" w:eastAsia="Times New Roman"/>
                <w:spacing w:val="-2"/>
                <w:sz w:val="21"/>
              </w:rPr>
              <w:t>FDP&gt;20mg/L</w:t>
            </w:r>
            <w:r>
              <w:rPr>
                <w:spacing w:val="-2"/>
                <w:sz w:val="21"/>
              </w:rPr>
              <w:t>；</w:t>
            </w:r>
          </w:p>
          <w:p>
            <w:pPr>
              <w:pStyle w:val="11"/>
              <w:spacing w:before="43"/>
              <w:rPr>
                <w:sz w:val="21"/>
              </w:rPr>
            </w:pPr>
            <w:r>
              <w:rPr>
                <w:sz w:val="21"/>
              </w:rPr>
              <w:t>（</w:t>
            </w:r>
            <w:r>
              <w:rPr>
                <w:rFonts w:ascii="Times New Roman" w:eastAsia="Times New Roman"/>
                <w:sz w:val="21"/>
              </w:rPr>
              <w:t>4</w:t>
            </w:r>
            <w:r>
              <w:rPr>
                <w:sz w:val="21"/>
              </w:rPr>
              <w:t>）凝血酶原时间</w:t>
            </w:r>
            <w:r>
              <w:rPr>
                <w:rFonts w:ascii="Times New Roman" w:eastAsia="Times New Roman"/>
                <w:sz w:val="21"/>
              </w:rPr>
              <w:t>&gt;15</w:t>
            </w:r>
            <w:r>
              <w:rPr>
                <w:rFonts w:ascii="Times New Roman" w:eastAsia="Times New Roman"/>
                <w:spacing w:val="-5"/>
                <w:sz w:val="21"/>
              </w:rPr>
              <w:t xml:space="preserve"> </w:t>
            </w:r>
            <w:r>
              <w:rPr>
                <w:spacing w:val="-6"/>
                <w:sz w:val="21"/>
              </w:rPr>
              <w:t xml:space="preserve">秒或者超过对照组 </w:t>
            </w:r>
            <w:r>
              <w:rPr>
                <w:rFonts w:ascii="Times New Roman" w:eastAsia="Times New Roman"/>
                <w:sz w:val="21"/>
              </w:rPr>
              <w:t>3</w:t>
            </w:r>
            <w:r>
              <w:rPr>
                <w:rFonts w:ascii="Times New Roman" w:eastAsia="Times New Roman"/>
                <w:spacing w:val="-2"/>
                <w:sz w:val="21"/>
              </w:rPr>
              <w:t xml:space="preserve"> </w:t>
            </w:r>
            <w:r>
              <w:rPr>
                <w:spacing w:val="-3"/>
                <w:sz w:val="21"/>
              </w:rPr>
              <w:t>秒以上。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5" w:hRule="atLeast"/>
        </w:trPr>
        <w:tc>
          <w:tcPr>
            <w:tcW w:w="1957" w:type="dxa"/>
          </w:tcPr>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spacing w:before="4"/>
              <w:ind w:left="0"/>
              <w:rPr>
                <w:sz w:val="20"/>
              </w:rPr>
            </w:pPr>
          </w:p>
          <w:p>
            <w:pPr>
              <w:pStyle w:val="11"/>
              <w:spacing w:before="1" w:line="278" w:lineRule="auto"/>
              <w:ind w:left="107" w:right="88"/>
              <w:rPr>
                <w:sz w:val="21"/>
              </w:rPr>
            </w:pPr>
            <w:r>
              <w:rPr>
                <w:spacing w:val="-2"/>
                <w:sz w:val="21"/>
              </w:rPr>
              <w:t>五十三、因职业关</w:t>
            </w:r>
            <w:r>
              <w:rPr>
                <w:spacing w:val="-11"/>
                <w:sz w:val="21"/>
              </w:rPr>
              <w:t xml:space="preserve">系导致的 </w:t>
            </w:r>
            <w:r>
              <w:rPr>
                <w:rFonts w:ascii="Times New Roman" w:eastAsia="Times New Roman"/>
                <w:sz w:val="21"/>
              </w:rPr>
              <w:t>HIV</w:t>
            </w:r>
            <w:r>
              <w:rPr>
                <w:rFonts w:ascii="Times New Roman" w:eastAsia="Times New Roman"/>
                <w:spacing w:val="-6"/>
                <w:sz w:val="21"/>
              </w:rPr>
              <w:t xml:space="preserve"> </w:t>
            </w:r>
            <w:r>
              <w:rPr>
                <w:spacing w:val="-5"/>
                <w:sz w:val="21"/>
              </w:rPr>
              <w:t>感染</w:t>
            </w:r>
          </w:p>
        </w:tc>
        <w:tc>
          <w:tcPr>
            <w:tcW w:w="6986" w:type="dxa"/>
          </w:tcPr>
          <w:p>
            <w:pPr>
              <w:pStyle w:val="11"/>
              <w:spacing w:before="20" w:line="278" w:lineRule="auto"/>
              <w:ind w:right="93"/>
              <w:rPr>
                <w:sz w:val="21"/>
              </w:rPr>
            </w:pPr>
            <w:r>
              <w:rPr>
                <w:spacing w:val="-2"/>
                <w:sz w:val="21"/>
              </w:rPr>
              <w:t>被保险人在其常规职业工作过程中遭遇外伤，或职业需要处理血液或其他体液时感染上人类免疫缺陷病毒</w:t>
            </w:r>
            <w:r>
              <w:rPr>
                <w:spacing w:val="19"/>
                <w:sz w:val="21"/>
              </w:rPr>
              <w:t>（</w:t>
            </w:r>
            <w:r>
              <w:rPr>
                <w:rFonts w:ascii="Times New Roman" w:eastAsia="Times New Roman"/>
                <w:spacing w:val="18"/>
                <w:w w:val="99"/>
                <w:sz w:val="21"/>
              </w:rPr>
              <w:t>HIV</w:t>
            </w:r>
            <w:r>
              <w:rPr>
                <w:spacing w:val="-86"/>
                <w:sz w:val="21"/>
              </w:rPr>
              <w:t>）</w:t>
            </w:r>
            <w:r>
              <w:rPr>
                <w:spacing w:val="-2"/>
                <w:sz w:val="21"/>
              </w:rPr>
              <w:t>。必须满足下列全部条件：</w:t>
            </w:r>
          </w:p>
          <w:p>
            <w:pPr>
              <w:pStyle w:val="11"/>
              <w:numPr>
                <w:ilvl w:val="0"/>
                <w:numId w:val="60"/>
              </w:numPr>
              <w:tabs>
                <w:tab w:val="left" w:pos="634"/>
              </w:tabs>
              <w:spacing w:before="0" w:after="0" w:line="278" w:lineRule="auto"/>
              <w:ind w:left="106" w:right="96" w:firstLine="0"/>
              <w:jc w:val="left"/>
              <w:rPr>
                <w:sz w:val="21"/>
              </w:rPr>
            </w:pPr>
            <w:r>
              <w:rPr>
                <w:spacing w:val="-2"/>
                <w:sz w:val="21"/>
              </w:rPr>
              <w:t>感染必须是在被保险人正在从事其职业工作中发生，该职业必须属</w:t>
            </w:r>
            <w:r>
              <w:rPr>
                <w:spacing w:val="-4"/>
                <w:sz w:val="21"/>
              </w:rPr>
              <w:t>于下列限定职业范围内的职业；</w:t>
            </w:r>
          </w:p>
          <w:p>
            <w:pPr>
              <w:pStyle w:val="11"/>
              <w:numPr>
                <w:ilvl w:val="0"/>
                <w:numId w:val="60"/>
              </w:numPr>
              <w:tabs>
                <w:tab w:val="left" w:pos="634"/>
              </w:tabs>
              <w:spacing w:before="0" w:after="0" w:line="240" w:lineRule="auto"/>
              <w:ind w:left="633" w:right="0" w:hanging="528"/>
              <w:jc w:val="left"/>
              <w:rPr>
                <w:sz w:val="21"/>
              </w:rPr>
            </w:pPr>
            <w:r>
              <w:rPr>
                <w:spacing w:val="-4"/>
                <w:sz w:val="21"/>
              </w:rPr>
              <w:t xml:space="preserve">血清转化必须出现在事故发生后的 </w:t>
            </w:r>
            <w:r>
              <w:rPr>
                <w:rFonts w:ascii="Times New Roman" w:eastAsia="Times New Roman"/>
                <w:sz w:val="21"/>
              </w:rPr>
              <w:t>6</w:t>
            </w:r>
            <w:r>
              <w:rPr>
                <w:rFonts w:ascii="Times New Roman" w:eastAsia="Times New Roman"/>
                <w:spacing w:val="-4"/>
                <w:sz w:val="21"/>
              </w:rPr>
              <w:t xml:space="preserve"> </w:t>
            </w:r>
            <w:r>
              <w:rPr>
                <w:spacing w:val="-2"/>
                <w:sz w:val="21"/>
              </w:rPr>
              <w:t>个月以内；</w:t>
            </w:r>
          </w:p>
          <w:p>
            <w:pPr>
              <w:pStyle w:val="11"/>
              <w:numPr>
                <w:ilvl w:val="0"/>
                <w:numId w:val="60"/>
              </w:numPr>
              <w:tabs>
                <w:tab w:val="left" w:pos="634"/>
              </w:tabs>
              <w:spacing w:before="43" w:after="0" w:line="278" w:lineRule="auto"/>
              <w:ind w:left="106" w:right="96" w:hanging="1"/>
              <w:jc w:val="both"/>
              <w:rPr>
                <w:sz w:val="21"/>
              </w:rPr>
            </w:pPr>
            <w:r>
              <w:rPr>
                <w:sz w:val="21"/>
              </w:rPr>
              <w:t xml:space="preserve">必须提供被保险人在所报事故后发生的 </w:t>
            </w:r>
            <w:r>
              <w:rPr>
                <w:rFonts w:ascii="Times New Roman" w:eastAsia="Times New Roman"/>
                <w:sz w:val="21"/>
              </w:rPr>
              <w:t>5</w:t>
            </w:r>
            <w:r>
              <w:rPr>
                <w:rFonts w:ascii="Times New Roman" w:eastAsia="Times New Roman"/>
                <w:spacing w:val="40"/>
                <w:sz w:val="21"/>
              </w:rPr>
              <w:t xml:space="preserve"> </w:t>
            </w:r>
            <w:r>
              <w:rPr>
                <w:sz w:val="21"/>
              </w:rPr>
              <w:t>天以内进行的检查报告，</w:t>
            </w:r>
            <w:r>
              <w:rPr>
                <w:spacing w:val="-2"/>
                <w:sz w:val="21"/>
              </w:rPr>
              <w:t>该报告必须显示被保险人血液人类免疫缺陷病毒（</w:t>
            </w:r>
            <w:r>
              <w:rPr>
                <w:rFonts w:ascii="Times New Roman" w:eastAsia="Times New Roman"/>
                <w:spacing w:val="-2"/>
                <w:sz w:val="21"/>
              </w:rPr>
              <w:t>HIV</w:t>
            </w:r>
            <w:r>
              <w:rPr>
                <w:spacing w:val="-2"/>
                <w:sz w:val="21"/>
              </w:rPr>
              <w:t>）阴性和</w:t>
            </w:r>
            <w:r>
              <w:rPr>
                <w:rFonts w:ascii="Times New Roman" w:eastAsia="Times New Roman"/>
                <w:spacing w:val="-2"/>
                <w:sz w:val="21"/>
              </w:rPr>
              <w:t>/</w:t>
            </w:r>
            <w:r>
              <w:rPr>
                <w:spacing w:val="-2"/>
                <w:sz w:val="21"/>
              </w:rPr>
              <w:t>或人类免疫缺陷病毒（</w:t>
            </w:r>
            <w:r>
              <w:rPr>
                <w:rFonts w:ascii="Times New Roman" w:eastAsia="Times New Roman"/>
                <w:spacing w:val="-2"/>
                <w:sz w:val="21"/>
              </w:rPr>
              <w:t>HIV</w:t>
            </w:r>
            <w:r>
              <w:rPr>
                <w:spacing w:val="-2"/>
                <w:sz w:val="21"/>
              </w:rPr>
              <w:t>）抗体阴性；</w:t>
            </w:r>
          </w:p>
          <w:p>
            <w:pPr>
              <w:pStyle w:val="11"/>
              <w:numPr>
                <w:ilvl w:val="0"/>
                <w:numId w:val="60"/>
              </w:numPr>
              <w:tabs>
                <w:tab w:val="left" w:pos="634"/>
              </w:tabs>
              <w:spacing w:before="0" w:after="0" w:line="278" w:lineRule="auto"/>
              <w:ind w:left="106" w:right="97" w:firstLine="0"/>
              <w:jc w:val="both"/>
              <w:rPr>
                <w:sz w:val="21"/>
              </w:rPr>
            </w:pPr>
            <w:r>
              <w:rPr>
                <w:spacing w:val="-3"/>
                <w:sz w:val="21"/>
              </w:rPr>
              <w:t xml:space="preserve">必须在事故发生后的 </w:t>
            </w:r>
            <w:r>
              <w:rPr>
                <w:rFonts w:ascii="Times New Roman" w:eastAsia="Times New Roman"/>
                <w:sz w:val="21"/>
              </w:rPr>
              <w:t>12</w:t>
            </w:r>
            <w:r>
              <w:rPr>
                <w:rFonts w:ascii="Times New Roman" w:eastAsia="Times New Roman"/>
                <w:spacing w:val="-13"/>
                <w:sz w:val="21"/>
              </w:rPr>
              <w:t xml:space="preserve"> </w:t>
            </w:r>
            <w:r>
              <w:rPr>
                <w:sz w:val="21"/>
              </w:rPr>
              <w:t>个月内证实被保险人体内存在人类免疫缺陷</w:t>
            </w:r>
            <w:r>
              <w:rPr>
                <w:spacing w:val="-2"/>
                <w:sz w:val="21"/>
              </w:rPr>
              <w:t>病毒（</w:t>
            </w:r>
            <w:r>
              <w:rPr>
                <w:rFonts w:ascii="Times New Roman" w:eastAsia="Times New Roman"/>
                <w:spacing w:val="-2"/>
                <w:sz w:val="21"/>
              </w:rPr>
              <w:t>HIV</w:t>
            </w:r>
            <w:r>
              <w:rPr>
                <w:spacing w:val="-2"/>
                <w:sz w:val="21"/>
              </w:rPr>
              <w:t>）或人类免疫缺陷病毒（</w:t>
            </w:r>
            <w:r>
              <w:rPr>
                <w:rFonts w:ascii="Times New Roman" w:eastAsia="Times New Roman"/>
                <w:spacing w:val="-2"/>
                <w:sz w:val="21"/>
              </w:rPr>
              <w:t>HIV</w:t>
            </w:r>
            <w:r>
              <w:rPr>
                <w:spacing w:val="-2"/>
                <w:sz w:val="21"/>
              </w:rPr>
              <w:t>）抗体。</w:t>
            </w:r>
          </w:p>
          <w:p>
            <w:pPr>
              <w:pStyle w:val="11"/>
              <w:rPr>
                <w:sz w:val="21"/>
              </w:rPr>
            </w:pPr>
            <w:r>
              <w:rPr>
                <w:spacing w:val="-2"/>
                <w:sz w:val="21"/>
              </w:rPr>
              <w:t>限定职业：</w:t>
            </w:r>
          </w:p>
          <w:p>
            <w:pPr>
              <w:pStyle w:val="11"/>
              <w:spacing w:before="43" w:line="278" w:lineRule="auto"/>
              <w:ind w:right="93"/>
              <w:rPr>
                <w:sz w:val="21"/>
              </w:rPr>
            </w:pPr>
            <w:r>
              <w:rPr>
                <w:spacing w:val="-2"/>
                <w:sz w:val="21"/>
              </w:rPr>
              <w:t>医生和牙科医生、护士、医院化验室工作人员、医院护工、医生助理和牙医助理、救护车工作人员、助产士、消防队员、警察、狱警。</w:t>
            </w:r>
          </w:p>
          <w:p>
            <w:pPr>
              <w:pStyle w:val="11"/>
              <w:spacing w:line="278" w:lineRule="auto"/>
              <w:ind w:right="93"/>
              <w:jc w:val="both"/>
              <w:rPr>
                <w:rFonts w:ascii="黑体" w:eastAsia="黑体"/>
                <w:sz w:val="21"/>
              </w:rPr>
            </w:pPr>
            <w:r>
              <w:rPr>
                <w:rFonts w:ascii="黑体" w:eastAsia="黑体"/>
                <w:color w:val="000000"/>
                <w:spacing w:val="-2"/>
                <w:sz w:val="21"/>
                <w:shd w:val="clear" w:color="auto" w:fill="DADADA"/>
              </w:rPr>
              <w:t>在任何治愈艾滋病或阻止人类免疫缺陷病毒（</w:t>
            </w:r>
            <w:r>
              <w:rPr>
                <w:rFonts w:ascii="Times New Roman" w:eastAsia="Times New Roman"/>
                <w:color w:val="000000"/>
                <w:spacing w:val="-2"/>
                <w:sz w:val="21"/>
                <w:shd w:val="clear" w:color="auto" w:fill="DADADA"/>
              </w:rPr>
              <w:t>HIV</w:t>
            </w:r>
            <w:r>
              <w:rPr>
                <w:rFonts w:ascii="黑体" w:eastAsia="黑体"/>
                <w:color w:val="000000"/>
                <w:spacing w:val="-2"/>
                <w:sz w:val="21"/>
                <w:shd w:val="clear" w:color="auto" w:fill="DADADA"/>
              </w:rPr>
              <w:t>）病毒作用的疗法被发</w:t>
            </w:r>
            <w:r>
              <w:rPr>
                <w:rFonts w:ascii="黑体" w:eastAsia="黑体"/>
                <w:color w:val="000000"/>
                <w:spacing w:val="40"/>
                <w:sz w:val="21"/>
                <w:shd w:val="clear" w:color="auto" w:fill="DADADA"/>
              </w:rPr>
              <w:t xml:space="preserve"> </w:t>
            </w:r>
            <w:r>
              <w:rPr>
                <w:rFonts w:ascii="黑体" w:eastAsia="黑体"/>
                <w:color w:val="000000"/>
                <w:spacing w:val="-2"/>
                <w:sz w:val="21"/>
                <w:shd w:val="clear" w:color="auto" w:fill="DADADA"/>
              </w:rPr>
              <w:t>现以后，或能防止艾滋病发生的医疗方法被研究出来以后，本保障将不再予以赔付。</w:t>
            </w:r>
            <w:r>
              <w:rPr>
                <w:rFonts w:ascii="黑体" w:eastAsia="黑体"/>
                <w:color w:val="000000"/>
                <w:spacing w:val="40"/>
                <w:sz w:val="21"/>
                <w:shd w:val="clear" w:color="auto" w:fill="DADADA"/>
              </w:rPr>
              <w:t xml:space="preserve"> </w:t>
            </w:r>
          </w:p>
          <w:p>
            <w:pPr>
              <w:pStyle w:val="11"/>
              <w:spacing w:line="269" w:lineRule="exact"/>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11"/>
              <w:spacing w:before="42"/>
              <w:rPr>
                <w:rFonts w:ascii="黑体" w:hAnsi="黑体" w:eastAsia="黑体"/>
                <w:sz w:val="21"/>
              </w:rPr>
            </w:pPr>
            <w:r>
              <w:rPr>
                <w:rFonts w:ascii="黑体" w:hAnsi="黑体" w:eastAsia="黑体"/>
                <w:spacing w:val="-1"/>
                <w:sz w:val="21"/>
              </w:rPr>
              <w:t>或患艾滋病”的限制。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ind w:left="107"/>
              <w:rPr>
                <w:sz w:val="21"/>
              </w:rPr>
            </w:pPr>
            <w:r>
              <w:rPr>
                <w:spacing w:val="-2"/>
                <w:sz w:val="21"/>
              </w:rPr>
              <w:t>五十四、严重哮喘</w:t>
            </w:r>
          </w:p>
        </w:tc>
        <w:tc>
          <w:tcPr>
            <w:tcW w:w="6986" w:type="dxa"/>
          </w:tcPr>
          <w:p>
            <w:pPr>
              <w:pStyle w:val="11"/>
              <w:spacing w:before="20"/>
              <w:rPr>
                <w:sz w:val="21"/>
              </w:rPr>
            </w:pPr>
            <w:r>
              <w:rPr>
                <w:spacing w:val="-1"/>
                <w:sz w:val="21"/>
              </w:rPr>
              <w:t>指一种反复发作的严重支气管阻塞性疾病，且必须同时符合下列标准：</w:t>
            </w:r>
          </w:p>
          <w:p>
            <w:pPr>
              <w:pStyle w:val="11"/>
              <w:numPr>
                <w:ilvl w:val="0"/>
                <w:numId w:val="61"/>
              </w:numPr>
              <w:tabs>
                <w:tab w:val="left" w:pos="634"/>
              </w:tabs>
              <w:spacing w:before="43" w:after="0" w:line="278" w:lineRule="auto"/>
              <w:ind w:left="106" w:right="98" w:firstLine="0"/>
              <w:jc w:val="left"/>
              <w:rPr>
                <w:sz w:val="21"/>
              </w:rPr>
            </w:pPr>
            <w:r>
              <w:rPr>
                <w:sz w:val="21"/>
              </w:rPr>
              <w:t>过去两年中曾因哮喘持续状态（</w:t>
            </w:r>
            <w:r>
              <w:rPr>
                <w:spacing w:val="-4"/>
                <w:sz w:val="21"/>
              </w:rPr>
              <w:t xml:space="preserve">指哮喘持续发作 </w:t>
            </w:r>
            <w:r>
              <w:rPr>
                <w:rFonts w:ascii="Times New Roman" w:eastAsia="Times New Roman"/>
                <w:sz w:val="21"/>
              </w:rPr>
              <w:t>24</w:t>
            </w:r>
            <w:r>
              <w:rPr>
                <w:rFonts w:ascii="Times New Roman" w:eastAsia="Times New Roman"/>
                <w:spacing w:val="-2"/>
                <w:sz w:val="21"/>
              </w:rPr>
              <w:t xml:space="preserve"> </w:t>
            </w:r>
            <w:r>
              <w:rPr>
                <w:sz w:val="21"/>
              </w:rPr>
              <w:t>小时以上不能缓</w:t>
            </w:r>
            <w:r>
              <w:rPr>
                <w:spacing w:val="-2"/>
                <w:sz w:val="21"/>
              </w:rPr>
              <w:t>解）住院治疗，并提供完整住院记录；</w:t>
            </w:r>
          </w:p>
          <w:p>
            <w:pPr>
              <w:pStyle w:val="11"/>
              <w:numPr>
                <w:ilvl w:val="0"/>
                <w:numId w:val="61"/>
              </w:numPr>
              <w:tabs>
                <w:tab w:val="left" w:pos="634"/>
              </w:tabs>
              <w:spacing w:before="0" w:after="0" w:line="240" w:lineRule="auto"/>
              <w:ind w:left="633" w:right="0" w:hanging="528"/>
              <w:jc w:val="left"/>
              <w:rPr>
                <w:sz w:val="21"/>
              </w:rPr>
            </w:pPr>
            <w:r>
              <w:rPr>
                <w:spacing w:val="-3"/>
                <w:sz w:val="21"/>
              </w:rPr>
              <w:t>因慢性过度换气导致胸廓畸形；</w:t>
            </w:r>
          </w:p>
          <w:p>
            <w:pPr>
              <w:pStyle w:val="11"/>
              <w:numPr>
                <w:ilvl w:val="0"/>
                <w:numId w:val="61"/>
              </w:numPr>
              <w:tabs>
                <w:tab w:val="left" w:pos="634"/>
              </w:tabs>
              <w:spacing w:before="43" w:after="0" w:line="240" w:lineRule="auto"/>
              <w:ind w:left="633" w:right="0" w:hanging="528"/>
              <w:jc w:val="left"/>
              <w:rPr>
                <w:sz w:val="21"/>
              </w:rPr>
            </w:pPr>
            <w:r>
              <w:rPr>
                <w:spacing w:val="-3"/>
                <w:sz w:val="21"/>
              </w:rPr>
              <w:t>在家中需要医生处方的氧气治疗法；</w:t>
            </w:r>
          </w:p>
          <w:p>
            <w:pPr>
              <w:pStyle w:val="11"/>
              <w:numPr>
                <w:ilvl w:val="0"/>
                <w:numId w:val="61"/>
              </w:numPr>
              <w:tabs>
                <w:tab w:val="left" w:pos="634"/>
              </w:tabs>
              <w:spacing w:before="43" w:after="0" w:line="240" w:lineRule="auto"/>
              <w:ind w:left="633" w:right="0" w:hanging="528"/>
              <w:jc w:val="left"/>
              <w:rPr>
                <w:sz w:val="21"/>
              </w:rPr>
            </w:pPr>
            <w:r>
              <w:rPr>
                <w:spacing w:val="-3"/>
                <w:sz w:val="21"/>
              </w:rPr>
              <w:t>持续日常服用口服类固醇激素治疗持续至少六个月。</w:t>
            </w:r>
          </w:p>
          <w:p>
            <w:pPr>
              <w:pStyle w:val="11"/>
              <w:spacing w:before="43"/>
              <w:rPr>
                <w:rFonts w:ascii="黑体" w:eastAsia="黑体"/>
                <w:sz w:val="21"/>
              </w:rPr>
            </w:pPr>
            <w:r>
              <w:rPr>
                <w:rFonts w:ascii="黑体" w:eastAsia="黑体"/>
                <w:spacing w:val="-1"/>
                <w:sz w:val="21"/>
              </w:rPr>
              <w:t>被保险人申请理赔时年龄必须在年满二十五周岁之前。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9"/>
              <w:ind w:left="0"/>
              <w:rPr>
                <w:sz w:val="14"/>
              </w:rPr>
            </w:pPr>
          </w:p>
          <w:p>
            <w:pPr>
              <w:pStyle w:val="11"/>
              <w:spacing w:line="278" w:lineRule="auto"/>
              <w:ind w:left="107" w:right="88"/>
              <w:rPr>
                <w:sz w:val="21"/>
              </w:rPr>
            </w:pPr>
            <w:r>
              <w:rPr>
                <w:spacing w:val="-2"/>
                <w:sz w:val="21"/>
              </w:rPr>
              <w:t>五十五、严重自身免疫性肝炎</w:t>
            </w:r>
          </w:p>
        </w:tc>
        <w:tc>
          <w:tcPr>
            <w:tcW w:w="6986" w:type="dxa"/>
          </w:tcPr>
          <w:p>
            <w:pPr>
              <w:pStyle w:val="11"/>
              <w:spacing w:before="21" w:line="278" w:lineRule="auto"/>
              <w:ind w:right="93"/>
              <w:jc w:val="both"/>
              <w:rPr>
                <w:sz w:val="21"/>
              </w:rPr>
            </w:pPr>
            <w:r>
              <w:rPr>
                <w:spacing w:val="-2"/>
                <w:sz w:val="21"/>
              </w:rPr>
              <w:t>自身免疫性肝炎是一种原因不明的慢性肝脏的坏死性炎性疾病，机体免疫机制被破坏，产生针对肝脏自身抗原的抗体导致自身免疫反应，从而破坏肝细胞造成肝脏炎症坏死，进而发展为肝硬化。必须满足所有以下条件：</w:t>
            </w:r>
          </w:p>
          <w:p>
            <w:pPr>
              <w:pStyle w:val="11"/>
              <w:numPr>
                <w:ilvl w:val="0"/>
                <w:numId w:val="62"/>
              </w:numPr>
              <w:tabs>
                <w:tab w:val="left" w:pos="634"/>
              </w:tabs>
              <w:spacing w:before="0" w:after="0" w:line="240" w:lineRule="auto"/>
              <w:ind w:left="633" w:right="0" w:hanging="528"/>
              <w:jc w:val="left"/>
              <w:rPr>
                <w:sz w:val="21"/>
              </w:rPr>
            </w:pPr>
            <w:r>
              <w:rPr>
                <w:spacing w:val="-2"/>
                <w:sz w:val="21"/>
              </w:rPr>
              <w:t>高γ</w:t>
            </w:r>
            <w:r>
              <w:rPr>
                <w:spacing w:val="-4"/>
                <w:sz w:val="21"/>
              </w:rPr>
              <w:t>球蛋白血症；</w:t>
            </w:r>
          </w:p>
          <w:p>
            <w:pPr>
              <w:pStyle w:val="11"/>
              <w:numPr>
                <w:ilvl w:val="0"/>
                <w:numId w:val="62"/>
              </w:numPr>
              <w:tabs>
                <w:tab w:val="left" w:pos="634"/>
              </w:tabs>
              <w:spacing w:before="43" w:after="0" w:line="278" w:lineRule="auto"/>
              <w:ind w:left="106" w:right="98" w:firstLine="0"/>
              <w:jc w:val="left"/>
              <w:rPr>
                <w:sz w:val="21"/>
              </w:rPr>
            </w:pPr>
            <w:r>
              <w:rPr>
                <w:spacing w:val="-3"/>
                <w:sz w:val="21"/>
              </w:rPr>
              <w:t xml:space="preserve">血液中存在高水平的自身免疫抗体，如 </w:t>
            </w:r>
            <w:r>
              <w:rPr>
                <w:rFonts w:ascii="Times New Roman" w:eastAsia="Times New Roman"/>
                <w:sz w:val="21"/>
              </w:rPr>
              <w:t>ANA</w:t>
            </w:r>
            <w:r>
              <w:rPr>
                <w:sz w:val="21"/>
              </w:rPr>
              <w:t>（抗核抗体</w:t>
            </w:r>
            <w:r>
              <w:rPr>
                <w:spacing w:val="-105"/>
                <w:sz w:val="21"/>
              </w:rPr>
              <w:t>）</w:t>
            </w:r>
            <w:r>
              <w:rPr>
                <w:sz w:val="21"/>
              </w:rPr>
              <w:t>、</w:t>
            </w:r>
            <w:r>
              <w:rPr>
                <w:rFonts w:ascii="Times New Roman" w:eastAsia="Times New Roman"/>
                <w:sz w:val="21"/>
              </w:rPr>
              <w:t>SMA</w:t>
            </w:r>
            <w:r>
              <w:rPr>
                <w:sz w:val="21"/>
              </w:rPr>
              <w:t>（抗平滑肌抗体</w:t>
            </w:r>
            <w:r>
              <w:rPr>
                <w:spacing w:val="-106"/>
                <w:sz w:val="21"/>
              </w:rPr>
              <w:t>）</w:t>
            </w:r>
            <w:r>
              <w:rPr>
                <w:spacing w:val="-5"/>
                <w:sz w:val="21"/>
              </w:rPr>
              <w:t xml:space="preserve">、抗 </w:t>
            </w:r>
            <w:r>
              <w:rPr>
                <w:rFonts w:ascii="Times New Roman" w:eastAsia="Times New Roman"/>
                <w:sz w:val="21"/>
              </w:rPr>
              <w:t xml:space="preserve">LKM1 </w:t>
            </w:r>
            <w:r>
              <w:rPr>
                <w:sz w:val="21"/>
              </w:rPr>
              <w:t>抗体或抗</w:t>
            </w:r>
            <w:r>
              <w:rPr>
                <w:rFonts w:ascii="Times New Roman" w:eastAsia="Times New Roman"/>
                <w:sz w:val="21"/>
              </w:rPr>
              <w:t xml:space="preserve">-SLA/LP </w:t>
            </w:r>
            <w:r>
              <w:rPr>
                <w:sz w:val="21"/>
              </w:rPr>
              <w:t>抗体；</w:t>
            </w:r>
          </w:p>
          <w:p>
            <w:pPr>
              <w:pStyle w:val="11"/>
              <w:numPr>
                <w:ilvl w:val="0"/>
                <w:numId w:val="62"/>
              </w:numPr>
              <w:tabs>
                <w:tab w:val="left" w:pos="634"/>
              </w:tabs>
              <w:spacing w:before="0" w:after="0" w:line="240" w:lineRule="auto"/>
              <w:ind w:left="633" w:right="0" w:hanging="528"/>
              <w:jc w:val="left"/>
              <w:rPr>
                <w:sz w:val="21"/>
              </w:rPr>
            </w:pPr>
            <w:r>
              <w:rPr>
                <w:spacing w:val="-3"/>
                <w:sz w:val="21"/>
              </w:rPr>
              <w:t>肝脏活检证实免疫性肝炎；</w:t>
            </w:r>
          </w:p>
          <w:p>
            <w:pPr>
              <w:pStyle w:val="11"/>
              <w:numPr>
                <w:ilvl w:val="0"/>
                <w:numId w:val="62"/>
              </w:numPr>
              <w:tabs>
                <w:tab w:val="left" w:pos="634"/>
              </w:tabs>
              <w:spacing w:before="43" w:after="0" w:line="240" w:lineRule="auto"/>
              <w:ind w:left="633" w:right="0" w:hanging="528"/>
              <w:jc w:val="left"/>
              <w:rPr>
                <w:sz w:val="21"/>
              </w:rPr>
            </w:pPr>
            <w:r>
              <w:rPr>
                <w:spacing w:val="-3"/>
                <w:sz w:val="21"/>
              </w:rPr>
              <w:t>临床已经出现腹水、食道静脉曲张和脾肿大等肝硬化表现。</w:t>
            </w:r>
          </w:p>
        </w:tc>
      </w:tr>
    </w:tbl>
    <w:p>
      <w:pPr>
        <w:spacing w:after="0" w:line="240" w:lineRule="auto"/>
        <w:jc w:val="left"/>
        <w:rPr>
          <w:sz w:val="21"/>
        </w:rPr>
        <w:sectPr>
          <w:type w:val="continuous"/>
          <w:pgSz w:w="11910" w:h="16840"/>
          <w:pgMar w:top="1420" w:right="1160" w:bottom="152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五十六、严重克雅</w:t>
            </w:r>
            <w:r>
              <w:rPr>
                <w:spacing w:val="-6"/>
                <w:sz w:val="21"/>
              </w:rPr>
              <w:t>氏病</w:t>
            </w:r>
          </w:p>
        </w:tc>
        <w:tc>
          <w:tcPr>
            <w:tcW w:w="6986" w:type="dxa"/>
          </w:tcPr>
          <w:p>
            <w:pPr>
              <w:pStyle w:val="11"/>
              <w:spacing w:before="20" w:line="278" w:lineRule="auto"/>
              <w:ind w:right="-15"/>
              <w:rPr>
                <w:sz w:val="21"/>
              </w:rPr>
            </w:pPr>
            <w:r>
              <w:rPr>
                <w:spacing w:val="1"/>
                <w:sz w:val="21"/>
              </w:rPr>
              <w:t>是一种传染性海绵状脑病，临床表现为快速进行性痴呆、肌阵挛和特征性</w:t>
            </w:r>
            <w:r>
              <w:rPr>
                <w:spacing w:val="-9"/>
                <w:sz w:val="21"/>
              </w:rPr>
              <w:t xml:space="preserve">脑电图变化。本病须经三级医院的专科医生根据 </w:t>
            </w:r>
            <w:r>
              <w:rPr>
                <w:rFonts w:ascii="Times New Roman" w:eastAsia="Times New Roman"/>
                <w:spacing w:val="-1"/>
                <w:sz w:val="21"/>
              </w:rPr>
              <w:t>W</w:t>
            </w:r>
            <w:r>
              <w:rPr>
                <w:rFonts w:ascii="Times New Roman" w:eastAsia="Times New Roman"/>
                <w:spacing w:val="-1"/>
                <w:w w:val="99"/>
                <w:sz w:val="21"/>
              </w:rPr>
              <w:t>H</w:t>
            </w:r>
            <w:r>
              <w:rPr>
                <w:rFonts w:ascii="Times New Roman" w:eastAsia="Times New Roman"/>
                <w:w w:val="99"/>
                <w:sz w:val="21"/>
              </w:rPr>
              <w:t>O</w:t>
            </w:r>
            <w:r>
              <w:rPr>
                <w:rFonts w:ascii="Times New Roman" w:eastAsia="Times New Roman"/>
                <w:spacing w:val="-1"/>
                <w:sz w:val="21"/>
              </w:rPr>
              <w:t xml:space="preserve"> </w:t>
            </w:r>
            <w:r>
              <w:rPr>
                <w:sz w:val="21"/>
              </w:rPr>
              <w:t>诊断标准明确诊断，</w:t>
            </w:r>
            <w:r>
              <w:rPr>
                <w:spacing w:val="1"/>
                <w:sz w:val="21"/>
              </w:rPr>
              <w:t>并且被保险人自主生活能力完全丧失，无法独立完成六项基本日常生活活</w:t>
            </w:r>
            <w:r>
              <w:rPr>
                <w:sz w:val="21"/>
              </w:rPr>
              <w:t>动中的三项或三项以上。</w:t>
            </w:r>
          </w:p>
          <w:p>
            <w:pPr>
              <w:pStyle w:val="11"/>
              <w:spacing w:line="268" w:lineRule="exact"/>
              <w:rPr>
                <w:rFonts w:ascii="黑体" w:eastAsia="黑体"/>
                <w:sz w:val="21"/>
              </w:rPr>
            </w:pPr>
            <w:r>
              <w:rPr>
                <w:rFonts w:ascii="黑体" w:eastAsia="黑体"/>
                <w:color w:val="000000"/>
                <w:spacing w:val="-1"/>
                <w:sz w:val="21"/>
                <w:shd w:val="clear" w:color="auto" w:fill="DADADA"/>
              </w:rPr>
              <w:t>疑似病例不在保障范围内。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ind w:left="0"/>
              <w:rPr>
                <w:sz w:val="20"/>
              </w:rPr>
            </w:pPr>
          </w:p>
          <w:p>
            <w:pPr>
              <w:pStyle w:val="11"/>
              <w:spacing w:before="133" w:line="278" w:lineRule="auto"/>
              <w:ind w:left="107" w:right="88"/>
              <w:rPr>
                <w:sz w:val="21"/>
              </w:rPr>
            </w:pPr>
            <w:r>
              <w:rPr>
                <w:spacing w:val="-2"/>
                <w:sz w:val="21"/>
              </w:rPr>
              <w:t>五十七、骨生长不</w:t>
            </w:r>
            <w:r>
              <w:rPr>
                <w:spacing w:val="-6"/>
                <w:sz w:val="21"/>
              </w:rPr>
              <w:t>全症</w:t>
            </w:r>
          </w:p>
        </w:tc>
        <w:tc>
          <w:tcPr>
            <w:tcW w:w="6986" w:type="dxa"/>
          </w:tcPr>
          <w:p>
            <w:pPr>
              <w:pStyle w:val="11"/>
              <w:spacing w:before="21" w:line="278" w:lineRule="auto"/>
              <w:ind w:right="-15"/>
              <w:rPr>
                <w:sz w:val="21"/>
              </w:rPr>
            </w:pPr>
            <w:r>
              <w:rPr>
                <w:spacing w:val="-2"/>
                <w:sz w:val="21"/>
              </w:rPr>
              <w:t xml:space="preserve">指一种胶原病，特征为骨易碎，骨质疏松和易骨折。该病有 </w:t>
            </w:r>
            <w:r>
              <w:rPr>
                <w:rFonts w:ascii="Times New Roman" w:hAnsi="Times New Roman" w:eastAsia="Times New Roman"/>
                <w:sz w:val="21"/>
              </w:rPr>
              <w:t>4</w:t>
            </w:r>
            <w:r>
              <w:rPr>
                <w:rFonts w:ascii="Times New Roman" w:hAnsi="Times New Roman" w:eastAsia="Times New Roman"/>
                <w:spacing w:val="26"/>
                <w:sz w:val="21"/>
              </w:rPr>
              <w:t xml:space="preserve"> </w:t>
            </w:r>
            <w:r>
              <w:rPr>
                <w:spacing w:val="-1"/>
                <w:sz w:val="21"/>
              </w:rPr>
              <w:t>种类型：Ⅰ</w:t>
            </w:r>
            <w:r>
              <w:rPr>
                <w:spacing w:val="-7"/>
                <w:sz w:val="21"/>
              </w:rPr>
              <w:t>型、Ⅱ型、Ⅲ型、Ⅳ型。</w:t>
            </w:r>
            <w:r>
              <w:rPr>
                <w:rFonts w:ascii="黑体" w:hAnsi="黑体" w:eastAsia="黑体"/>
                <w:spacing w:val="-1"/>
                <w:sz w:val="21"/>
              </w:rPr>
              <w:t>只保障Ⅲ型成骨不全的情形。</w:t>
            </w:r>
            <w:r>
              <w:rPr>
                <w:spacing w:val="-1"/>
                <w:sz w:val="21"/>
              </w:rPr>
              <w:t>其主要临床特点有：</w:t>
            </w:r>
            <w:r>
              <w:rPr>
                <w:spacing w:val="1"/>
                <w:sz w:val="21"/>
              </w:rPr>
              <w:t>发展迟缓、多发性骨折、进行性脊柱后侧凸及听力损害。Ⅲ型成骨不全的</w:t>
            </w:r>
            <w:r>
              <w:rPr>
                <w:sz w:val="21"/>
              </w:rPr>
              <w:t>诊断必须根据身体检查，家族史，</w:t>
            </w:r>
            <w:r>
              <w:rPr>
                <w:rFonts w:ascii="Times New Roman" w:hAnsi="Times New Roman" w:eastAsia="Times New Roman"/>
                <w:w w:val="99"/>
                <w:sz w:val="21"/>
              </w:rPr>
              <w:t>X</w:t>
            </w:r>
            <w:r>
              <w:rPr>
                <w:rFonts w:ascii="Times New Roman" w:hAnsi="Times New Roman" w:eastAsia="Times New Roman"/>
                <w:spacing w:val="-1"/>
                <w:sz w:val="21"/>
              </w:rPr>
              <w:t xml:space="preserve"> </w:t>
            </w:r>
            <w:r>
              <w:rPr>
                <w:sz w:val="21"/>
              </w:rPr>
              <w:t>线检查和皮肤活检报告资料确诊。</w:t>
            </w:r>
          </w:p>
          <w:p>
            <w:pPr>
              <w:pStyle w:val="11"/>
              <w:spacing w:line="269" w:lineRule="exact"/>
              <w:ind w:right="-15"/>
              <w:rPr>
                <w:rFonts w:ascii="黑体" w:hAnsi="黑体" w:eastAsia="黑体"/>
                <w:sz w:val="21"/>
              </w:rPr>
            </w:pPr>
            <w:r>
              <w:rPr>
                <w:rFonts w:ascii="黑体" w:hAnsi="黑体" w:eastAsia="黑体"/>
                <w:spacing w:val="-3"/>
                <w:sz w:val="21"/>
              </w:rPr>
              <w:t>我们承担本项疾病责任不受本合同责任免除中“遗传性疾病，先天性畸形、</w:t>
            </w:r>
          </w:p>
          <w:p>
            <w:pPr>
              <w:pStyle w:val="11"/>
              <w:spacing w:before="43"/>
              <w:rPr>
                <w:rFonts w:ascii="黑体" w:hAnsi="黑体" w:eastAsia="黑体"/>
                <w:sz w:val="21"/>
              </w:rPr>
            </w:pPr>
            <w:r>
              <w:rPr>
                <w:rFonts w:ascii="黑体" w:hAnsi="黑体" w:eastAsia="黑体"/>
                <w:spacing w:val="-1"/>
                <w:sz w:val="21"/>
              </w:rPr>
              <w:t>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五十八、进行性核</w:t>
            </w:r>
            <w:r>
              <w:rPr>
                <w:spacing w:val="-4"/>
                <w:sz w:val="21"/>
              </w:rPr>
              <w:t>上性麻痹</w:t>
            </w:r>
          </w:p>
        </w:tc>
        <w:tc>
          <w:tcPr>
            <w:tcW w:w="6986" w:type="dxa"/>
          </w:tcPr>
          <w:p>
            <w:pPr>
              <w:pStyle w:val="11"/>
              <w:spacing w:before="20" w:line="278" w:lineRule="auto"/>
              <w:ind w:right="93"/>
              <w:jc w:val="both"/>
              <w:rPr>
                <w:sz w:val="21"/>
              </w:rPr>
            </w:pPr>
            <w:r>
              <w:rPr>
                <w:spacing w:val="-4"/>
                <w:sz w:val="21"/>
              </w:rPr>
              <w:t>进行性核上性麻痹（</w:t>
            </w:r>
            <w:r>
              <w:rPr>
                <w:rFonts w:ascii="Times New Roman" w:eastAsia="Times New Roman"/>
                <w:spacing w:val="-4"/>
                <w:sz w:val="21"/>
              </w:rPr>
              <w:t>PSP</w:t>
            </w:r>
            <w:r>
              <w:rPr>
                <w:spacing w:val="-4"/>
                <w:sz w:val="21"/>
              </w:rPr>
              <w:t>）</w:t>
            </w:r>
            <w:r>
              <w:rPr>
                <w:spacing w:val="-11"/>
                <w:sz w:val="21"/>
              </w:rPr>
              <w:t xml:space="preserve">又称 </w:t>
            </w:r>
            <w:r>
              <w:rPr>
                <w:rFonts w:ascii="Times New Roman" w:eastAsia="Times New Roman"/>
                <w:spacing w:val="-4"/>
                <w:sz w:val="21"/>
              </w:rPr>
              <w:t>Steele-Rchardson-Olszewski</w:t>
            </w:r>
            <w:r>
              <w:rPr>
                <w:rFonts w:ascii="Times New Roman" w:eastAsia="Times New Roman"/>
                <w:spacing w:val="27"/>
                <w:sz w:val="21"/>
              </w:rPr>
              <w:t xml:space="preserve"> </w:t>
            </w:r>
            <w:r>
              <w:rPr>
                <w:spacing w:val="-4"/>
                <w:sz w:val="21"/>
              </w:rPr>
              <w:t>综合征，是一种</w:t>
            </w:r>
            <w:r>
              <w:rPr>
                <w:spacing w:val="-2"/>
                <w:sz w:val="21"/>
              </w:rPr>
              <w:t>少见的神经系统变性疾病，以假球麻痹、垂直性核上性眼肌麻痹、锥体外</w:t>
            </w:r>
            <w:r>
              <w:rPr>
                <w:sz w:val="21"/>
              </w:rPr>
              <w:t>系肌僵直、步态共济失调和轻度痴呆为主要临床特征。</w:t>
            </w:r>
            <w:r>
              <w:rPr>
                <w:rFonts w:ascii="Times New Roman" w:eastAsia="Times New Roman"/>
                <w:sz w:val="21"/>
              </w:rPr>
              <w:t xml:space="preserve">PSP </w:t>
            </w:r>
            <w:r>
              <w:rPr>
                <w:sz w:val="21"/>
              </w:rPr>
              <w:t>必须由三级甲</w:t>
            </w:r>
            <w:r>
              <w:rPr>
                <w:spacing w:val="-1"/>
                <w:sz w:val="21"/>
              </w:rPr>
              <w:t>等医院的神经内科专科医生确诊，并且被保险人自主生活能力完全丧失，</w:t>
            </w:r>
          </w:p>
          <w:p>
            <w:pPr>
              <w:pStyle w:val="11"/>
              <w:spacing w:line="269" w:lineRule="exact"/>
              <w:rPr>
                <w:sz w:val="21"/>
              </w:rPr>
            </w:pPr>
            <w:r>
              <w:rPr>
                <w:spacing w:val="-1"/>
                <w:sz w:val="21"/>
              </w:rPr>
              <w:t>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8"/>
              <w:ind w:left="0"/>
              <w:rPr>
                <w:sz w:val="14"/>
              </w:rPr>
            </w:pPr>
          </w:p>
          <w:p>
            <w:pPr>
              <w:pStyle w:val="11"/>
              <w:spacing w:line="278" w:lineRule="auto"/>
              <w:ind w:left="107" w:right="88"/>
              <w:rPr>
                <w:sz w:val="21"/>
              </w:rPr>
            </w:pPr>
            <w:r>
              <w:rPr>
                <w:spacing w:val="-2"/>
                <w:sz w:val="21"/>
              </w:rPr>
              <w:t>五十九、瑞氏综合</w:t>
            </w:r>
            <w:r>
              <w:rPr>
                <w:spacing w:val="-10"/>
                <w:sz w:val="21"/>
              </w:rPr>
              <w:t>征</w:t>
            </w:r>
          </w:p>
        </w:tc>
        <w:tc>
          <w:tcPr>
            <w:tcW w:w="6986" w:type="dxa"/>
          </w:tcPr>
          <w:p>
            <w:pPr>
              <w:pStyle w:val="11"/>
              <w:spacing w:before="20" w:line="278" w:lineRule="auto"/>
              <w:ind w:right="93"/>
              <w:jc w:val="both"/>
              <w:rPr>
                <w:sz w:val="21"/>
              </w:rPr>
            </w:pPr>
            <w:r>
              <w:rPr>
                <w:spacing w:val="-2"/>
                <w:sz w:val="21"/>
              </w:rPr>
              <w:t>瑞氏综合征是线粒体功能障碍性疾病。导致脂肪代谢障碍，引起短链脂肪酸、血氨升高，造成脑水肿。主要临床表现为急性发热、反复呕吐、惊厥及意识障碍等等。</w:t>
            </w:r>
          </w:p>
          <w:p>
            <w:pPr>
              <w:pStyle w:val="11"/>
              <w:spacing w:line="278" w:lineRule="auto"/>
              <w:ind w:right="93"/>
              <w:rPr>
                <w:sz w:val="21"/>
              </w:rPr>
            </w:pPr>
            <w:r>
              <w:rPr>
                <w:spacing w:val="-2"/>
                <w:sz w:val="21"/>
              </w:rPr>
              <w:t>肝脏活检是确诊的重要手段。瑞氏综合征需由三级医院的儿科专科医生确诊，并符合下列所有条件：</w:t>
            </w:r>
          </w:p>
          <w:p>
            <w:pPr>
              <w:pStyle w:val="11"/>
              <w:numPr>
                <w:ilvl w:val="0"/>
                <w:numId w:val="63"/>
              </w:numPr>
              <w:tabs>
                <w:tab w:val="left" w:pos="634"/>
              </w:tabs>
              <w:spacing w:before="0" w:after="0" w:line="240" w:lineRule="auto"/>
              <w:ind w:left="633" w:right="0" w:hanging="528"/>
              <w:jc w:val="left"/>
              <w:rPr>
                <w:sz w:val="21"/>
              </w:rPr>
            </w:pPr>
            <w:r>
              <w:rPr>
                <w:spacing w:val="-3"/>
                <w:sz w:val="21"/>
              </w:rPr>
              <w:t>有脑水肿和颅内压升高的脑脊液检查和影像学检查证据；</w:t>
            </w:r>
          </w:p>
          <w:p>
            <w:pPr>
              <w:pStyle w:val="11"/>
              <w:numPr>
                <w:ilvl w:val="0"/>
                <w:numId w:val="63"/>
              </w:numPr>
              <w:tabs>
                <w:tab w:val="left" w:pos="634"/>
              </w:tabs>
              <w:spacing w:before="43" w:after="0" w:line="240" w:lineRule="auto"/>
              <w:ind w:left="633" w:right="0" w:hanging="528"/>
              <w:jc w:val="left"/>
              <w:rPr>
                <w:sz w:val="21"/>
              </w:rPr>
            </w:pPr>
            <w:r>
              <w:rPr>
                <w:spacing w:val="-6"/>
                <w:sz w:val="21"/>
              </w:rPr>
              <w:t xml:space="preserve">血氨超过正常值的 </w:t>
            </w:r>
            <w:r>
              <w:rPr>
                <w:rFonts w:ascii="Times New Roman" w:eastAsia="Times New Roman"/>
                <w:sz w:val="21"/>
              </w:rPr>
              <w:t>3</w:t>
            </w:r>
            <w:r>
              <w:rPr>
                <w:rFonts w:ascii="Times New Roman" w:eastAsia="Times New Roman"/>
                <w:spacing w:val="-2"/>
                <w:sz w:val="21"/>
              </w:rPr>
              <w:t xml:space="preserve"> </w:t>
            </w:r>
            <w:r>
              <w:rPr>
                <w:spacing w:val="-5"/>
                <w:sz w:val="21"/>
              </w:rPr>
              <w:t>倍；</w:t>
            </w:r>
          </w:p>
          <w:p>
            <w:pPr>
              <w:pStyle w:val="11"/>
              <w:numPr>
                <w:ilvl w:val="0"/>
                <w:numId w:val="63"/>
              </w:numPr>
              <w:tabs>
                <w:tab w:val="left" w:pos="634"/>
              </w:tabs>
              <w:spacing w:before="43" w:after="0" w:line="240" w:lineRule="auto"/>
              <w:ind w:left="633" w:right="0" w:hanging="528"/>
              <w:jc w:val="left"/>
              <w:rPr>
                <w:sz w:val="21"/>
              </w:rPr>
            </w:pPr>
            <w:r>
              <w:rPr>
                <w:spacing w:val="-3"/>
                <w:sz w:val="21"/>
              </w:rPr>
              <w:t xml:space="preserve">临床出现昏迷，病程至少达到疾病分期第 </w:t>
            </w:r>
            <w:r>
              <w:rPr>
                <w:rFonts w:ascii="Times New Roman" w:eastAsia="Times New Roman"/>
                <w:sz w:val="21"/>
              </w:rPr>
              <w:t>3</w:t>
            </w:r>
            <w:r>
              <w:rPr>
                <w:rFonts w:ascii="Times New Roman" w:eastAsia="Times New Roman"/>
                <w:spacing w:val="-2"/>
                <w:sz w:val="21"/>
              </w:rPr>
              <w:t xml:space="preserve"> </w:t>
            </w:r>
            <w:r>
              <w:rPr>
                <w:spacing w:val="-5"/>
                <w:sz w:val="21"/>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9"/>
              <w:ind w:left="0"/>
              <w:rPr>
                <w:sz w:val="14"/>
              </w:rPr>
            </w:pPr>
          </w:p>
          <w:p>
            <w:pPr>
              <w:pStyle w:val="11"/>
              <w:spacing w:line="278" w:lineRule="auto"/>
              <w:ind w:left="107" w:right="88"/>
              <w:rPr>
                <w:sz w:val="21"/>
              </w:rPr>
            </w:pPr>
            <w:r>
              <w:rPr>
                <w:spacing w:val="-2"/>
                <w:sz w:val="21"/>
              </w:rPr>
              <w:t>六十、肺源性心脏</w:t>
            </w:r>
            <w:r>
              <w:rPr>
                <w:spacing w:val="-10"/>
                <w:sz w:val="21"/>
              </w:rPr>
              <w:t>病</w:t>
            </w:r>
          </w:p>
        </w:tc>
        <w:tc>
          <w:tcPr>
            <w:tcW w:w="6986" w:type="dxa"/>
          </w:tcPr>
          <w:p>
            <w:pPr>
              <w:pStyle w:val="11"/>
              <w:spacing w:before="21" w:line="278" w:lineRule="auto"/>
              <w:ind w:right="-15"/>
              <w:rPr>
                <w:sz w:val="21"/>
              </w:rPr>
            </w:pPr>
            <w:r>
              <w:rPr>
                <w:spacing w:val="1"/>
                <w:sz w:val="21"/>
              </w:rPr>
              <w:t>指由于各种胸肺及支气管病变而继发的肺动脉高压，最后导致以右室肥大</w:t>
            </w:r>
            <w:r>
              <w:rPr>
                <w:spacing w:val="-6"/>
                <w:sz w:val="21"/>
              </w:rPr>
              <w:t>为特征的心脏病。须经呼吸专科医生确诊，且必须同时满足如下诊断标准：</w:t>
            </w:r>
          </w:p>
          <w:p>
            <w:pPr>
              <w:pStyle w:val="11"/>
              <w:numPr>
                <w:ilvl w:val="0"/>
                <w:numId w:val="64"/>
              </w:numPr>
              <w:tabs>
                <w:tab w:val="left" w:pos="634"/>
              </w:tabs>
              <w:spacing w:before="0" w:after="0" w:line="240" w:lineRule="auto"/>
              <w:ind w:left="633" w:right="0" w:hanging="528"/>
              <w:jc w:val="left"/>
              <w:rPr>
                <w:sz w:val="21"/>
              </w:rPr>
            </w:pPr>
            <w:r>
              <w:rPr>
                <w:sz w:val="21"/>
              </w:rPr>
              <w:t>左心房压力增高（</w:t>
            </w:r>
            <w:r>
              <w:rPr>
                <w:spacing w:val="-14"/>
                <w:sz w:val="21"/>
              </w:rPr>
              <w:t xml:space="preserve">不低于 </w:t>
            </w:r>
            <w:r>
              <w:rPr>
                <w:rFonts w:ascii="Times New Roman" w:eastAsia="Times New Roman"/>
                <w:sz w:val="21"/>
              </w:rPr>
              <w:t>20</w:t>
            </w:r>
            <w:r>
              <w:rPr>
                <w:rFonts w:ascii="Times New Roman" w:eastAsia="Times New Roman"/>
                <w:spacing w:val="-5"/>
                <w:sz w:val="21"/>
              </w:rPr>
              <w:t xml:space="preserve"> </w:t>
            </w:r>
            <w:r>
              <w:rPr>
                <w:sz w:val="21"/>
              </w:rPr>
              <w:t>个单位</w:t>
            </w:r>
            <w:r>
              <w:rPr>
                <w:spacing w:val="-110"/>
                <w:sz w:val="21"/>
              </w:rPr>
              <w:t>）</w:t>
            </w:r>
            <w:r>
              <w:rPr>
                <w:spacing w:val="-5"/>
                <w:sz w:val="21"/>
              </w:rPr>
              <w:t>；</w:t>
            </w:r>
          </w:p>
          <w:p>
            <w:pPr>
              <w:pStyle w:val="11"/>
              <w:numPr>
                <w:ilvl w:val="0"/>
                <w:numId w:val="64"/>
              </w:numPr>
              <w:tabs>
                <w:tab w:val="left" w:pos="634"/>
              </w:tabs>
              <w:spacing w:before="43" w:after="0" w:line="240" w:lineRule="auto"/>
              <w:ind w:left="633" w:right="0" w:hanging="528"/>
              <w:jc w:val="left"/>
              <w:rPr>
                <w:sz w:val="21"/>
              </w:rPr>
            </w:pPr>
            <w:r>
              <w:rPr>
                <w:spacing w:val="-5"/>
                <w:sz w:val="21"/>
              </w:rPr>
              <w:t xml:space="preserve">肺血管阻力高于正常值 </w:t>
            </w:r>
            <w:r>
              <w:rPr>
                <w:rFonts w:ascii="Times New Roman" w:eastAsia="Times New Roman"/>
                <w:sz w:val="21"/>
              </w:rPr>
              <w:t>3</w:t>
            </w:r>
            <w:r>
              <w:rPr>
                <w:rFonts w:ascii="Times New Roman" w:eastAsia="Times New Roman"/>
                <w:spacing w:val="-7"/>
                <w:sz w:val="21"/>
              </w:rPr>
              <w:t xml:space="preserve"> </w:t>
            </w:r>
            <w:r>
              <w:rPr>
                <w:sz w:val="21"/>
              </w:rPr>
              <w:t>个单位（</w:t>
            </w:r>
            <w:r>
              <w:rPr>
                <w:rFonts w:ascii="Times New Roman" w:eastAsia="Times New Roman"/>
                <w:sz w:val="21"/>
              </w:rPr>
              <w:t>Pulmonary</w:t>
            </w:r>
            <w:r>
              <w:rPr>
                <w:rFonts w:ascii="Times New Roman" w:eastAsia="Times New Roman"/>
                <w:spacing w:val="-5"/>
                <w:sz w:val="21"/>
              </w:rPr>
              <w:t xml:space="preserve"> </w:t>
            </w:r>
            <w:r>
              <w:rPr>
                <w:rFonts w:ascii="Times New Roman" w:eastAsia="Times New Roman"/>
                <w:spacing w:val="15"/>
                <w:w w:val="99"/>
                <w:sz w:val="21"/>
              </w:rPr>
              <w:t>Re</w:t>
            </w:r>
            <w:r>
              <w:rPr>
                <w:rFonts w:ascii="Times New Roman" w:eastAsia="Times New Roman"/>
                <w:spacing w:val="14"/>
                <w:w w:val="99"/>
                <w:sz w:val="21"/>
              </w:rPr>
              <w:t>s</w:t>
            </w:r>
            <w:r>
              <w:rPr>
                <w:rFonts w:ascii="Times New Roman" w:eastAsia="Times New Roman"/>
                <w:spacing w:val="15"/>
                <w:w w:val="99"/>
                <w:sz w:val="21"/>
              </w:rPr>
              <w:t>i</w:t>
            </w:r>
            <w:r>
              <w:rPr>
                <w:rFonts w:ascii="Times New Roman" w:eastAsia="Times New Roman"/>
                <w:spacing w:val="14"/>
                <w:w w:val="99"/>
                <w:sz w:val="21"/>
              </w:rPr>
              <w:t>s</w:t>
            </w:r>
            <w:r>
              <w:rPr>
                <w:rFonts w:ascii="Times New Roman" w:eastAsia="Times New Roman"/>
                <w:spacing w:val="15"/>
                <w:sz w:val="21"/>
              </w:rPr>
              <w:t>ta</w:t>
            </w:r>
            <w:r>
              <w:rPr>
                <w:rFonts w:ascii="Times New Roman" w:eastAsia="Times New Roman"/>
                <w:spacing w:val="14"/>
                <w:sz w:val="21"/>
              </w:rPr>
              <w:t>n</w:t>
            </w:r>
            <w:r>
              <w:rPr>
                <w:rFonts w:ascii="Times New Roman" w:eastAsia="Times New Roman"/>
                <w:spacing w:val="15"/>
                <w:sz w:val="21"/>
              </w:rPr>
              <w:t>c</w:t>
            </w:r>
            <w:r>
              <w:rPr>
                <w:rFonts w:ascii="Times New Roman" w:eastAsia="Times New Roman"/>
                <w:spacing w:val="14"/>
                <w:sz w:val="21"/>
              </w:rPr>
              <w:t>e</w:t>
            </w:r>
            <w:r>
              <w:rPr>
                <w:spacing w:val="-90"/>
                <w:sz w:val="21"/>
              </w:rPr>
              <w:t>）；</w:t>
            </w:r>
          </w:p>
          <w:p>
            <w:pPr>
              <w:pStyle w:val="11"/>
              <w:numPr>
                <w:ilvl w:val="0"/>
                <w:numId w:val="64"/>
              </w:numPr>
              <w:tabs>
                <w:tab w:val="left" w:pos="634"/>
              </w:tabs>
              <w:spacing w:before="43" w:after="0" w:line="240" w:lineRule="auto"/>
              <w:ind w:left="633" w:right="0" w:hanging="528"/>
              <w:jc w:val="left"/>
              <w:rPr>
                <w:sz w:val="21"/>
              </w:rPr>
            </w:pPr>
            <w:r>
              <w:rPr>
                <w:spacing w:val="-6"/>
                <w:sz w:val="21"/>
              </w:rPr>
              <w:t xml:space="preserve">肺动脉血压不低于 </w:t>
            </w:r>
            <w:r>
              <w:rPr>
                <w:rFonts w:ascii="Times New Roman" w:eastAsia="Times New Roman"/>
                <w:sz w:val="21"/>
              </w:rPr>
              <w:t>40</w:t>
            </w:r>
            <w:r>
              <w:rPr>
                <w:rFonts w:ascii="Times New Roman" w:eastAsia="Times New Roman"/>
                <w:spacing w:val="-3"/>
                <w:sz w:val="21"/>
              </w:rPr>
              <w:t xml:space="preserve"> </w:t>
            </w:r>
            <w:r>
              <w:rPr>
                <w:spacing w:val="-2"/>
                <w:sz w:val="21"/>
              </w:rPr>
              <w:t>毫米汞柱；</w:t>
            </w:r>
          </w:p>
          <w:p>
            <w:pPr>
              <w:pStyle w:val="11"/>
              <w:numPr>
                <w:ilvl w:val="0"/>
                <w:numId w:val="64"/>
              </w:numPr>
              <w:tabs>
                <w:tab w:val="left" w:pos="634"/>
              </w:tabs>
              <w:spacing w:before="43" w:after="0" w:line="240" w:lineRule="auto"/>
              <w:ind w:left="633" w:right="0" w:hanging="528"/>
              <w:jc w:val="left"/>
              <w:rPr>
                <w:sz w:val="21"/>
              </w:rPr>
            </w:pPr>
            <w:r>
              <w:rPr>
                <w:spacing w:val="-6"/>
                <w:sz w:val="21"/>
              </w:rPr>
              <w:t xml:space="preserve">肺动脉楔压不低于 </w:t>
            </w:r>
            <w:r>
              <w:rPr>
                <w:rFonts w:ascii="Times New Roman" w:eastAsia="Times New Roman"/>
                <w:sz w:val="21"/>
              </w:rPr>
              <w:t>6</w:t>
            </w:r>
            <w:r>
              <w:rPr>
                <w:rFonts w:ascii="Times New Roman" w:eastAsia="Times New Roman"/>
                <w:spacing w:val="-2"/>
                <w:sz w:val="21"/>
              </w:rPr>
              <w:t xml:space="preserve"> </w:t>
            </w:r>
            <w:r>
              <w:rPr>
                <w:spacing w:val="-2"/>
                <w:sz w:val="21"/>
              </w:rPr>
              <w:t>毫米汞柱；</w:t>
            </w:r>
          </w:p>
          <w:p>
            <w:pPr>
              <w:pStyle w:val="11"/>
              <w:numPr>
                <w:ilvl w:val="0"/>
                <w:numId w:val="64"/>
              </w:numPr>
              <w:tabs>
                <w:tab w:val="left" w:pos="634"/>
              </w:tabs>
              <w:spacing w:before="43" w:after="0" w:line="240" w:lineRule="auto"/>
              <w:ind w:left="633" w:right="0" w:hanging="528"/>
              <w:jc w:val="left"/>
              <w:rPr>
                <w:sz w:val="21"/>
              </w:rPr>
            </w:pPr>
            <w:r>
              <w:rPr>
                <w:spacing w:val="-4"/>
                <w:sz w:val="21"/>
              </w:rPr>
              <w:t xml:space="preserve">右心室心脏舒张期末压力不低于 </w:t>
            </w:r>
            <w:r>
              <w:rPr>
                <w:rFonts w:ascii="Times New Roman" w:eastAsia="Times New Roman"/>
                <w:sz w:val="21"/>
              </w:rPr>
              <w:t>8</w:t>
            </w:r>
            <w:r>
              <w:rPr>
                <w:rFonts w:ascii="Times New Roman" w:eastAsia="Times New Roman"/>
                <w:spacing w:val="-4"/>
                <w:sz w:val="21"/>
              </w:rPr>
              <w:t xml:space="preserve"> </w:t>
            </w:r>
            <w:r>
              <w:rPr>
                <w:spacing w:val="-2"/>
                <w:sz w:val="21"/>
              </w:rPr>
              <w:t>毫米汞柱；</w:t>
            </w:r>
          </w:p>
          <w:p>
            <w:pPr>
              <w:pStyle w:val="11"/>
              <w:numPr>
                <w:ilvl w:val="0"/>
                <w:numId w:val="64"/>
              </w:numPr>
              <w:tabs>
                <w:tab w:val="left" w:pos="634"/>
              </w:tabs>
              <w:spacing w:before="43" w:after="0" w:line="240" w:lineRule="auto"/>
              <w:ind w:left="633" w:right="0" w:hanging="528"/>
              <w:jc w:val="left"/>
              <w:rPr>
                <w:sz w:val="21"/>
              </w:rPr>
            </w:pPr>
            <w:r>
              <w:rPr>
                <w:spacing w:val="-3"/>
                <w:sz w:val="21"/>
              </w:rPr>
              <w:t>右心室过度肥大、扩张，出现右心衰竭和呼吸困难。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六十一、主动脉夹</w:t>
            </w:r>
            <w:r>
              <w:rPr>
                <w:spacing w:val="-4"/>
                <w:sz w:val="21"/>
              </w:rPr>
              <w:t>层血肿</w:t>
            </w:r>
          </w:p>
        </w:tc>
        <w:tc>
          <w:tcPr>
            <w:tcW w:w="6986" w:type="dxa"/>
          </w:tcPr>
          <w:p>
            <w:pPr>
              <w:pStyle w:val="11"/>
              <w:spacing w:before="20" w:line="278" w:lineRule="auto"/>
              <w:ind w:right="93"/>
              <w:jc w:val="both"/>
              <w:rPr>
                <w:sz w:val="21"/>
              </w:rPr>
            </w:pPr>
            <w:r>
              <w:rPr>
                <w:spacing w:val="-2"/>
                <w:sz w:val="21"/>
              </w:rPr>
              <w:t>是指主动脉壁在受到某些病理因素的破坏后，高速、高压的主动脉血流将其内膜撕裂，以致主动脉腔内的血流通过主动脉内膜的破裂口进入主动脉</w:t>
            </w:r>
            <w:r>
              <w:rPr>
                <w:spacing w:val="-18"/>
                <w:sz w:val="21"/>
              </w:rPr>
              <w:t xml:space="preserve">内壁而形成血肿。被保险人需通过 </w:t>
            </w:r>
            <w:r>
              <w:rPr>
                <w:rFonts w:ascii="Times New Roman" w:eastAsia="Times New Roman"/>
                <w:spacing w:val="-8"/>
                <w:sz w:val="21"/>
              </w:rPr>
              <w:t>X</w:t>
            </w:r>
            <w:r>
              <w:rPr>
                <w:rFonts w:ascii="Times New Roman" w:eastAsia="Times New Roman"/>
                <w:spacing w:val="-5"/>
                <w:sz w:val="21"/>
              </w:rPr>
              <w:t xml:space="preserve"> </w:t>
            </w:r>
            <w:r>
              <w:rPr>
                <w:spacing w:val="-24"/>
                <w:sz w:val="21"/>
              </w:rPr>
              <w:t>线断层扫描</w:t>
            </w:r>
            <w:r>
              <w:rPr>
                <w:spacing w:val="18"/>
                <w:sz w:val="21"/>
              </w:rPr>
              <w:t>（</w:t>
            </w:r>
            <w:r>
              <w:rPr>
                <w:rFonts w:ascii="Times New Roman" w:eastAsia="Times New Roman"/>
                <w:spacing w:val="18"/>
                <w:sz w:val="21"/>
              </w:rPr>
              <w:t>CT</w:t>
            </w:r>
            <w:r>
              <w:rPr>
                <w:spacing w:val="-87"/>
                <w:sz w:val="21"/>
              </w:rPr>
              <w:t>）</w:t>
            </w:r>
            <w:r>
              <w:rPr>
                <w:spacing w:val="-36"/>
                <w:sz w:val="21"/>
              </w:rPr>
              <w:t>、磁共振扫描</w:t>
            </w:r>
            <w:r>
              <w:rPr>
                <w:spacing w:val="13"/>
                <w:sz w:val="21"/>
              </w:rPr>
              <w:t>（</w:t>
            </w:r>
            <w:r>
              <w:rPr>
                <w:rFonts w:ascii="Times New Roman" w:eastAsia="Times New Roman"/>
                <w:spacing w:val="13"/>
                <w:sz w:val="21"/>
              </w:rPr>
              <w:t>MR</w:t>
            </w:r>
            <w:r>
              <w:rPr>
                <w:rFonts w:ascii="Times New Roman" w:eastAsia="Times New Roman"/>
                <w:spacing w:val="12"/>
                <w:sz w:val="21"/>
              </w:rPr>
              <w:t>I</w:t>
            </w:r>
            <w:r>
              <w:rPr>
                <w:spacing w:val="-93"/>
                <w:sz w:val="21"/>
              </w:rPr>
              <w:t>）</w:t>
            </w:r>
            <w:r>
              <w:rPr>
                <w:spacing w:val="-106"/>
                <w:sz w:val="21"/>
              </w:rPr>
              <w:t>、</w:t>
            </w:r>
            <w:r>
              <w:rPr>
                <w:w w:val="95"/>
                <w:sz w:val="21"/>
              </w:rPr>
              <w:t>磁共振血管检验法（</w:t>
            </w:r>
            <w:r>
              <w:rPr>
                <w:rFonts w:ascii="Times New Roman" w:eastAsia="Times New Roman"/>
                <w:w w:val="95"/>
                <w:sz w:val="21"/>
              </w:rPr>
              <w:t>MRA</w:t>
            </w:r>
            <w:r>
              <w:rPr>
                <w:w w:val="95"/>
                <w:sz w:val="21"/>
              </w:rPr>
              <w:t>）或血管扫描等检查，并且实施了胸腹切开的</w:t>
            </w:r>
            <w:r>
              <w:rPr>
                <w:spacing w:val="-10"/>
                <w:w w:val="95"/>
                <w:sz w:val="21"/>
              </w:rPr>
              <w:t>直</w:t>
            </w:r>
          </w:p>
          <w:p>
            <w:pPr>
              <w:pStyle w:val="11"/>
              <w:spacing w:line="269" w:lineRule="exact"/>
              <w:rPr>
                <w:sz w:val="21"/>
              </w:rPr>
            </w:pPr>
            <w:r>
              <w:rPr>
                <w:spacing w:val="-2"/>
                <w:sz w:val="21"/>
              </w:rPr>
              <w:t>视主动脉手术。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7"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8"/>
              <w:rPr>
                <w:sz w:val="21"/>
              </w:rPr>
            </w:pPr>
            <w:r>
              <w:rPr>
                <w:spacing w:val="-2"/>
                <w:sz w:val="21"/>
              </w:rPr>
              <w:t>六十二、重度感染性心内膜炎</w:t>
            </w:r>
          </w:p>
        </w:tc>
        <w:tc>
          <w:tcPr>
            <w:tcW w:w="6986" w:type="dxa"/>
          </w:tcPr>
          <w:p>
            <w:pPr>
              <w:pStyle w:val="11"/>
              <w:spacing w:before="20" w:line="278" w:lineRule="auto"/>
              <w:ind w:right="93"/>
              <w:jc w:val="both"/>
              <w:rPr>
                <w:sz w:val="21"/>
              </w:rPr>
            </w:pPr>
            <w:r>
              <w:rPr>
                <w:spacing w:val="-2"/>
                <w:sz w:val="21"/>
              </w:rPr>
              <w:t>指因细菌、真菌和其他微生物（如病毒、立克次体、衣原体、螺旋体等）直接感染而产生心瓣膜或心室壁内膜的炎症，须经心脏专科医生确诊，并符合以下所有条件：</w:t>
            </w:r>
          </w:p>
          <w:p>
            <w:pPr>
              <w:pStyle w:val="11"/>
              <w:rPr>
                <w:sz w:val="21"/>
              </w:rPr>
            </w:pPr>
            <w:r>
              <w:rPr>
                <w:spacing w:val="-2"/>
                <w:sz w:val="21"/>
              </w:rPr>
              <w:t>（</w:t>
            </w:r>
            <w:r>
              <w:rPr>
                <w:rFonts w:ascii="Times New Roman" w:eastAsia="Times New Roman"/>
                <w:spacing w:val="-2"/>
                <w:sz w:val="21"/>
              </w:rPr>
              <w:t>1</w:t>
            </w:r>
            <w:r>
              <w:rPr>
                <w:spacing w:val="-2"/>
                <w:sz w:val="21"/>
              </w:rPr>
              <w:t>）</w:t>
            </w:r>
            <w:r>
              <w:rPr>
                <w:spacing w:val="-3"/>
                <w:sz w:val="21"/>
              </w:rPr>
              <w:t>血液培养测试结果为阳性，并至少符合以下条件之一：</w:t>
            </w:r>
          </w:p>
          <w:p>
            <w:pPr>
              <w:pStyle w:val="11"/>
              <w:spacing w:before="43" w:line="278" w:lineRule="auto"/>
              <w:ind w:right="93"/>
              <w:rPr>
                <w:sz w:val="21"/>
              </w:rPr>
            </w:pPr>
            <w:r>
              <w:rPr>
                <w:spacing w:val="-2"/>
                <w:sz w:val="21"/>
              </w:rPr>
              <w:t>①微生物：在赘生物，栓塞的赘生物或心脏内脓肿培养或组织检查证实有</w:t>
            </w:r>
            <w:r>
              <w:rPr>
                <w:spacing w:val="-4"/>
                <w:sz w:val="21"/>
              </w:rPr>
              <w:t>微生物；</w:t>
            </w:r>
          </w:p>
          <w:p>
            <w:pPr>
              <w:pStyle w:val="11"/>
              <w:rPr>
                <w:sz w:val="21"/>
              </w:rPr>
            </w:pPr>
            <w:r>
              <w:rPr>
                <w:spacing w:val="-1"/>
                <w:sz w:val="21"/>
              </w:rPr>
              <w:t>②病理性病灶：组织检查证实赘生物或心脏内脓肿有活动性心内膜炎；</w:t>
            </w:r>
          </w:p>
        </w:tc>
      </w:tr>
    </w:tbl>
    <w:p>
      <w:pPr>
        <w:spacing w:after="0"/>
        <w:rPr>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59" w:hRule="atLeast"/>
        </w:trPr>
        <w:tc>
          <w:tcPr>
            <w:tcW w:w="1957" w:type="dxa"/>
          </w:tcPr>
          <w:p>
            <w:pPr>
              <w:pStyle w:val="11"/>
              <w:ind w:left="0"/>
              <w:rPr>
                <w:rFonts w:ascii="Times New Roman"/>
                <w:sz w:val="20"/>
              </w:rPr>
            </w:pPr>
          </w:p>
        </w:tc>
        <w:tc>
          <w:tcPr>
            <w:tcW w:w="6986" w:type="dxa"/>
          </w:tcPr>
          <w:p>
            <w:pPr>
              <w:pStyle w:val="11"/>
              <w:spacing w:before="20"/>
              <w:rPr>
                <w:sz w:val="21"/>
              </w:rPr>
            </w:pPr>
            <w:r>
              <w:rPr>
                <w:spacing w:val="-1"/>
                <w:sz w:val="21"/>
              </w:rPr>
              <w:t>③分别两次血液培养证实有典型的微生物且与心内膜炎符合；</w:t>
            </w:r>
          </w:p>
          <w:p>
            <w:pPr>
              <w:pStyle w:val="11"/>
              <w:spacing w:before="43"/>
              <w:rPr>
                <w:sz w:val="21"/>
              </w:rPr>
            </w:pPr>
            <w:r>
              <w:rPr>
                <w:spacing w:val="-1"/>
                <w:sz w:val="21"/>
              </w:rPr>
              <w:t>④持续血液培养证实有微生物阳性反应，且与心内膜炎符合。</w:t>
            </w:r>
          </w:p>
          <w:p>
            <w:pPr>
              <w:pStyle w:val="11"/>
              <w:numPr>
                <w:ilvl w:val="0"/>
                <w:numId w:val="65"/>
              </w:numPr>
              <w:tabs>
                <w:tab w:val="left" w:pos="634"/>
              </w:tabs>
              <w:spacing w:before="43" w:after="0" w:line="278" w:lineRule="auto"/>
              <w:ind w:left="106" w:right="97" w:firstLine="0"/>
              <w:jc w:val="left"/>
              <w:rPr>
                <w:sz w:val="21"/>
              </w:rPr>
            </w:pPr>
            <w:r>
              <w:rPr>
                <w:sz w:val="21"/>
              </w:rPr>
              <w:t>心内膜炎引起中度心瓣膜关闭不全（</w:t>
            </w:r>
            <w:r>
              <w:rPr>
                <w:spacing w:val="-8"/>
                <w:sz w:val="21"/>
              </w:rPr>
              <w:t xml:space="preserve">指返流指数 </w:t>
            </w:r>
            <w:r>
              <w:rPr>
                <w:rFonts w:ascii="Times New Roman" w:eastAsia="Times New Roman"/>
                <w:sz w:val="21"/>
              </w:rPr>
              <w:t>20%</w:t>
            </w:r>
            <w:r>
              <w:rPr>
                <w:sz w:val="21"/>
              </w:rPr>
              <w:t>或以上）或中</w:t>
            </w:r>
            <w:r>
              <w:rPr>
                <w:spacing w:val="-2"/>
                <w:sz w:val="21"/>
              </w:rPr>
              <w:t>度心瓣膜狭窄（</w:t>
            </w:r>
            <w:r>
              <w:rPr>
                <w:spacing w:val="-5"/>
                <w:sz w:val="21"/>
              </w:rPr>
              <w:t xml:space="preserve">指心瓣膜开口范围小于或等于正常的 </w:t>
            </w:r>
            <w:r>
              <w:rPr>
                <w:rFonts w:ascii="Times New Roman" w:eastAsia="Times New Roman"/>
                <w:spacing w:val="40"/>
                <w:sz w:val="21"/>
              </w:rPr>
              <w:t>3</w:t>
            </w:r>
            <w:r>
              <w:rPr>
                <w:rFonts w:ascii="Times New Roman" w:eastAsia="Times New Roman"/>
                <w:spacing w:val="39"/>
                <w:sz w:val="21"/>
              </w:rPr>
              <w:t>0</w:t>
            </w:r>
            <w:r>
              <w:rPr>
                <w:rFonts w:ascii="Times New Roman" w:eastAsia="Times New Roman"/>
                <w:spacing w:val="40"/>
                <w:sz w:val="21"/>
              </w:rPr>
              <w:t>%</w:t>
            </w:r>
            <w:r>
              <w:rPr>
                <w:spacing w:val="-65"/>
                <w:sz w:val="21"/>
              </w:rPr>
              <w:t>）；</w:t>
            </w:r>
          </w:p>
          <w:p>
            <w:pPr>
              <w:pStyle w:val="11"/>
              <w:numPr>
                <w:ilvl w:val="0"/>
                <w:numId w:val="65"/>
              </w:numPr>
              <w:tabs>
                <w:tab w:val="left" w:pos="634"/>
              </w:tabs>
              <w:spacing w:before="0" w:after="0" w:line="240" w:lineRule="auto"/>
              <w:ind w:left="633" w:right="0" w:hanging="528"/>
              <w:jc w:val="left"/>
              <w:rPr>
                <w:sz w:val="21"/>
              </w:rPr>
            </w:pPr>
            <w:r>
              <w:rPr>
                <w:spacing w:val="-3"/>
                <w:sz w:val="21"/>
              </w:rPr>
              <w:t>心内膜炎及心瓣膜损毁程度需经由心脏专科医生确诊。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ind w:left="0"/>
              <w:rPr>
                <w:sz w:val="26"/>
              </w:rPr>
            </w:pPr>
          </w:p>
          <w:p>
            <w:pPr>
              <w:pStyle w:val="11"/>
              <w:ind w:left="107"/>
              <w:rPr>
                <w:sz w:val="21"/>
              </w:rPr>
            </w:pPr>
            <w:r>
              <w:rPr>
                <w:spacing w:val="-2"/>
                <w:sz w:val="21"/>
              </w:rPr>
              <w:t>六十三、胰腺移植</w:t>
            </w:r>
          </w:p>
        </w:tc>
        <w:tc>
          <w:tcPr>
            <w:tcW w:w="6986" w:type="dxa"/>
          </w:tcPr>
          <w:p>
            <w:pPr>
              <w:pStyle w:val="11"/>
              <w:spacing w:before="21" w:line="278" w:lineRule="auto"/>
              <w:ind w:right="94"/>
              <w:rPr>
                <w:sz w:val="21"/>
              </w:rPr>
            </w:pPr>
            <w:r>
              <w:rPr>
                <w:spacing w:val="-2"/>
                <w:sz w:val="21"/>
              </w:rPr>
              <w:t>指胰腺功能衰竭，已经实施了在全身麻醉下进行的胰腺的异体器官移植手</w:t>
            </w:r>
            <w:r>
              <w:rPr>
                <w:spacing w:val="-6"/>
                <w:sz w:val="21"/>
              </w:rPr>
              <w:t>术。</w:t>
            </w:r>
          </w:p>
          <w:p>
            <w:pPr>
              <w:pStyle w:val="11"/>
              <w:rPr>
                <w:rFonts w:ascii="黑体" w:eastAsia="黑体"/>
                <w:sz w:val="21"/>
              </w:rPr>
            </w:pPr>
            <w:r>
              <w:rPr>
                <w:rFonts w:ascii="黑体" w:eastAsia="黑体"/>
                <w:color w:val="000000"/>
                <w:spacing w:val="-1"/>
                <w:sz w:val="21"/>
                <w:shd w:val="clear" w:color="auto" w:fill="DADADA"/>
              </w:rPr>
              <w:t>单纯胰岛移植、部分胰腺组织或细胞的移植不在保障范围内。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107" w:right="88"/>
              <w:rPr>
                <w:sz w:val="21"/>
              </w:rPr>
            </w:pPr>
            <w:r>
              <w:rPr>
                <w:spacing w:val="-2"/>
                <w:sz w:val="21"/>
              </w:rPr>
              <w:t>六十四、肺淋巴管</w:t>
            </w:r>
            <w:r>
              <w:rPr>
                <w:spacing w:val="-4"/>
                <w:sz w:val="21"/>
              </w:rPr>
              <w:t>肌瘤病</w:t>
            </w:r>
          </w:p>
        </w:tc>
        <w:tc>
          <w:tcPr>
            <w:tcW w:w="6986" w:type="dxa"/>
          </w:tcPr>
          <w:p>
            <w:pPr>
              <w:pStyle w:val="11"/>
              <w:spacing w:before="20" w:line="278" w:lineRule="auto"/>
              <w:ind w:right="-15"/>
              <w:rPr>
                <w:sz w:val="21"/>
              </w:rPr>
            </w:pPr>
            <w:r>
              <w:rPr>
                <w:spacing w:val="-2"/>
                <w:sz w:val="21"/>
              </w:rPr>
              <w:t>肺淋巴管肌瘤病是一种弥漫性肺部疾病，主要病理改变为肺间质、支气管、</w:t>
            </w:r>
            <w:r>
              <w:rPr>
                <w:spacing w:val="-4"/>
                <w:sz w:val="21"/>
              </w:rPr>
              <w:t>血管和淋巴管内出现未成熟的平滑肌异常增生，同时需满足下列全部条件：</w:t>
            </w:r>
          </w:p>
          <w:p>
            <w:pPr>
              <w:pStyle w:val="11"/>
              <w:numPr>
                <w:ilvl w:val="0"/>
                <w:numId w:val="66"/>
              </w:numPr>
              <w:tabs>
                <w:tab w:val="left" w:pos="739"/>
              </w:tabs>
              <w:spacing w:before="0" w:after="0" w:line="240" w:lineRule="auto"/>
              <w:ind w:left="738" w:right="0" w:hanging="633"/>
              <w:jc w:val="left"/>
              <w:rPr>
                <w:sz w:val="21"/>
              </w:rPr>
            </w:pPr>
            <w:r>
              <w:rPr>
                <w:spacing w:val="-3"/>
                <w:sz w:val="21"/>
              </w:rPr>
              <w:t>经组织病理学诊断；</w:t>
            </w:r>
          </w:p>
          <w:p>
            <w:pPr>
              <w:pStyle w:val="11"/>
              <w:numPr>
                <w:ilvl w:val="0"/>
                <w:numId w:val="66"/>
              </w:numPr>
              <w:tabs>
                <w:tab w:val="left" w:pos="739"/>
              </w:tabs>
              <w:spacing w:before="43" w:after="0" w:line="240" w:lineRule="auto"/>
              <w:ind w:left="738" w:right="0" w:hanging="633"/>
              <w:jc w:val="left"/>
              <w:rPr>
                <w:sz w:val="21"/>
              </w:rPr>
            </w:pPr>
            <w:r>
              <w:rPr>
                <w:rFonts w:ascii="Times New Roman" w:eastAsia="Times New Roman"/>
                <w:sz w:val="21"/>
              </w:rPr>
              <w:t>CT</w:t>
            </w:r>
            <w:r>
              <w:rPr>
                <w:rFonts w:ascii="Times New Roman" w:eastAsia="Times New Roman"/>
                <w:spacing w:val="-3"/>
                <w:sz w:val="21"/>
              </w:rPr>
              <w:t xml:space="preserve"> </w:t>
            </w:r>
            <w:r>
              <w:rPr>
                <w:spacing w:val="-1"/>
                <w:sz w:val="21"/>
              </w:rPr>
              <w:t>显示双肺弥漫性囊性改变；</w:t>
            </w:r>
          </w:p>
          <w:p>
            <w:pPr>
              <w:pStyle w:val="11"/>
              <w:numPr>
                <w:ilvl w:val="0"/>
                <w:numId w:val="66"/>
              </w:numPr>
              <w:tabs>
                <w:tab w:val="left" w:pos="744"/>
              </w:tabs>
              <w:spacing w:before="2" w:after="0" w:line="310" w:lineRule="atLeast"/>
              <w:ind w:left="107" w:right="96" w:hanging="1"/>
              <w:jc w:val="left"/>
              <w:rPr>
                <w:sz w:val="21"/>
              </w:rPr>
            </w:pPr>
            <w:r>
              <w:rPr>
                <w:spacing w:val="-2"/>
                <w:sz w:val="21"/>
              </w:rPr>
              <w:t>休息时出现呼吸困难或并经我们认可医院的专科医生认可有必要进行肺移植手术。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jc w:val="both"/>
              <w:rPr>
                <w:sz w:val="21"/>
              </w:rPr>
            </w:pPr>
            <w:r>
              <w:rPr>
                <w:spacing w:val="-2"/>
                <w:sz w:val="21"/>
              </w:rPr>
              <w:t>六十五、严重获得性或继发性肺泡蛋白质沉积症</w:t>
            </w:r>
          </w:p>
        </w:tc>
        <w:tc>
          <w:tcPr>
            <w:tcW w:w="6986" w:type="dxa"/>
          </w:tcPr>
          <w:p>
            <w:pPr>
              <w:pStyle w:val="11"/>
              <w:spacing w:before="20" w:line="278" w:lineRule="auto"/>
              <w:ind w:right="93"/>
              <w:rPr>
                <w:sz w:val="21"/>
              </w:rPr>
            </w:pPr>
            <w:r>
              <w:rPr>
                <w:spacing w:val="-2"/>
                <w:sz w:val="21"/>
              </w:rPr>
              <w:t>因获得性或继发性原因或导致双肺肺泡和细支气管腔内充满不可溶性富磷脂蛋白的疾病。理赔时须满足下列所有条件：</w:t>
            </w:r>
          </w:p>
          <w:p>
            <w:pPr>
              <w:pStyle w:val="11"/>
              <w:numPr>
                <w:ilvl w:val="0"/>
                <w:numId w:val="67"/>
              </w:numPr>
              <w:tabs>
                <w:tab w:val="left" w:pos="744"/>
              </w:tabs>
              <w:spacing w:before="0" w:after="0" w:line="240" w:lineRule="auto"/>
              <w:ind w:left="743" w:right="0" w:hanging="638"/>
              <w:jc w:val="left"/>
              <w:rPr>
                <w:sz w:val="21"/>
              </w:rPr>
            </w:pPr>
            <w:r>
              <w:rPr>
                <w:spacing w:val="-1"/>
                <w:sz w:val="21"/>
              </w:rPr>
              <w:t>支气管镜活检或开胸肺活检病理检查证实肺泡内充满有过碘酸雪夫</w:t>
            </w:r>
          </w:p>
          <w:p>
            <w:pPr>
              <w:pStyle w:val="11"/>
              <w:spacing w:before="43"/>
              <w:rPr>
                <w:sz w:val="21"/>
              </w:rPr>
            </w:pPr>
            <w:r>
              <w:rPr>
                <w:w w:val="95"/>
                <w:sz w:val="21"/>
              </w:rPr>
              <w:t>（</w:t>
            </w:r>
            <w:r>
              <w:rPr>
                <w:rFonts w:ascii="Times New Roman" w:eastAsia="Times New Roman"/>
                <w:w w:val="95"/>
                <w:sz w:val="21"/>
              </w:rPr>
              <w:t>PAS</w:t>
            </w:r>
            <w:r>
              <w:rPr>
                <w:w w:val="95"/>
                <w:sz w:val="21"/>
              </w:rPr>
              <w:t>）染色阳性的蛋白样物质</w:t>
            </w:r>
            <w:r>
              <w:rPr>
                <w:spacing w:val="-10"/>
                <w:w w:val="95"/>
                <w:sz w:val="21"/>
              </w:rPr>
              <w:t>；</w:t>
            </w:r>
          </w:p>
          <w:p>
            <w:pPr>
              <w:pStyle w:val="11"/>
              <w:numPr>
                <w:ilvl w:val="0"/>
                <w:numId w:val="67"/>
              </w:numPr>
              <w:tabs>
                <w:tab w:val="left" w:pos="744"/>
              </w:tabs>
              <w:spacing w:before="2" w:after="0" w:line="310" w:lineRule="atLeast"/>
              <w:ind w:left="107" w:right="96" w:hanging="1"/>
              <w:jc w:val="left"/>
              <w:rPr>
                <w:sz w:val="21"/>
              </w:rPr>
            </w:pPr>
            <w:r>
              <w:rPr>
                <w:spacing w:val="-2"/>
                <w:sz w:val="21"/>
              </w:rPr>
              <w:t>被保险人因中重度呼吸困难或低氧血症而实际已行全身麻醉下的全肺灌洗治疗。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spacing w:before="177" w:line="278" w:lineRule="auto"/>
              <w:ind w:left="107" w:right="88"/>
              <w:rPr>
                <w:sz w:val="21"/>
              </w:rPr>
            </w:pPr>
            <w:r>
              <w:rPr>
                <w:spacing w:val="-2"/>
                <w:sz w:val="21"/>
              </w:rPr>
              <w:t>六十六、严重肠道疾病并发症</w:t>
            </w:r>
          </w:p>
        </w:tc>
        <w:tc>
          <w:tcPr>
            <w:tcW w:w="6986" w:type="dxa"/>
          </w:tcPr>
          <w:p>
            <w:pPr>
              <w:pStyle w:val="11"/>
              <w:spacing w:before="21"/>
              <w:rPr>
                <w:sz w:val="21"/>
              </w:rPr>
            </w:pPr>
            <w:r>
              <w:rPr>
                <w:spacing w:val="-1"/>
                <w:sz w:val="21"/>
              </w:rPr>
              <w:t>严重肠道疾病或外伤导致小肠损害并发症，本疾病须满足以下所有条件：</w:t>
            </w:r>
          </w:p>
          <w:p>
            <w:pPr>
              <w:pStyle w:val="11"/>
              <w:numPr>
                <w:ilvl w:val="0"/>
                <w:numId w:val="68"/>
              </w:numPr>
              <w:tabs>
                <w:tab w:val="left" w:pos="634"/>
              </w:tabs>
              <w:spacing w:before="43" w:after="0" w:line="240" w:lineRule="auto"/>
              <w:ind w:left="633" w:right="0" w:hanging="528"/>
              <w:jc w:val="left"/>
              <w:rPr>
                <w:sz w:val="21"/>
              </w:rPr>
            </w:pPr>
            <w:r>
              <w:rPr>
                <w:spacing w:val="-3"/>
                <w:sz w:val="21"/>
              </w:rPr>
              <w:t>至少切除了三分之二小肠；</w:t>
            </w:r>
          </w:p>
          <w:p>
            <w:pPr>
              <w:pStyle w:val="11"/>
              <w:numPr>
                <w:ilvl w:val="0"/>
                <w:numId w:val="68"/>
              </w:numPr>
              <w:tabs>
                <w:tab w:val="left" w:pos="634"/>
              </w:tabs>
              <w:spacing w:before="43" w:after="0" w:line="240" w:lineRule="auto"/>
              <w:ind w:left="633" w:right="0" w:hanging="528"/>
              <w:jc w:val="left"/>
              <w:rPr>
                <w:sz w:val="21"/>
              </w:rPr>
            </w:pPr>
            <w:r>
              <w:rPr>
                <w:spacing w:val="-3"/>
                <w:sz w:val="21"/>
              </w:rPr>
              <w:t>完全肠外营养支持三个月以上。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76" w:line="278" w:lineRule="auto"/>
              <w:ind w:left="107" w:right="88"/>
              <w:rPr>
                <w:sz w:val="21"/>
              </w:rPr>
            </w:pPr>
            <w:r>
              <w:rPr>
                <w:spacing w:val="-2"/>
                <w:sz w:val="21"/>
              </w:rPr>
              <w:t>六十七、埃博拉病</w:t>
            </w:r>
            <w:r>
              <w:rPr>
                <w:spacing w:val="-4"/>
                <w:sz w:val="21"/>
              </w:rPr>
              <w:t>毒感染</w:t>
            </w:r>
          </w:p>
        </w:tc>
        <w:tc>
          <w:tcPr>
            <w:tcW w:w="6986" w:type="dxa"/>
          </w:tcPr>
          <w:p>
            <w:pPr>
              <w:pStyle w:val="11"/>
              <w:spacing w:before="20"/>
              <w:rPr>
                <w:sz w:val="21"/>
              </w:rPr>
            </w:pPr>
            <w:r>
              <w:rPr>
                <w:spacing w:val="-1"/>
                <w:sz w:val="21"/>
              </w:rPr>
              <w:t>指埃博拉病毒感染导致的烈性传染病，并须满足下列全部条件：</w:t>
            </w:r>
          </w:p>
          <w:p>
            <w:pPr>
              <w:pStyle w:val="11"/>
              <w:numPr>
                <w:ilvl w:val="0"/>
                <w:numId w:val="69"/>
              </w:numPr>
              <w:tabs>
                <w:tab w:val="left" w:pos="634"/>
              </w:tabs>
              <w:spacing w:before="43" w:after="0" w:line="240" w:lineRule="auto"/>
              <w:ind w:left="633" w:right="0" w:hanging="528"/>
              <w:jc w:val="left"/>
              <w:rPr>
                <w:sz w:val="21"/>
              </w:rPr>
            </w:pPr>
            <w:r>
              <w:rPr>
                <w:spacing w:val="-3"/>
                <w:sz w:val="21"/>
              </w:rPr>
              <w:t>实验室检查证实埃博拉病毒的存在；</w:t>
            </w:r>
          </w:p>
          <w:p>
            <w:pPr>
              <w:pStyle w:val="11"/>
              <w:numPr>
                <w:ilvl w:val="0"/>
                <w:numId w:val="69"/>
              </w:numPr>
              <w:tabs>
                <w:tab w:val="left" w:pos="634"/>
              </w:tabs>
              <w:spacing w:before="43" w:after="0" w:line="240" w:lineRule="auto"/>
              <w:ind w:left="633" w:right="0" w:hanging="528"/>
              <w:jc w:val="left"/>
              <w:rPr>
                <w:sz w:val="21"/>
              </w:rPr>
            </w:pPr>
            <w:r>
              <w:rPr>
                <w:spacing w:val="-6"/>
                <w:sz w:val="21"/>
              </w:rPr>
              <w:t xml:space="preserve">从发病开始有超过 </w:t>
            </w:r>
            <w:r>
              <w:rPr>
                <w:rFonts w:ascii="Times New Roman" w:eastAsia="Times New Roman"/>
                <w:sz w:val="21"/>
              </w:rPr>
              <w:t>30</w:t>
            </w:r>
            <w:r>
              <w:rPr>
                <w:rFonts w:ascii="Times New Roman" w:eastAsia="Times New Roman"/>
                <w:spacing w:val="-5"/>
                <w:sz w:val="21"/>
              </w:rPr>
              <w:t xml:space="preserve"> </w:t>
            </w:r>
            <w:r>
              <w:rPr>
                <w:spacing w:val="-1"/>
                <w:sz w:val="21"/>
              </w:rPr>
              <w:t>天的进行性感染症状。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0"/>
              <w:ind w:left="0"/>
              <w:rPr>
                <w:sz w:val="26"/>
              </w:rPr>
            </w:pPr>
          </w:p>
          <w:p>
            <w:pPr>
              <w:pStyle w:val="11"/>
              <w:spacing w:line="278" w:lineRule="auto"/>
              <w:ind w:left="107" w:right="88"/>
              <w:rPr>
                <w:sz w:val="21"/>
              </w:rPr>
            </w:pPr>
            <w:r>
              <w:rPr>
                <w:spacing w:val="-2"/>
                <w:sz w:val="21"/>
              </w:rPr>
              <w:t>六十八、重症手足</w:t>
            </w:r>
            <w:r>
              <w:rPr>
                <w:spacing w:val="-6"/>
                <w:sz w:val="21"/>
              </w:rPr>
              <w:t>口病</w:t>
            </w:r>
          </w:p>
        </w:tc>
        <w:tc>
          <w:tcPr>
            <w:tcW w:w="6986" w:type="dxa"/>
          </w:tcPr>
          <w:p>
            <w:pPr>
              <w:pStyle w:val="11"/>
              <w:spacing w:before="20" w:line="278" w:lineRule="auto"/>
              <w:ind w:right="93"/>
              <w:jc w:val="both"/>
              <w:rPr>
                <w:sz w:val="21"/>
              </w:rPr>
            </w:pPr>
            <w:r>
              <w:rPr>
                <w:spacing w:val="-2"/>
                <w:sz w:val="21"/>
              </w:rPr>
              <w:t>由肠道病毒引起的急性传染病，主要症状表现为手、足、口腔等部位的斑丘疹、疱疹。经我们认可的医疗机构的专科医生确诊为患有手足口病，并伴有下列三项中的任意一项并发症：</w:t>
            </w:r>
          </w:p>
          <w:p>
            <w:pPr>
              <w:pStyle w:val="11"/>
              <w:numPr>
                <w:ilvl w:val="0"/>
                <w:numId w:val="70"/>
              </w:numPr>
              <w:tabs>
                <w:tab w:val="left" w:pos="634"/>
              </w:tabs>
              <w:spacing w:before="0" w:after="0" w:line="278" w:lineRule="auto"/>
              <w:ind w:left="106" w:right="96" w:firstLine="0"/>
              <w:jc w:val="left"/>
              <w:rPr>
                <w:sz w:val="21"/>
              </w:rPr>
            </w:pPr>
            <w:r>
              <w:rPr>
                <w:spacing w:val="-3"/>
                <w:sz w:val="21"/>
              </w:rPr>
              <w:t>有脑膜炎或脑炎并发症，且导致意识障碍或瘫痪的临床表现及实验</w:t>
            </w:r>
            <w:r>
              <w:rPr>
                <w:spacing w:val="-4"/>
                <w:sz w:val="21"/>
              </w:rPr>
              <w:t>室检查证据；</w:t>
            </w:r>
          </w:p>
          <w:p>
            <w:pPr>
              <w:pStyle w:val="11"/>
              <w:numPr>
                <w:ilvl w:val="0"/>
                <w:numId w:val="70"/>
              </w:numPr>
              <w:tabs>
                <w:tab w:val="left" w:pos="634"/>
              </w:tabs>
              <w:spacing w:before="0" w:after="0" w:line="278" w:lineRule="auto"/>
              <w:ind w:left="106" w:right="96" w:firstLine="0"/>
              <w:jc w:val="left"/>
              <w:rPr>
                <w:sz w:val="21"/>
              </w:rPr>
            </w:pPr>
            <w:r>
              <w:rPr>
                <w:spacing w:val="-3"/>
                <w:sz w:val="21"/>
              </w:rPr>
              <w:t>有肺炎或肺水肿并发症，且导致呼吸衰竭的临床表现及实验室检查</w:t>
            </w:r>
            <w:r>
              <w:rPr>
                <w:spacing w:val="-6"/>
                <w:sz w:val="21"/>
              </w:rPr>
              <w:t>证据；</w:t>
            </w:r>
          </w:p>
          <w:p>
            <w:pPr>
              <w:pStyle w:val="11"/>
              <w:numPr>
                <w:ilvl w:val="0"/>
                <w:numId w:val="70"/>
              </w:numPr>
              <w:tabs>
                <w:tab w:val="left" w:pos="634"/>
              </w:tabs>
              <w:spacing w:before="0" w:after="0" w:line="240" w:lineRule="auto"/>
              <w:ind w:left="633" w:right="0" w:hanging="528"/>
              <w:jc w:val="left"/>
              <w:rPr>
                <w:sz w:val="21"/>
              </w:rPr>
            </w:pPr>
            <w:r>
              <w:rPr>
                <w:spacing w:val="-3"/>
                <w:sz w:val="21"/>
              </w:rPr>
              <w:t>有心肌炎并发症，且导致心脏扩大或心力衰竭的临床表现及实验室检</w:t>
            </w:r>
          </w:p>
          <w:p>
            <w:pPr>
              <w:pStyle w:val="11"/>
              <w:spacing w:before="43"/>
              <w:rPr>
                <w:sz w:val="21"/>
              </w:rPr>
            </w:pPr>
            <w:r>
              <w:rPr>
                <w:spacing w:val="-3"/>
                <w:sz w:val="21"/>
              </w:rPr>
              <w:t>查证据。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2"/>
              <w:ind w:left="0"/>
              <w:rPr>
                <w:sz w:val="18"/>
              </w:rPr>
            </w:pPr>
          </w:p>
          <w:p>
            <w:pPr>
              <w:pStyle w:val="11"/>
              <w:spacing w:line="278" w:lineRule="auto"/>
              <w:ind w:left="107" w:right="88"/>
              <w:rPr>
                <w:sz w:val="21"/>
              </w:rPr>
            </w:pPr>
            <w:r>
              <w:rPr>
                <w:spacing w:val="-2"/>
                <w:sz w:val="21"/>
              </w:rPr>
              <w:t>六十九、肝豆状核</w:t>
            </w:r>
            <w:r>
              <w:rPr>
                <w:spacing w:val="-6"/>
                <w:sz w:val="21"/>
              </w:rPr>
              <w:t>变性</w:t>
            </w:r>
          </w:p>
        </w:tc>
        <w:tc>
          <w:tcPr>
            <w:tcW w:w="6986" w:type="dxa"/>
          </w:tcPr>
          <w:p>
            <w:pPr>
              <w:pStyle w:val="11"/>
              <w:spacing w:before="21" w:line="278" w:lineRule="auto"/>
              <w:ind w:right="93"/>
              <w:jc w:val="both"/>
              <w:rPr>
                <w:sz w:val="21"/>
              </w:rPr>
            </w:pPr>
            <w:r>
              <w:rPr>
                <w:spacing w:val="-2"/>
                <w:sz w:val="21"/>
              </w:rPr>
              <w:t>肝豆状核变性是一种可能危及生命的铜代谢疾病，以铜沉积造成的渐进性肝功能损害及</w:t>
            </w:r>
            <w:r>
              <w:rPr>
                <w:rFonts w:ascii="Times New Roman" w:eastAsia="Times New Roman"/>
                <w:spacing w:val="-2"/>
                <w:sz w:val="21"/>
              </w:rPr>
              <w:t>/</w:t>
            </w:r>
            <w:r>
              <w:rPr>
                <w:spacing w:val="-2"/>
                <w:sz w:val="21"/>
              </w:rPr>
              <w:t>或神经功能恶化为特征。必须由我们认可医院的专科医生通</w:t>
            </w:r>
            <w:r>
              <w:rPr>
                <w:spacing w:val="-1"/>
                <w:sz w:val="21"/>
              </w:rPr>
              <w:t xml:space="preserve">过肝脏活组织检查结果确定诊断并配合螯合剂治疗持续至少 </w:t>
            </w:r>
            <w:r>
              <w:rPr>
                <w:rFonts w:ascii="Times New Roman" w:eastAsia="Times New Roman"/>
                <w:sz w:val="21"/>
              </w:rPr>
              <w:t xml:space="preserve">6 </w:t>
            </w:r>
            <w:r>
              <w:rPr>
                <w:sz w:val="21"/>
              </w:rPr>
              <w:t>个月。</w:t>
            </w:r>
          </w:p>
          <w:p>
            <w:pPr>
              <w:pStyle w:val="11"/>
              <w:spacing w:line="269" w:lineRule="exact"/>
              <w:ind w:right="-15"/>
              <w:rPr>
                <w:rFonts w:ascii="黑体" w:hAnsi="黑体" w:eastAsia="黑体"/>
                <w:sz w:val="21"/>
              </w:rPr>
            </w:pPr>
            <w:r>
              <w:rPr>
                <w:rFonts w:ascii="黑体" w:hAnsi="黑体" w:eastAsia="黑体"/>
                <w:spacing w:val="-3"/>
                <w:sz w:val="21"/>
              </w:rPr>
              <w:t>我们承担本项疾病责任不受本合同责任免除中“遗传性疾病，先天性畸形、</w:t>
            </w:r>
          </w:p>
          <w:p>
            <w:pPr>
              <w:pStyle w:val="11"/>
              <w:spacing w:before="43"/>
              <w:rPr>
                <w:rFonts w:ascii="黑体" w:hAnsi="黑体" w:eastAsia="黑体"/>
                <w:sz w:val="21"/>
              </w:rPr>
            </w:pPr>
            <w:r>
              <w:rPr>
                <w:rFonts w:ascii="黑体" w:hAnsi="黑体" w:eastAsia="黑体"/>
                <w:spacing w:val="-1"/>
                <w:sz w:val="21"/>
              </w:rPr>
              <w:t>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57" w:type="dxa"/>
          </w:tcPr>
          <w:p>
            <w:pPr>
              <w:pStyle w:val="11"/>
              <w:ind w:left="0"/>
              <w:rPr>
                <w:sz w:val="20"/>
              </w:rPr>
            </w:pPr>
          </w:p>
          <w:p>
            <w:pPr>
              <w:pStyle w:val="11"/>
              <w:spacing w:before="1"/>
              <w:ind w:left="0"/>
              <w:rPr>
                <w:sz w:val="18"/>
              </w:rPr>
            </w:pPr>
          </w:p>
          <w:p>
            <w:pPr>
              <w:pStyle w:val="11"/>
              <w:ind w:left="107"/>
              <w:rPr>
                <w:sz w:val="21"/>
              </w:rPr>
            </w:pPr>
            <w:r>
              <w:rPr>
                <w:spacing w:val="-2"/>
                <w:sz w:val="21"/>
              </w:rPr>
              <w:t>七十、颅脑手术</w:t>
            </w:r>
          </w:p>
        </w:tc>
        <w:tc>
          <w:tcPr>
            <w:tcW w:w="6986" w:type="dxa"/>
          </w:tcPr>
          <w:p>
            <w:pPr>
              <w:pStyle w:val="11"/>
              <w:spacing w:before="20" w:line="278" w:lineRule="auto"/>
              <w:ind w:right="93"/>
              <w:rPr>
                <w:rFonts w:ascii="黑体" w:eastAsia="黑体"/>
                <w:sz w:val="21"/>
              </w:rPr>
            </w:pPr>
            <w:r>
              <w:rPr>
                <w:spacing w:val="-2"/>
                <w:sz w:val="21"/>
              </w:rPr>
              <w:t>被保险人确已实施全麻下的开颅手术</w:t>
            </w:r>
            <w:r>
              <w:rPr>
                <w:rFonts w:ascii="黑体" w:eastAsia="黑体"/>
                <w:spacing w:val="-2"/>
                <w:sz w:val="21"/>
              </w:rPr>
              <w:t>（不包括颅骨钻孔手术和经鼻蝶窦入</w:t>
            </w:r>
            <w:r>
              <w:rPr>
                <w:rFonts w:ascii="黑体" w:eastAsia="黑体"/>
                <w:spacing w:val="-4"/>
                <w:sz w:val="21"/>
              </w:rPr>
              <w:t>颅手术</w:t>
            </w:r>
            <w:r>
              <w:rPr>
                <w:rFonts w:ascii="黑体" w:eastAsia="黑体"/>
                <w:spacing w:val="-105"/>
                <w:sz w:val="21"/>
              </w:rPr>
              <w:t>）</w:t>
            </w:r>
            <w:r>
              <w:rPr>
                <w:rFonts w:ascii="黑体" w:eastAsia="黑体"/>
                <w:spacing w:val="-4"/>
                <w:sz w:val="21"/>
              </w:rPr>
              <w:t>。</w:t>
            </w:r>
          </w:p>
          <w:p>
            <w:pPr>
              <w:pStyle w:val="11"/>
              <w:rPr>
                <w:rFonts w:ascii="黑体" w:eastAsia="黑体"/>
                <w:sz w:val="21"/>
              </w:rPr>
            </w:pPr>
            <w:r>
              <w:rPr>
                <w:rFonts w:ascii="黑体" w:eastAsia="黑体"/>
                <w:color w:val="000000"/>
                <w:spacing w:val="-1"/>
                <w:sz w:val="21"/>
                <w:shd w:val="clear" w:color="auto" w:fill="DADADA"/>
              </w:rPr>
              <w:t>因外伤及除脑垂体瘤、脑囊肿、颅内血管性疾病以外的良性颅内肿瘤而实</w:t>
            </w:r>
          </w:p>
          <w:p>
            <w:pPr>
              <w:pStyle w:val="11"/>
              <w:spacing w:before="43"/>
              <w:rPr>
                <w:rFonts w:ascii="黑体" w:eastAsia="黑体"/>
                <w:sz w:val="21"/>
              </w:rPr>
            </w:pPr>
            <w:r>
              <w:rPr>
                <w:rFonts w:ascii="黑体" w:eastAsia="黑体"/>
                <w:color w:val="000000"/>
                <w:spacing w:val="-1"/>
                <w:sz w:val="21"/>
                <w:shd w:val="clear" w:color="auto" w:fill="DADADA"/>
              </w:rPr>
              <w:t>施的脑外科手术不在保障范围之内。</w:t>
            </w:r>
          </w:p>
        </w:tc>
      </w:tr>
    </w:tbl>
    <w:p>
      <w:pPr>
        <w:spacing w:after="0"/>
        <w:rPr>
          <w:rFonts w:ascii="黑体" w:eastAsia="黑体"/>
          <w:sz w:val="21"/>
        </w:rPr>
        <w:sectPr>
          <w:type w:val="continuous"/>
          <w:pgSz w:w="11910" w:h="16840"/>
          <w:pgMar w:top="1420" w:right="1160" w:bottom="148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7" w:type="dxa"/>
          </w:tcPr>
          <w:p>
            <w:pPr>
              <w:pStyle w:val="11"/>
              <w:ind w:left="0"/>
              <w:rPr>
                <w:rFonts w:ascii="Times New Roman"/>
                <w:sz w:val="20"/>
              </w:rPr>
            </w:pPr>
          </w:p>
        </w:tc>
        <w:tc>
          <w:tcPr>
            <w:tcW w:w="6986" w:type="dxa"/>
          </w:tcPr>
          <w:p>
            <w:pPr>
              <w:pStyle w:val="11"/>
              <w:spacing w:before="20"/>
              <w:rPr>
                <w:rFonts w:ascii="黑体" w:eastAsia="黑体"/>
                <w:sz w:val="21"/>
              </w:rPr>
            </w:pPr>
            <w:r>
              <w:rPr>
                <w:rFonts w:ascii="黑体" w:eastAsia="黑体"/>
                <w:spacing w:val="-1"/>
                <w:sz w:val="21"/>
              </w:rPr>
              <w:t>理赔时必须提供由神经外科医生出具的诊断书及手术报告。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957"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107" w:right="88"/>
              <w:rPr>
                <w:sz w:val="21"/>
              </w:rPr>
            </w:pPr>
            <w:r>
              <w:rPr>
                <w:spacing w:val="-2"/>
                <w:sz w:val="21"/>
              </w:rPr>
              <w:t>七十一、脊髓小脑</w:t>
            </w:r>
            <w:r>
              <w:rPr>
                <w:spacing w:val="-4"/>
                <w:sz w:val="21"/>
              </w:rPr>
              <w:t>变性症</w:t>
            </w:r>
          </w:p>
        </w:tc>
        <w:tc>
          <w:tcPr>
            <w:tcW w:w="6986" w:type="dxa"/>
          </w:tcPr>
          <w:p>
            <w:pPr>
              <w:pStyle w:val="11"/>
              <w:spacing w:before="21" w:line="278" w:lineRule="auto"/>
              <w:ind w:right="93"/>
              <w:rPr>
                <w:sz w:val="21"/>
              </w:rPr>
            </w:pPr>
            <w:r>
              <w:rPr>
                <w:spacing w:val="-2"/>
                <w:sz w:val="21"/>
              </w:rPr>
              <w:t>脊髓小脑变性症为一组以小脑萎缩和共济失调为主要临床特点的疾病。必须符合所有以下条件：</w:t>
            </w:r>
          </w:p>
          <w:p>
            <w:pPr>
              <w:pStyle w:val="11"/>
              <w:numPr>
                <w:ilvl w:val="0"/>
                <w:numId w:val="71"/>
              </w:numPr>
              <w:tabs>
                <w:tab w:val="left" w:pos="634"/>
              </w:tabs>
              <w:spacing w:before="0" w:after="0" w:line="240" w:lineRule="auto"/>
              <w:ind w:left="633" w:right="0" w:hanging="528"/>
              <w:jc w:val="left"/>
              <w:rPr>
                <w:sz w:val="21"/>
              </w:rPr>
            </w:pPr>
            <w:r>
              <w:rPr>
                <w:spacing w:val="-3"/>
                <w:sz w:val="21"/>
              </w:rPr>
              <w:t>脊髓小脑变性症必须由医院诊断，并有以下证据支持：</w:t>
            </w:r>
          </w:p>
          <w:p>
            <w:pPr>
              <w:pStyle w:val="11"/>
              <w:spacing w:before="43"/>
              <w:rPr>
                <w:sz w:val="21"/>
              </w:rPr>
            </w:pPr>
            <w:r>
              <w:rPr>
                <w:spacing w:val="-1"/>
                <w:sz w:val="21"/>
              </w:rPr>
              <w:t>①影像学检查证实存在小脑萎缩；</w:t>
            </w:r>
          </w:p>
          <w:p>
            <w:pPr>
              <w:pStyle w:val="11"/>
              <w:spacing w:before="43"/>
              <w:rPr>
                <w:sz w:val="21"/>
              </w:rPr>
            </w:pPr>
            <w:r>
              <w:rPr>
                <w:spacing w:val="-1"/>
                <w:sz w:val="21"/>
              </w:rPr>
              <w:t>②临床表现存在共济失调、语言障碍和肌张力异常。</w:t>
            </w:r>
          </w:p>
          <w:p>
            <w:pPr>
              <w:pStyle w:val="11"/>
              <w:numPr>
                <w:ilvl w:val="0"/>
                <w:numId w:val="71"/>
              </w:numPr>
              <w:tabs>
                <w:tab w:val="left" w:pos="634"/>
              </w:tabs>
              <w:spacing w:before="2" w:after="0" w:line="310" w:lineRule="atLeast"/>
              <w:ind w:left="106" w:right="96" w:firstLine="0"/>
              <w:jc w:val="left"/>
              <w:rPr>
                <w:sz w:val="21"/>
              </w:rPr>
            </w:pPr>
            <w:r>
              <w:rPr>
                <w:spacing w:val="-4"/>
                <w:sz w:val="21"/>
              </w:rPr>
              <w:t>被保险人运动功能严重障碍，自主生活能力完全丧失，无法独立完成六项基本日常生活活动中的三项或三项以上。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七十二、进行性多灶性白质脑病</w:t>
            </w:r>
          </w:p>
        </w:tc>
        <w:tc>
          <w:tcPr>
            <w:tcW w:w="6986" w:type="dxa"/>
          </w:tcPr>
          <w:p>
            <w:pPr>
              <w:pStyle w:val="11"/>
              <w:spacing w:before="20" w:line="278" w:lineRule="auto"/>
              <w:ind w:right="93"/>
              <w:rPr>
                <w:sz w:val="21"/>
              </w:rPr>
            </w:pPr>
            <w:r>
              <w:rPr>
                <w:spacing w:val="-2"/>
                <w:sz w:val="21"/>
              </w:rPr>
              <w:t>是一种亚急性脱髓鞘脑病，其病原体多为乳头多瘤空泡病毒，常常发生于免疫缺陷病人。必须满足下列所有条件：</w:t>
            </w:r>
          </w:p>
          <w:p>
            <w:pPr>
              <w:pStyle w:val="11"/>
              <w:numPr>
                <w:ilvl w:val="0"/>
                <w:numId w:val="72"/>
              </w:numPr>
              <w:tabs>
                <w:tab w:val="left" w:pos="634"/>
              </w:tabs>
              <w:spacing w:before="0" w:after="0" w:line="240" w:lineRule="auto"/>
              <w:ind w:left="633" w:right="0" w:hanging="528"/>
              <w:jc w:val="left"/>
              <w:rPr>
                <w:sz w:val="21"/>
              </w:rPr>
            </w:pPr>
            <w:r>
              <w:rPr>
                <w:spacing w:val="-3"/>
                <w:sz w:val="21"/>
              </w:rPr>
              <w:t>根据脑组织活检确诊；</w:t>
            </w:r>
          </w:p>
          <w:p>
            <w:pPr>
              <w:pStyle w:val="11"/>
              <w:numPr>
                <w:ilvl w:val="0"/>
                <w:numId w:val="72"/>
              </w:numPr>
              <w:tabs>
                <w:tab w:val="left" w:pos="634"/>
              </w:tabs>
              <w:spacing w:before="2" w:after="0" w:line="310" w:lineRule="atLeast"/>
              <w:ind w:left="106" w:right="96" w:firstLine="0"/>
              <w:jc w:val="left"/>
              <w:rPr>
                <w:sz w:val="21"/>
              </w:rPr>
            </w:pPr>
            <w:r>
              <w:rPr>
                <w:spacing w:val="-2"/>
                <w:sz w:val="21"/>
              </w:rPr>
              <w:t>永久不可逆丧失自主生活能力，无法独立完成六项基本日常生活活</w:t>
            </w:r>
            <w:r>
              <w:rPr>
                <w:spacing w:val="-4"/>
                <w:sz w:val="21"/>
              </w:rPr>
              <w:t>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5" w:hRule="atLeast"/>
        </w:trPr>
        <w:tc>
          <w:tcPr>
            <w:tcW w:w="1957"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6"/>
              <w:ind w:left="0"/>
              <w:rPr>
                <w:sz w:val="15"/>
              </w:rPr>
            </w:pPr>
          </w:p>
          <w:p>
            <w:pPr>
              <w:pStyle w:val="11"/>
              <w:spacing w:line="278" w:lineRule="auto"/>
              <w:ind w:left="107" w:right="88"/>
              <w:rPr>
                <w:sz w:val="21"/>
              </w:rPr>
            </w:pPr>
            <w:r>
              <w:rPr>
                <w:spacing w:val="-2"/>
                <w:sz w:val="21"/>
              </w:rPr>
              <w:t>七十三、席汉氏综</w:t>
            </w:r>
            <w:r>
              <w:rPr>
                <w:spacing w:val="-6"/>
                <w:sz w:val="21"/>
              </w:rPr>
              <w:t>合征</w:t>
            </w:r>
          </w:p>
        </w:tc>
        <w:tc>
          <w:tcPr>
            <w:tcW w:w="6986" w:type="dxa"/>
          </w:tcPr>
          <w:p>
            <w:pPr>
              <w:pStyle w:val="11"/>
              <w:spacing w:before="20" w:line="278" w:lineRule="auto"/>
              <w:ind w:right="-15"/>
              <w:rPr>
                <w:sz w:val="21"/>
              </w:rPr>
            </w:pPr>
            <w:r>
              <w:rPr>
                <w:spacing w:val="1"/>
                <w:sz w:val="21"/>
              </w:rPr>
              <w:t>指因产后大出血并发休克、全身循环衰竭、弥漫性血管内凝血导致脑垂体</w:t>
            </w:r>
            <w:r>
              <w:rPr>
                <w:spacing w:val="-5"/>
                <w:sz w:val="21"/>
              </w:rPr>
              <w:t>缺血坏死和垂体分泌激素不足，造成性腺、甲状腺、肾上腺皮质功能减退。</w:t>
            </w:r>
            <w:r>
              <w:rPr>
                <w:sz w:val="21"/>
              </w:rPr>
              <w:t>必须满足下列所有条件：</w:t>
            </w:r>
          </w:p>
          <w:p>
            <w:pPr>
              <w:pStyle w:val="11"/>
              <w:numPr>
                <w:ilvl w:val="0"/>
                <w:numId w:val="73"/>
              </w:numPr>
              <w:tabs>
                <w:tab w:val="left" w:pos="634"/>
              </w:tabs>
              <w:spacing w:before="0" w:after="0" w:line="269" w:lineRule="exact"/>
              <w:ind w:left="633" w:right="0" w:hanging="528"/>
              <w:jc w:val="left"/>
              <w:rPr>
                <w:sz w:val="21"/>
              </w:rPr>
            </w:pPr>
            <w:r>
              <w:rPr>
                <w:spacing w:val="-3"/>
                <w:sz w:val="21"/>
              </w:rPr>
              <w:t>产后大出血休克病史；</w:t>
            </w:r>
          </w:p>
          <w:p>
            <w:pPr>
              <w:pStyle w:val="11"/>
              <w:numPr>
                <w:ilvl w:val="0"/>
                <w:numId w:val="73"/>
              </w:numPr>
              <w:tabs>
                <w:tab w:val="left" w:pos="634"/>
              </w:tabs>
              <w:spacing w:before="43" w:after="0" w:line="240" w:lineRule="auto"/>
              <w:ind w:left="633" w:right="0" w:hanging="528"/>
              <w:jc w:val="left"/>
              <w:rPr>
                <w:sz w:val="21"/>
              </w:rPr>
            </w:pPr>
            <w:r>
              <w:rPr>
                <w:spacing w:val="-2"/>
                <w:sz w:val="21"/>
              </w:rPr>
              <w:t>严重腺垂体功能破坏，破坏程度</w:t>
            </w:r>
            <w:r>
              <w:rPr>
                <w:rFonts w:ascii="Times New Roman" w:eastAsia="Times New Roman"/>
                <w:spacing w:val="-4"/>
                <w:sz w:val="21"/>
              </w:rPr>
              <w:t>&gt;95%</w:t>
            </w:r>
            <w:r>
              <w:rPr>
                <w:spacing w:val="-4"/>
                <w:sz w:val="21"/>
              </w:rPr>
              <w:t>；</w:t>
            </w:r>
          </w:p>
          <w:p>
            <w:pPr>
              <w:pStyle w:val="11"/>
              <w:numPr>
                <w:ilvl w:val="0"/>
                <w:numId w:val="73"/>
              </w:numPr>
              <w:tabs>
                <w:tab w:val="left" w:pos="634"/>
              </w:tabs>
              <w:spacing w:before="43" w:after="0" w:line="240" w:lineRule="auto"/>
              <w:ind w:left="633" w:right="0" w:hanging="528"/>
              <w:jc w:val="left"/>
              <w:rPr>
                <w:sz w:val="21"/>
              </w:rPr>
            </w:pPr>
            <w:r>
              <w:rPr>
                <w:spacing w:val="-3"/>
                <w:sz w:val="21"/>
              </w:rPr>
              <w:t>影像学检查显示脑垂体严重萎缩或消失；</w:t>
            </w:r>
          </w:p>
          <w:p>
            <w:pPr>
              <w:pStyle w:val="11"/>
              <w:numPr>
                <w:ilvl w:val="0"/>
                <w:numId w:val="73"/>
              </w:numPr>
              <w:tabs>
                <w:tab w:val="left" w:pos="634"/>
              </w:tabs>
              <w:spacing w:before="43" w:after="0" w:line="240" w:lineRule="auto"/>
              <w:ind w:left="633" w:right="0" w:hanging="528"/>
              <w:jc w:val="left"/>
              <w:rPr>
                <w:sz w:val="21"/>
              </w:rPr>
            </w:pPr>
            <w:r>
              <w:rPr>
                <w:spacing w:val="-4"/>
                <w:sz w:val="21"/>
              </w:rPr>
              <w:t>实验室检查显示：</w:t>
            </w:r>
          </w:p>
          <w:p>
            <w:pPr>
              <w:pStyle w:val="11"/>
              <w:spacing w:before="43"/>
              <w:rPr>
                <w:sz w:val="21"/>
              </w:rPr>
            </w:pPr>
            <w:r>
              <w:rPr>
                <w:spacing w:val="-2"/>
                <w:sz w:val="21"/>
              </w:rPr>
              <w:t>① 垂体前叶激素全面低下；和</w:t>
            </w:r>
          </w:p>
          <w:p>
            <w:pPr>
              <w:pStyle w:val="11"/>
              <w:spacing w:before="43" w:line="278" w:lineRule="auto"/>
              <w:ind w:right="95"/>
              <w:rPr>
                <w:sz w:val="21"/>
              </w:rPr>
            </w:pPr>
            <w:r>
              <w:rPr>
                <w:spacing w:val="-7"/>
                <w:sz w:val="21"/>
              </w:rPr>
              <w:t>② 性激素、甲状腺素、肾上腺皮质激素全面低下</w:t>
            </w:r>
            <w:r>
              <w:rPr>
                <w:spacing w:val="-2"/>
                <w:sz w:val="21"/>
              </w:rPr>
              <w:t>（包括生长激素、促甲状腺素、促肾上腺皮质激素、卵泡刺激素和黄体生成素</w:t>
            </w:r>
            <w:r>
              <w:rPr>
                <w:spacing w:val="-105"/>
                <w:sz w:val="21"/>
              </w:rPr>
              <w:t>）</w:t>
            </w:r>
            <w:r>
              <w:rPr>
                <w:sz w:val="21"/>
              </w:rPr>
              <w:t>；</w:t>
            </w:r>
          </w:p>
          <w:p>
            <w:pPr>
              <w:pStyle w:val="11"/>
              <w:numPr>
                <w:ilvl w:val="0"/>
                <w:numId w:val="73"/>
              </w:numPr>
              <w:tabs>
                <w:tab w:val="left" w:pos="634"/>
              </w:tabs>
              <w:spacing w:before="0" w:after="0" w:line="278" w:lineRule="auto"/>
              <w:ind w:left="106" w:right="96" w:firstLine="0"/>
              <w:jc w:val="left"/>
              <w:rPr>
                <w:sz w:val="21"/>
              </w:rPr>
            </w:pPr>
            <w:r>
              <w:rPr>
                <w:spacing w:val="-2"/>
                <w:sz w:val="21"/>
              </w:rPr>
              <w:t>需要终身激素替代治疗以维持身体功能，持续服用各种替代激素超</w:t>
            </w:r>
            <w:r>
              <w:rPr>
                <w:spacing w:val="-5"/>
                <w:sz w:val="21"/>
              </w:rPr>
              <w:t>过一年。</w:t>
            </w:r>
          </w:p>
          <w:p>
            <w:pPr>
              <w:pStyle w:val="11"/>
              <w:spacing w:line="268" w:lineRule="exact"/>
              <w:rPr>
                <w:rFonts w:ascii="黑体" w:eastAsia="黑体"/>
                <w:sz w:val="21"/>
              </w:rPr>
            </w:pPr>
            <w:r>
              <w:rPr>
                <w:rFonts w:ascii="黑体" w:eastAsia="黑体"/>
                <w:color w:val="000000"/>
                <w:spacing w:val="-1"/>
                <w:sz w:val="21"/>
                <w:shd w:val="clear" w:color="auto" w:fill="DADADA"/>
              </w:rPr>
              <w:t>垂体功能部分低下及其他原因所致垂体功能低下不在保障范围之内。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1"/>
              <w:ind w:left="0"/>
              <w:rPr>
                <w:sz w:val="26"/>
              </w:rPr>
            </w:pPr>
          </w:p>
          <w:p>
            <w:pPr>
              <w:pStyle w:val="11"/>
              <w:spacing w:line="278" w:lineRule="auto"/>
              <w:ind w:left="107" w:right="88"/>
              <w:rPr>
                <w:sz w:val="21"/>
              </w:rPr>
            </w:pPr>
            <w:r>
              <w:rPr>
                <w:spacing w:val="-2"/>
                <w:sz w:val="21"/>
              </w:rPr>
              <w:t>七十四、严重慢性缩窄性心包炎</w:t>
            </w:r>
          </w:p>
        </w:tc>
        <w:tc>
          <w:tcPr>
            <w:tcW w:w="6986" w:type="dxa"/>
          </w:tcPr>
          <w:p>
            <w:pPr>
              <w:pStyle w:val="11"/>
              <w:spacing w:before="21" w:line="278" w:lineRule="auto"/>
              <w:ind w:right="93"/>
              <w:jc w:val="both"/>
              <w:rPr>
                <w:sz w:val="21"/>
              </w:rPr>
            </w:pPr>
            <w:r>
              <w:rPr>
                <w:spacing w:val="-2"/>
                <w:sz w:val="21"/>
              </w:rPr>
              <w:t>由于慢性心包炎症导致心包脏层和壁层广泛瘢痕粘连、增厚和钙化，心包腔闭塞，形成一个纤维瘢痕外壳，使心脏和大血管根部受压，阻碍心脏的</w:t>
            </w:r>
            <w:r>
              <w:rPr>
                <w:spacing w:val="-4"/>
                <w:sz w:val="21"/>
              </w:rPr>
              <w:t>舒张。</w:t>
            </w:r>
          </w:p>
          <w:p>
            <w:pPr>
              <w:pStyle w:val="11"/>
              <w:rPr>
                <w:sz w:val="21"/>
              </w:rPr>
            </w:pPr>
            <w:r>
              <w:rPr>
                <w:spacing w:val="-1"/>
                <w:sz w:val="21"/>
              </w:rPr>
              <w:t>被保险人被明确诊断为慢性缩窄性心包炎且必须满足以下所有条件：</w:t>
            </w:r>
          </w:p>
          <w:p>
            <w:pPr>
              <w:pStyle w:val="11"/>
              <w:spacing w:before="43"/>
              <w:rPr>
                <w:sz w:val="21"/>
              </w:rPr>
            </w:pPr>
            <w:r>
              <w:rPr>
                <w:sz w:val="21"/>
              </w:rPr>
              <w:t>（</w:t>
            </w:r>
            <w:r>
              <w:rPr>
                <w:rFonts w:ascii="Times New Roman" w:eastAsia="Times New Roman"/>
                <w:sz w:val="21"/>
              </w:rPr>
              <w:t>1</w:t>
            </w:r>
            <w:r>
              <w:rPr>
                <w:sz w:val="21"/>
              </w:rPr>
              <w:t>）</w:t>
            </w:r>
            <w:r>
              <w:rPr>
                <w:spacing w:val="-2"/>
                <w:sz w:val="21"/>
              </w:rPr>
              <w:t xml:space="preserve">心功能衰竭达到美国纽约心脏病学会心功能状态分级 </w:t>
            </w:r>
            <w:r>
              <w:rPr>
                <w:rFonts w:ascii="Times New Roman" w:eastAsia="Times New Roman"/>
                <w:sz w:val="21"/>
              </w:rPr>
              <w:t>IV</w:t>
            </w:r>
            <w:r>
              <w:rPr>
                <w:rFonts w:ascii="Times New Roman" w:eastAsia="Times New Roman"/>
                <w:spacing w:val="13"/>
                <w:sz w:val="21"/>
              </w:rPr>
              <w:t xml:space="preserve"> </w:t>
            </w:r>
            <w:r>
              <w:rPr>
                <w:spacing w:val="-2"/>
                <w:sz w:val="21"/>
              </w:rPr>
              <w:t>级，并持续</w:t>
            </w:r>
          </w:p>
          <w:p>
            <w:pPr>
              <w:pStyle w:val="11"/>
              <w:spacing w:before="43"/>
              <w:rPr>
                <w:sz w:val="21"/>
              </w:rPr>
            </w:pPr>
            <w:r>
              <w:rPr>
                <w:rFonts w:ascii="Times New Roman" w:eastAsia="Times New Roman"/>
                <w:sz w:val="21"/>
              </w:rPr>
              <w:t>180</w:t>
            </w:r>
            <w:r>
              <w:rPr>
                <w:rFonts w:ascii="Times New Roman" w:eastAsia="Times New Roman"/>
                <w:spacing w:val="-1"/>
                <w:sz w:val="21"/>
              </w:rPr>
              <w:t xml:space="preserve"> </w:t>
            </w:r>
            <w:r>
              <w:rPr>
                <w:spacing w:val="-3"/>
                <w:sz w:val="21"/>
              </w:rPr>
              <w:t>天以上；</w:t>
            </w:r>
          </w:p>
          <w:p>
            <w:pPr>
              <w:pStyle w:val="11"/>
              <w:spacing w:before="43" w:line="278" w:lineRule="auto"/>
              <w:ind w:right="97"/>
              <w:rPr>
                <w:sz w:val="21"/>
              </w:rPr>
            </w:pPr>
            <w:r>
              <w:rPr>
                <w:spacing w:val="-2"/>
                <w:sz w:val="21"/>
              </w:rPr>
              <w:t>（</w:t>
            </w:r>
            <w:r>
              <w:rPr>
                <w:rFonts w:ascii="Times New Roman" w:eastAsia="Times New Roman"/>
                <w:spacing w:val="-2"/>
                <w:sz w:val="21"/>
              </w:rPr>
              <w:t>2</w:t>
            </w:r>
            <w:r>
              <w:rPr>
                <w:spacing w:val="-2"/>
                <w:sz w:val="21"/>
              </w:rPr>
              <w:t>）实际接收了以下任何一种手术路径的心包剥脱或心包切除手术；手术路径：胸骨正中切口；双侧前胸切口；左前胸肋间切口。</w:t>
            </w:r>
          </w:p>
          <w:p>
            <w:pPr>
              <w:pStyle w:val="11"/>
              <w:spacing w:line="268" w:lineRule="exact"/>
              <w:rPr>
                <w:rFonts w:ascii="黑体" w:eastAsia="黑体"/>
                <w:sz w:val="21"/>
              </w:rPr>
            </w:pPr>
            <w:r>
              <w:rPr>
                <w:rFonts w:ascii="黑体" w:eastAsia="黑体"/>
                <w:color w:val="000000"/>
                <w:spacing w:val="-1"/>
                <w:sz w:val="21"/>
                <w:shd w:val="clear" w:color="auto" w:fill="DADADA"/>
              </w:rPr>
              <w:t>经胸腔镜、胸壁打孔进行的手术、心包粘连松解手术不在保障范围内。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2"/>
              </w:rPr>
            </w:pPr>
          </w:p>
          <w:p>
            <w:pPr>
              <w:pStyle w:val="11"/>
              <w:spacing w:before="1"/>
              <w:ind w:left="0"/>
              <w:rPr>
                <w:sz w:val="16"/>
              </w:rPr>
            </w:pPr>
          </w:p>
          <w:p>
            <w:pPr>
              <w:pStyle w:val="11"/>
              <w:ind w:left="107"/>
              <w:rPr>
                <w:rFonts w:ascii="Times New Roman" w:eastAsia="Times New Roman"/>
                <w:sz w:val="21"/>
              </w:rPr>
            </w:pPr>
            <w:r>
              <w:rPr>
                <w:spacing w:val="15"/>
                <w:sz w:val="21"/>
              </w:rPr>
              <w:t xml:space="preserve">七十五、 </w:t>
            </w:r>
            <w:r>
              <w:rPr>
                <w:rFonts w:ascii="Times New Roman" w:eastAsia="Times New Roman"/>
                <w:spacing w:val="-2"/>
                <w:sz w:val="21"/>
              </w:rPr>
              <w:t>Brugada</w:t>
            </w:r>
          </w:p>
          <w:p>
            <w:pPr>
              <w:pStyle w:val="11"/>
              <w:spacing w:before="43"/>
              <w:ind w:left="107"/>
              <w:rPr>
                <w:sz w:val="21"/>
              </w:rPr>
            </w:pPr>
            <w:r>
              <w:rPr>
                <w:spacing w:val="-4"/>
                <w:sz w:val="21"/>
              </w:rPr>
              <w:t>综合征</w:t>
            </w:r>
          </w:p>
        </w:tc>
        <w:tc>
          <w:tcPr>
            <w:tcW w:w="6986" w:type="dxa"/>
          </w:tcPr>
          <w:p>
            <w:pPr>
              <w:pStyle w:val="11"/>
              <w:spacing w:before="20" w:line="278" w:lineRule="auto"/>
              <w:ind w:right="96"/>
              <w:rPr>
                <w:sz w:val="21"/>
              </w:rPr>
            </w:pPr>
            <w:r>
              <w:rPr>
                <w:spacing w:val="-2"/>
                <w:sz w:val="21"/>
              </w:rPr>
              <w:t>指由心脏专科医生诊断为夜间呼吸骤停（</w:t>
            </w:r>
            <w:r>
              <w:rPr>
                <w:rFonts w:ascii="Times New Roman" w:eastAsia="Times New Roman"/>
                <w:spacing w:val="-2"/>
                <w:sz w:val="21"/>
              </w:rPr>
              <w:t>Brugada</w:t>
            </w:r>
            <w:r>
              <w:rPr>
                <w:spacing w:val="-2"/>
                <w:sz w:val="21"/>
              </w:rPr>
              <w:t>）综合征，且满足下列全</w:t>
            </w:r>
            <w:r>
              <w:rPr>
                <w:spacing w:val="-4"/>
                <w:sz w:val="21"/>
              </w:rPr>
              <w:t>部条件：</w:t>
            </w:r>
          </w:p>
          <w:p>
            <w:pPr>
              <w:pStyle w:val="11"/>
              <w:numPr>
                <w:ilvl w:val="0"/>
                <w:numId w:val="74"/>
              </w:numPr>
              <w:tabs>
                <w:tab w:val="left" w:pos="634"/>
              </w:tabs>
              <w:spacing w:before="0" w:after="0" w:line="240" w:lineRule="auto"/>
              <w:ind w:left="633" w:right="0" w:hanging="528"/>
              <w:jc w:val="left"/>
              <w:rPr>
                <w:sz w:val="21"/>
              </w:rPr>
            </w:pPr>
            <w:r>
              <w:rPr>
                <w:spacing w:val="-3"/>
                <w:sz w:val="21"/>
              </w:rPr>
              <w:t>有晕厥或心脏骤停病史，并提供完整的诊疗记录；</w:t>
            </w:r>
          </w:p>
          <w:p>
            <w:pPr>
              <w:pStyle w:val="11"/>
              <w:numPr>
                <w:ilvl w:val="0"/>
                <w:numId w:val="74"/>
              </w:numPr>
              <w:tabs>
                <w:tab w:val="left" w:pos="634"/>
              </w:tabs>
              <w:spacing w:before="43" w:after="0" w:line="240" w:lineRule="auto"/>
              <w:ind w:left="633" w:right="0" w:hanging="528"/>
              <w:jc w:val="left"/>
              <w:rPr>
                <w:sz w:val="21"/>
              </w:rPr>
            </w:pPr>
            <w:r>
              <w:rPr>
                <w:spacing w:val="-1"/>
                <w:sz w:val="21"/>
              </w:rPr>
              <w:t xml:space="preserve">心电图有典型的Ⅰ型 </w:t>
            </w:r>
            <w:r>
              <w:rPr>
                <w:rFonts w:ascii="Times New Roman" w:hAnsi="Times New Roman" w:eastAsia="Times New Roman"/>
                <w:sz w:val="21"/>
              </w:rPr>
              <w:t>Brugada</w:t>
            </w:r>
            <w:r>
              <w:rPr>
                <w:rFonts w:ascii="Times New Roman" w:hAnsi="Times New Roman" w:eastAsia="Times New Roman"/>
                <w:spacing w:val="-2"/>
                <w:sz w:val="21"/>
              </w:rPr>
              <w:t xml:space="preserve"> </w:t>
            </w:r>
            <w:r>
              <w:rPr>
                <w:spacing w:val="-5"/>
                <w:sz w:val="21"/>
              </w:rPr>
              <w:t>波；</w:t>
            </w:r>
          </w:p>
          <w:p>
            <w:pPr>
              <w:pStyle w:val="11"/>
              <w:numPr>
                <w:ilvl w:val="0"/>
                <w:numId w:val="74"/>
              </w:numPr>
              <w:tabs>
                <w:tab w:val="left" w:pos="634"/>
              </w:tabs>
              <w:spacing w:before="43" w:after="0" w:line="240" w:lineRule="auto"/>
              <w:ind w:left="633" w:right="0" w:hanging="528"/>
              <w:jc w:val="left"/>
              <w:rPr>
                <w:sz w:val="21"/>
              </w:rPr>
            </w:pPr>
            <w:r>
              <w:rPr>
                <w:spacing w:val="-3"/>
                <w:sz w:val="21"/>
              </w:rPr>
              <w:t>已经安装了永久性心脏除颤器。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957" w:type="dxa"/>
          </w:tcPr>
          <w:p>
            <w:pPr>
              <w:pStyle w:val="11"/>
              <w:spacing w:before="176" w:line="278" w:lineRule="auto"/>
              <w:ind w:left="107" w:right="88"/>
              <w:jc w:val="both"/>
              <w:rPr>
                <w:sz w:val="21"/>
              </w:rPr>
            </w:pPr>
            <w:r>
              <w:rPr>
                <w:spacing w:val="-2"/>
                <w:sz w:val="21"/>
              </w:rPr>
              <w:t>七十六、败血症导致的多器官功能障</w:t>
            </w:r>
            <w:r>
              <w:rPr>
                <w:spacing w:val="-4"/>
                <w:sz w:val="21"/>
              </w:rPr>
              <w:t>碍综合症</w:t>
            </w:r>
          </w:p>
        </w:tc>
        <w:tc>
          <w:tcPr>
            <w:tcW w:w="6986" w:type="dxa"/>
          </w:tcPr>
          <w:p>
            <w:pPr>
              <w:pStyle w:val="11"/>
              <w:spacing w:before="20" w:line="278" w:lineRule="auto"/>
              <w:ind w:right="93"/>
              <w:rPr>
                <w:sz w:val="21"/>
              </w:rPr>
            </w:pPr>
            <w:r>
              <w:rPr>
                <w:spacing w:val="-2"/>
                <w:sz w:val="21"/>
              </w:rPr>
              <w:t xml:space="preserve">多器官功能障碍指败血症导致的并发症，一个或多个器官系统生理功能障碍，因该疾病住院至少 </w:t>
            </w:r>
            <w:r>
              <w:rPr>
                <w:rFonts w:ascii="Times New Roman" w:eastAsia="Times New Roman"/>
                <w:sz w:val="21"/>
              </w:rPr>
              <w:t xml:space="preserve">96 </w:t>
            </w:r>
            <w:r>
              <w:rPr>
                <w:sz w:val="21"/>
              </w:rPr>
              <w:t>小时，并至少满足以下一条标准：</w:t>
            </w:r>
          </w:p>
          <w:p>
            <w:pPr>
              <w:pStyle w:val="11"/>
              <w:numPr>
                <w:ilvl w:val="0"/>
                <w:numId w:val="75"/>
              </w:numPr>
              <w:tabs>
                <w:tab w:val="left" w:pos="634"/>
              </w:tabs>
              <w:spacing w:before="0" w:after="0" w:line="240" w:lineRule="auto"/>
              <w:ind w:left="633" w:right="0" w:hanging="528"/>
              <w:jc w:val="left"/>
              <w:rPr>
                <w:sz w:val="21"/>
              </w:rPr>
            </w:pPr>
            <w:r>
              <w:rPr>
                <w:spacing w:val="-3"/>
                <w:sz w:val="21"/>
              </w:rPr>
              <w:t>呼吸衰竭，需要进行气管插管机械通气；</w:t>
            </w:r>
          </w:p>
          <w:p>
            <w:pPr>
              <w:pStyle w:val="11"/>
              <w:numPr>
                <w:ilvl w:val="0"/>
                <w:numId w:val="75"/>
              </w:numPr>
              <w:tabs>
                <w:tab w:val="left" w:pos="634"/>
              </w:tabs>
              <w:spacing w:before="43" w:after="0" w:line="240" w:lineRule="auto"/>
              <w:ind w:left="633" w:right="0" w:hanging="528"/>
              <w:jc w:val="left"/>
              <w:rPr>
                <w:sz w:val="21"/>
              </w:rPr>
            </w:pPr>
            <w:r>
              <w:rPr>
                <w:spacing w:val="-2"/>
                <w:sz w:val="21"/>
              </w:rPr>
              <w:t>凝血血小板计数</w:t>
            </w:r>
            <w:r>
              <w:rPr>
                <w:rFonts w:ascii="Times New Roman" w:hAnsi="Times New Roman" w:eastAsia="Times New Roman"/>
                <w:spacing w:val="-2"/>
                <w:sz w:val="21"/>
              </w:rPr>
              <w:t>&lt;50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3</w:t>
            </w:r>
            <w:r>
              <w:rPr>
                <w:rFonts w:ascii="Times New Roman" w:hAnsi="Times New Roman" w:eastAsia="Times New Roman"/>
                <w:spacing w:val="-2"/>
                <w:sz w:val="21"/>
                <w:vertAlign w:val="baseline"/>
              </w:rPr>
              <w:t>/</w:t>
            </w:r>
            <w:r>
              <w:rPr>
                <w:spacing w:val="-5"/>
                <w:sz w:val="21"/>
                <w:vertAlign w:val="baseline"/>
              </w:rPr>
              <w:t>微升；</w:t>
            </w:r>
          </w:p>
        </w:tc>
      </w:tr>
    </w:tbl>
    <w:p>
      <w:pPr>
        <w:spacing w:after="0" w:line="240" w:lineRule="auto"/>
        <w:jc w:val="left"/>
        <w:rPr>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7" w:type="dxa"/>
          </w:tcPr>
          <w:p>
            <w:pPr>
              <w:pStyle w:val="11"/>
              <w:ind w:left="0"/>
              <w:rPr>
                <w:rFonts w:ascii="Times New Roman"/>
                <w:sz w:val="20"/>
              </w:rPr>
            </w:pPr>
          </w:p>
        </w:tc>
        <w:tc>
          <w:tcPr>
            <w:tcW w:w="6986" w:type="dxa"/>
          </w:tcPr>
          <w:p>
            <w:pPr>
              <w:pStyle w:val="11"/>
              <w:numPr>
                <w:ilvl w:val="0"/>
                <w:numId w:val="76"/>
              </w:numPr>
              <w:tabs>
                <w:tab w:val="left" w:pos="634"/>
              </w:tabs>
              <w:spacing w:before="20" w:after="0" w:line="240" w:lineRule="auto"/>
              <w:ind w:left="633" w:right="0" w:hanging="528"/>
              <w:jc w:val="left"/>
              <w:rPr>
                <w:sz w:val="21"/>
              </w:rPr>
            </w:pPr>
            <w:r>
              <w:rPr>
                <w:sz w:val="21"/>
              </w:rPr>
              <w:t>肝功能不全，胆红素</w:t>
            </w:r>
            <w:r>
              <w:rPr>
                <w:rFonts w:ascii="Times New Roman" w:hAnsi="Times New Roman" w:eastAsia="Times New Roman"/>
                <w:spacing w:val="-1"/>
                <w:sz w:val="21"/>
              </w:rPr>
              <w:t xml:space="preserve">&gt; </w:t>
            </w:r>
            <w:r>
              <w:rPr>
                <w:rFonts w:ascii="Times New Roman" w:hAnsi="Times New Roman" w:eastAsia="Times New Roman"/>
                <w:sz w:val="21"/>
              </w:rPr>
              <w:t>6mg/</w:t>
            </w:r>
            <w:r>
              <w:rPr>
                <w:rFonts w:ascii="Times New Roman" w:hAnsi="Times New Roman" w:eastAsia="Times New Roman"/>
                <w:spacing w:val="-1"/>
                <w:sz w:val="21"/>
              </w:rPr>
              <w:t xml:space="preserve"> </w:t>
            </w:r>
            <w:r>
              <w:rPr>
                <w:rFonts w:ascii="Times New Roman" w:hAnsi="Times New Roman" w:eastAsia="Times New Roman"/>
                <w:sz w:val="21"/>
              </w:rPr>
              <w:t>dl</w:t>
            </w:r>
            <w:r>
              <w:rPr>
                <w:rFonts w:ascii="Times New Roman" w:hAnsi="Times New Roman" w:eastAsia="Times New Roman"/>
                <w:spacing w:val="-2"/>
                <w:sz w:val="21"/>
              </w:rPr>
              <w:t xml:space="preserve"> </w:t>
            </w:r>
            <w:r>
              <w:rPr>
                <w:sz w:val="21"/>
              </w:rPr>
              <w:t>或</w:t>
            </w:r>
            <w:r>
              <w:rPr>
                <w:rFonts w:ascii="Times New Roman" w:hAnsi="Times New Roman" w:eastAsia="Times New Roman"/>
                <w:spacing w:val="-1"/>
                <w:sz w:val="21"/>
              </w:rPr>
              <w:t xml:space="preserve">&gt; </w:t>
            </w:r>
            <w:r>
              <w:rPr>
                <w:rFonts w:ascii="Times New Roman" w:hAnsi="Times New Roman" w:eastAsia="Times New Roman"/>
                <w:spacing w:val="-2"/>
                <w:sz w:val="21"/>
              </w:rPr>
              <w:t>102µmol/L</w:t>
            </w:r>
            <w:r>
              <w:rPr>
                <w:spacing w:val="-2"/>
                <w:sz w:val="21"/>
              </w:rPr>
              <w:t>；</w:t>
            </w:r>
          </w:p>
          <w:p>
            <w:pPr>
              <w:pStyle w:val="11"/>
              <w:numPr>
                <w:ilvl w:val="0"/>
                <w:numId w:val="76"/>
              </w:numPr>
              <w:tabs>
                <w:tab w:val="left" w:pos="634"/>
              </w:tabs>
              <w:spacing w:before="43" w:after="0" w:line="240" w:lineRule="auto"/>
              <w:ind w:left="633" w:right="0" w:hanging="528"/>
              <w:jc w:val="left"/>
              <w:rPr>
                <w:sz w:val="21"/>
              </w:rPr>
            </w:pPr>
            <w:r>
              <w:rPr>
                <w:spacing w:val="-4"/>
                <w:sz w:val="21"/>
              </w:rPr>
              <w:t>需要用强心剂；</w:t>
            </w:r>
          </w:p>
          <w:p>
            <w:pPr>
              <w:pStyle w:val="11"/>
              <w:numPr>
                <w:ilvl w:val="0"/>
                <w:numId w:val="76"/>
              </w:numPr>
              <w:tabs>
                <w:tab w:val="left" w:pos="634"/>
              </w:tabs>
              <w:spacing w:before="43" w:after="0" w:line="240" w:lineRule="auto"/>
              <w:ind w:left="633" w:right="0" w:hanging="528"/>
              <w:jc w:val="left"/>
              <w:rPr>
                <w:sz w:val="21"/>
              </w:rPr>
            </w:pPr>
            <w:r>
              <w:rPr>
                <w:spacing w:val="-2"/>
                <w:sz w:val="21"/>
              </w:rPr>
              <w:t>昏迷格拉斯哥昏迷评分（</w:t>
            </w:r>
            <w:r>
              <w:rPr>
                <w:rFonts w:ascii="Times New Roman" w:hAnsi="Times New Roman" w:eastAsia="Times New Roman"/>
                <w:spacing w:val="-2"/>
                <w:sz w:val="21"/>
              </w:rPr>
              <w:t>GCS</w:t>
            </w:r>
            <w:r>
              <w:rPr>
                <w:spacing w:val="-2"/>
                <w:sz w:val="21"/>
              </w:rPr>
              <w:t>）≤</w:t>
            </w:r>
            <w:r>
              <w:rPr>
                <w:rFonts w:ascii="Times New Roman" w:hAnsi="Times New Roman" w:eastAsia="Times New Roman"/>
                <w:spacing w:val="-2"/>
                <w:sz w:val="21"/>
              </w:rPr>
              <w:t>9</w:t>
            </w:r>
            <w:r>
              <w:rPr>
                <w:spacing w:val="-2"/>
                <w:sz w:val="21"/>
              </w:rPr>
              <w:t>；</w:t>
            </w:r>
          </w:p>
          <w:p>
            <w:pPr>
              <w:pStyle w:val="11"/>
              <w:numPr>
                <w:ilvl w:val="0"/>
                <w:numId w:val="76"/>
              </w:numPr>
              <w:tabs>
                <w:tab w:val="left" w:pos="634"/>
              </w:tabs>
              <w:spacing w:before="43" w:after="0" w:line="240" w:lineRule="auto"/>
              <w:ind w:left="633" w:right="-15" w:hanging="528"/>
              <w:jc w:val="left"/>
              <w:rPr>
                <w:sz w:val="21"/>
              </w:rPr>
            </w:pPr>
            <w:r>
              <w:rPr>
                <w:spacing w:val="-10"/>
                <w:sz w:val="21"/>
              </w:rPr>
              <w:t>肾功能衰竭，血清肌酐</w:t>
            </w:r>
            <w:r>
              <w:rPr>
                <w:rFonts w:ascii="Times New Roman" w:hAnsi="Times New Roman" w:eastAsia="Times New Roman"/>
                <w:sz w:val="21"/>
              </w:rPr>
              <w:t>&gt;300</w:t>
            </w:r>
            <w:r>
              <w:rPr>
                <w:sz w:val="21"/>
              </w:rPr>
              <w:t>μ</w:t>
            </w:r>
            <w:r>
              <w:rPr>
                <w:rFonts w:ascii="Times New Roman" w:hAnsi="Times New Roman" w:eastAsia="Times New Roman"/>
                <w:sz w:val="21"/>
              </w:rPr>
              <w:t xml:space="preserve">mol/ L </w:t>
            </w:r>
            <w:r>
              <w:rPr>
                <w:sz w:val="21"/>
              </w:rPr>
              <w:t>或</w:t>
            </w:r>
            <w:r>
              <w:rPr>
                <w:rFonts w:ascii="Times New Roman" w:hAnsi="Times New Roman" w:eastAsia="Times New Roman"/>
                <w:sz w:val="21"/>
              </w:rPr>
              <w:t>&gt;</w:t>
            </w:r>
            <w:r>
              <w:rPr>
                <w:spacing w:val="-15"/>
                <w:sz w:val="21"/>
              </w:rPr>
              <w:t xml:space="preserve">为 </w:t>
            </w:r>
            <w:r>
              <w:rPr>
                <w:rFonts w:ascii="Times New Roman" w:hAnsi="Times New Roman" w:eastAsia="Times New Roman"/>
                <w:sz w:val="21"/>
              </w:rPr>
              <w:t xml:space="preserve">3.5mg / dl </w:t>
            </w:r>
            <w:r>
              <w:rPr>
                <w:sz w:val="21"/>
              </w:rPr>
              <w:t>或尿量</w:t>
            </w:r>
            <w:r>
              <w:rPr>
                <w:rFonts w:ascii="Times New Roman" w:hAnsi="Times New Roman" w:eastAsia="Times New Roman"/>
                <w:spacing w:val="-2"/>
                <w:sz w:val="21"/>
              </w:rPr>
              <w:t>&lt;500ml/d</w:t>
            </w:r>
            <w:r>
              <w:rPr>
                <w:spacing w:val="-2"/>
                <w:sz w:val="21"/>
              </w:rPr>
              <w:t>；</w:t>
            </w:r>
          </w:p>
          <w:p>
            <w:pPr>
              <w:pStyle w:val="11"/>
              <w:numPr>
                <w:ilvl w:val="0"/>
                <w:numId w:val="76"/>
              </w:numPr>
              <w:tabs>
                <w:tab w:val="left" w:pos="634"/>
              </w:tabs>
              <w:spacing w:before="43" w:after="0" w:line="240" w:lineRule="auto"/>
              <w:ind w:left="633" w:right="0" w:hanging="528"/>
              <w:jc w:val="left"/>
              <w:rPr>
                <w:sz w:val="21"/>
              </w:rPr>
            </w:pPr>
            <w:r>
              <w:rPr>
                <w:spacing w:val="-3"/>
                <w:sz w:val="21"/>
              </w:rPr>
              <w:t>败血症有血液和影像学检查证实；</w:t>
            </w:r>
          </w:p>
          <w:p>
            <w:pPr>
              <w:pStyle w:val="11"/>
              <w:numPr>
                <w:ilvl w:val="0"/>
                <w:numId w:val="76"/>
              </w:numPr>
              <w:tabs>
                <w:tab w:val="left" w:pos="634"/>
              </w:tabs>
              <w:spacing w:before="43" w:after="0" w:line="240" w:lineRule="auto"/>
              <w:ind w:left="633" w:right="0" w:hanging="528"/>
              <w:jc w:val="left"/>
              <w:rPr>
                <w:sz w:val="21"/>
              </w:rPr>
            </w:pPr>
            <w:r>
              <w:rPr>
                <w:spacing w:val="-5"/>
                <w:sz w:val="21"/>
              </w:rPr>
              <w:t xml:space="preserve">住院重症监护病房最低 </w:t>
            </w:r>
            <w:r>
              <w:rPr>
                <w:rFonts w:ascii="Times New Roman" w:eastAsia="Times New Roman"/>
                <w:sz w:val="21"/>
              </w:rPr>
              <w:t>96</w:t>
            </w:r>
            <w:r>
              <w:rPr>
                <w:rFonts w:ascii="Times New Roman" w:eastAsia="Times New Roman"/>
                <w:spacing w:val="-5"/>
                <w:sz w:val="21"/>
              </w:rPr>
              <w:t xml:space="preserve"> </w:t>
            </w:r>
            <w:r>
              <w:rPr>
                <w:spacing w:val="-4"/>
                <w:sz w:val="21"/>
              </w:rPr>
              <w:t>小时；</w:t>
            </w:r>
          </w:p>
          <w:p>
            <w:pPr>
              <w:pStyle w:val="11"/>
              <w:numPr>
                <w:ilvl w:val="0"/>
                <w:numId w:val="76"/>
              </w:numPr>
              <w:tabs>
                <w:tab w:val="left" w:pos="634"/>
              </w:tabs>
              <w:spacing w:before="43" w:after="0" w:line="240" w:lineRule="auto"/>
              <w:ind w:left="633" w:right="0" w:hanging="528"/>
              <w:jc w:val="left"/>
              <w:rPr>
                <w:sz w:val="21"/>
              </w:rPr>
            </w:pPr>
            <w:r>
              <w:rPr>
                <w:spacing w:val="-5"/>
                <w:sz w:val="21"/>
              </w:rPr>
              <w:t xml:space="preserve">器官功能障碍维持至少 </w:t>
            </w:r>
            <w:r>
              <w:rPr>
                <w:rFonts w:ascii="Times New Roman" w:eastAsia="Times New Roman"/>
                <w:sz w:val="21"/>
              </w:rPr>
              <w:t>15</w:t>
            </w:r>
            <w:r>
              <w:rPr>
                <w:rFonts w:ascii="Times New Roman" w:eastAsia="Times New Roman"/>
                <w:spacing w:val="-3"/>
                <w:sz w:val="21"/>
              </w:rPr>
              <w:t xml:space="preserve"> </w:t>
            </w:r>
            <w:r>
              <w:rPr>
                <w:spacing w:val="-5"/>
                <w:sz w:val="21"/>
              </w:rPr>
              <w:t>天。</w:t>
            </w:r>
          </w:p>
          <w:p>
            <w:pPr>
              <w:pStyle w:val="11"/>
              <w:spacing w:before="43"/>
              <w:rPr>
                <w:sz w:val="21"/>
              </w:rPr>
            </w:pPr>
            <w:r>
              <w:rPr>
                <w:spacing w:val="-8"/>
                <w:sz w:val="21"/>
              </w:rPr>
              <w:t xml:space="preserve">败血症引起的 </w:t>
            </w:r>
            <w:r>
              <w:rPr>
                <w:rFonts w:ascii="Times New Roman" w:eastAsia="Times New Roman"/>
                <w:sz w:val="21"/>
              </w:rPr>
              <w:t>MODS</w:t>
            </w:r>
            <w:r>
              <w:rPr>
                <w:rFonts w:ascii="Times New Roman" w:eastAsia="Times New Roman"/>
                <w:spacing w:val="-10"/>
                <w:sz w:val="21"/>
              </w:rPr>
              <w:t xml:space="preserve"> </w:t>
            </w:r>
            <w:r>
              <w:rPr>
                <w:spacing w:val="-1"/>
                <w:sz w:val="21"/>
              </w:rPr>
              <w:t>的诊断应由专科医生证实。</w:t>
            </w:r>
          </w:p>
          <w:p>
            <w:pPr>
              <w:pStyle w:val="11"/>
              <w:spacing w:before="42"/>
              <w:rPr>
                <w:rFonts w:ascii="黑体" w:eastAsia="黑体"/>
                <w:sz w:val="21"/>
              </w:rPr>
            </w:pPr>
            <w:r>
              <w:rPr>
                <w:rFonts w:ascii="黑体" w:eastAsia="黑体"/>
                <w:color w:val="000000"/>
                <w:spacing w:val="-7"/>
                <w:sz w:val="21"/>
                <w:shd w:val="clear" w:color="auto" w:fill="DADADA"/>
              </w:rPr>
              <w:t xml:space="preserve">非败血症引起的 </w:t>
            </w:r>
            <w:r>
              <w:rPr>
                <w:rFonts w:ascii="Times New Roman" w:eastAsia="Times New Roman"/>
                <w:color w:val="000000"/>
                <w:sz w:val="21"/>
                <w:shd w:val="clear" w:color="auto" w:fill="DADADA"/>
              </w:rPr>
              <w:t>MODS</w:t>
            </w:r>
            <w:r>
              <w:rPr>
                <w:rFonts w:ascii="Times New Roman" w:eastAsia="Times New Roman"/>
                <w:color w:val="000000"/>
                <w:spacing w:val="-10"/>
                <w:sz w:val="21"/>
                <w:shd w:val="clear" w:color="auto" w:fill="DADADA"/>
              </w:rPr>
              <w:t xml:space="preserve"> </w:t>
            </w:r>
            <w:r>
              <w:rPr>
                <w:rFonts w:ascii="黑体" w:eastAsia="黑体"/>
                <w:color w:val="000000"/>
                <w:spacing w:val="-2"/>
                <w:sz w:val="21"/>
                <w:shd w:val="clear" w:color="auto" w:fill="DADADA"/>
              </w:rPr>
              <w:t>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957" w:type="dxa"/>
          </w:tcPr>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ind w:left="0"/>
              <w:rPr>
                <w:sz w:val="22"/>
              </w:rPr>
            </w:pPr>
          </w:p>
          <w:p>
            <w:pPr>
              <w:pStyle w:val="11"/>
              <w:spacing w:before="172" w:line="278" w:lineRule="auto"/>
              <w:ind w:left="107" w:right="88"/>
              <w:rPr>
                <w:sz w:val="21"/>
              </w:rPr>
            </w:pPr>
            <w:r>
              <w:rPr>
                <w:spacing w:val="-2"/>
                <w:sz w:val="21"/>
              </w:rPr>
              <w:t>七十七、器官移植</w:t>
            </w:r>
            <w:r>
              <w:rPr>
                <w:spacing w:val="-6"/>
                <w:sz w:val="21"/>
              </w:rPr>
              <w:t xml:space="preserve">导致的 </w:t>
            </w:r>
            <w:r>
              <w:rPr>
                <w:rFonts w:ascii="Times New Roman" w:eastAsia="Times New Roman"/>
                <w:sz w:val="21"/>
              </w:rPr>
              <w:t xml:space="preserve">HIV </w:t>
            </w:r>
            <w:r>
              <w:rPr>
                <w:sz w:val="21"/>
              </w:rPr>
              <w:t>感染</w:t>
            </w:r>
          </w:p>
        </w:tc>
        <w:tc>
          <w:tcPr>
            <w:tcW w:w="6986" w:type="dxa"/>
          </w:tcPr>
          <w:p>
            <w:pPr>
              <w:pStyle w:val="11"/>
              <w:spacing w:before="21" w:line="278" w:lineRule="auto"/>
              <w:ind w:right="96" w:hanging="1"/>
              <w:rPr>
                <w:sz w:val="21"/>
              </w:rPr>
            </w:pPr>
            <w:r>
              <w:rPr>
                <w:spacing w:val="-4"/>
                <w:sz w:val="21"/>
              </w:rPr>
              <w:t>指因进行器官移植而感染上人类免疫缺陷病毒</w:t>
            </w:r>
            <w:r>
              <w:rPr>
                <w:spacing w:val="14"/>
                <w:sz w:val="21"/>
              </w:rPr>
              <w:t>（</w:t>
            </w:r>
            <w:r>
              <w:rPr>
                <w:rFonts w:ascii="Times New Roman" w:eastAsia="Times New Roman"/>
                <w:spacing w:val="13"/>
                <w:w w:val="99"/>
                <w:sz w:val="21"/>
              </w:rPr>
              <w:t>HIV</w:t>
            </w:r>
            <w:r>
              <w:rPr>
                <w:spacing w:val="-91"/>
                <w:sz w:val="21"/>
              </w:rPr>
              <w:t>）</w:t>
            </w:r>
            <w:r>
              <w:rPr>
                <w:spacing w:val="-4"/>
                <w:sz w:val="21"/>
              </w:rPr>
              <w:t>，且须满足下列全部条件：</w:t>
            </w:r>
          </w:p>
          <w:p>
            <w:pPr>
              <w:pStyle w:val="11"/>
              <w:numPr>
                <w:ilvl w:val="0"/>
                <w:numId w:val="77"/>
              </w:numPr>
              <w:tabs>
                <w:tab w:val="left" w:pos="634"/>
              </w:tabs>
              <w:spacing w:before="0" w:after="0" w:line="278" w:lineRule="auto"/>
              <w:ind w:left="106" w:right="96" w:firstLine="0"/>
              <w:jc w:val="left"/>
              <w:rPr>
                <w:sz w:val="21"/>
              </w:rPr>
            </w:pPr>
            <w:r>
              <w:rPr>
                <w:spacing w:val="-2"/>
                <w:sz w:val="21"/>
              </w:rPr>
              <w:t>被保险人因治疗必需而实施器官移植，并且因器官移植而感染人类</w:t>
            </w:r>
            <w:r>
              <w:rPr>
                <w:spacing w:val="-4"/>
                <w:sz w:val="21"/>
              </w:rPr>
              <w:t>免疫缺陷病毒</w:t>
            </w:r>
            <w:r>
              <w:rPr>
                <w:sz w:val="21"/>
              </w:rPr>
              <w:t>（</w:t>
            </w:r>
            <w:r>
              <w:rPr>
                <w:rFonts w:ascii="Times New Roman" w:eastAsia="Times New Roman"/>
                <w:spacing w:val="-1"/>
                <w:w w:val="99"/>
                <w:sz w:val="21"/>
              </w:rPr>
              <w:t>HIV</w:t>
            </w:r>
            <w:r>
              <w:rPr>
                <w:spacing w:val="-105"/>
                <w:sz w:val="21"/>
              </w:rPr>
              <w:t>）；</w:t>
            </w:r>
          </w:p>
          <w:p>
            <w:pPr>
              <w:pStyle w:val="11"/>
              <w:numPr>
                <w:ilvl w:val="0"/>
                <w:numId w:val="77"/>
              </w:numPr>
              <w:tabs>
                <w:tab w:val="left" w:pos="634"/>
              </w:tabs>
              <w:spacing w:before="0" w:after="0" w:line="278" w:lineRule="auto"/>
              <w:ind w:left="106" w:right="96" w:firstLine="0"/>
              <w:jc w:val="left"/>
              <w:rPr>
                <w:sz w:val="21"/>
              </w:rPr>
            </w:pPr>
            <w:r>
              <w:rPr>
                <w:spacing w:val="-1"/>
                <w:sz w:val="21"/>
              </w:rPr>
              <w:t>提供器官移植治疗的器官移植中心或医院出具该项器官移植感染，</w:t>
            </w:r>
            <w:r>
              <w:rPr>
                <w:spacing w:val="-4"/>
                <w:sz w:val="21"/>
              </w:rPr>
              <w:t>属于医疗责任事故的报告，或者法院终审裁定为医疗责任并且不准上诉；</w:t>
            </w:r>
          </w:p>
          <w:p>
            <w:pPr>
              <w:pStyle w:val="11"/>
              <w:numPr>
                <w:ilvl w:val="0"/>
                <w:numId w:val="77"/>
              </w:numPr>
              <w:tabs>
                <w:tab w:val="left" w:pos="634"/>
              </w:tabs>
              <w:spacing w:before="0" w:after="0" w:line="278" w:lineRule="auto"/>
              <w:ind w:left="106" w:right="93" w:firstLine="0"/>
              <w:jc w:val="left"/>
              <w:rPr>
                <w:rFonts w:ascii="黑体" w:eastAsia="黑体"/>
                <w:sz w:val="21"/>
              </w:rPr>
            </w:pPr>
            <w:r>
              <w:rPr>
                <w:spacing w:val="-1"/>
                <w:sz w:val="21"/>
              </w:rPr>
              <w:t>提供器官移植治疗的器官移植中心或医院必须拥有合法经营执照。</w:t>
            </w:r>
            <w:r>
              <w:rPr>
                <w:rFonts w:ascii="黑体" w:eastAsia="黑体"/>
                <w:color w:val="000000"/>
                <w:spacing w:val="2"/>
                <w:sz w:val="21"/>
                <w:shd w:val="clear" w:color="auto" w:fill="DADADA"/>
              </w:rPr>
              <w:t>在任何治愈艾滋病或阻止人类免疫缺陷病毒</w:t>
            </w:r>
            <w:r>
              <w:rPr>
                <w:rFonts w:ascii="黑体" w:eastAsia="黑体"/>
                <w:color w:val="000000"/>
                <w:spacing w:val="5"/>
                <w:sz w:val="21"/>
                <w:shd w:val="clear" w:color="auto" w:fill="DADADA"/>
              </w:rPr>
              <w:t>（</w:t>
            </w:r>
            <w:r>
              <w:rPr>
                <w:rFonts w:ascii="Times New Roman" w:eastAsia="Times New Roman"/>
                <w:color w:val="000000"/>
                <w:spacing w:val="-2"/>
                <w:w w:val="99"/>
                <w:sz w:val="21"/>
                <w:shd w:val="clear" w:color="auto" w:fill="DADADA"/>
              </w:rPr>
              <w:t>H</w:t>
            </w:r>
            <w:r>
              <w:rPr>
                <w:rFonts w:ascii="Times New Roman" w:eastAsia="Times New Roman"/>
                <w:color w:val="000000"/>
                <w:spacing w:val="-1"/>
                <w:w w:val="99"/>
                <w:sz w:val="21"/>
                <w:shd w:val="clear" w:color="auto" w:fill="DADADA"/>
              </w:rPr>
              <w:t>I</w:t>
            </w:r>
            <w:r>
              <w:rPr>
                <w:rFonts w:ascii="Times New Roman" w:eastAsia="Times New Roman"/>
                <w:color w:val="000000"/>
                <w:spacing w:val="3"/>
                <w:w w:val="99"/>
                <w:sz w:val="21"/>
                <w:shd w:val="clear" w:color="auto" w:fill="DADADA"/>
              </w:rPr>
              <w:t>V</w:t>
            </w:r>
            <w:r>
              <w:rPr>
                <w:rFonts w:ascii="黑体" w:eastAsia="黑体"/>
                <w:color w:val="000000"/>
                <w:spacing w:val="3"/>
                <w:sz w:val="21"/>
                <w:shd w:val="clear" w:color="auto" w:fill="DADADA"/>
              </w:rPr>
              <w:t>）</w:t>
            </w:r>
            <w:r>
              <w:rPr>
                <w:rFonts w:ascii="黑体" w:eastAsia="黑体"/>
                <w:color w:val="000000"/>
                <w:spacing w:val="2"/>
                <w:sz w:val="21"/>
                <w:shd w:val="clear" w:color="auto" w:fill="DADADA"/>
              </w:rPr>
              <w:t>病毒作用的疗法被发</w:t>
            </w:r>
            <w:r>
              <w:rPr>
                <w:rFonts w:ascii="黑体" w:eastAsia="黑体"/>
                <w:color w:val="000000"/>
                <w:spacing w:val="3"/>
                <w:sz w:val="21"/>
                <w:shd w:val="clear" w:color="auto" w:fill="DADADA"/>
              </w:rPr>
              <w:t xml:space="preserve">                                                                                                                          </w:t>
            </w:r>
            <w:r>
              <w:rPr>
                <w:rFonts w:ascii="黑体" w:eastAsia="黑体"/>
                <w:color w:val="000000"/>
                <w:spacing w:val="1"/>
                <w:sz w:val="21"/>
                <w:shd w:val="clear" w:color="auto" w:fill="DADADA"/>
              </w:rPr>
              <w:t>现以后，或能防止艾滋病发生的医疗方法被研究出来以后，本保障将不再</w:t>
            </w:r>
            <w:r>
              <w:rPr>
                <w:rFonts w:ascii="黑体" w:eastAsia="黑体"/>
                <w:color w:val="000000"/>
                <w:sz w:val="21"/>
                <w:shd w:val="clear" w:color="auto" w:fill="DADADA"/>
              </w:rPr>
              <w:t>予以赔付。</w:t>
            </w:r>
          </w:p>
          <w:p>
            <w:pPr>
              <w:pStyle w:val="11"/>
              <w:spacing w:line="268" w:lineRule="exact"/>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11"/>
              <w:spacing w:before="43"/>
              <w:rPr>
                <w:rFonts w:ascii="黑体" w:hAnsi="黑体" w:eastAsia="黑体"/>
                <w:sz w:val="21"/>
              </w:rPr>
            </w:pPr>
            <w:r>
              <w:rPr>
                <w:rFonts w:ascii="黑体" w:hAnsi="黑体" w:eastAsia="黑体"/>
                <w:spacing w:val="-1"/>
                <w:sz w:val="21"/>
              </w:rPr>
              <w:t>或患艾滋病”的限制。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spacing w:before="11"/>
              <w:ind w:left="0"/>
              <w:rPr>
                <w:sz w:val="25"/>
              </w:rPr>
            </w:pPr>
          </w:p>
          <w:p>
            <w:pPr>
              <w:pStyle w:val="11"/>
              <w:spacing w:before="1"/>
              <w:ind w:left="107"/>
              <w:rPr>
                <w:sz w:val="21"/>
              </w:rPr>
            </w:pPr>
            <w:r>
              <w:rPr>
                <w:spacing w:val="-2"/>
                <w:sz w:val="21"/>
              </w:rPr>
              <w:t>七十八、脑型疟疾</w:t>
            </w:r>
          </w:p>
        </w:tc>
        <w:tc>
          <w:tcPr>
            <w:tcW w:w="6986" w:type="dxa"/>
          </w:tcPr>
          <w:p>
            <w:pPr>
              <w:pStyle w:val="11"/>
              <w:spacing w:before="20" w:line="278" w:lineRule="auto"/>
              <w:ind w:right="93"/>
              <w:rPr>
                <w:sz w:val="21"/>
              </w:rPr>
            </w:pPr>
            <w:r>
              <w:rPr>
                <w:spacing w:val="-2"/>
                <w:sz w:val="21"/>
              </w:rPr>
              <w:t>恶性疟原虫严重感染导致的脑病或脑型疟疾，以昏迷为主要特征。脑型疟疾的诊断须由注册医生确认，且外周血涂片存在恶性疟原虫。</w:t>
            </w:r>
          </w:p>
          <w:p>
            <w:pPr>
              <w:pStyle w:val="11"/>
              <w:rPr>
                <w:rFonts w:ascii="黑体" w:eastAsia="黑体"/>
                <w:sz w:val="21"/>
              </w:rPr>
            </w:pPr>
            <w:r>
              <w:rPr>
                <w:rFonts w:ascii="黑体" w:eastAsia="黑体"/>
                <w:color w:val="000000"/>
                <w:spacing w:val="-1"/>
                <w:sz w:val="21"/>
                <w:shd w:val="clear" w:color="auto" w:fill="DADADA"/>
              </w:rPr>
              <w:t>其他明确病因导致的脑病不在保障范围内。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107" w:right="88"/>
              <w:rPr>
                <w:sz w:val="21"/>
              </w:rPr>
            </w:pPr>
            <w:r>
              <w:rPr>
                <w:spacing w:val="-2"/>
                <w:sz w:val="21"/>
              </w:rPr>
              <w:t>七十九、艾森门格</w:t>
            </w:r>
            <w:r>
              <w:rPr>
                <w:spacing w:val="-4"/>
                <w:sz w:val="21"/>
              </w:rPr>
              <w:t>综合征</w:t>
            </w:r>
          </w:p>
        </w:tc>
        <w:tc>
          <w:tcPr>
            <w:tcW w:w="6986" w:type="dxa"/>
          </w:tcPr>
          <w:p>
            <w:pPr>
              <w:pStyle w:val="11"/>
              <w:spacing w:before="20" w:line="278" w:lineRule="auto"/>
              <w:ind w:right="93"/>
              <w:rPr>
                <w:sz w:val="21"/>
              </w:rPr>
            </w:pPr>
            <w:r>
              <w:rPr>
                <w:spacing w:val="-2"/>
                <w:sz w:val="21"/>
              </w:rPr>
              <w:t>因心脏病导致的严重肺动脉高压及右向左分流。诊断必须由心脏专科医生经超声心动图和心导管检查证实及需符合以下所有标准：</w:t>
            </w:r>
          </w:p>
          <w:p>
            <w:pPr>
              <w:pStyle w:val="11"/>
              <w:numPr>
                <w:ilvl w:val="0"/>
                <w:numId w:val="78"/>
              </w:numPr>
              <w:tabs>
                <w:tab w:val="left" w:pos="634"/>
              </w:tabs>
              <w:spacing w:before="0" w:after="0" w:line="240" w:lineRule="auto"/>
              <w:ind w:left="633" w:right="0" w:hanging="528"/>
              <w:jc w:val="left"/>
              <w:rPr>
                <w:sz w:val="21"/>
              </w:rPr>
            </w:pPr>
            <w:r>
              <w:rPr>
                <w:spacing w:val="-7"/>
                <w:sz w:val="21"/>
              </w:rPr>
              <w:t xml:space="preserve">平均肺动脉压高于 </w:t>
            </w:r>
            <w:r>
              <w:rPr>
                <w:rFonts w:ascii="Times New Roman" w:eastAsia="Times New Roman"/>
                <w:spacing w:val="-2"/>
                <w:sz w:val="21"/>
              </w:rPr>
              <w:t>40mmHg</w:t>
            </w:r>
            <w:r>
              <w:rPr>
                <w:spacing w:val="-2"/>
                <w:sz w:val="21"/>
              </w:rPr>
              <w:t>；</w:t>
            </w:r>
          </w:p>
          <w:p>
            <w:pPr>
              <w:pStyle w:val="11"/>
              <w:numPr>
                <w:ilvl w:val="0"/>
                <w:numId w:val="78"/>
              </w:numPr>
              <w:tabs>
                <w:tab w:val="left" w:pos="634"/>
              </w:tabs>
              <w:spacing w:before="43" w:after="0" w:line="240" w:lineRule="auto"/>
              <w:ind w:left="633" w:right="0" w:hanging="528"/>
              <w:jc w:val="left"/>
              <w:rPr>
                <w:sz w:val="21"/>
              </w:rPr>
            </w:pPr>
            <w:r>
              <w:rPr>
                <w:spacing w:val="-8"/>
                <w:sz w:val="21"/>
              </w:rPr>
              <w:t xml:space="preserve">肺血管阻力高于 </w:t>
            </w:r>
            <w:r>
              <w:rPr>
                <w:rFonts w:ascii="Times New Roman" w:eastAsia="Times New Roman"/>
                <w:spacing w:val="-2"/>
                <w:sz w:val="21"/>
              </w:rPr>
              <w:t>3mm/L/min</w:t>
            </w:r>
            <w:r>
              <w:rPr>
                <w:spacing w:val="-2"/>
                <w:sz w:val="21"/>
              </w:rPr>
              <w:t>（</w:t>
            </w:r>
            <w:r>
              <w:rPr>
                <w:rFonts w:ascii="Times New Roman" w:eastAsia="Times New Roman"/>
                <w:spacing w:val="-2"/>
                <w:sz w:val="21"/>
              </w:rPr>
              <w:t>Wood</w:t>
            </w:r>
            <w:r>
              <w:rPr>
                <w:rFonts w:ascii="Times New Roman" w:eastAsia="Times New Roman"/>
                <w:spacing w:val="11"/>
                <w:sz w:val="21"/>
              </w:rPr>
              <w:t xml:space="preserve"> </w:t>
            </w:r>
            <w:r>
              <w:rPr>
                <w:spacing w:val="-2"/>
                <w:sz w:val="21"/>
              </w:rPr>
              <w:t>单位</w:t>
            </w:r>
            <w:r>
              <w:rPr>
                <w:spacing w:val="-110"/>
                <w:sz w:val="21"/>
              </w:rPr>
              <w:t>）</w:t>
            </w:r>
            <w:r>
              <w:rPr>
                <w:spacing w:val="-5"/>
                <w:sz w:val="21"/>
              </w:rPr>
              <w:t>；</w:t>
            </w:r>
          </w:p>
          <w:p>
            <w:pPr>
              <w:pStyle w:val="11"/>
              <w:numPr>
                <w:ilvl w:val="0"/>
                <w:numId w:val="78"/>
              </w:numPr>
              <w:tabs>
                <w:tab w:val="left" w:pos="634"/>
              </w:tabs>
              <w:spacing w:before="43" w:after="0" w:line="240" w:lineRule="auto"/>
              <w:ind w:left="633" w:right="0" w:hanging="528"/>
              <w:jc w:val="left"/>
              <w:rPr>
                <w:sz w:val="21"/>
              </w:rPr>
            </w:pPr>
            <w:r>
              <w:rPr>
                <w:w w:val="95"/>
                <w:sz w:val="21"/>
              </w:rPr>
              <w:t>正常肺微血管楔压低于</w:t>
            </w:r>
            <w:r>
              <w:rPr>
                <w:spacing w:val="31"/>
                <w:w w:val="150"/>
                <w:sz w:val="21"/>
              </w:rPr>
              <w:t xml:space="preserve"> </w:t>
            </w:r>
            <w:r>
              <w:rPr>
                <w:rFonts w:ascii="Times New Roman" w:eastAsia="Times New Roman"/>
                <w:w w:val="95"/>
                <w:sz w:val="21"/>
              </w:rPr>
              <w:t>15mmHg</w:t>
            </w:r>
            <w:r>
              <w:rPr>
                <w:spacing w:val="-10"/>
                <w:w w:val="95"/>
                <w:sz w:val="21"/>
              </w:rPr>
              <w:t>。</w:t>
            </w:r>
          </w:p>
          <w:p>
            <w:pPr>
              <w:pStyle w:val="11"/>
              <w:spacing w:before="42"/>
              <w:rPr>
                <w:rFonts w:ascii="黑体" w:eastAsia="黑体"/>
                <w:sz w:val="21"/>
              </w:rPr>
            </w:pPr>
            <w:r>
              <w:rPr>
                <w:rFonts w:ascii="黑体" w:eastAsia="黑体"/>
                <w:color w:val="000000"/>
                <w:spacing w:val="-1"/>
                <w:sz w:val="21"/>
                <w:shd w:val="clear" w:color="auto" w:fill="DADADA"/>
              </w:rPr>
              <w:t>先天性心脏病所致的艾森门格综合征不在保障范围内。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ind w:left="0"/>
              <w:rPr>
                <w:sz w:val="26"/>
              </w:rPr>
            </w:pPr>
          </w:p>
          <w:p>
            <w:pPr>
              <w:pStyle w:val="11"/>
              <w:ind w:left="107"/>
              <w:rPr>
                <w:sz w:val="21"/>
              </w:rPr>
            </w:pPr>
            <w:r>
              <w:rPr>
                <w:spacing w:val="-2"/>
                <w:sz w:val="21"/>
              </w:rPr>
              <w:t>八十、库鲁病</w:t>
            </w:r>
          </w:p>
        </w:tc>
        <w:tc>
          <w:tcPr>
            <w:tcW w:w="6986" w:type="dxa"/>
          </w:tcPr>
          <w:p>
            <w:pPr>
              <w:pStyle w:val="11"/>
              <w:spacing w:before="21" w:line="278" w:lineRule="auto"/>
              <w:ind w:right="-15"/>
              <w:rPr>
                <w:sz w:val="21"/>
              </w:rPr>
            </w:pPr>
            <w:r>
              <w:rPr>
                <w:spacing w:val="-2"/>
                <w:sz w:val="21"/>
              </w:rPr>
              <w:t>指一种亚急性传染性朊蛋白病。临床表现为共济失调、震颤、不自主运动，在病程晚期出现进行性加重的痴呆，神经异常。该病必须由权威医疗机构</w:t>
            </w:r>
          </w:p>
          <w:p>
            <w:pPr>
              <w:pStyle w:val="11"/>
              <w:rPr>
                <w:sz w:val="21"/>
              </w:rPr>
            </w:pPr>
            <w:r>
              <w:rPr>
                <w:spacing w:val="-1"/>
                <w:sz w:val="21"/>
              </w:rPr>
              <w:t>根据致病蛋白的发现而明确诊断。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5"/>
              <w:ind w:left="0"/>
              <w:rPr>
                <w:sz w:val="22"/>
              </w:rPr>
            </w:pPr>
          </w:p>
          <w:p>
            <w:pPr>
              <w:pStyle w:val="11"/>
              <w:spacing w:before="1"/>
              <w:ind w:left="107"/>
              <w:rPr>
                <w:sz w:val="21"/>
              </w:rPr>
            </w:pPr>
            <w:r>
              <w:rPr>
                <w:spacing w:val="-2"/>
                <w:sz w:val="21"/>
              </w:rPr>
              <w:t>八十一、脊柱裂</w:t>
            </w:r>
          </w:p>
        </w:tc>
        <w:tc>
          <w:tcPr>
            <w:tcW w:w="6986" w:type="dxa"/>
          </w:tcPr>
          <w:p>
            <w:pPr>
              <w:pStyle w:val="11"/>
              <w:spacing w:before="20" w:line="278" w:lineRule="auto"/>
              <w:ind w:right="-15"/>
              <w:rPr>
                <w:rFonts w:ascii="黑体" w:eastAsia="黑体"/>
                <w:sz w:val="21"/>
              </w:rPr>
            </w:pPr>
            <w:r>
              <w:rPr>
                <w:spacing w:val="-4"/>
                <w:sz w:val="21"/>
              </w:rPr>
              <w:t>指脊椎或颅骨不完全闭合，导致脊髓脊膜突出，脑</w:t>
            </w:r>
            <w:r>
              <w:rPr>
                <w:sz w:val="21"/>
              </w:rPr>
              <w:t>（脊</w:t>
            </w:r>
            <w:r>
              <w:rPr>
                <w:spacing w:val="-14"/>
                <w:sz w:val="21"/>
              </w:rPr>
              <w:t>）</w:t>
            </w:r>
            <w:r>
              <w:rPr>
                <w:spacing w:val="-1"/>
                <w:sz w:val="21"/>
              </w:rPr>
              <w:t>膜突出或脑膨出，合并大小便失禁，部分或完全性下肢瘫痪或畸形等神经学上的异常，</w:t>
            </w:r>
            <w:r>
              <w:rPr>
                <w:rFonts w:ascii="黑体" w:eastAsia="黑体"/>
                <w:color w:val="000000"/>
                <w:spacing w:val="1"/>
                <w:sz w:val="21"/>
                <w:shd w:val="clear" w:color="auto" w:fill="DADADA"/>
              </w:rPr>
              <w:t xml:space="preserve">由 </w:t>
            </w:r>
            <w:r>
              <w:rPr>
                <w:rFonts w:ascii="Times New Roman" w:eastAsia="Times New Roman"/>
                <w:color w:val="000000"/>
                <w:w w:val="99"/>
                <w:sz w:val="21"/>
                <w:shd w:val="clear" w:color="auto" w:fill="DADADA"/>
              </w:rPr>
              <w:t xml:space="preserve">X                                                                                                                                                                                                                                                               </w:t>
            </w:r>
            <w:r>
              <w:rPr>
                <w:rFonts w:ascii="黑体" w:eastAsia="黑体"/>
                <w:color w:val="000000"/>
                <w:spacing w:val="1"/>
                <w:sz w:val="21"/>
                <w:shd w:val="clear" w:color="auto" w:fill="DADADA"/>
              </w:rPr>
              <w:t>线摄片发现的没有合并脊椎脊膜突出或脑</w:t>
            </w:r>
            <w:r>
              <w:rPr>
                <w:rFonts w:ascii="黑体" w:eastAsia="黑体"/>
                <w:color w:val="000000"/>
                <w:spacing w:val="2"/>
                <w:sz w:val="21"/>
                <w:shd w:val="clear" w:color="auto" w:fill="DADADA"/>
              </w:rPr>
              <w:t>（</w:t>
            </w:r>
            <w:r>
              <w:rPr>
                <w:rFonts w:ascii="黑体" w:eastAsia="黑体"/>
                <w:color w:val="000000"/>
                <w:spacing w:val="1"/>
                <w:sz w:val="21"/>
                <w:shd w:val="clear" w:color="auto" w:fill="DADADA"/>
              </w:rPr>
              <w:t>脊</w:t>
            </w:r>
            <w:r>
              <w:rPr>
                <w:rFonts w:ascii="黑体" w:eastAsia="黑体"/>
                <w:color w:val="000000"/>
                <w:spacing w:val="2"/>
                <w:sz w:val="21"/>
                <w:shd w:val="clear" w:color="auto" w:fill="DADADA"/>
              </w:rPr>
              <w:t>）</w:t>
            </w:r>
            <w:r>
              <w:rPr>
                <w:rFonts w:ascii="黑体" w:eastAsia="黑体"/>
                <w:color w:val="000000"/>
                <w:spacing w:val="1"/>
                <w:sz w:val="21"/>
                <w:shd w:val="clear" w:color="auto" w:fill="DADADA"/>
              </w:rPr>
              <w:t>膜突出的隐形脊椎裂不在</w:t>
            </w:r>
            <w:r>
              <w:rPr>
                <w:rFonts w:ascii="黑体" w:eastAsia="黑体"/>
                <w:color w:val="000000"/>
                <w:sz w:val="21"/>
                <w:shd w:val="clear" w:color="auto" w:fill="DADADA"/>
              </w:rPr>
              <w:t>保障范围内。</w:t>
            </w:r>
          </w:p>
          <w:p>
            <w:pPr>
              <w:pStyle w:val="11"/>
              <w:spacing w:line="269" w:lineRule="exact"/>
              <w:ind w:right="-15"/>
              <w:rPr>
                <w:rFonts w:ascii="黑体" w:hAnsi="黑体" w:eastAsia="黑体"/>
                <w:sz w:val="21"/>
              </w:rPr>
            </w:pPr>
            <w:r>
              <w:rPr>
                <w:rFonts w:ascii="黑体" w:hAnsi="黑体" w:eastAsia="黑体"/>
                <w:spacing w:val="-3"/>
                <w:sz w:val="21"/>
              </w:rPr>
              <w:t>我们承担本项疾病责任不受本合同责任免除中“遗传性疾病，先天性畸形、</w:t>
            </w:r>
          </w:p>
          <w:p>
            <w:pPr>
              <w:pStyle w:val="11"/>
              <w:spacing w:before="43"/>
              <w:rPr>
                <w:rFonts w:ascii="黑体" w:hAnsi="黑体" w:eastAsia="黑体"/>
                <w:sz w:val="21"/>
              </w:rPr>
            </w:pPr>
            <w:r>
              <w:rPr>
                <w:rFonts w:ascii="黑体" w:hAnsi="黑体" w:eastAsia="黑体"/>
                <w:spacing w:val="-1"/>
                <w:sz w:val="21"/>
              </w:rPr>
              <w:t>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八十二、范可尼综</w:t>
            </w:r>
            <w:r>
              <w:rPr>
                <w:spacing w:val="-6"/>
                <w:sz w:val="21"/>
              </w:rPr>
              <w:t>合征</w:t>
            </w:r>
          </w:p>
        </w:tc>
        <w:tc>
          <w:tcPr>
            <w:tcW w:w="6986" w:type="dxa"/>
          </w:tcPr>
          <w:p>
            <w:pPr>
              <w:pStyle w:val="11"/>
              <w:spacing w:before="20"/>
              <w:rPr>
                <w:sz w:val="21"/>
              </w:rPr>
            </w:pPr>
            <w:r>
              <w:rPr>
                <w:spacing w:val="-1"/>
                <w:sz w:val="21"/>
              </w:rPr>
              <w:t>指近端肾小管的功能异常引起的一组症候群。须满足下列至少两个条件：</w:t>
            </w:r>
          </w:p>
          <w:p>
            <w:pPr>
              <w:pStyle w:val="11"/>
              <w:numPr>
                <w:ilvl w:val="0"/>
                <w:numId w:val="79"/>
              </w:numPr>
              <w:tabs>
                <w:tab w:val="left" w:pos="738"/>
              </w:tabs>
              <w:spacing w:before="43" w:after="0" w:line="240" w:lineRule="auto"/>
              <w:ind w:left="738" w:right="0" w:hanging="632"/>
              <w:jc w:val="left"/>
              <w:rPr>
                <w:sz w:val="21"/>
              </w:rPr>
            </w:pPr>
            <w:r>
              <w:rPr>
                <w:spacing w:val="-3"/>
                <w:sz w:val="21"/>
              </w:rPr>
              <w:t>尿液检查出现肾性糖尿、全氨基酸糖尿或磷酸盐尿；</w:t>
            </w:r>
          </w:p>
          <w:p>
            <w:pPr>
              <w:pStyle w:val="11"/>
              <w:numPr>
                <w:ilvl w:val="0"/>
                <w:numId w:val="79"/>
              </w:numPr>
              <w:tabs>
                <w:tab w:val="left" w:pos="634"/>
              </w:tabs>
              <w:spacing w:before="43" w:after="0" w:line="240" w:lineRule="auto"/>
              <w:ind w:left="633" w:right="0" w:hanging="528"/>
              <w:jc w:val="left"/>
              <w:rPr>
                <w:sz w:val="21"/>
              </w:rPr>
            </w:pPr>
            <w:r>
              <w:rPr>
                <w:spacing w:val="-3"/>
                <w:sz w:val="21"/>
              </w:rPr>
              <w:t>血液检查出现低磷血症、低尿酸血症或近端肾小管酸中毒；</w:t>
            </w:r>
          </w:p>
          <w:p>
            <w:pPr>
              <w:pStyle w:val="11"/>
              <w:numPr>
                <w:ilvl w:val="0"/>
                <w:numId w:val="79"/>
              </w:numPr>
              <w:tabs>
                <w:tab w:val="left" w:pos="634"/>
              </w:tabs>
              <w:spacing w:before="43" w:after="0" w:line="240" w:lineRule="auto"/>
              <w:ind w:left="633" w:right="0" w:hanging="528"/>
              <w:jc w:val="left"/>
              <w:rPr>
                <w:sz w:val="21"/>
              </w:rPr>
            </w:pPr>
            <w:r>
              <w:rPr>
                <w:spacing w:val="-3"/>
                <w:sz w:val="21"/>
              </w:rPr>
              <w:t>出现骨质疏松、骨骼畸形或尿路结石；</w:t>
            </w:r>
          </w:p>
          <w:p>
            <w:pPr>
              <w:pStyle w:val="11"/>
              <w:numPr>
                <w:ilvl w:val="0"/>
                <w:numId w:val="79"/>
              </w:numPr>
              <w:tabs>
                <w:tab w:val="left" w:pos="634"/>
              </w:tabs>
              <w:spacing w:before="43" w:after="0" w:line="240" w:lineRule="auto"/>
              <w:ind w:left="633" w:right="0" w:hanging="528"/>
              <w:jc w:val="left"/>
              <w:rPr>
                <w:sz w:val="21"/>
              </w:rPr>
            </w:pPr>
            <w:r>
              <w:rPr>
                <w:spacing w:val="-3"/>
                <w:sz w:val="21"/>
              </w:rPr>
              <w:t>通过骨髓片、白细胞、直肠黏膜中的结晶分析或裂隙灯检查角膜有胱</w:t>
            </w:r>
          </w:p>
        </w:tc>
      </w:tr>
    </w:tbl>
    <w:p>
      <w:pPr>
        <w:spacing w:after="0" w:line="240" w:lineRule="auto"/>
        <w:jc w:val="left"/>
        <w:rPr>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57" w:type="dxa"/>
          </w:tcPr>
          <w:p>
            <w:pPr>
              <w:pStyle w:val="11"/>
              <w:ind w:left="0"/>
              <w:rPr>
                <w:rFonts w:ascii="Times New Roman"/>
                <w:sz w:val="20"/>
              </w:rPr>
            </w:pPr>
          </w:p>
        </w:tc>
        <w:tc>
          <w:tcPr>
            <w:tcW w:w="6986" w:type="dxa"/>
          </w:tcPr>
          <w:p>
            <w:pPr>
              <w:pStyle w:val="11"/>
              <w:spacing w:before="20"/>
              <w:rPr>
                <w:sz w:val="21"/>
              </w:rPr>
            </w:pPr>
            <w:r>
              <w:rPr>
                <w:spacing w:val="-2"/>
                <w:sz w:val="21"/>
              </w:rPr>
              <w:t>氨酸结晶。</w:t>
            </w:r>
          </w:p>
          <w:p>
            <w:pPr>
              <w:pStyle w:val="11"/>
              <w:spacing w:before="43"/>
              <w:rPr>
                <w:rFonts w:ascii="黑体" w:eastAsia="黑体"/>
                <w:sz w:val="21"/>
              </w:rPr>
            </w:pPr>
            <w:r>
              <w:rPr>
                <w:rFonts w:ascii="黑体" w:eastAsia="黑体"/>
                <w:color w:val="000000"/>
                <w:spacing w:val="-1"/>
                <w:sz w:val="21"/>
                <w:shd w:val="clear" w:color="auto" w:fill="DADADA"/>
              </w:rPr>
              <w:t>被保险人在三周岁之前发生该疾病，我们不承担保险责任。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957"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5"/>
              <w:ind w:left="0"/>
              <w:rPr>
                <w:sz w:val="23"/>
              </w:rPr>
            </w:pPr>
          </w:p>
          <w:p>
            <w:pPr>
              <w:pStyle w:val="11"/>
              <w:spacing w:line="278" w:lineRule="auto"/>
              <w:ind w:left="107" w:right="88"/>
              <w:rPr>
                <w:sz w:val="21"/>
              </w:rPr>
            </w:pPr>
            <w:r>
              <w:rPr>
                <w:spacing w:val="-2"/>
                <w:sz w:val="21"/>
              </w:rPr>
              <w:t>八十三、疾病或外伤所致智力障碍</w:t>
            </w:r>
          </w:p>
        </w:tc>
        <w:tc>
          <w:tcPr>
            <w:tcW w:w="6986" w:type="dxa"/>
          </w:tcPr>
          <w:p>
            <w:pPr>
              <w:pStyle w:val="11"/>
              <w:spacing w:before="21"/>
              <w:rPr>
                <w:sz w:val="21"/>
              </w:rPr>
            </w:pPr>
            <w:r>
              <w:rPr>
                <w:spacing w:val="-2"/>
                <w:sz w:val="21"/>
              </w:rPr>
              <w:t>因严重头部创伤或疾病造成被保险人智力低常（智力低于常态</w:t>
            </w:r>
            <w:r>
              <w:rPr>
                <w:spacing w:val="-105"/>
                <w:sz w:val="21"/>
              </w:rPr>
              <w:t>）</w:t>
            </w:r>
            <w:r>
              <w:rPr>
                <w:spacing w:val="-4"/>
                <w:sz w:val="21"/>
              </w:rPr>
              <w:t>。根据智商</w:t>
            </w:r>
          </w:p>
          <w:p>
            <w:pPr>
              <w:pStyle w:val="11"/>
              <w:spacing w:before="43" w:line="278" w:lineRule="auto"/>
              <w:ind w:right="93"/>
              <w:jc w:val="both"/>
              <w:rPr>
                <w:sz w:val="21"/>
              </w:rPr>
            </w:pPr>
            <w:r>
              <w:rPr>
                <w:spacing w:val="15"/>
                <w:sz w:val="21"/>
              </w:rPr>
              <w:t>（</w:t>
            </w:r>
            <w:r>
              <w:rPr>
                <w:rFonts w:ascii="Times New Roman" w:eastAsia="Times New Roman"/>
                <w:spacing w:val="14"/>
                <w:w w:val="99"/>
                <w:sz w:val="21"/>
              </w:rPr>
              <w:t>IQ</w:t>
            </w:r>
            <w:r>
              <w:rPr>
                <w:spacing w:val="-90"/>
                <w:sz w:val="21"/>
              </w:rPr>
              <w:t>）</w:t>
            </w:r>
            <w:r>
              <w:rPr>
                <w:spacing w:val="-18"/>
                <w:sz w:val="21"/>
              </w:rPr>
              <w:t>，智力低常分为中度</w:t>
            </w:r>
            <w:r>
              <w:rPr>
                <w:spacing w:val="-14"/>
                <w:sz w:val="21"/>
              </w:rPr>
              <w:t>（</w:t>
            </w:r>
            <w:r>
              <w:rPr>
                <w:rFonts w:ascii="Times New Roman" w:eastAsia="Times New Roman"/>
                <w:spacing w:val="-14"/>
                <w:sz w:val="21"/>
              </w:rPr>
              <w:t>IQ35-</w:t>
            </w:r>
            <w:r>
              <w:rPr>
                <w:rFonts w:ascii="Times New Roman" w:eastAsia="Times New Roman"/>
                <w:spacing w:val="21"/>
                <w:sz w:val="21"/>
              </w:rPr>
              <w:t>5</w:t>
            </w:r>
            <w:r>
              <w:rPr>
                <w:rFonts w:ascii="Times New Roman" w:eastAsia="Times New Roman"/>
                <w:spacing w:val="20"/>
                <w:sz w:val="21"/>
              </w:rPr>
              <w:t>0</w:t>
            </w:r>
            <w:r>
              <w:rPr>
                <w:spacing w:val="-85"/>
                <w:sz w:val="21"/>
              </w:rPr>
              <w:t>）</w:t>
            </w:r>
            <w:r>
              <w:rPr>
                <w:spacing w:val="-14"/>
                <w:sz w:val="21"/>
              </w:rPr>
              <w:t>、重度（</w:t>
            </w:r>
            <w:r>
              <w:rPr>
                <w:rFonts w:ascii="Times New Roman" w:eastAsia="Times New Roman"/>
                <w:spacing w:val="-14"/>
                <w:sz w:val="21"/>
              </w:rPr>
              <w:t>IQ20-35</w:t>
            </w:r>
            <w:r>
              <w:rPr>
                <w:spacing w:val="-14"/>
                <w:sz w:val="21"/>
              </w:rPr>
              <w:t>）和极重度</w:t>
            </w:r>
            <w:r>
              <w:rPr>
                <w:sz w:val="21"/>
              </w:rPr>
              <w:t>（</w:t>
            </w:r>
            <w:r>
              <w:rPr>
                <w:rFonts w:ascii="Times New Roman" w:eastAsia="Times New Roman"/>
                <w:w w:val="99"/>
                <w:sz w:val="21"/>
              </w:rPr>
              <w:t>IQ</w:t>
            </w:r>
            <w:r>
              <w:rPr>
                <w:rFonts w:ascii="Times New Roman" w:eastAsia="Times New Roman"/>
                <w:spacing w:val="1"/>
                <w:w w:val="99"/>
                <w:sz w:val="21"/>
              </w:rPr>
              <w:t>&lt;</w:t>
            </w:r>
            <w:r>
              <w:rPr>
                <w:rFonts w:ascii="Times New Roman" w:eastAsia="Times New Roman"/>
                <w:spacing w:val="1"/>
                <w:sz w:val="21"/>
              </w:rPr>
              <w:t>2</w:t>
            </w:r>
            <w:r>
              <w:rPr>
                <w:rFonts w:ascii="Times New Roman" w:eastAsia="Times New Roman"/>
                <w:sz w:val="21"/>
              </w:rPr>
              <w:t>0</w:t>
            </w:r>
            <w:r>
              <w:rPr>
                <w:spacing w:val="-104"/>
                <w:sz w:val="21"/>
              </w:rPr>
              <w:t>）</w:t>
            </w:r>
            <w:r>
              <w:rPr>
                <w:spacing w:val="-105"/>
                <w:sz w:val="21"/>
              </w:rPr>
              <w:t>。</w:t>
            </w:r>
            <w:r>
              <w:rPr>
                <w:spacing w:val="-2"/>
                <w:sz w:val="21"/>
              </w:rPr>
              <w:t>智商的检测必须由我们认可的专职心理测验工作者进行，心理测验工作者必须持有心理测量专业委员会资格认定书。根据被保险人年龄采用对应的智力量表如韦克斯勒智力量表（儿童智力量表或成人智力量表</w:t>
            </w:r>
            <w:r>
              <w:rPr>
                <w:spacing w:val="-105"/>
                <w:sz w:val="21"/>
              </w:rPr>
              <w:t>）</w:t>
            </w:r>
            <w:r>
              <w:rPr>
                <w:spacing w:val="-2"/>
                <w:sz w:val="21"/>
              </w:rPr>
              <w:t>。必须满足下列全部条件：</w:t>
            </w:r>
          </w:p>
          <w:p>
            <w:pPr>
              <w:pStyle w:val="11"/>
              <w:numPr>
                <w:ilvl w:val="0"/>
                <w:numId w:val="80"/>
              </w:numPr>
              <w:tabs>
                <w:tab w:val="left" w:pos="634"/>
              </w:tabs>
              <w:spacing w:before="0" w:after="0" w:line="278" w:lineRule="auto"/>
              <w:ind w:left="106" w:right="95" w:firstLine="0"/>
              <w:jc w:val="both"/>
              <w:rPr>
                <w:rFonts w:ascii="黑体" w:eastAsia="黑体"/>
                <w:sz w:val="21"/>
              </w:rPr>
            </w:pPr>
            <w:r>
              <w:rPr>
                <w:spacing w:val="-4"/>
                <w:sz w:val="21"/>
              </w:rPr>
              <w:t>造成被保险人智力低常（智力低于常态）的严重头部创伤或疾病（以</w:t>
            </w:r>
            <w:r>
              <w:rPr>
                <w:sz w:val="21"/>
              </w:rPr>
              <w:t>入院日期为准）</w:t>
            </w:r>
            <w:r>
              <w:rPr>
                <w:rFonts w:ascii="黑体" w:eastAsia="黑体"/>
                <w:spacing w:val="-3"/>
                <w:sz w:val="21"/>
              </w:rPr>
              <w:t xml:space="preserve">发生在被保险人 </w:t>
            </w:r>
            <w:r>
              <w:rPr>
                <w:rFonts w:ascii="Times New Roman" w:eastAsia="Times New Roman"/>
                <w:sz w:val="21"/>
              </w:rPr>
              <w:t xml:space="preserve">6 </w:t>
            </w:r>
            <w:r>
              <w:rPr>
                <w:rFonts w:ascii="黑体" w:eastAsia="黑体"/>
                <w:sz w:val="21"/>
              </w:rPr>
              <w:t>周岁以后；</w:t>
            </w:r>
          </w:p>
          <w:p>
            <w:pPr>
              <w:pStyle w:val="11"/>
              <w:numPr>
                <w:ilvl w:val="0"/>
                <w:numId w:val="80"/>
              </w:numPr>
              <w:tabs>
                <w:tab w:val="left" w:pos="634"/>
              </w:tabs>
              <w:spacing w:before="0" w:after="0" w:line="240" w:lineRule="auto"/>
              <w:ind w:left="633" w:right="0" w:hanging="528"/>
              <w:jc w:val="left"/>
              <w:rPr>
                <w:sz w:val="21"/>
              </w:rPr>
            </w:pPr>
            <w:r>
              <w:rPr>
                <w:spacing w:val="-3"/>
                <w:sz w:val="21"/>
              </w:rPr>
              <w:t>专科医师确诊被保险人由于严重头部创伤或疾病造成智力低常；</w:t>
            </w:r>
          </w:p>
          <w:p>
            <w:pPr>
              <w:pStyle w:val="11"/>
              <w:numPr>
                <w:ilvl w:val="0"/>
                <w:numId w:val="80"/>
              </w:numPr>
              <w:tabs>
                <w:tab w:val="left" w:pos="647"/>
              </w:tabs>
              <w:spacing w:before="42" w:after="0" w:line="240" w:lineRule="auto"/>
              <w:ind w:left="646" w:right="0" w:hanging="541"/>
              <w:jc w:val="left"/>
              <w:rPr>
                <w:sz w:val="21"/>
              </w:rPr>
            </w:pPr>
            <w:r>
              <w:rPr>
                <w:spacing w:val="-1"/>
                <w:sz w:val="21"/>
              </w:rPr>
              <w:t>专职合格心理检测工作者适时做的心理检测证实被保险人智力低常</w:t>
            </w:r>
          </w:p>
          <w:p>
            <w:pPr>
              <w:pStyle w:val="11"/>
              <w:spacing w:before="43"/>
              <w:rPr>
                <w:sz w:val="21"/>
              </w:rPr>
            </w:pPr>
            <w:r>
              <w:rPr>
                <w:sz w:val="21"/>
              </w:rPr>
              <w:t>（中度、重度或极重度</w:t>
            </w:r>
            <w:r>
              <w:rPr>
                <w:spacing w:val="-111"/>
                <w:sz w:val="21"/>
              </w:rPr>
              <w:t>）</w:t>
            </w:r>
            <w:r>
              <w:rPr>
                <w:spacing w:val="-5"/>
                <w:sz w:val="21"/>
              </w:rPr>
              <w:t>；</w:t>
            </w:r>
          </w:p>
          <w:p>
            <w:pPr>
              <w:pStyle w:val="11"/>
              <w:numPr>
                <w:ilvl w:val="0"/>
                <w:numId w:val="80"/>
              </w:numPr>
              <w:tabs>
                <w:tab w:val="left" w:pos="634"/>
              </w:tabs>
              <w:spacing w:before="43" w:after="0" w:line="240" w:lineRule="auto"/>
              <w:ind w:left="633" w:right="0" w:hanging="528"/>
              <w:jc w:val="left"/>
              <w:rPr>
                <w:sz w:val="21"/>
              </w:rPr>
            </w:pPr>
            <w:r>
              <w:rPr>
                <w:spacing w:val="-4"/>
                <w:sz w:val="21"/>
              </w:rPr>
              <w:t xml:space="preserve">被保险人的智力低常自确认日起持续 </w:t>
            </w:r>
            <w:r>
              <w:rPr>
                <w:rFonts w:ascii="Times New Roman" w:eastAsia="Times New Roman"/>
                <w:sz w:val="21"/>
              </w:rPr>
              <w:t>180</w:t>
            </w:r>
            <w:r>
              <w:rPr>
                <w:rFonts w:ascii="Times New Roman" w:eastAsia="Times New Roman"/>
                <w:spacing w:val="-4"/>
                <w:sz w:val="21"/>
              </w:rPr>
              <w:t xml:space="preserve"> </w:t>
            </w:r>
            <w:r>
              <w:rPr>
                <w:spacing w:val="-3"/>
                <w:sz w:val="21"/>
              </w:rPr>
              <w:t>天以上。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八十四、细菌性脑</w:t>
            </w:r>
            <w:r>
              <w:rPr>
                <w:spacing w:val="-4"/>
                <w:sz w:val="21"/>
              </w:rPr>
              <w:t>脊髓膜炎</w:t>
            </w:r>
          </w:p>
        </w:tc>
        <w:tc>
          <w:tcPr>
            <w:tcW w:w="6986" w:type="dxa"/>
          </w:tcPr>
          <w:p>
            <w:pPr>
              <w:pStyle w:val="11"/>
              <w:spacing w:before="20" w:line="278" w:lineRule="auto"/>
              <w:ind w:right="-15"/>
              <w:rPr>
                <w:sz w:val="21"/>
              </w:rPr>
            </w:pPr>
            <w:r>
              <w:rPr>
                <w:spacing w:val="-5"/>
                <w:sz w:val="21"/>
              </w:rPr>
              <w:t>指因脑膜炎双球菌感染引起脑脊髓膜化脓性病变，且导致永久性神经损害，</w:t>
            </w:r>
            <w:r>
              <w:rPr>
                <w:spacing w:val="-8"/>
                <w:sz w:val="21"/>
              </w:rPr>
              <w:t xml:space="preserve">持续 </w:t>
            </w:r>
            <w:r>
              <w:rPr>
                <w:rFonts w:ascii="Times New Roman" w:eastAsia="Times New Roman"/>
                <w:sz w:val="21"/>
              </w:rPr>
              <w:t xml:space="preserve">180 </w:t>
            </w:r>
            <w:r>
              <w:rPr>
                <w:sz w:val="21"/>
              </w:rPr>
              <w:t>天以上，并且脑脊液检查显示脑膜炎双球菌阳性。</w:t>
            </w:r>
          </w:p>
          <w:p>
            <w:pPr>
              <w:pStyle w:val="11"/>
              <w:spacing w:line="278" w:lineRule="auto"/>
              <w:ind w:right="93"/>
              <w:rPr>
                <w:sz w:val="21"/>
              </w:rPr>
            </w:pPr>
            <w:r>
              <w:rPr>
                <w:spacing w:val="-2"/>
                <w:sz w:val="21"/>
              </w:rPr>
              <w:t>永久性神经损害是指由细菌性脑脊髓膜炎引起的耳聋、失明、动眼神经麻</w:t>
            </w:r>
            <w:r>
              <w:rPr>
                <w:spacing w:val="-1"/>
                <w:sz w:val="21"/>
              </w:rPr>
              <w:t xml:space="preserve">痹、瘫痪、脑积水、智力或性情中度以上的损害，且上述症状持续 </w:t>
            </w:r>
            <w:r>
              <w:rPr>
                <w:rFonts w:ascii="Times New Roman" w:eastAsia="Times New Roman"/>
                <w:sz w:val="21"/>
              </w:rPr>
              <w:t>180</w:t>
            </w:r>
            <w:r>
              <w:rPr>
                <w:rFonts w:ascii="Times New Roman" w:eastAsia="Times New Roman"/>
                <w:spacing w:val="25"/>
                <w:sz w:val="21"/>
              </w:rPr>
              <w:t xml:space="preserve"> </w:t>
            </w:r>
            <w:r>
              <w:rPr>
                <w:spacing w:val="-10"/>
                <w:sz w:val="21"/>
              </w:rPr>
              <w:t>天</w:t>
            </w:r>
          </w:p>
          <w:p>
            <w:pPr>
              <w:pStyle w:val="11"/>
              <w:rPr>
                <w:sz w:val="21"/>
              </w:rPr>
            </w:pPr>
            <w:r>
              <w:rPr>
                <w:spacing w:val="-2"/>
                <w:sz w:val="21"/>
              </w:rPr>
              <w:t>以上仍无改善迹象。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107" w:right="88"/>
              <w:rPr>
                <w:sz w:val="21"/>
              </w:rPr>
            </w:pPr>
            <w:r>
              <w:rPr>
                <w:spacing w:val="-2"/>
                <w:sz w:val="21"/>
              </w:rPr>
              <w:t>八十五、严重结核</w:t>
            </w:r>
            <w:r>
              <w:rPr>
                <w:spacing w:val="-4"/>
                <w:sz w:val="21"/>
              </w:rPr>
              <w:t>性脑膜炎</w:t>
            </w:r>
          </w:p>
        </w:tc>
        <w:tc>
          <w:tcPr>
            <w:tcW w:w="6986" w:type="dxa"/>
          </w:tcPr>
          <w:p>
            <w:pPr>
              <w:pStyle w:val="11"/>
              <w:spacing w:before="20" w:line="278" w:lineRule="auto"/>
              <w:ind w:right="93"/>
              <w:rPr>
                <w:sz w:val="21"/>
              </w:rPr>
            </w:pPr>
            <w:r>
              <w:rPr>
                <w:spacing w:val="-2"/>
                <w:sz w:val="21"/>
              </w:rPr>
              <w:t>由结核杆菌引起的脑膜和脊膜的非化脓性炎症性疾病。需满足以下全部条</w:t>
            </w:r>
            <w:r>
              <w:rPr>
                <w:spacing w:val="-6"/>
                <w:sz w:val="21"/>
              </w:rPr>
              <w:t>件：</w:t>
            </w:r>
          </w:p>
          <w:p>
            <w:pPr>
              <w:pStyle w:val="11"/>
              <w:numPr>
                <w:ilvl w:val="0"/>
                <w:numId w:val="81"/>
              </w:numPr>
              <w:tabs>
                <w:tab w:val="left" w:pos="634"/>
              </w:tabs>
              <w:spacing w:before="0" w:after="0" w:line="240" w:lineRule="auto"/>
              <w:ind w:left="633" w:right="0" w:hanging="528"/>
              <w:jc w:val="left"/>
              <w:rPr>
                <w:sz w:val="21"/>
              </w:rPr>
            </w:pPr>
            <w:r>
              <w:rPr>
                <w:spacing w:val="-3"/>
                <w:sz w:val="21"/>
              </w:rPr>
              <w:t>出现颅内压明显增高，表现头痛、呕吐和视乳头水肿；</w:t>
            </w:r>
          </w:p>
          <w:p>
            <w:pPr>
              <w:pStyle w:val="11"/>
              <w:numPr>
                <w:ilvl w:val="0"/>
                <w:numId w:val="81"/>
              </w:numPr>
              <w:tabs>
                <w:tab w:val="left" w:pos="634"/>
              </w:tabs>
              <w:spacing w:before="43" w:after="0" w:line="240" w:lineRule="auto"/>
              <w:ind w:left="633" w:right="0" w:hanging="528"/>
              <w:jc w:val="left"/>
              <w:rPr>
                <w:sz w:val="21"/>
              </w:rPr>
            </w:pPr>
            <w:r>
              <w:rPr>
                <w:spacing w:val="-3"/>
                <w:sz w:val="21"/>
              </w:rPr>
              <w:t>出现部分性、全身性癫痫发作或癫痫持续状态；</w:t>
            </w:r>
          </w:p>
          <w:p>
            <w:pPr>
              <w:pStyle w:val="11"/>
              <w:numPr>
                <w:ilvl w:val="0"/>
                <w:numId w:val="81"/>
              </w:numPr>
              <w:tabs>
                <w:tab w:val="left" w:pos="634"/>
              </w:tabs>
              <w:spacing w:before="43" w:after="0" w:line="240" w:lineRule="auto"/>
              <w:ind w:left="633" w:right="0" w:hanging="528"/>
              <w:jc w:val="left"/>
              <w:rPr>
                <w:sz w:val="21"/>
              </w:rPr>
            </w:pPr>
            <w:r>
              <w:rPr>
                <w:spacing w:val="-4"/>
                <w:sz w:val="21"/>
              </w:rPr>
              <w:t>昏睡或意识模糊；</w:t>
            </w:r>
          </w:p>
          <w:p>
            <w:pPr>
              <w:pStyle w:val="11"/>
              <w:numPr>
                <w:ilvl w:val="0"/>
                <w:numId w:val="81"/>
              </w:numPr>
              <w:tabs>
                <w:tab w:val="left" w:pos="634"/>
              </w:tabs>
              <w:spacing w:before="43" w:after="0" w:line="240" w:lineRule="auto"/>
              <w:ind w:left="633" w:right="0" w:hanging="528"/>
              <w:jc w:val="left"/>
              <w:rPr>
                <w:sz w:val="21"/>
              </w:rPr>
            </w:pPr>
            <w:r>
              <w:rPr>
                <w:spacing w:val="-3"/>
                <w:sz w:val="21"/>
              </w:rPr>
              <w:t>视力减退、复视和面神经麻痹。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957" w:type="dxa"/>
          </w:tcPr>
          <w:p>
            <w:pPr>
              <w:pStyle w:val="11"/>
              <w:ind w:left="0"/>
              <w:rPr>
                <w:sz w:val="20"/>
              </w:rPr>
            </w:pPr>
          </w:p>
          <w:p>
            <w:pPr>
              <w:pStyle w:val="11"/>
              <w:ind w:left="0"/>
              <w:rPr>
                <w:sz w:val="20"/>
              </w:rPr>
            </w:pPr>
          </w:p>
          <w:p>
            <w:pPr>
              <w:pStyle w:val="11"/>
              <w:spacing w:before="7"/>
              <w:ind w:left="0"/>
              <w:rPr>
                <w:sz w:val="22"/>
              </w:rPr>
            </w:pPr>
          </w:p>
          <w:p>
            <w:pPr>
              <w:pStyle w:val="11"/>
              <w:spacing w:line="278" w:lineRule="auto"/>
              <w:ind w:left="107" w:right="88"/>
              <w:jc w:val="both"/>
              <w:rPr>
                <w:sz w:val="21"/>
              </w:rPr>
            </w:pPr>
            <w:r>
              <w:rPr>
                <w:spacing w:val="-2"/>
                <w:sz w:val="21"/>
              </w:rPr>
              <w:t>八十六、臂动脉型多发性大动脉炎旁路移植手术</w:t>
            </w:r>
          </w:p>
        </w:tc>
        <w:tc>
          <w:tcPr>
            <w:tcW w:w="6986" w:type="dxa"/>
          </w:tcPr>
          <w:p>
            <w:pPr>
              <w:pStyle w:val="11"/>
              <w:spacing w:before="21" w:line="278" w:lineRule="auto"/>
              <w:ind w:right="-15"/>
              <w:rPr>
                <w:sz w:val="21"/>
              </w:rPr>
            </w:pPr>
            <w:r>
              <w:rPr>
                <w:spacing w:val="1"/>
                <w:sz w:val="21"/>
              </w:rPr>
              <w:t>头臂动脉型多发性大动脉炎旁路移植手术：多发性大动脉炎（高安氏动脉炎）是一种发生在主动脉和其主要分支的慢性炎症性动脉疾病，表现为受累动脉狭窄或闭塞。头臂动脉型多发性大动脉炎是指多发性大动脉炎头臂</w:t>
            </w:r>
            <w:r>
              <w:rPr>
                <w:sz w:val="21"/>
              </w:rPr>
              <w:t>动脉型（</w:t>
            </w:r>
            <w:r>
              <w:rPr>
                <w:rFonts w:ascii="Times New Roman" w:eastAsia="Times New Roman"/>
                <w:sz w:val="21"/>
              </w:rPr>
              <w:t>I</w:t>
            </w:r>
            <w:r>
              <w:rPr>
                <w:rFonts w:ascii="Times New Roman" w:eastAsia="Times New Roman"/>
                <w:spacing w:val="-11"/>
                <w:sz w:val="21"/>
              </w:rPr>
              <w:t xml:space="preserve">  </w:t>
            </w:r>
            <w:r>
              <w:rPr>
                <w:sz w:val="21"/>
              </w:rPr>
              <w:t>型</w:t>
            </w:r>
            <w:r>
              <w:rPr>
                <w:spacing w:val="-105"/>
                <w:sz w:val="21"/>
              </w:rPr>
              <w:t>）</w:t>
            </w:r>
            <w:r>
              <w:rPr>
                <w:spacing w:val="-1"/>
                <w:sz w:val="21"/>
              </w:rPr>
              <w:t>，又称为无脉症。被保险人被明确诊断为头臂动脉型多发性</w:t>
            </w:r>
            <w:r>
              <w:rPr>
                <w:spacing w:val="-5"/>
                <w:sz w:val="21"/>
              </w:rPr>
              <w:t>大动脉炎并且实际接受了经胸部切开进行的无名动脉</w:t>
            </w:r>
            <w:r>
              <w:rPr>
                <w:sz w:val="21"/>
              </w:rPr>
              <w:t>（头臂干</w:t>
            </w:r>
            <w:r>
              <w:rPr>
                <w:spacing w:val="-105"/>
                <w:sz w:val="21"/>
              </w:rPr>
              <w:t>）</w:t>
            </w:r>
            <w:r>
              <w:rPr>
                <w:spacing w:val="-15"/>
                <w:sz w:val="21"/>
              </w:rPr>
              <w:t>、颈总动脉、锁骨下动脉旁路移植手术。</w:t>
            </w:r>
          </w:p>
          <w:p>
            <w:pPr>
              <w:pStyle w:val="11"/>
              <w:spacing w:line="268" w:lineRule="exact"/>
              <w:rPr>
                <w:rFonts w:ascii="黑体" w:eastAsia="黑体"/>
                <w:sz w:val="21"/>
              </w:rPr>
            </w:pPr>
            <w:r>
              <w:rPr>
                <w:rFonts w:ascii="黑体" w:eastAsia="黑体"/>
                <w:spacing w:val="-1"/>
                <w:sz w:val="21"/>
              </w:rPr>
              <w:t>非开胸的血管旁路移植手术、因其他病因而进行的旁路移植手术，对其他</w:t>
            </w:r>
          </w:p>
          <w:p>
            <w:pPr>
              <w:pStyle w:val="11"/>
              <w:spacing w:before="43"/>
              <w:ind w:right="-15"/>
              <w:rPr>
                <w:rFonts w:ascii="黑体" w:eastAsia="黑体"/>
                <w:sz w:val="21"/>
              </w:rPr>
            </w:pPr>
            <w:r>
              <w:rPr>
                <w:rFonts w:ascii="黑体" w:eastAsia="黑体"/>
                <w:spacing w:val="-6"/>
                <w:sz w:val="21"/>
              </w:rPr>
              <w:t>动脉进行的旁路移植手术，经皮经导管进行的血管内手术不在保障范围内。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957" w:type="dxa"/>
          </w:tcPr>
          <w:p>
            <w:pPr>
              <w:pStyle w:val="11"/>
              <w:ind w:left="0"/>
              <w:rPr>
                <w:sz w:val="20"/>
              </w:rPr>
            </w:pPr>
          </w:p>
          <w:p>
            <w:pPr>
              <w:pStyle w:val="11"/>
              <w:ind w:left="0"/>
              <w:rPr>
                <w:sz w:val="20"/>
              </w:rPr>
            </w:pPr>
          </w:p>
          <w:p>
            <w:pPr>
              <w:pStyle w:val="11"/>
              <w:spacing w:before="131" w:line="278" w:lineRule="auto"/>
              <w:ind w:left="107" w:right="88"/>
              <w:rPr>
                <w:sz w:val="21"/>
              </w:rPr>
            </w:pPr>
            <w:r>
              <w:rPr>
                <w:spacing w:val="-2"/>
                <w:sz w:val="21"/>
              </w:rPr>
              <w:t>八十七、亚历山大</w:t>
            </w:r>
            <w:r>
              <w:rPr>
                <w:spacing w:val="-10"/>
                <w:sz w:val="21"/>
              </w:rPr>
              <w:t>病</w:t>
            </w:r>
          </w:p>
        </w:tc>
        <w:tc>
          <w:tcPr>
            <w:tcW w:w="6986" w:type="dxa"/>
          </w:tcPr>
          <w:p>
            <w:pPr>
              <w:pStyle w:val="11"/>
              <w:spacing w:before="20" w:line="278" w:lineRule="auto"/>
              <w:ind w:right="93"/>
              <w:jc w:val="both"/>
              <w:rPr>
                <w:sz w:val="21"/>
              </w:rPr>
            </w:pPr>
            <w:r>
              <w:rPr>
                <w:spacing w:val="-2"/>
                <w:sz w:val="21"/>
              </w:rPr>
              <w:t>是一种遗传性中枢神经系统退行性病变，特点为脑白质营养不良。临床表现为惊厥发作、智力下降、球麻痹、共济失调、痉挛性瘫痪。亚历山大病必须被明确诊断，并且造成永久性神经系统功能损害。被保人自主生活能力完全丧失，无法独立完成六项基本日常生活活动中的三项或三项以上，日常生活必须持续接受他人护理。</w:t>
            </w:r>
          </w:p>
          <w:p>
            <w:pPr>
              <w:pStyle w:val="11"/>
              <w:spacing w:line="268" w:lineRule="exact"/>
              <w:rPr>
                <w:rFonts w:ascii="黑体" w:eastAsia="黑体"/>
                <w:sz w:val="21"/>
              </w:rPr>
            </w:pPr>
            <w:r>
              <w:rPr>
                <w:rFonts w:ascii="黑体" w:eastAsia="黑体"/>
                <w:color w:val="000000"/>
                <w:spacing w:val="-1"/>
                <w:sz w:val="21"/>
                <w:shd w:val="clear" w:color="auto" w:fill="DADADA"/>
              </w:rPr>
              <w:t>疑似病例不在保障范围内。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spacing w:before="11"/>
              <w:ind w:left="0"/>
              <w:rPr>
                <w:sz w:val="25"/>
              </w:rPr>
            </w:pPr>
          </w:p>
          <w:p>
            <w:pPr>
              <w:pStyle w:val="11"/>
              <w:spacing w:before="1" w:line="278" w:lineRule="auto"/>
              <w:ind w:left="107" w:right="88"/>
              <w:jc w:val="both"/>
              <w:rPr>
                <w:sz w:val="21"/>
              </w:rPr>
            </w:pPr>
            <w:r>
              <w:rPr>
                <w:spacing w:val="-2"/>
                <w:sz w:val="21"/>
              </w:rPr>
              <w:t>八十八、严重冠状动脉粥样硬化性心</w:t>
            </w:r>
            <w:r>
              <w:rPr>
                <w:spacing w:val="-6"/>
                <w:sz w:val="21"/>
              </w:rPr>
              <w:t>脏病</w:t>
            </w:r>
          </w:p>
        </w:tc>
        <w:tc>
          <w:tcPr>
            <w:tcW w:w="6986" w:type="dxa"/>
          </w:tcPr>
          <w:p>
            <w:pPr>
              <w:pStyle w:val="11"/>
              <w:spacing w:before="20" w:line="278" w:lineRule="auto"/>
              <w:ind w:right="93"/>
              <w:rPr>
                <w:sz w:val="21"/>
              </w:rPr>
            </w:pPr>
            <w:r>
              <w:rPr>
                <w:spacing w:val="-2"/>
                <w:sz w:val="21"/>
              </w:rPr>
              <w:t>指经冠状动脉造影检查明确诊断为主要血管严重狭窄性病变，须满足下列至少一项条件：</w:t>
            </w:r>
          </w:p>
          <w:p>
            <w:pPr>
              <w:pStyle w:val="11"/>
              <w:numPr>
                <w:ilvl w:val="0"/>
                <w:numId w:val="82"/>
              </w:numPr>
              <w:tabs>
                <w:tab w:val="left" w:pos="634"/>
              </w:tabs>
              <w:spacing w:before="0" w:after="0" w:line="278" w:lineRule="auto"/>
              <w:ind w:left="106" w:right="98" w:firstLine="0"/>
              <w:jc w:val="left"/>
              <w:rPr>
                <w:sz w:val="21"/>
              </w:rPr>
            </w:pPr>
            <w:r>
              <w:rPr>
                <w:spacing w:val="-2"/>
                <w:sz w:val="21"/>
              </w:rPr>
              <w:t xml:space="preserve">左冠状动脉主干和右冠状动脉中，一支血管管腔堵塞 </w:t>
            </w:r>
            <w:r>
              <w:rPr>
                <w:rFonts w:ascii="Times New Roman" w:eastAsia="Times New Roman"/>
                <w:sz w:val="21"/>
              </w:rPr>
              <w:t>75%</w:t>
            </w:r>
            <w:r>
              <w:rPr>
                <w:sz w:val="21"/>
              </w:rPr>
              <w:t>以上，另</w:t>
            </w:r>
            <w:r>
              <w:rPr>
                <w:spacing w:val="-5"/>
                <w:sz w:val="21"/>
              </w:rPr>
              <w:t xml:space="preserve">一支血管管腔堵塞 </w:t>
            </w:r>
            <w:r>
              <w:rPr>
                <w:rFonts w:ascii="Times New Roman" w:eastAsia="Times New Roman"/>
                <w:sz w:val="21"/>
              </w:rPr>
              <w:t>60%</w:t>
            </w:r>
            <w:r>
              <w:rPr>
                <w:sz w:val="21"/>
              </w:rPr>
              <w:t>以上；</w:t>
            </w:r>
          </w:p>
          <w:p>
            <w:pPr>
              <w:pStyle w:val="11"/>
              <w:numPr>
                <w:ilvl w:val="0"/>
                <w:numId w:val="82"/>
              </w:numPr>
              <w:tabs>
                <w:tab w:val="left" w:pos="634"/>
              </w:tabs>
              <w:spacing w:before="0" w:after="0" w:line="240" w:lineRule="auto"/>
              <w:ind w:left="633" w:right="-15" w:hanging="528"/>
              <w:jc w:val="left"/>
              <w:rPr>
                <w:sz w:val="21"/>
              </w:rPr>
            </w:pPr>
            <w:r>
              <w:rPr>
                <w:spacing w:val="-14"/>
                <w:sz w:val="21"/>
              </w:rPr>
              <w:t xml:space="preserve">左前降支、左旋支和右冠状动脉中，至少一支血管官腔堵塞 </w:t>
            </w:r>
            <w:r>
              <w:rPr>
                <w:rFonts w:ascii="Times New Roman" w:eastAsia="Times New Roman"/>
                <w:sz w:val="21"/>
              </w:rPr>
              <w:t>75%</w:t>
            </w:r>
            <w:r>
              <w:rPr>
                <w:sz w:val="21"/>
              </w:rPr>
              <w:t>以上</w:t>
            </w:r>
            <w:r>
              <w:rPr>
                <w:spacing w:val="-10"/>
                <w:sz w:val="21"/>
              </w:rPr>
              <w:t>，</w:t>
            </w:r>
          </w:p>
        </w:tc>
      </w:tr>
    </w:tbl>
    <w:p>
      <w:pPr>
        <w:rPr>
          <w:sz w:val="2"/>
          <w:szCs w:val="2"/>
        </w:rPr>
      </w:pPr>
      <w:r>
        <w:drawing>
          <wp:anchor distT="0" distB="0" distL="0" distR="0" simplePos="0" relativeHeight="251668480" behindDoc="1" locked="0" layoutInCell="1" allowOverlap="1">
            <wp:simplePos x="0" y="0"/>
            <wp:positionH relativeFrom="page">
              <wp:posOffset>2383155</wp:posOffset>
            </wp:positionH>
            <wp:positionV relativeFrom="page">
              <wp:posOffset>7099935</wp:posOffset>
            </wp:positionV>
            <wp:extent cx="4303395" cy="371475"/>
            <wp:effectExtent l="0" t="0" r="0" b="0"/>
            <wp:wrapNone/>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8.png"/>
                    <pic:cNvPicPr>
                      <a:picLocks noChangeAspect="1"/>
                    </pic:cNvPicPr>
                  </pic:nvPicPr>
                  <pic:blipFill>
                    <a:blip r:embed="rId17" cstate="print"/>
                    <a:stretch>
                      <a:fillRect/>
                    </a:stretch>
                  </pic:blipFill>
                  <pic:spPr>
                    <a:xfrm>
                      <a:off x="0" y="0"/>
                      <a:ext cx="4303617" cy="371475"/>
                    </a:xfrm>
                    <a:prstGeom prst="rect">
                      <a:avLst/>
                    </a:prstGeom>
                  </pic:spPr>
                </pic:pic>
              </a:graphicData>
            </a:graphic>
          </wp:anchor>
        </w:drawing>
      </w:r>
    </w:p>
    <w:p>
      <w:pPr>
        <w:spacing w:after="0"/>
        <w:rPr>
          <w:sz w:val="2"/>
          <w:szCs w:val="2"/>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ind w:left="0"/>
              <w:rPr>
                <w:rFonts w:ascii="Times New Roman"/>
                <w:sz w:val="20"/>
              </w:rPr>
            </w:pPr>
          </w:p>
        </w:tc>
        <w:tc>
          <w:tcPr>
            <w:tcW w:w="6986" w:type="dxa"/>
          </w:tcPr>
          <w:p>
            <w:pPr>
              <w:pStyle w:val="11"/>
              <w:spacing w:before="20"/>
              <w:rPr>
                <w:sz w:val="21"/>
              </w:rPr>
            </w:pPr>
            <w:r>
              <w:rPr>
                <w:spacing w:val="-4"/>
                <w:sz w:val="21"/>
              </w:rPr>
              <w:t xml:space="preserve">其他两支血管官腔堵塞 </w:t>
            </w:r>
            <w:r>
              <w:rPr>
                <w:rFonts w:ascii="Times New Roman" w:eastAsia="Times New Roman"/>
                <w:spacing w:val="-2"/>
                <w:sz w:val="21"/>
              </w:rPr>
              <w:t>60%</w:t>
            </w:r>
            <w:r>
              <w:rPr>
                <w:spacing w:val="-5"/>
                <w:sz w:val="21"/>
              </w:rPr>
              <w:t>以上。</w:t>
            </w:r>
          </w:p>
          <w:p>
            <w:pPr>
              <w:pStyle w:val="11"/>
              <w:spacing w:before="2" w:line="310" w:lineRule="atLeast"/>
              <w:ind w:right="93"/>
              <w:rPr>
                <w:rFonts w:ascii="黑体" w:eastAsia="黑体"/>
                <w:sz w:val="21"/>
              </w:rPr>
            </w:pPr>
            <w:r>
              <w:rPr>
                <w:rFonts w:ascii="黑体" w:eastAsia="黑体"/>
                <w:spacing w:val="-2"/>
                <w:sz w:val="21"/>
              </w:rPr>
              <w:t>左前降支的分支血管、左旋支的分支血管及右冠状动脉的分支血管的狭窄不作为本保障的衡量指标。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57" w:type="dxa"/>
          </w:tcPr>
          <w:p>
            <w:pPr>
              <w:pStyle w:val="11"/>
              <w:spacing w:before="21"/>
              <w:ind w:left="107"/>
              <w:rPr>
                <w:sz w:val="21"/>
              </w:rPr>
            </w:pPr>
            <w:r>
              <w:rPr>
                <w:spacing w:val="-2"/>
                <w:sz w:val="21"/>
              </w:rPr>
              <w:t>八十九、心脏粘液</w:t>
            </w:r>
          </w:p>
          <w:p>
            <w:pPr>
              <w:pStyle w:val="11"/>
              <w:spacing w:before="43"/>
              <w:ind w:left="107"/>
              <w:rPr>
                <w:sz w:val="21"/>
              </w:rPr>
            </w:pPr>
            <w:r>
              <w:rPr>
                <w:sz w:val="21"/>
              </w:rPr>
              <w:t>瘤</w:t>
            </w:r>
          </w:p>
        </w:tc>
        <w:tc>
          <w:tcPr>
            <w:tcW w:w="6986" w:type="dxa"/>
          </w:tcPr>
          <w:p>
            <w:pPr>
              <w:pStyle w:val="11"/>
              <w:spacing w:before="21"/>
              <w:rPr>
                <w:sz w:val="21"/>
              </w:rPr>
            </w:pPr>
            <w:r>
              <w:rPr>
                <w:spacing w:val="-1"/>
                <w:sz w:val="21"/>
              </w:rPr>
              <w:t>为了治疗心脏粘液瘤，实际实施了开胸开心心脏粘液瘤切除手术。</w:t>
            </w:r>
          </w:p>
          <w:p>
            <w:pPr>
              <w:pStyle w:val="11"/>
              <w:spacing w:before="43"/>
              <w:rPr>
                <w:rFonts w:ascii="黑体" w:eastAsia="黑体"/>
                <w:sz w:val="21"/>
              </w:rPr>
            </w:pPr>
            <w:r>
              <w:rPr>
                <w:rFonts w:ascii="黑体" w:eastAsia="黑体"/>
                <w:color w:val="000000"/>
                <w:spacing w:val="-1"/>
                <w:sz w:val="21"/>
                <w:shd w:val="clear" w:color="auto" w:fill="DADADA"/>
              </w:rPr>
              <w:t>经导管介入手术治疗不在保障范围内。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九十、严重继发性肺动脉高压</w:t>
            </w:r>
          </w:p>
        </w:tc>
        <w:tc>
          <w:tcPr>
            <w:tcW w:w="6986" w:type="dxa"/>
          </w:tcPr>
          <w:p>
            <w:pPr>
              <w:pStyle w:val="11"/>
              <w:spacing w:before="20" w:line="278" w:lineRule="auto"/>
              <w:ind w:right="93"/>
              <w:jc w:val="both"/>
              <w:rPr>
                <w:sz w:val="21"/>
              </w:rPr>
            </w:pPr>
            <w:r>
              <w:rPr>
                <w:spacing w:val="-2"/>
                <w:sz w:val="21"/>
              </w:rPr>
              <w:t>继发性肺动脉压力持续增高，导致右心室肥厚，已经造成永久不可逆性的</w:t>
            </w:r>
            <w:r>
              <w:rPr>
                <w:spacing w:val="-5"/>
                <w:sz w:val="21"/>
              </w:rPr>
              <w:t xml:space="preserve">体力活动能力受限，达到美国纽约心脏病学会心功能状态分级 </w:t>
            </w:r>
            <w:r>
              <w:rPr>
                <w:rFonts w:ascii="Times New Roman" w:eastAsia="Times New Roman"/>
                <w:spacing w:val="-4"/>
                <w:sz w:val="21"/>
              </w:rPr>
              <w:t>IV</w:t>
            </w:r>
            <w:r>
              <w:rPr>
                <w:rFonts w:ascii="Times New Roman" w:eastAsia="Times New Roman"/>
                <w:spacing w:val="2"/>
                <w:sz w:val="21"/>
              </w:rPr>
              <w:t xml:space="preserve"> </w:t>
            </w:r>
            <w:r>
              <w:rPr>
                <w:spacing w:val="-4"/>
                <w:sz w:val="21"/>
              </w:rPr>
              <w:t>级。诊断</w:t>
            </w:r>
            <w:r>
              <w:rPr>
                <w:spacing w:val="-2"/>
                <w:sz w:val="21"/>
              </w:rPr>
              <w:t>需要由心脏科专家确诊，并且心导管检查报告显示静息状态下肺动脉平均</w:t>
            </w:r>
            <w:r>
              <w:rPr>
                <w:spacing w:val="-11"/>
                <w:sz w:val="21"/>
              </w:rPr>
              <w:t xml:space="preserve">压超过 </w:t>
            </w:r>
            <w:r>
              <w:rPr>
                <w:rFonts w:ascii="Times New Roman" w:eastAsia="Times New Roman"/>
                <w:sz w:val="21"/>
              </w:rPr>
              <w:t>36mmHg</w:t>
            </w:r>
            <w:r>
              <w:rPr>
                <w:sz w:val="21"/>
              </w:rPr>
              <w:t>（含</w:t>
            </w:r>
            <w:r>
              <w:rPr>
                <w:spacing w:val="-105"/>
                <w:sz w:val="21"/>
              </w:rPr>
              <w:t>）</w:t>
            </w:r>
            <w:r>
              <w:rPr>
                <w:sz w:val="21"/>
              </w:rPr>
              <w:t>。</w:t>
            </w:r>
          </w:p>
          <w:p>
            <w:pPr>
              <w:pStyle w:val="11"/>
              <w:spacing w:line="268" w:lineRule="exact"/>
              <w:rPr>
                <w:rFonts w:ascii="黑体" w:eastAsia="黑体"/>
                <w:sz w:val="21"/>
              </w:rPr>
            </w:pPr>
            <w:r>
              <w:rPr>
                <w:rFonts w:ascii="黑体" w:eastAsia="黑体"/>
                <w:color w:val="000000"/>
                <w:spacing w:val="-1"/>
                <w:sz w:val="21"/>
                <w:shd w:val="clear" w:color="auto" w:fill="DADADA"/>
              </w:rPr>
              <w:t>所有先天性心脏疾病直接或间接引起的肺动脉高压不在保障范围内。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1" w:hRule="atLeast"/>
        </w:trPr>
        <w:tc>
          <w:tcPr>
            <w:tcW w:w="1957" w:type="dxa"/>
          </w:tcPr>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11"/>
              <w:spacing w:before="143" w:line="278" w:lineRule="auto"/>
              <w:ind w:left="107" w:right="88"/>
              <w:rPr>
                <w:sz w:val="21"/>
              </w:rPr>
            </w:pPr>
            <w:r>
              <w:rPr>
                <w:spacing w:val="-2"/>
                <w:sz w:val="21"/>
              </w:rPr>
              <w:t>九十一、失去一肢</w:t>
            </w:r>
            <w:r>
              <w:rPr>
                <w:spacing w:val="-4"/>
                <w:sz w:val="21"/>
              </w:rPr>
              <w:t>及一眼</w:t>
            </w:r>
          </w:p>
        </w:tc>
        <w:tc>
          <w:tcPr>
            <w:tcW w:w="6986" w:type="dxa"/>
          </w:tcPr>
          <w:p>
            <w:pPr>
              <w:pStyle w:val="11"/>
              <w:spacing w:before="20"/>
              <w:rPr>
                <w:sz w:val="21"/>
              </w:rPr>
            </w:pPr>
            <w:r>
              <w:rPr>
                <w:spacing w:val="-1"/>
                <w:sz w:val="21"/>
              </w:rPr>
              <w:t>因疾病或意外伤害导致单眼视力丧失及任何一肢自腕关节或踝关节近端</w:t>
            </w:r>
          </w:p>
          <w:p>
            <w:pPr>
              <w:pStyle w:val="11"/>
              <w:spacing w:before="43"/>
              <w:rPr>
                <w:sz w:val="21"/>
              </w:rPr>
            </w:pPr>
            <w:r>
              <w:rPr>
                <w:sz w:val="21"/>
              </w:rPr>
              <w:t>（靠近躯干端）</w:t>
            </w:r>
            <w:r>
              <w:rPr>
                <w:spacing w:val="-2"/>
                <w:sz w:val="21"/>
              </w:rPr>
              <w:t>以上完全性断离。</w:t>
            </w:r>
          </w:p>
          <w:p>
            <w:pPr>
              <w:pStyle w:val="11"/>
              <w:spacing w:before="43" w:line="278" w:lineRule="auto"/>
              <w:ind w:right="93"/>
              <w:rPr>
                <w:sz w:val="21"/>
              </w:rPr>
            </w:pPr>
            <w:r>
              <w:rPr>
                <w:spacing w:val="-2"/>
                <w:sz w:val="21"/>
              </w:rPr>
              <w:t>单眼视力丧失指单眼视力永久不可逆性丧失，患眼须满足下列至少一项条</w:t>
            </w:r>
            <w:r>
              <w:rPr>
                <w:spacing w:val="-6"/>
                <w:sz w:val="21"/>
              </w:rPr>
              <w:t>件：</w:t>
            </w:r>
          </w:p>
          <w:p>
            <w:pPr>
              <w:pStyle w:val="11"/>
              <w:numPr>
                <w:ilvl w:val="0"/>
                <w:numId w:val="83"/>
              </w:numPr>
              <w:tabs>
                <w:tab w:val="left" w:pos="634"/>
              </w:tabs>
              <w:spacing w:before="0" w:after="0" w:line="240" w:lineRule="auto"/>
              <w:ind w:left="633" w:right="0" w:hanging="528"/>
              <w:jc w:val="left"/>
              <w:rPr>
                <w:sz w:val="21"/>
              </w:rPr>
            </w:pPr>
            <w:r>
              <w:rPr>
                <w:spacing w:val="-4"/>
                <w:sz w:val="21"/>
              </w:rPr>
              <w:t>眼球缺失或摘除；</w:t>
            </w:r>
          </w:p>
          <w:p>
            <w:pPr>
              <w:pStyle w:val="11"/>
              <w:numPr>
                <w:ilvl w:val="0"/>
                <w:numId w:val="83"/>
              </w:numPr>
              <w:tabs>
                <w:tab w:val="left" w:pos="634"/>
              </w:tabs>
              <w:spacing w:before="43" w:after="0" w:line="278" w:lineRule="auto"/>
              <w:ind w:left="106" w:right="96" w:firstLine="0"/>
              <w:jc w:val="left"/>
              <w:rPr>
                <w:sz w:val="21"/>
              </w:rPr>
            </w:pPr>
            <w:r>
              <w:rPr>
                <w:spacing w:val="-6"/>
                <w:sz w:val="21"/>
              </w:rPr>
              <w:t xml:space="preserve">矫正视力低于 </w:t>
            </w:r>
            <w:r>
              <w:rPr>
                <w:rFonts w:ascii="Times New Roman" w:eastAsia="Times New Roman"/>
                <w:sz w:val="21"/>
              </w:rPr>
              <w:t>0.02</w:t>
            </w:r>
            <w:r>
              <w:rPr>
                <w:sz w:val="21"/>
              </w:rPr>
              <w:t>（采用国际标准视力表，如果使用其它视力表应</w:t>
            </w:r>
            <w:r>
              <w:rPr>
                <w:spacing w:val="-4"/>
                <w:sz w:val="21"/>
              </w:rPr>
              <w:t>进行换算</w:t>
            </w:r>
            <w:r>
              <w:rPr>
                <w:spacing w:val="-105"/>
                <w:sz w:val="21"/>
              </w:rPr>
              <w:t>）</w:t>
            </w:r>
            <w:r>
              <w:rPr>
                <w:sz w:val="21"/>
              </w:rPr>
              <w:t>；</w:t>
            </w:r>
          </w:p>
          <w:p>
            <w:pPr>
              <w:pStyle w:val="11"/>
              <w:numPr>
                <w:ilvl w:val="0"/>
                <w:numId w:val="83"/>
              </w:numPr>
              <w:tabs>
                <w:tab w:val="left" w:pos="634"/>
              </w:tabs>
              <w:spacing w:before="0" w:after="0" w:line="240" w:lineRule="auto"/>
              <w:ind w:left="633" w:right="0" w:hanging="528"/>
              <w:jc w:val="left"/>
              <w:rPr>
                <w:sz w:val="21"/>
              </w:rPr>
            </w:pPr>
            <w:r>
              <w:rPr>
                <w:spacing w:val="-8"/>
                <w:sz w:val="21"/>
              </w:rPr>
              <w:t xml:space="preserve">视野半径小于 </w:t>
            </w:r>
            <w:r>
              <w:rPr>
                <w:rFonts w:ascii="Times New Roman" w:eastAsia="Times New Roman"/>
                <w:sz w:val="21"/>
              </w:rPr>
              <w:t>5</w:t>
            </w:r>
            <w:r>
              <w:rPr>
                <w:rFonts w:ascii="Times New Roman" w:eastAsia="Times New Roman"/>
                <w:spacing w:val="-4"/>
                <w:sz w:val="21"/>
              </w:rPr>
              <w:t xml:space="preserve"> </w:t>
            </w:r>
            <w:r>
              <w:rPr>
                <w:spacing w:val="-5"/>
                <w:sz w:val="21"/>
              </w:rPr>
              <w:t>度。</w:t>
            </w:r>
          </w:p>
          <w:p>
            <w:pPr>
              <w:pStyle w:val="11"/>
              <w:spacing w:before="43" w:line="278" w:lineRule="auto"/>
              <w:ind w:right="93"/>
              <w:rPr>
                <w:rFonts w:ascii="黑体" w:eastAsia="黑体"/>
                <w:sz w:val="21"/>
              </w:rPr>
            </w:pPr>
            <w:r>
              <w:rPr>
                <w:rFonts w:ascii="黑体" w:eastAsia="黑体"/>
                <w:spacing w:val="-2"/>
                <w:sz w:val="21"/>
              </w:rPr>
              <w:t>被保险人申请理赔时年龄必须在三周岁以上，并且提供理赔当时的视力丧失诊断及检查证据。</w:t>
            </w:r>
          </w:p>
          <w:p>
            <w:pPr>
              <w:pStyle w:val="11"/>
              <w:spacing w:line="268" w:lineRule="exact"/>
              <w:rPr>
                <w:rFonts w:ascii="黑体" w:eastAsia="黑体"/>
                <w:sz w:val="21"/>
              </w:rPr>
            </w:pPr>
            <w:r>
              <w:rPr>
                <w:rFonts w:ascii="黑体" w:eastAsia="黑体"/>
                <w:color w:val="000000"/>
                <w:spacing w:val="-1"/>
                <w:sz w:val="21"/>
                <w:shd w:val="clear" w:color="auto" w:fill="DADADA"/>
              </w:rPr>
              <w:t>投保时已有单眼缺失或有一肢缺失的不在保障范围内。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957" w:type="dxa"/>
          </w:tcPr>
          <w:p>
            <w:pPr>
              <w:pStyle w:val="11"/>
              <w:ind w:left="0"/>
              <w:rPr>
                <w:sz w:val="20"/>
              </w:rPr>
            </w:pPr>
          </w:p>
          <w:p>
            <w:pPr>
              <w:pStyle w:val="11"/>
              <w:ind w:left="0"/>
              <w:rPr>
                <w:sz w:val="20"/>
              </w:rPr>
            </w:pPr>
          </w:p>
          <w:p>
            <w:pPr>
              <w:pStyle w:val="11"/>
              <w:spacing w:before="133" w:line="278" w:lineRule="auto"/>
              <w:ind w:left="107" w:right="88"/>
              <w:rPr>
                <w:sz w:val="21"/>
              </w:rPr>
            </w:pPr>
            <w:r>
              <w:rPr>
                <w:spacing w:val="-2"/>
                <w:sz w:val="21"/>
              </w:rPr>
              <w:t>九十二、肌萎缩脊髓侧索硬化后遗症</w:t>
            </w:r>
          </w:p>
        </w:tc>
        <w:tc>
          <w:tcPr>
            <w:tcW w:w="6986" w:type="dxa"/>
          </w:tcPr>
          <w:p>
            <w:pPr>
              <w:pStyle w:val="11"/>
              <w:spacing w:before="21" w:line="278" w:lineRule="auto"/>
              <w:ind w:right="93"/>
              <w:jc w:val="both"/>
              <w:rPr>
                <w:sz w:val="21"/>
              </w:rPr>
            </w:pPr>
            <w:r>
              <w:rPr>
                <w:spacing w:val="-2"/>
                <w:sz w:val="21"/>
              </w:rPr>
              <w:t>以肌肉无力及萎缩为特征，并有以下情况作为证明：脊髓前角细胞功能失调、可见的肌肉颤动、痉挛、过度活跃之深层肌腱反射和外部足底反射、影响皮质脊髓束、构音障碍及吞咽困难。必须由我们认可的医院专科医生以适当的神经肌肉检查如肌电图（</w:t>
            </w:r>
            <w:r>
              <w:rPr>
                <w:rFonts w:ascii="Times New Roman" w:eastAsia="Times New Roman"/>
                <w:spacing w:val="-2"/>
                <w:sz w:val="21"/>
              </w:rPr>
              <w:t>EMG</w:t>
            </w:r>
            <w:r>
              <w:rPr>
                <w:spacing w:val="-2"/>
                <w:sz w:val="21"/>
              </w:rPr>
              <w:t>）证实。本疾病必须导致严重的生</w:t>
            </w:r>
            <w:r>
              <w:rPr>
                <w:sz w:val="21"/>
              </w:rPr>
              <w:t>理功能损坏（</w:t>
            </w:r>
            <w:r>
              <w:rPr>
                <w:spacing w:val="-1"/>
                <w:sz w:val="21"/>
              </w:rPr>
              <w:t>由被保险人永久性无法独立完成最少三项基本日常生活活动</w:t>
            </w:r>
          </w:p>
          <w:p>
            <w:pPr>
              <w:pStyle w:val="11"/>
              <w:spacing w:line="269" w:lineRule="exact"/>
              <w:rPr>
                <w:sz w:val="21"/>
              </w:rPr>
            </w:pPr>
            <w:r>
              <w:rPr>
                <w:sz w:val="21"/>
              </w:rPr>
              <w:t>作为证明</w:t>
            </w:r>
            <w:r>
              <w:rPr>
                <w:spacing w:val="-105"/>
                <w:sz w:val="21"/>
              </w:rPr>
              <w:t>）</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957" w:type="dxa"/>
          </w:tcPr>
          <w:p>
            <w:pPr>
              <w:pStyle w:val="11"/>
              <w:ind w:left="0"/>
              <w:rPr>
                <w:sz w:val="20"/>
              </w:rPr>
            </w:pPr>
          </w:p>
          <w:p>
            <w:pPr>
              <w:pStyle w:val="11"/>
              <w:spacing w:before="1"/>
              <w:ind w:left="0"/>
              <w:rPr>
                <w:sz w:val="18"/>
              </w:rPr>
            </w:pPr>
          </w:p>
          <w:p>
            <w:pPr>
              <w:pStyle w:val="11"/>
              <w:spacing w:line="278" w:lineRule="auto"/>
              <w:ind w:left="107" w:right="88"/>
              <w:rPr>
                <w:sz w:val="21"/>
              </w:rPr>
            </w:pPr>
            <w:r>
              <w:rPr>
                <w:spacing w:val="-2"/>
                <w:sz w:val="21"/>
              </w:rPr>
              <w:t>九十三、婴儿进行性脊肌萎缩症</w:t>
            </w:r>
          </w:p>
        </w:tc>
        <w:tc>
          <w:tcPr>
            <w:tcW w:w="6986" w:type="dxa"/>
          </w:tcPr>
          <w:p>
            <w:pPr>
              <w:pStyle w:val="11"/>
              <w:spacing w:before="20" w:line="278" w:lineRule="auto"/>
              <w:ind w:right="93"/>
              <w:jc w:val="both"/>
              <w:rPr>
                <w:sz w:val="21"/>
              </w:rPr>
            </w:pPr>
            <w:r>
              <w:rPr>
                <w:spacing w:val="-2"/>
                <w:sz w:val="21"/>
              </w:rPr>
              <w:t>该病是累及脊髓前角细胞及延髓运动核的神经元退行性变性病。在出生后两年内出现的脊髓和脑干颅神经前角细胞进行性机能障碍，伴随肌肉无力和延髓机能障碍。</w:t>
            </w:r>
          </w:p>
          <w:p>
            <w:pPr>
              <w:pStyle w:val="11"/>
              <w:spacing w:line="269" w:lineRule="exact"/>
              <w:ind w:right="-15"/>
              <w:rPr>
                <w:rFonts w:ascii="黑体" w:hAnsi="黑体" w:eastAsia="黑体"/>
                <w:sz w:val="21"/>
              </w:rPr>
            </w:pPr>
            <w:r>
              <w:rPr>
                <w:rFonts w:ascii="黑体" w:hAnsi="黑体" w:eastAsia="黑体"/>
                <w:spacing w:val="-3"/>
                <w:sz w:val="21"/>
              </w:rPr>
              <w:t>我们承担本项疾病责任不受本合同责任免除中“遗传性疾病，先天性畸形、</w:t>
            </w:r>
          </w:p>
          <w:p>
            <w:pPr>
              <w:pStyle w:val="11"/>
              <w:spacing w:before="43"/>
              <w:rPr>
                <w:rFonts w:ascii="黑体" w:hAnsi="黑体" w:eastAsia="黑体"/>
                <w:sz w:val="21"/>
              </w:rPr>
            </w:pPr>
            <w:r>
              <w:rPr>
                <w:rFonts w:ascii="黑体" w:hAnsi="黑体" w:eastAsia="黑体"/>
                <w:spacing w:val="-1"/>
                <w:sz w:val="21"/>
              </w:rPr>
              <w:t>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957" w:type="dxa"/>
          </w:tcPr>
          <w:p>
            <w:pPr>
              <w:pStyle w:val="11"/>
              <w:ind w:left="0"/>
              <w:rPr>
                <w:sz w:val="20"/>
              </w:rPr>
            </w:pPr>
          </w:p>
          <w:p>
            <w:pPr>
              <w:pStyle w:val="11"/>
              <w:ind w:left="0"/>
              <w:rPr>
                <w:sz w:val="20"/>
              </w:rPr>
            </w:pPr>
          </w:p>
          <w:p>
            <w:pPr>
              <w:pStyle w:val="11"/>
              <w:ind w:left="0"/>
              <w:rPr>
                <w:sz w:val="20"/>
              </w:rPr>
            </w:pPr>
          </w:p>
          <w:p>
            <w:pPr>
              <w:pStyle w:val="11"/>
              <w:spacing w:before="10"/>
              <w:ind w:left="0"/>
              <w:rPr>
                <w:sz w:val="26"/>
              </w:rPr>
            </w:pPr>
          </w:p>
          <w:p>
            <w:pPr>
              <w:pStyle w:val="11"/>
              <w:spacing w:line="278" w:lineRule="auto"/>
              <w:ind w:left="107" w:right="88"/>
              <w:rPr>
                <w:sz w:val="21"/>
              </w:rPr>
            </w:pPr>
            <w:r>
              <w:rPr>
                <w:spacing w:val="-2"/>
                <w:sz w:val="21"/>
              </w:rPr>
              <w:t>九十四、亚急性硬化性全脑炎</w:t>
            </w:r>
          </w:p>
        </w:tc>
        <w:tc>
          <w:tcPr>
            <w:tcW w:w="6986" w:type="dxa"/>
          </w:tcPr>
          <w:p>
            <w:pPr>
              <w:pStyle w:val="11"/>
              <w:spacing w:before="20" w:line="278" w:lineRule="auto"/>
              <w:ind w:right="93"/>
              <w:jc w:val="both"/>
              <w:rPr>
                <w:sz w:val="21"/>
              </w:rPr>
            </w:pPr>
            <w:r>
              <w:rPr>
                <w:spacing w:val="-2"/>
                <w:sz w:val="21"/>
              </w:rPr>
              <w:t xml:space="preserve">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 </w:t>
            </w:r>
            <w:r>
              <w:rPr>
                <w:rFonts w:ascii="Times New Roman" w:eastAsia="Times New Roman"/>
                <w:sz w:val="21"/>
              </w:rPr>
              <w:t>180</w:t>
            </w:r>
            <w:r>
              <w:rPr>
                <w:rFonts w:ascii="Times New Roman" w:eastAsia="Times New Roman"/>
                <w:spacing w:val="-9"/>
                <w:sz w:val="21"/>
              </w:rPr>
              <w:t xml:space="preserve"> </w:t>
            </w:r>
            <w:r>
              <w:rPr>
                <w:sz w:val="21"/>
              </w:rPr>
              <w:t>天后，仍遗留下列一种或一种以</w:t>
            </w:r>
            <w:r>
              <w:rPr>
                <w:spacing w:val="-4"/>
                <w:sz w:val="21"/>
              </w:rPr>
              <w:t>上障碍：</w:t>
            </w:r>
          </w:p>
          <w:p>
            <w:pPr>
              <w:pStyle w:val="11"/>
              <w:numPr>
                <w:ilvl w:val="0"/>
                <w:numId w:val="84"/>
              </w:numPr>
              <w:tabs>
                <w:tab w:val="left" w:pos="634"/>
              </w:tabs>
              <w:spacing w:before="0" w:after="0" w:line="269" w:lineRule="exact"/>
              <w:ind w:left="633" w:right="0" w:hanging="528"/>
              <w:jc w:val="left"/>
              <w:rPr>
                <w:sz w:val="21"/>
              </w:rPr>
            </w:pPr>
            <w:r>
              <w:rPr>
                <w:spacing w:val="-3"/>
                <w:sz w:val="21"/>
              </w:rPr>
              <w:t>一肢或一肢以上肢体机能完全丧失；</w:t>
            </w:r>
          </w:p>
          <w:p>
            <w:pPr>
              <w:pStyle w:val="11"/>
              <w:numPr>
                <w:ilvl w:val="0"/>
                <w:numId w:val="84"/>
              </w:numPr>
              <w:tabs>
                <w:tab w:val="left" w:pos="634"/>
              </w:tabs>
              <w:spacing w:before="43" w:after="0" w:line="240" w:lineRule="auto"/>
              <w:ind w:left="633" w:right="0" w:hanging="528"/>
              <w:jc w:val="left"/>
              <w:rPr>
                <w:sz w:val="21"/>
              </w:rPr>
            </w:pPr>
            <w:r>
              <w:rPr>
                <w:spacing w:val="-3"/>
                <w:sz w:val="21"/>
              </w:rPr>
              <w:t>语言能力或咀嚼吞咽能力完全丧失；</w:t>
            </w:r>
          </w:p>
          <w:p>
            <w:pPr>
              <w:pStyle w:val="11"/>
              <w:numPr>
                <w:ilvl w:val="0"/>
                <w:numId w:val="84"/>
              </w:numPr>
              <w:tabs>
                <w:tab w:val="left" w:pos="634"/>
              </w:tabs>
              <w:spacing w:before="2" w:after="0" w:line="310" w:lineRule="atLeast"/>
              <w:ind w:left="106" w:right="97" w:firstLine="0"/>
              <w:jc w:val="left"/>
              <w:rPr>
                <w:sz w:val="21"/>
              </w:rPr>
            </w:pPr>
            <w:r>
              <w:rPr>
                <w:spacing w:val="-3"/>
                <w:sz w:val="21"/>
              </w:rPr>
              <w:t>自主生活能力完全丧失，无法独立完成六项基本日常生活活动中的</w:t>
            </w:r>
            <w:r>
              <w:rPr>
                <w:spacing w:val="-4"/>
                <w:sz w:val="21"/>
              </w:rPr>
              <w:t>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57" w:type="dxa"/>
          </w:tcPr>
          <w:p>
            <w:pPr>
              <w:pStyle w:val="11"/>
              <w:spacing w:before="177" w:line="278" w:lineRule="auto"/>
              <w:ind w:left="107" w:right="88"/>
              <w:rPr>
                <w:sz w:val="21"/>
              </w:rPr>
            </w:pPr>
            <w:r>
              <w:rPr>
                <w:spacing w:val="-2"/>
                <w:sz w:val="21"/>
              </w:rPr>
              <w:t>九十五、严重脊髓</w:t>
            </w:r>
            <w:r>
              <w:rPr>
                <w:spacing w:val="-4"/>
                <w:sz w:val="21"/>
              </w:rPr>
              <w:t>灰质炎</w:t>
            </w:r>
          </w:p>
        </w:tc>
        <w:tc>
          <w:tcPr>
            <w:tcW w:w="6986" w:type="dxa"/>
          </w:tcPr>
          <w:p>
            <w:pPr>
              <w:pStyle w:val="11"/>
              <w:spacing w:before="21"/>
              <w:rPr>
                <w:sz w:val="21"/>
              </w:rPr>
            </w:pPr>
            <w:r>
              <w:rPr>
                <w:spacing w:val="-1"/>
                <w:sz w:val="21"/>
              </w:rPr>
              <w:t>脊髓灰质炎是由于脊髓灰质炎病毒感染所致的瘫痪性疾病，临床表现为运</w:t>
            </w:r>
          </w:p>
          <w:p>
            <w:pPr>
              <w:pStyle w:val="11"/>
              <w:spacing w:before="2" w:line="310" w:lineRule="atLeast"/>
              <w:ind w:right="93"/>
              <w:rPr>
                <w:rFonts w:ascii="黑体" w:eastAsia="黑体"/>
                <w:sz w:val="21"/>
              </w:rPr>
            </w:pPr>
            <w:r>
              <w:rPr>
                <w:spacing w:val="-2"/>
                <w:sz w:val="21"/>
              </w:rPr>
              <w:t>动功能损害或呼吸无力。脊髓灰质炎必须明确诊断。</w:t>
            </w:r>
            <w:r>
              <w:rPr>
                <w:rFonts w:ascii="黑体" w:eastAsia="黑体"/>
                <w:spacing w:val="-2"/>
                <w:sz w:val="21"/>
              </w:rPr>
              <w:t>我们仅对脊髓灰质炎</w:t>
            </w:r>
            <w:r>
              <w:rPr>
                <w:rFonts w:ascii="黑体" w:eastAsia="黑体"/>
                <w:spacing w:val="-1"/>
                <w:sz w:val="21"/>
              </w:rPr>
              <w:t>造成的神经系统功能损害导致被保险人一肢或一肢以上肢体随意运动功能</w:t>
            </w:r>
          </w:p>
        </w:tc>
      </w:tr>
    </w:tbl>
    <w:p>
      <w:pPr>
        <w:spacing w:after="0" w:line="310" w:lineRule="atLeast"/>
        <w:rPr>
          <w:rFonts w:ascii="黑体" w:eastAsia="黑体"/>
          <w:sz w:val="21"/>
        </w:rPr>
        <w:sectPr>
          <w:type w:val="continuous"/>
          <w:pgSz w:w="11910" w:h="16840"/>
          <w:pgMar w:top="1420" w:right="1160" w:bottom="1500" w:left="1540" w:header="0" w:footer="1264" w:gutter="0"/>
          <w:cols w:space="720" w:num="1"/>
        </w:sectPr>
      </w:pPr>
    </w:p>
    <w:tbl>
      <w:tblPr>
        <w:tblStyle w:val="7"/>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7"/>
        <w:gridCol w:w="6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957" w:type="dxa"/>
          </w:tcPr>
          <w:p>
            <w:pPr>
              <w:pStyle w:val="11"/>
              <w:ind w:left="0"/>
              <w:rPr>
                <w:rFonts w:ascii="Times New Roman"/>
                <w:sz w:val="20"/>
              </w:rPr>
            </w:pPr>
          </w:p>
        </w:tc>
        <w:tc>
          <w:tcPr>
            <w:tcW w:w="6986" w:type="dxa"/>
          </w:tcPr>
          <w:p>
            <w:pPr>
              <w:pStyle w:val="11"/>
              <w:spacing w:before="20" w:line="278" w:lineRule="auto"/>
              <w:ind w:right="93"/>
              <w:rPr>
                <w:sz w:val="21"/>
              </w:rPr>
            </w:pPr>
            <w:r>
              <w:rPr>
                <w:rFonts w:ascii="黑体" w:eastAsia="黑体"/>
                <w:spacing w:val="-2"/>
                <w:sz w:val="21"/>
              </w:rPr>
              <w:t>永久完全丧失的情况予以理赔。</w:t>
            </w:r>
            <w:r>
              <w:rPr>
                <w:spacing w:val="-2"/>
                <w:sz w:val="21"/>
              </w:rPr>
              <w:t>肢体随意运动功能永久完全丧失，指疾病</w:t>
            </w:r>
            <w:r>
              <w:rPr>
                <w:spacing w:val="-10"/>
                <w:sz w:val="21"/>
              </w:rPr>
              <w:t xml:space="preserve">确诊 </w:t>
            </w:r>
            <w:r>
              <w:rPr>
                <w:rFonts w:ascii="Times New Roman" w:eastAsia="Times New Roman"/>
                <w:sz w:val="21"/>
              </w:rPr>
              <w:t>180</w:t>
            </w:r>
            <w:r>
              <w:rPr>
                <w:rFonts w:ascii="Times New Roman" w:eastAsia="Times New Roman"/>
                <w:spacing w:val="23"/>
                <w:sz w:val="21"/>
              </w:rPr>
              <w:t xml:space="preserve"> </w:t>
            </w:r>
            <w:r>
              <w:rPr>
                <w:spacing w:val="-1"/>
                <w:sz w:val="21"/>
              </w:rPr>
              <w:t>天后，每肢三大关节中的两大关节仍然完全僵硬，或肢体肌力在</w:t>
            </w:r>
          </w:p>
          <w:p>
            <w:pPr>
              <w:pStyle w:val="11"/>
              <w:rPr>
                <w:sz w:val="21"/>
              </w:rPr>
            </w:pPr>
            <w:r>
              <w:rPr>
                <w:rFonts w:ascii="Times New Roman" w:eastAsia="Times New Roman"/>
                <w:sz w:val="21"/>
              </w:rPr>
              <w:t>2</w:t>
            </w:r>
            <w:r>
              <w:rPr>
                <w:rFonts w:ascii="Times New Roman" w:eastAsia="Times New Roman"/>
                <w:spacing w:val="-2"/>
                <w:sz w:val="21"/>
              </w:rPr>
              <w:t xml:space="preserve"> </w:t>
            </w:r>
            <w:r>
              <w:rPr>
                <w:sz w:val="21"/>
              </w:rPr>
              <w:t>级（含）</w:t>
            </w:r>
            <w:r>
              <w:rPr>
                <w:spacing w:val="-4"/>
                <w:sz w:val="21"/>
              </w:rPr>
              <w:t>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2"/>
              <w:ind w:left="0"/>
              <w:rPr>
                <w:sz w:val="18"/>
              </w:rPr>
            </w:pPr>
          </w:p>
          <w:p>
            <w:pPr>
              <w:pStyle w:val="11"/>
              <w:spacing w:line="278" w:lineRule="auto"/>
              <w:ind w:left="107" w:right="88"/>
              <w:rPr>
                <w:sz w:val="21"/>
              </w:rPr>
            </w:pPr>
            <w:r>
              <w:rPr>
                <w:spacing w:val="-2"/>
                <w:sz w:val="21"/>
              </w:rPr>
              <w:t>九十六、严重强直</w:t>
            </w:r>
            <w:r>
              <w:rPr>
                <w:spacing w:val="-4"/>
                <w:sz w:val="21"/>
              </w:rPr>
              <w:t>性脊柱炎</w:t>
            </w:r>
          </w:p>
        </w:tc>
        <w:tc>
          <w:tcPr>
            <w:tcW w:w="6986" w:type="dxa"/>
          </w:tcPr>
          <w:p>
            <w:pPr>
              <w:pStyle w:val="11"/>
              <w:spacing w:before="21" w:line="278" w:lineRule="auto"/>
              <w:ind w:right="93"/>
              <w:rPr>
                <w:sz w:val="21"/>
              </w:rPr>
            </w:pPr>
            <w:r>
              <w:rPr>
                <w:spacing w:val="-2"/>
                <w:sz w:val="21"/>
              </w:rPr>
              <w:t>强直性脊柱炎是一种慢性全身性炎性疾病，主要侵犯脊柱导致脊柱畸形。强直性脊柱炎必须明确诊断并且满足下列所有条件：</w:t>
            </w:r>
          </w:p>
          <w:p>
            <w:pPr>
              <w:pStyle w:val="11"/>
              <w:numPr>
                <w:ilvl w:val="0"/>
                <w:numId w:val="85"/>
              </w:numPr>
              <w:tabs>
                <w:tab w:val="left" w:pos="634"/>
              </w:tabs>
              <w:spacing w:before="0" w:after="0" w:line="240" w:lineRule="auto"/>
              <w:ind w:left="633" w:right="0" w:hanging="528"/>
              <w:jc w:val="left"/>
              <w:rPr>
                <w:sz w:val="21"/>
              </w:rPr>
            </w:pPr>
            <w:r>
              <w:rPr>
                <w:spacing w:val="-4"/>
                <w:sz w:val="21"/>
              </w:rPr>
              <w:t>严重脊柱畸形；</w:t>
            </w:r>
          </w:p>
          <w:p>
            <w:pPr>
              <w:pStyle w:val="11"/>
              <w:numPr>
                <w:ilvl w:val="0"/>
                <w:numId w:val="85"/>
              </w:numPr>
              <w:tabs>
                <w:tab w:val="left" w:pos="634"/>
              </w:tabs>
              <w:spacing w:before="2" w:after="0" w:line="310" w:lineRule="atLeast"/>
              <w:ind w:left="106" w:right="96" w:firstLine="0"/>
              <w:jc w:val="left"/>
              <w:rPr>
                <w:sz w:val="21"/>
              </w:rPr>
            </w:pPr>
            <w:r>
              <w:rPr>
                <w:spacing w:val="-2"/>
                <w:sz w:val="21"/>
              </w:rPr>
              <w:t>永久不可逆丧失自主生活能力，无法独立完成六项基本日常生活活</w:t>
            </w:r>
            <w:r>
              <w:rPr>
                <w:spacing w:val="-4"/>
                <w:sz w:val="21"/>
              </w:rPr>
              <w:t>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sz w:val="20"/>
              </w:rPr>
            </w:pPr>
          </w:p>
          <w:p>
            <w:pPr>
              <w:pStyle w:val="11"/>
              <w:ind w:left="0"/>
              <w:rPr>
                <w:sz w:val="20"/>
              </w:rPr>
            </w:pPr>
          </w:p>
          <w:p>
            <w:pPr>
              <w:pStyle w:val="11"/>
              <w:spacing w:before="5"/>
              <w:ind w:left="0"/>
              <w:rPr>
                <w:sz w:val="22"/>
              </w:rPr>
            </w:pPr>
          </w:p>
          <w:p>
            <w:pPr>
              <w:pStyle w:val="11"/>
              <w:spacing w:before="1" w:line="278" w:lineRule="auto"/>
              <w:ind w:left="107" w:right="88"/>
              <w:rPr>
                <w:sz w:val="21"/>
              </w:rPr>
            </w:pPr>
            <w:r>
              <w:rPr>
                <w:spacing w:val="-2"/>
                <w:sz w:val="21"/>
              </w:rPr>
              <w:t>九十七、神经白塞</w:t>
            </w:r>
            <w:r>
              <w:rPr>
                <w:spacing w:val="-10"/>
                <w:sz w:val="21"/>
              </w:rPr>
              <w:t>病</w:t>
            </w:r>
          </w:p>
        </w:tc>
        <w:tc>
          <w:tcPr>
            <w:tcW w:w="6986" w:type="dxa"/>
          </w:tcPr>
          <w:p>
            <w:pPr>
              <w:pStyle w:val="11"/>
              <w:spacing w:before="20" w:line="278" w:lineRule="auto"/>
              <w:ind w:right="-15"/>
              <w:rPr>
                <w:sz w:val="21"/>
              </w:rPr>
            </w:pPr>
            <w:r>
              <w:rPr>
                <w:spacing w:val="1"/>
                <w:sz w:val="21"/>
              </w:rPr>
              <w:t>白塞病是一种慢性全身性血管炎症性疾病，主要表现为复发性口腔溃疡、</w:t>
            </w:r>
            <w:r>
              <w:rPr>
                <w:spacing w:val="-6"/>
                <w:sz w:val="21"/>
              </w:rPr>
              <w:t>生殖器溃疡、眼炎及皮肤损害，并可累及大血管、神经系统、消化道、肺、</w:t>
            </w:r>
            <w:r>
              <w:rPr>
                <w:spacing w:val="1"/>
                <w:sz w:val="21"/>
              </w:rPr>
              <w:t>肾等等。累及神经系统损害的白塞病称为神经白塞病。神经白塞病必须明</w:t>
            </w:r>
            <w:r>
              <w:rPr>
                <w:spacing w:val="-12"/>
                <w:sz w:val="21"/>
              </w:rPr>
              <w:t xml:space="preserve">确诊断，并且已经造成永久不可逆的神经系统功能损害，被保险人持续 </w:t>
            </w:r>
            <w:r>
              <w:rPr>
                <w:rFonts w:ascii="Times New Roman" w:eastAsia="Times New Roman"/>
                <w:sz w:val="21"/>
              </w:rPr>
              <w:t>1</w:t>
            </w:r>
            <w:r>
              <w:rPr>
                <w:rFonts w:ascii="Times New Roman" w:eastAsia="Times New Roman"/>
                <w:spacing w:val="-1"/>
                <w:sz w:val="21"/>
              </w:rPr>
              <w:t>80</w:t>
            </w:r>
            <w:r>
              <w:rPr>
                <w:sz w:val="21"/>
              </w:rPr>
              <w:t>天无法独立完成下列基本日常生活活动之一：</w:t>
            </w:r>
          </w:p>
          <w:p>
            <w:pPr>
              <w:pStyle w:val="11"/>
              <w:numPr>
                <w:ilvl w:val="0"/>
                <w:numId w:val="86"/>
              </w:numPr>
              <w:tabs>
                <w:tab w:val="left" w:pos="634"/>
              </w:tabs>
              <w:spacing w:before="0" w:after="0" w:line="269" w:lineRule="exact"/>
              <w:ind w:left="633" w:right="0" w:hanging="528"/>
              <w:jc w:val="left"/>
              <w:rPr>
                <w:sz w:val="21"/>
              </w:rPr>
            </w:pPr>
            <w:r>
              <w:rPr>
                <w:spacing w:val="-3"/>
                <w:sz w:val="21"/>
              </w:rPr>
              <w:t>移动：自己从一个房间到另一个房间；</w:t>
            </w:r>
          </w:p>
          <w:p>
            <w:pPr>
              <w:pStyle w:val="11"/>
              <w:numPr>
                <w:ilvl w:val="0"/>
                <w:numId w:val="86"/>
              </w:numPr>
              <w:tabs>
                <w:tab w:val="left" w:pos="634"/>
              </w:tabs>
              <w:spacing w:before="43" w:after="0" w:line="240" w:lineRule="auto"/>
              <w:ind w:left="633" w:right="0" w:hanging="528"/>
              <w:jc w:val="left"/>
              <w:rPr>
                <w:sz w:val="21"/>
              </w:rPr>
            </w:pPr>
            <w:r>
              <w:rPr>
                <w:spacing w:val="-3"/>
                <w:sz w:val="21"/>
              </w:rPr>
              <w:t>进食：自己从已准备好的碗或碟中取食物放入口中。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957" w:type="dxa"/>
          </w:tcPr>
          <w:p>
            <w:pPr>
              <w:pStyle w:val="11"/>
              <w:ind w:left="0"/>
              <w:rPr>
                <w:sz w:val="20"/>
              </w:rPr>
            </w:pPr>
          </w:p>
          <w:p>
            <w:pPr>
              <w:pStyle w:val="11"/>
              <w:ind w:left="0"/>
              <w:rPr>
                <w:sz w:val="20"/>
              </w:rPr>
            </w:pPr>
          </w:p>
          <w:p>
            <w:pPr>
              <w:pStyle w:val="11"/>
              <w:spacing w:before="131" w:line="278" w:lineRule="auto"/>
              <w:ind w:left="107" w:right="88"/>
              <w:jc w:val="both"/>
              <w:rPr>
                <w:sz w:val="21"/>
              </w:rPr>
            </w:pPr>
            <w:r>
              <w:rPr>
                <w:spacing w:val="-2"/>
                <w:sz w:val="21"/>
              </w:rPr>
              <w:t>九十八、严重的脊髓空洞症或严重的延髓空洞症</w:t>
            </w:r>
          </w:p>
        </w:tc>
        <w:tc>
          <w:tcPr>
            <w:tcW w:w="6986" w:type="dxa"/>
          </w:tcPr>
          <w:p>
            <w:pPr>
              <w:pStyle w:val="11"/>
              <w:spacing w:before="20" w:line="278" w:lineRule="auto"/>
              <w:ind w:right="93"/>
              <w:jc w:val="both"/>
              <w:rPr>
                <w:sz w:val="21"/>
              </w:rPr>
            </w:pPr>
            <w:r>
              <w:rPr>
                <w:spacing w:val="-2"/>
                <w:sz w:val="21"/>
              </w:rPr>
              <w:t xml:space="preserve">脊髓空洞症为慢性进行性的脊髓变性性疾病，其特征为脊髓内空洞形成。表现为感觉异常、肌萎缩及神经营养障碍。脊髓空洞症累及延髓称为延髓空洞症，表现为延髓麻痹。脊髓空洞症必须明确诊断并且造成永久不可逆的神经系统功能障碍，存在持续至少 </w:t>
            </w:r>
            <w:r>
              <w:rPr>
                <w:rFonts w:ascii="Times New Roman" w:eastAsia="Times New Roman"/>
                <w:sz w:val="21"/>
              </w:rPr>
              <w:t>180</w:t>
            </w:r>
            <w:r>
              <w:rPr>
                <w:rFonts w:ascii="Times New Roman" w:eastAsia="Times New Roman"/>
                <w:spacing w:val="-9"/>
                <w:sz w:val="21"/>
              </w:rPr>
              <w:t xml:space="preserve"> </w:t>
            </w:r>
            <w:r>
              <w:rPr>
                <w:sz w:val="21"/>
              </w:rPr>
              <w:t>天以上的神经系统功能缺失并满</w:t>
            </w:r>
            <w:r>
              <w:rPr>
                <w:spacing w:val="-2"/>
                <w:sz w:val="21"/>
              </w:rPr>
              <w:t>足下列任一条件：</w:t>
            </w:r>
          </w:p>
          <w:p>
            <w:pPr>
              <w:pStyle w:val="11"/>
              <w:numPr>
                <w:ilvl w:val="0"/>
                <w:numId w:val="87"/>
              </w:numPr>
              <w:tabs>
                <w:tab w:val="left" w:pos="634"/>
              </w:tabs>
              <w:spacing w:before="0" w:after="0" w:line="269" w:lineRule="exact"/>
              <w:ind w:left="633" w:right="0" w:hanging="528"/>
              <w:jc w:val="left"/>
              <w:rPr>
                <w:sz w:val="21"/>
              </w:rPr>
            </w:pPr>
            <w:r>
              <w:rPr>
                <w:spacing w:val="-3"/>
                <w:sz w:val="21"/>
              </w:rPr>
              <w:t>延髓麻痹呈现显著舌肌萎缩、构音困难和吞咽困难；或</w:t>
            </w:r>
          </w:p>
          <w:p>
            <w:pPr>
              <w:pStyle w:val="11"/>
              <w:numPr>
                <w:ilvl w:val="0"/>
                <w:numId w:val="87"/>
              </w:numPr>
              <w:tabs>
                <w:tab w:val="left" w:pos="634"/>
              </w:tabs>
              <w:spacing w:before="43" w:after="0" w:line="240" w:lineRule="auto"/>
              <w:ind w:left="633" w:right="0" w:hanging="528"/>
              <w:jc w:val="left"/>
              <w:rPr>
                <w:sz w:val="21"/>
              </w:rPr>
            </w:pPr>
            <w:r>
              <w:rPr>
                <w:sz w:val="21"/>
              </w:rPr>
              <w:t>双手萎缩呈</w:t>
            </w:r>
            <w:r>
              <w:rPr>
                <w:rFonts w:ascii="Times New Roman" w:hAnsi="Times New Roman" w:eastAsia="Times New Roman"/>
                <w:sz w:val="21"/>
              </w:rPr>
              <w:t>“</w:t>
            </w:r>
            <w:r>
              <w:rPr>
                <w:sz w:val="21"/>
              </w:rPr>
              <w:t>爪形手</w:t>
            </w:r>
            <w:r>
              <w:rPr>
                <w:rFonts w:ascii="Times New Roman" w:hAnsi="Times New Roman" w:eastAsia="Times New Roman"/>
                <w:sz w:val="21"/>
              </w:rPr>
              <w:t>”</w:t>
            </w:r>
            <w:r>
              <w:rPr>
                <w:spacing w:val="-14"/>
                <w:sz w:val="21"/>
              </w:rPr>
              <w:t xml:space="preserve">，肌力 </w:t>
            </w:r>
            <w:r>
              <w:rPr>
                <w:rFonts w:ascii="Times New Roman" w:hAnsi="Times New Roman" w:eastAsia="Times New Roman"/>
                <w:sz w:val="21"/>
              </w:rPr>
              <w:t>2</w:t>
            </w:r>
            <w:r>
              <w:rPr>
                <w:rFonts w:ascii="Times New Roman" w:hAnsi="Times New Roman" w:eastAsia="Times New Roman"/>
                <w:spacing w:val="-4"/>
                <w:sz w:val="21"/>
              </w:rPr>
              <w:t xml:space="preserve"> </w:t>
            </w:r>
            <w:r>
              <w:rPr>
                <w:spacing w:val="-2"/>
                <w:sz w:val="21"/>
              </w:rPr>
              <w:t>级或以下。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957" w:type="dxa"/>
          </w:tcPr>
          <w:p>
            <w:pPr>
              <w:pStyle w:val="11"/>
              <w:ind w:left="0"/>
              <w:rPr>
                <w:sz w:val="20"/>
              </w:rPr>
            </w:pPr>
          </w:p>
          <w:p>
            <w:pPr>
              <w:pStyle w:val="11"/>
              <w:spacing w:before="2"/>
              <w:ind w:left="0"/>
              <w:rPr>
                <w:sz w:val="18"/>
              </w:rPr>
            </w:pPr>
          </w:p>
          <w:p>
            <w:pPr>
              <w:pStyle w:val="11"/>
              <w:spacing w:line="278" w:lineRule="auto"/>
              <w:ind w:left="107" w:right="88"/>
              <w:rPr>
                <w:sz w:val="21"/>
              </w:rPr>
            </w:pPr>
            <w:r>
              <w:rPr>
                <w:spacing w:val="-2"/>
                <w:sz w:val="21"/>
              </w:rPr>
              <w:t>九十九、严重肾上腺脑白质营养不良</w:t>
            </w:r>
          </w:p>
        </w:tc>
        <w:tc>
          <w:tcPr>
            <w:tcW w:w="6986" w:type="dxa"/>
          </w:tcPr>
          <w:p>
            <w:pPr>
              <w:pStyle w:val="11"/>
              <w:spacing w:before="21" w:line="278" w:lineRule="auto"/>
              <w:ind w:right="-15"/>
              <w:rPr>
                <w:sz w:val="21"/>
              </w:rPr>
            </w:pPr>
            <w:r>
              <w:rPr>
                <w:spacing w:val="1"/>
                <w:sz w:val="21"/>
              </w:rPr>
              <w:t>指一种最常见的过氧化物酶体病，主要累及肾上腺和脑白质，主要表现为</w:t>
            </w:r>
            <w:r>
              <w:rPr>
                <w:spacing w:val="-3"/>
                <w:sz w:val="21"/>
              </w:rPr>
              <w:t>进行性的精神运动障碍，视力及听力下降和</w:t>
            </w:r>
            <w:r>
              <w:rPr>
                <w:sz w:val="21"/>
              </w:rPr>
              <w:t>（或</w:t>
            </w:r>
            <w:r>
              <w:rPr>
                <w:spacing w:val="-18"/>
                <w:sz w:val="21"/>
              </w:rPr>
              <w:t>）</w:t>
            </w:r>
            <w:r>
              <w:rPr>
                <w:spacing w:val="-1"/>
                <w:sz w:val="21"/>
              </w:rPr>
              <w:t>肾上腺皮质功能低下等。</w:t>
            </w:r>
            <w:r>
              <w:rPr>
                <w:spacing w:val="1"/>
                <w:sz w:val="21"/>
              </w:rPr>
              <w:t>须经专科医生诊断，且已经造成自主生活能力完全丧失，无法独立完成六</w:t>
            </w:r>
            <w:r>
              <w:rPr>
                <w:spacing w:val="-3"/>
                <w:sz w:val="21"/>
              </w:rPr>
              <w:t xml:space="preserve">项基本日常生活活动中的三项或三项以上，持续至少 </w:t>
            </w:r>
            <w:r>
              <w:rPr>
                <w:rFonts w:ascii="Times New Roman" w:eastAsia="Times New Roman"/>
                <w:sz w:val="21"/>
              </w:rPr>
              <w:t>1</w:t>
            </w:r>
            <w:r>
              <w:rPr>
                <w:rFonts w:ascii="Times New Roman" w:eastAsia="Times New Roman"/>
                <w:spacing w:val="-1"/>
                <w:sz w:val="21"/>
              </w:rPr>
              <w:t>8</w:t>
            </w:r>
            <w:r>
              <w:rPr>
                <w:rFonts w:ascii="Times New Roman" w:eastAsia="Times New Roman"/>
                <w:sz w:val="21"/>
              </w:rPr>
              <w:t>0</w:t>
            </w:r>
            <w:r>
              <w:rPr>
                <w:rFonts w:ascii="Times New Roman" w:eastAsia="Times New Roman"/>
                <w:spacing w:val="-1"/>
                <w:sz w:val="21"/>
              </w:rPr>
              <w:t xml:space="preserve"> </w:t>
            </w:r>
            <w:r>
              <w:rPr>
                <w:sz w:val="21"/>
              </w:rPr>
              <w:t>天。</w:t>
            </w:r>
          </w:p>
          <w:p>
            <w:pPr>
              <w:pStyle w:val="11"/>
              <w:spacing w:line="269" w:lineRule="exact"/>
              <w:rPr>
                <w:rFonts w:ascii="黑体" w:eastAsia="黑体"/>
                <w:sz w:val="21"/>
              </w:rPr>
            </w:pPr>
            <w:r>
              <w:rPr>
                <w:rFonts w:ascii="黑体" w:eastAsia="黑体"/>
                <w:spacing w:val="-1"/>
                <w:sz w:val="21"/>
              </w:rPr>
              <w:t>本合同仅对三周岁以上的被保险人予以理赔。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957" w:type="dxa"/>
          </w:tcPr>
          <w:p>
            <w:pPr>
              <w:pStyle w:val="11"/>
              <w:ind w:left="0"/>
              <w:rPr>
                <w:sz w:val="20"/>
              </w:rPr>
            </w:pPr>
          </w:p>
          <w:p>
            <w:pPr>
              <w:pStyle w:val="11"/>
              <w:ind w:left="0"/>
              <w:rPr>
                <w:sz w:val="20"/>
              </w:rPr>
            </w:pPr>
          </w:p>
          <w:p>
            <w:pPr>
              <w:pStyle w:val="11"/>
              <w:spacing w:before="131"/>
              <w:ind w:left="107"/>
              <w:rPr>
                <w:sz w:val="21"/>
              </w:rPr>
            </w:pPr>
            <w:r>
              <w:rPr>
                <w:spacing w:val="-2"/>
                <w:sz w:val="21"/>
              </w:rPr>
              <w:t>一百、急性肺损伤</w:t>
            </w:r>
          </w:p>
          <w:p>
            <w:pPr>
              <w:pStyle w:val="11"/>
              <w:spacing w:before="43" w:line="278" w:lineRule="auto"/>
              <w:ind w:left="107" w:right="95"/>
              <w:rPr>
                <w:sz w:val="21"/>
              </w:rPr>
            </w:pPr>
            <w:r>
              <w:rPr>
                <w:spacing w:val="-10"/>
                <w:sz w:val="21"/>
              </w:rPr>
              <w:t>（</w:t>
            </w:r>
            <w:r>
              <w:rPr>
                <w:rFonts w:ascii="Times New Roman" w:eastAsia="Times New Roman"/>
                <w:spacing w:val="-10"/>
                <w:sz w:val="21"/>
              </w:rPr>
              <w:t>ALI</w:t>
            </w:r>
            <w:r>
              <w:rPr>
                <w:spacing w:val="-10"/>
                <w:sz w:val="21"/>
              </w:rPr>
              <w:t>）或急性呼吸</w:t>
            </w:r>
            <w:r>
              <w:rPr>
                <w:sz w:val="21"/>
              </w:rPr>
              <w:t>窘</w:t>
            </w:r>
            <w:r>
              <w:rPr>
                <w:spacing w:val="30"/>
                <w:sz w:val="21"/>
              </w:rPr>
              <w:t xml:space="preserve"> 迫</w:t>
            </w:r>
            <w:r>
              <w:rPr>
                <w:spacing w:val="31"/>
                <w:sz w:val="21"/>
              </w:rPr>
              <w:t xml:space="preserve"> 综 合</w:t>
            </w:r>
            <w:r>
              <w:rPr>
                <w:spacing w:val="26"/>
                <w:sz w:val="21"/>
              </w:rPr>
              <w:t xml:space="preserve"> 征</w:t>
            </w:r>
          </w:p>
          <w:p>
            <w:pPr>
              <w:pStyle w:val="11"/>
              <w:spacing w:line="269" w:lineRule="exact"/>
              <w:ind w:left="107"/>
              <w:rPr>
                <w:sz w:val="21"/>
              </w:rPr>
            </w:pPr>
            <w:r>
              <w:rPr>
                <w:spacing w:val="-2"/>
                <w:sz w:val="21"/>
              </w:rPr>
              <w:t>（</w:t>
            </w:r>
            <w:r>
              <w:rPr>
                <w:rFonts w:ascii="Times New Roman" w:eastAsia="Times New Roman"/>
                <w:spacing w:val="-2"/>
                <w:sz w:val="21"/>
              </w:rPr>
              <w:t>ARDS</w:t>
            </w:r>
            <w:r>
              <w:rPr>
                <w:spacing w:val="-2"/>
                <w:sz w:val="21"/>
              </w:rPr>
              <w:t>）</w:t>
            </w:r>
          </w:p>
        </w:tc>
        <w:tc>
          <w:tcPr>
            <w:tcW w:w="6986" w:type="dxa"/>
          </w:tcPr>
          <w:p>
            <w:pPr>
              <w:pStyle w:val="11"/>
              <w:spacing w:before="20" w:line="278" w:lineRule="auto"/>
              <w:ind w:right="93"/>
              <w:jc w:val="both"/>
              <w:rPr>
                <w:sz w:val="21"/>
              </w:rPr>
            </w:pPr>
            <w:r>
              <w:rPr>
                <w:spacing w:val="-2"/>
                <w:sz w:val="21"/>
              </w:rPr>
              <w:t>指一种由于肺泡毛细血管和肺泡上皮细胞损伤引起的弥漫性肺间质及肺泡水肿，以进行性低氧血症、呼吸窘迫为特征的急性呼吸综合征。须由呼吸科或者重症监护室专科医生明确诊断，并须满足下列全部条件：</w:t>
            </w:r>
          </w:p>
          <w:p>
            <w:pPr>
              <w:pStyle w:val="11"/>
              <w:numPr>
                <w:ilvl w:val="0"/>
                <w:numId w:val="88"/>
              </w:numPr>
              <w:tabs>
                <w:tab w:val="left" w:pos="739"/>
              </w:tabs>
              <w:spacing w:before="0" w:after="0" w:line="240" w:lineRule="auto"/>
              <w:ind w:left="738" w:right="0" w:hanging="633"/>
              <w:jc w:val="both"/>
              <w:rPr>
                <w:sz w:val="21"/>
              </w:rPr>
            </w:pPr>
            <w:r>
              <w:rPr>
                <w:sz w:val="21"/>
              </w:rPr>
              <w:t>急性发作（</w:t>
            </w:r>
            <w:r>
              <w:rPr>
                <w:spacing w:val="-7"/>
                <w:sz w:val="21"/>
              </w:rPr>
              <w:t xml:space="preserve">原发疾病起病后 </w:t>
            </w:r>
            <w:r>
              <w:rPr>
                <w:rFonts w:ascii="Times New Roman" w:eastAsia="Times New Roman"/>
                <w:sz w:val="21"/>
              </w:rPr>
              <w:t>7</w:t>
            </w:r>
            <w:r>
              <w:rPr>
                <w:rFonts w:ascii="Times New Roman" w:eastAsia="Times New Roman"/>
                <w:spacing w:val="-2"/>
                <w:sz w:val="21"/>
              </w:rPr>
              <w:t xml:space="preserve"> </w:t>
            </w:r>
            <w:r>
              <w:rPr>
                <w:sz w:val="21"/>
              </w:rPr>
              <w:t>天内发病</w:t>
            </w:r>
            <w:r>
              <w:rPr>
                <w:spacing w:val="-111"/>
                <w:sz w:val="21"/>
              </w:rPr>
              <w:t>）</w:t>
            </w:r>
            <w:r>
              <w:rPr>
                <w:spacing w:val="-5"/>
                <w:sz w:val="21"/>
              </w:rPr>
              <w:t>；</w:t>
            </w:r>
          </w:p>
          <w:p>
            <w:pPr>
              <w:pStyle w:val="11"/>
              <w:numPr>
                <w:ilvl w:val="0"/>
                <w:numId w:val="88"/>
              </w:numPr>
              <w:tabs>
                <w:tab w:val="left" w:pos="739"/>
              </w:tabs>
              <w:spacing w:before="43" w:after="0" w:line="240" w:lineRule="auto"/>
              <w:ind w:left="738" w:right="0" w:hanging="633"/>
              <w:jc w:val="both"/>
              <w:rPr>
                <w:sz w:val="21"/>
              </w:rPr>
            </w:pPr>
            <w:r>
              <w:rPr>
                <w:spacing w:val="-3"/>
                <w:sz w:val="21"/>
              </w:rPr>
              <w:t>影像学检查证实双肺浸润影；</w:t>
            </w:r>
          </w:p>
          <w:p>
            <w:pPr>
              <w:pStyle w:val="11"/>
              <w:numPr>
                <w:ilvl w:val="0"/>
                <w:numId w:val="88"/>
              </w:numPr>
              <w:tabs>
                <w:tab w:val="left" w:pos="713"/>
              </w:tabs>
              <w:spacing w:before="43" w:after="0" w:line="278" w:lineRule="auto"/>
              <w:ind w:left="106" w:right="96" w:firstLine="0"/>
              <w:jc w:val="both"/>
              <w:rPr>
                <w:sz w:val="21"/>
              </w:rPr>
            </w:pPr>
            <w:r>
              <w:rPr>
                <w:rFonts w:ascii="Times New Roman" w:hAnsi="Times New Roman" w:eastAsia="Times New Roman"/>
                <w:sz w:val="21"/>
              </w:rPr>
              <w:t>PEEP(</w:t>
            </w:r>
            <w:r>
              <w:rPr>
                <w:sz w:val="21"/>
              </w:rPr>
              <w:t>呼气末正压</w:t>
            </w:r>
            <w:r>
              <w:rPr>
                <w:rFonts w:ascii="Times New Roman" w:hAnsi="Times New Roman" w:eastAsia="Times New Roman"/>
                <w:sz w:val="21"/>
              </w:rPr>
              <w:t>)</w:t>
            </w:r>
            <w:r>
              <w:rPr>
                <w:sz w:val="21"/>
              </w:rPr>
              <w:t>≥</w:t>
            </w:r>
            <w:r>
              <w:rPr>
                <w:rFonts w:ascii="Times New Roman" w:hAnsi="Times New Roman" w:eastAsia="Times New Roman"/>
                <w:sz w:val="21"/>
              </w:rPr>
              <w:t>5cmH</w:t>
            </w:r>
            <w:r>
              <w:rPr>
                <w:rFonts w:ascii="Times New Roman" w:hAnsi="Times New Roman" w:eastAsia="Times New Roman"/>
                <w:sz w:val="21"/>
                <w:vertAlign w:val="subscript"/>
              </w:rPr>
              <w:t>2</w:t>
            </w:r>
            <w:r>
              <w:rPr>
                <w:rFonts w:ascii="Times New Roman" w:hAnsi="Times New Roman" w:eastAsia="Times New Roman"/>
                <w:sz w:val="21"/>
                <w:vertAlign w:val="baseline"/>
              </w:rPr>
              <w:t>O</w:t>
            </w:r>
            <w:r>
              <w:rPr>
                <w:rFonts w:ascii="Times New Roman" w:hAnsi="Times New Roman" w:eastAsia="Times New Roman"/>
                <w:spacing w:val="-14"/>
                <w:sz w:val="21"/>
                <w:vertAlign w:val="baseline"/>
              </w:rPr>
              <w:t xml:space="preserve"> </w:t>
            </w:r>
            <w:r>
              <w:rPr>
                <w:sz w:val="21"/>
                <w:vertAlign w:val="baseline"/>
              </w:rPr>
              <w:t>时，</w:t>
            </w:r>
            <w:r>
              <w:rPr>
                <w:rFonts w:ascii="Times New Roman" w:hAnsi="Times New Roman" w:eastAsia="Times New Roman"/>
                <w:sz w:val="21"/>
                <w:vertAlign w:val="baseline"/>
              </w:rPr>
              <w:t>PaO</w:t>
            </w:r>
            <w:r>
              <w:rPr>
                <w:rFonts w:ascii="Times New Roman" w:hAnsi="Times New Roman" w:eastAsia="Times New Roman"/>
                <w:sz w:val="21"/>
                <w:vertAlign w:val="subscript"/>
              </w:rPr>
              <w:t>2</w:t>
            </w:r>
            <w:r>
              <w:rPr>
                <w:rFonts w:ascii="Times New Roman" w:hAnsi="Times New Roman" w:eastAsia="Times New Roman"/>
                <w:sz w:val="21"/>
                <w:vertAlign w:val="baseline"/>
              </w:rPr>
              <w:t>/FiO</w:t>
            </w:r>
            <w:r>
              <w:rPr>
                <w:rFonts w:ascii="Times New Roman" w:hAnsi="Times New Roman" w:eastAsia="Times New Roman"/>
                <w:sz w:val="21"/>
                <w:vertAlign w:val="subscript"/>
              </w:rPr>
              <w:t>2</w:t>
            </w:r>
            <w:r>
              <w:rPr>
                <w:sz w:val="21"/>
                <w:vertAlign w:val="baseline"/>
              </w:rPr>
              <w:t>（动脉氧分压</w:t>
            </w:r>
            <w:r>
              <w:rPr>
                <w:rFonts w:ascii="Times New Roman" w:hAnsi="Times New Roman" w:eastAsia="Times New Roman"/>
                <w:sz w:val="21"/>
                <w:vertAlign w:val="baseline"/>
              </w:rPr>
              <w:t>/</w:t>
            </w:r>
            <w:r>
              <w:rPr>
                <w:sz w:val="21"/>
                <w:vertAlign w:val="baseline"/>
              </w:rPr>
              <w:t>吸入氧浓度）</w:t>
            </w:r>
            <w:r>
              <w:rPr>
                <w:spacing w:val="-15"/>
                <w:sz w:val="21"/>
                <w:vertAlign w:val="baseline"/>
              </w:rPr>
              <w:t xml:space="preserve">低于 </w:t>
            </w:r>
            <w:r>
              <w:rPr>
                <w:rFonts w:ascii="Times New Roman" w:hAnsi="Times New Roman" w:eastAsia="Times New Roman"/>
                <w:sz w:val="21"/>
                <w:vertAlign w:val="baseline"/>
              </w:rPr>
              <w:t>200mmHg</w:t>
            </w:r>
            <w:r>
              <w:rPr>
                <w:sz w:val="21"/>
                <w:vertAlign w:val="baseline"/>
              </w:rPr>
              <w:t>；</w:t>
            </w:r>
          </w:p>
          <w:p>
            <w:pPr>
              <w:pStyle w:val="11"/>
              <w:numPr>
                <w:ilvl w:val="0"/>
                <w:numId w:val="88"/>
              </w:numPr>
              <w:tabs>
                <w:tab w:val="left" w:pos="738"/>
              </w:tabs>
              <w:spacing w:before="0" w:after="0" w:line="269" w:lineRule="exact"/>
              <w:ind w:left="738" w:right="0" w:hanging="632"/>
              <w:jc w:val="both"/>
              <w:rPr>
                <w:sz w:val="21"/>
              </w:rPr>
            </w:pPr>
            <w:r>
              <w:rPr>
                <w:spacing w:val="-3"/>
                <w:sz w:val="21"/>
              </w:rPr>
              <w:t>非心源性导致的肺水肿。</w:t>
            </w:r>
          </w:p>
        </w:tc>
      </w:tr>
    </w:tbl>
    <w:p>
      <w:pPr>
        <w:spacing w:before="24"/>
        <w:ind w:left="0" w:right="633" w:firstLine="0"/>
        <w:jc w:val="right"/>
        <w:rPr>
          <w:rFonts w:ascii="Times New Roman" w:eastAsia="Times New Roman"/>
          <w:b/>
          <w:sz w:val="21"/>
        </w:rPr>
      </w:pPr>
      <w:r>
        <w:rPr>
          <w:rFonts w:ascii="Times New Roman" w:eastAsia="Times New Roman"/>
          <w:b/>
          <w:w w:val="95"/>
          <w:sz w:val="21"/>
        </w:rPr>
        <w:t>&lt;</w:t>
      </w:r>
      <w:r>
        <w:rPr>
          <w:b/>
          <w:w w:val="95"/>
          <w:sz w:val="21"/>
        </w:rPr>
        <w:t>本页结束</w:t>
      </w:r>
      <w:r>
        <w:rPr>
          <w:rFonts w:ascii="Times New Roman" w:eastAsia="Times New Roman"/>
          <w:b/>
          <w:spacing w:val="-10"/>
          <w:w w:val="95"/>
          <w:sz w:val="21"/>
        </w:rPr>
        <w:t>&gt;</w:t>
      </w:r>
    </w:p>
    <w:sectPr>
      <w:type w:val="continuous"/>
      <w:pgSz w:w="11910" w:h="16840"/>
      <w:pgMar w:top="1420" w:right="1160" w:bottom="1540" w:left="1540" w:header="0" w:footer="126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Malgun Gothic">
    <w:panose1 w:val="020B0503020000020004"/>
    <w:charset w:val="81"/>
    <w:family w:val="swiss"/>
    <w:pitch w:val="default"/>
    <w:sig w:usb0="900002AF" w:usb1="01D77CFB" w:usb2="00000012" w:usb3="00000000" w:csb0="00080001"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docshape1" o:spid="_x0000_s2049" o:spt="202" type="#_x0000_t202" style="position:absolute;left:0pt;margin-left:493.55pt;margin-top:773.75pt;height:12pt;width:1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r>
      <w:pict>
        <v:shape id="docshape2" o:spid="_x0000_s2050" o:spt="202" type="#_x0000_t202" style="position:absolute;left:0pt;margin-left:91.5pt;margin-top:774.95pt;height:10pt;width:105.9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00" w:lineRule="exact"/>
                  <w:ind w:left="20" w:right="0" w:firstLine="0"/>
                  <w:jc w:val="left"/>
                  <w:rPr>
                    <w:sz w:val="16"/>
                  </w:rPr>
                </w:pPr>
                <w:r>
                  <w:rPr>
                    <w:w w:val="95"/>
                    <w:sz w:val="16"/>
                  </w:rPr>
                  <w:t>长生长生福至尊重大疾病保</w:t>
                </w:r>
                <w:r>
                  <w:rPr>
                    <w:spacing w:val="-10"/>
                    <w:w w:val="95"/>
                    <w:sz w:val="16"/>
                  </w:rPr>
                  <w:t>险</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docshape7" o:spid="_x0000_s2051" o:spt="202" type="#_x0000_t202" style="position:absolute;left:0pt;margin-left:493.55pt;margin-top:763.45pt;height:12pt;width:16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r>
      <w:pict>
        <v:shape id="docshape8" o:spid="_x0000_s2052" o:spt="202" type="#_x0000_t202" style="position:absolute;left:0pt;margin-left:91.5pt;margin-top:764.6pt;height:10pt;width:105.9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00" w:lineRule="exact"/>
                  <w:ind w:left="20" w:right="0" w:firstLine="0"/>
                  <w:jc w:val="left"/>
                  <w:rPr>
                    <w:sz w:val="16"/>
                  </w:rPr>
                </w:pPr>
                <w:r>
                  <w:rPr>
                    <w:w w:val="95"/>
                    <w:sz w:val="16"/>
                  </w:rPr>
                  <w:t>长生长生福至尊重大疾病保</w:t>
                </w:r>
                <w:r>
                  <w:rPr>
                    <w:spacing w:val="-10"/>
                    <w:w w:val="95"/>
                    <w:sz w:val="16"/>
                  </w:rPr>
                  <w:t>险</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rect id="docshape9" o:spid="_x0000_s2053" o:spt="1" style="position:absolute;left:0pt;margin-left:89.85pt;margin-top:723.85pt;height:0.5pt;width:144pt;mso-position-horizontal-relative:page;mso-position-vertical-relative:page;z-index:-251652096;mso-width-relative:page;mso-height-relative:page;" fillcolor="#000000" filled="t" stroked="f" coordsize="21600,21600">
          <v:path/>
          <v:fill on="t" focussize="0,0"/>
          <v:stroke on="f"/>
          <v:imagedata o:title=""/>
          <o:lock v:ext="edit"/>
        </v:rect>
      </w:pict>
    </w:r>
    <w:r>
      <w:pict>
        <v:shape id="docshape10" o:spid="_x0000_s2054" o:spt="202" type="#_x0000_t202" style="position:absolute;left:0pt;margin-left:493.55pt;margin-top:763.45pt;height:12pt;width:16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r>
      <w:pict>
        <v:shape id="docshape11" o:spid="_x0000_s2055" o:spt="202" type="#_x0000_t202" style="position:absolute;left:0pt;margin-left:91.5pt;margin-top:764.6pt;height:10pt;width:105.9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00" w:lineRule="exact"/>
                  <w:ind w:left="20" w:right="0" w:firstLine="0"/>
                  <w:jc w:val="left"/>
                  <w:rPr>
                    <w:sz w:val="16"/>
                  </w:rPr>
                </w:pPr>
                <w:r>
                  <w:rPr>
                    <w:w w:val="95"/>
                    <w:sz w:val="16"/>
                  </w:rPr>
                  <w:t>长生长生福至尊重大疾病保</w:t>
                </w:r>
                <w:r>
                  <w:rPr>
                    <w:spacing w:val="-10"/>
                    <w:w w:val="95"/>
                    <w:sz w:val="16"/>
                  </w:rPr>
                  <w:t>险</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11"/>
      </w:rPr>
    </w:pPr>
    <w:r>
      <w:pict>
        <v:shape id="docshape12" o:spid="_x0000_s2056" o:spt="202" type="#_x0000_t202" style="position:absolute;left:0pt;margin-left:493.55pt;margin-top:763.45pt;height:12pt;width:16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r>
      <w:pict>
        <v:shape id="docshape13" o:spid="_x0000_s2057" o:spt="202" type="#_x0000_t202" style="position:absolute;left:0pt;margin-left:91.5pt;margin-top:764.6pt;height:10pt;width:105.9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before="0" w:line="200" w:lineRule="exact"/>
                  <w:ind w:left="20" w:right="0" w:firstLine="0"/>
                  <w:jc w:val="left"/>
                  <w:rPr>
                    <w:sz w:val="16"/>
                  </w:rPr>
                </w:pPr>
                <w:r>
                  <w:rPr>
                    <w:w w:val="95"/>
                    <w:sz w:val="16"/>
                  </w:rPr>
                  <w:t>长生长生福至尊重大疾病保</w:t>
                </w:r>
                <w:r>
                  <w:rPr>
                    <w:spacing w:val="-10"/>
                    <w:w w:val="95"/>
                    <w:sz w:val="16"/>
                  </w:rPr>
                  <w:t>险</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3"/>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2">
    <w:nsid w:val="825EC3C5"/>
    <w:multiLevelType w:val="multilevel"/>
    <w:tmpl w:val="825EC3C5"/>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55" w:hanging="527"/>
      </w:pPr>
      <w:rPr>
        <w:rFonts w:hint="default"/>
        <w:lang w:val="en-US" w:eastAsia="zh-CN" w:bidi="ar-SA"/>
      </w:rPr>
    </w:lvl>
    <w:lvl w:ilvl="2" w:tentative="0">
      <w:start w:val="0"/>
      <w:numFmt w:val="bullet"/>
      <w:lvlText w:val="•"/>
      <w:lvlJc w:val="left"/>
      <w:pPr>
        <w:ind w:left="1870" w:hanging="527"/>
      </w:pPr>
      <w:rPr>
        <w:rFonts w:hint="default"/>
        <w:lang w:val="en-US" w:eastAsia="zh-CN" w:bidi="ar-SA"/>
      </w:rPr>
    </w:lvl>
    <w:lvl w:ilvl="3" w:tentative="0">
      <w:start w:val="0"/>
      <w:numFmt w:val="bullet"/>
      <w:lvlText w:val="•"/>
      <w:lvlJc w:val="left"/>
      <w:pPr>
        <w:ind w:left="2486" w:hanging="527"/>
      </w:pPr>
      <w:rPr>
        <w:rFonts w:hint="default"/>
        <w:lang w:val="en-US" w:eastAsia="zh-CN" w:bidi="ar-SA"/>
      </w:rPr>
    </w:lvl>
    <w:lvl w:ilvl="4" w:tentative="0">
      <w:start w:val="0"/>
      <w:numFmt w:val="bullet"/>
      <w:lvlText w:val="•"/>
      <w:lvlJc w:val="left"/>
      <w:pPr>
        <w:ind w:left="3101" w:hanging="527"/>
      </w:pPr>
      <w:rPr>
        <w:rFonts w:hint="default"/>
        <w:lang w:val="en-US" w:eastAsia="zh-CN" w:bidi="ar-SA"/>
      </w:rPr>
    </w:lvl>
    <w:lvl w:ilvl="5" w:tentative="0">
      <w:start w:val="0"/>
      <w:numFmt w:val="bullet"/>
      <w:lvlText w:val="•"/>
      <w:lvlJc w:val="left"/>
      <w:pPr>
        <w:ind w:left="3717" w:hanging="527"/>
      </w:pPr>
      <w:rPr>
        <w:rFonts w:hint="default"/>
        <w:lang w:val="en-US" w:eastAsia="zh-CN" w:bidi="ar-SA"/>
      </w:rPr>
    </w:lvl>
    <w:lvl w:ilvl="6" w:tentative="0">
      <w:start w:val="0"/>
      <w:numFmt w:val="bullet"/>
      <w:lvlText w:val="•"/>
      <w:lvlJc w:val="left"/>
      <w:pPr>
        <w:ind w:left="4332" w:hanging="527"/>
      </w:pPr>
      <w:rPr>
        <w:rFonts w:hint="default"/>
        <w:lang w:val="en-US" w:eastAsia="zh-CN" w:bidi="ar-SA"/>
      </w:rPr>
    </w:lvl>
    <w:lvl w:ilvl="7" w:tentative="0">
      <w:start w:val="0"/>
      <w:numFmt w:val="bullet"/>
      <w:lvlText w:val="•"/>
      <w:lvlJc w:val="left"/>
      <w:pPr>
        <w:ind w:left="4947" w:hanging="527"/>
      </w:pPr>
      <w:rPr>
        <w:rFonts w:hint="default"/>
        <w:lang w:val="en-US" w:eastAsia="zh-CN" w:bidi="ar-SA"/>
      </w:rPr>
    </w:lvl>
    <w:lvl w:ilvl="8" w:tentative="0">
      <w:start w:val="0"/>
      <w:numFmt w:val="bullet"/>
      <w:lvlText w:val="•"/>
      <w:lvlJc w:val="left"/>
      <w:pPr>
        <w:ind w:left="5563" w:hanging="527"/>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shd w:val="clear" w:color="auto" w:fill="DADADA"/>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63" w:hanging="632"/>
      </w:pPr>
      <w:rPr>
        <w:rFonts w:hint="default"/>
        <w:lang w:val="en-US" w:eastAsia="zh-CN" w:bidi="ar-SA"/>
      </w:rPr>
    </w:lvl>
    <w:lvl w:ilvl="2" w:tentative="0">
      <w:start w:val="0"/>
      <w:numFmt w:val="bullet"/>
      <w:lvlText w:val="•"/>
      <w:lvlJc w:val="left"/>
      <w:pPr>
        <w:ind w:left="1987" w:hanging="632"/>
      </w:pPr>
      <w:rPr>
        <w:rFonts w:hint="default"/>
        <w:lang w:val="en-US" w:eastAsia="zh-CN" w:bidi="ar-SA"/>
      </w:rPr>
    </w:lvl>
    <w:lvl w:ilvl="3" w:tentative="0">
      <w:start w:val="0"/>
      <w:numFmt w:val="bullet"/>
      <w:lvlText w:val="•"/>
      <w:lvlJc w:val="left"/>
      <w:pPr>
        <w:ind w:left="2610" w:hanging="632"/>
      </w:pPr>
      <w:rPr>
        <w:rFonts w:hint="default"/>
        <w:lang w:val="en-US" w:eastAsia="zh-CN" w:bidi="ar-SA"/>
      </w:rPr>
    </w:lvl>
    <w:lvl w:ilvl="4" w:tentative="0">
      <w:start w:val="0"/>
      <w:numFmt w:val="bullet"/>
      <w:lvlText w:val="•"/>
      <w:lvlJc w:val="left"/>
      <w:pPr>
        <w:ind w:left="3234" w:hanging="632"/>
      </w:pPr>
      <w:rPr>
        <w:rFonts w:hint="default"/>
        <w:lang w:val="en-US" w:eastAsia="zh-CN" w:bidi="ar-SA"/>
      </w:rPr>
    </w:lvl>
    <w:lvl w:ilvl="5" w:tentative="0">
      <w:start w:val="0"/>
      <w:numFmt w:val="bullet"/>
      <w:lvlText w:val="•"/>
      <w:lvlJc w:val="left"/>
      <w:pPr>
        <w:ind w:left="3858" w:hanging="632"/>
      </w:pPr>
      <w:rPr>
        <w:rFonts w:hint="default"/>
        <w:lang w:val="en-US" w:eastAsia="zh-CN" w:bidi="ar-SA"/>
      </w:rPr>
    </w:lvl>
    <w:lvl w:ilvl="6" w:tentative="0">
      <w:start w:val="0"/>
      <w:numFmt w:val="bullet"/>
      <w:lvlText w:val="•"/>
      <w:lvlJc w:val="left"/>
      <w:pPr>
        <w:ind w:left="4481" w:hanging="632"/>
      </w:pPr>
      <w:rPr>
        <w:rFonts w:hint="default"/>
        <w:lang w:val="en-US" w:eastAsia="zh-CN" w:bidi="ar-SA"/>
      </w:rPr>
    </w:lvl>
    <w:lvl w:ilvl="7" w:tentative="0">
      <w:start w:val="0"/>
      <w:numFmt w:val="bullet"/>
      <w:lvlText w:val="•"/>
      <w:lvlJc w:val="left"/>
      <w:pPr>
        <w:ind w:left="5105" w:hanging="632"/>
      </w:pPr>
      <w:rPr>
        <w:rFonts w:hint="default"/>
        <w:lang w:val="en-US" w:eastAsia="zh-CN" w:bidi="ar-SA"/>
      </w:rPr>
    </w:lvl>
    <w:lvl w:ilvl="8" w:tentative="0">
      <w:start w:val="0"/>
      <w:numFmt w:val="bullet"/>
      <w:lvlText w:val="•"/>
      <w:lvlJc w:val="left"/>
      <w:pPr>
        <w:ind w:left="5728" w:hanging="632"/>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45" w:hanging="632"/>
      </w:pPr>
      <w:rPr>
        <w:rFonts w:hint="default"/>
        <w:lang w:val="en-US" w:eastAsia="zh-CN" w:bidi="ar-SA"/>
      </w:rPr>
    </w:lvl>
    <w:lvl w:ilvl="2" w:tentative="0">
      <w:start w:val="0"/>
      <w:numFmt w:val="bullet"/>
      <w:lvlText w:val="•"/>
      <w:lvlJc w:val="left"/>
      <w:pPr>
        <w:ind w:left="1950" w:hanging="632"/>
      </w:pPr>
      <w:rPr>
        <w:rFonts w:hint="default"/>
        <w:lang w:val="en-US" w:eastAsia="zh-CN" w:bidi="ar-SA"/>
      </w:rPr>
    </w:lvl>
    <w:lvl w:ilvl="3" w:tentative="0">
      <w:start w:val="0"/>
      <w:numFmt w:val="bullet"/>
      <w:lvlText w:val="•"/>
      <w:lvlJc w:val="left"/>
      <w:pPr>
        <w:ind w:left="2556" w:hanging="632"/>
      </w:pPr>
      <w:rPr>
        <w:rFonts w:hint="default"/>
        <w:lang w:val="en-US" w:eastAsia="zh-CN" w:bidi="ar-SA"/>
      </w:rPr>
    </w:lvl>
    <w:lvl w:ilvl="4" w:tentative="0">
      <w:start w:val="0"/>
      <w:numFmt w:val="bullet"/>
      <w:lvlText w:val="•"/>
      <w:lvlJc w:val="left"/>
      <w:pPr>
        <w:ind w:left="3161" w:hanging="632"/>
      </w:pPr>
      <w:rPr>
        <w:rFonts w:hint="default"/>
        <w:lang w:val="en-US" w:eastAsia="zh-CN" w:bidi="ar-SA"/>
      </w:rPr>
    </w:lvl>
    <w:lvl w:ilvl="5" w:tentative="0">
      <w:start w:val="0"/>
      <w:numFmt w:val="bullet"/>
      <w:lvlText w:val="•"/>
      <w:lvlJc w:val="left"/>
      <w:pPr>
        <w:ind w:left="3767" w:hanging="632"/>
      </w:pPr>
      <w:rPr>
        <w:rFonts w:hint="default"/>
        <w:lang w:val="en-US" w:eastAsia="zh-CN" w:bidi="ar-SA"/>
      </w:rPr>
    </w:lvl>
    <w:lvl w:ilvl="6" w:tentative="0">
      <w:start w:val="0"/>
      <w:numFmt w:val="bullet"/>
      <w:lvlText w:val="•"/>
      <w:lvlJc w:val="left"/>
      <w:pPr>
        <w:ind w:left="4372" w:hanging="632"/>
      </w:pPr>
      <w:rPr>
        <w:rFonts w:hint="default"/>
        <w:lang w:val="en-US" w:eastAsia="zh-CN" w:bidi="ar-SA"/>
      </w:rPr>
    </w:lvl>
    <w:lvl w:ilvl="7" w:tentative="0">
      <w:start w:val="0"/>
      <w:numFmt w:val="bullet"/>
      <w:lvlText w:val="•"/>
      <w:lvlJc w:val="left"/>
      <w:pPr>
        <w:ind w:left="4977" w:hanging="632"/>
      </w:pPr>
      <w:rPr>
        <w:rFonts w:hint="default"/>
        <w:lang w:val="en-US" w:eastAsia="zh-CN" w:bidi="ar-SA"/>
      </w:rPr>
    </w:lvl>
    <w:lvl w:ilvl="8" w:tentative="0">
      <w:start w:val="0"/>
      <w:numFmt w:val="bullet"/>
      <w:lvlText w:val="•"/>
      <w:lvlJc w:val="left"/>
      <w:pPr>
        <w:ind w:left="5583" w:hanging="632"/>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106" w:hanging="527"/>
        <w:jc w:val="left"/>
      </w:pPr>
      <w:rPr>
        <w:rFonts w:hint="default" w:ascii="宋体" w:hAnsi="宋体" w:eastAsia="宋体" w:cs="宋体"/>
        <w:b w:val="0"/>
        <w:bCs w:val="0"/>
        <w:i w:val="0"/>
        <w:iCs w:val="0"/>
        <w:spacing w:val="-45"/>
        <w:w w:val="100"/>
        <w:sz w:val="19"/>
        <w:szCs w:val="19"/>
        <w:lang w:val="en-US" w:eastAsia="zh-CN" w:bidi="ar-SA"/>
      </w:rPr>
    </w:lvl>
    <w:lvl w:ilvl="1" w:tentative="0">
      <w:start w:val="0"/>
      <w:numFmt w:val="bullet"/>
      <w:lvlText w:val="•"/>
      <w:lvlJc w:val="left"/>
      <w:pPr>
        <w:ind w:left="769" w:hanging="527"/>
      </w:pPr>
      <w:rPr>
        <w:rFonts w:hint="default"/>
        <w:lang w:val="en-US" w:eastAsia="zh-CN" w:bidi="ar-SA"/>
      </w:rPr>
    </w:lvl>
    <w:lvl w:ilvl="2" w:tentative="0">
      <w:start w:val="0"/>
      <w:numFmt w:val="bullet"/>
      <w:lvlText w:val="•"/>
      <w:lvlJc w:val="left"/>
      <w:pPr>
        <w:ind w:left="1438" w:hanging="527"/>
      </w:pPr>
      <w:rPr>
        <w:rFonts w:hint="default"/>
        <w:lang w:val="en-US" w:eastAsia="zh-CN" w:bidi="ar-SA"/>
      </w:rPr>
    </w:lvl>
    <w:lvl w:ilvl="3" w:tentative="0">
      <w:start w:val="0"/>
      <w:numFmt w:val="bullet"/>
      <w:lvlText w:val="•"/>
      <w:lvlJc w:val="left"/>
      <w:pPr>
        <w:ind w:left="2108" w:hanging="527"/>
      </w:pPr>
      <w:rPr>
        <w:rFonts w:hint="default"/>
        <w:lang w:val="en-US" w:eastAsia="zh-CN" w:bidi="ar-SA"/>
      </w:rPr>
    </w:lvl>
    <w:lvl w:ilvl="4" w:tentative="0">
      <w:start w:val="0"/>
      <w:numFmt w:val="bullet"/>
      <w:lvlText w:val="•"/>
      <w:lvlJc w:val="left"/>
      <w:pPr>
        <w:ind w:left="2777" w:hanging="527"/>
      </w:pPr>
      <w:rPr>
        <w:rFonts w:hint="default"/>
        <w:lang w:val="en-US" w:eastAsia="zh-CN" w:bidi="ar-SA"/>
      </w:rPr>
    </w:lvl>
    <w:lvl w:ilvl="5" w:tentative="0">
      <w:start w:val="0"/>
      <w:numFmt w:val="bullet"/>
      <w:lvlText w:val="•"/>
      <w:lvlJc w:val="left"/>
      <w:pPr>
        <w:ind w:left="3447" w:hanging="527"/>
      </w:pPr>
      <w:rPr>
        <w:rFonts w:hint="default"/>
        <w:lang w:val="en-US" w:eastAsia="zh-CN" w:bidi="ar-SA"/>
      </w:rPr>
    </w:lvl>
    <w:lvl w:ilvl="6" w:tentative="0">
      <w:start w:val="0"/>
      <w:numFmt w:val="bullet"/>
      <w:lvlText w:val="•"/>
      <w:lvlJc w:val="left"/>
      <w:pPr>
        <w:ind w:left="4116" w:hanging="527"/>
      </w:pPr>
      <w:rPr>
        <w:rFonts w:hint="default"/>
        <w:lang w:val="en-US" w:eastAsia="zh-CN" w:bidi="ar-SA"/>
      </w:rPr>
    </w:lvl>
    <w:lvl w:ilvl="7" w:tentative="0">
      <w:start w:val="0"/>
      <w:numFmt w:val="bullet"/>
      <w:lvlText w:val="•"/>
      <w:lvlJc w:val="left"/>
      <w:pPr>
        <w:ind w:left="4785" w:hanging="527"/>
      </w:pPr>
      <w:rPr>
        <w:rFonts w:hint="default"/>
        <w:lang w:val="en-US" w:eastAsia="zh-CN" w:bidi="ar-SA"/>
      </w:rPr>
    </w:lvl>
    <w:lvl w:ilvl="8" w:tentative="0">
      <w:start w:val="0"/>
      <w:numFmt w:val="bullet"/>
      <w:lvlText w:val="•"/>
      <w:lvlJc w:val="left"/>
      <w:pPr>
        <w:ind w:left="5455" w:hanging="527"/>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106" w:hanging="527"/>
        <w:jc w:val="left"/>
      </w:pPr>
      <w:rPr>
        <w:rFonts w:hint="default" w:ascii="宋体" w:hAnsi="宋体" w:eastAsia="宋体" w:cs="宋体"/>
        <w:b w:val="0"/>
        <w:bCs w:val="0"/>
        <w:i w:val="0"/>
        <w:iCs w:val="0"/>
        <w:spacing w:val="-28"/>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9">
    <w:nsid w:val="9288B902"/>
    <w:multiLevelType w:val="multilevel"/>
    <w:tmpl w:val="9288B902"/>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shd w:val="clear" w:color="auto" w:fill="DADADA"/>
        <w:lang w:val="en-US" w:eastAsia="zh-CN" w:bidi="ar-SA"/>
      </w:rPr>
    </w:lvl>
    <w:lvl w:ilvl="1" w:tentative="0">
      <w:start w:val="1"/>
      <w:numFmt w:val="decimal"/>
      <w:lvlText w:val="%2)"/>
      <w:lvlJc w:val="left"/>
      <w:pPr>
        <w:ind w:left="898" w:hanging="357"/>
        <w:jc w:val="left"/>
      </w:pPr>
      <w:rPr>
        <w:rFonts w:hint="default" w:ascii="Times New Roman" w:hAnsi="Times New Roman" w:eastAsia="Times New Roman" w:cs="Times New Roman"/>
        <w:b w:val="0"/>
        <w:bCs w:val="0"/>
        <w:i w:val="0"/>
        <w:iCs w:val="0"/>
        <w:w w:val="99"/>
        <w:sz w:val="18"/>
        <w:szCs w:val="18"/>
        <w:lang w:val="en-US" w:eastAsia="zh-CN" w:bidi="ar-SA"/>
      </w:rPr>
    </w:lvl>
    <w:lvl w:ilvl="2" w:tentative="0">
      <w:start w:val="0"/>
      <w:numFmt w:val="bullet"/>
      <w:lvlText w:val="•"/>
      <w:lvlJc w:val="left"/>
      <w:pPr>
        <w:ind w:left="1822" w:hanging="357"/>
      </w:pPr>
      <w:rPr>
        <w:rFonts w:hint="default"/>
        <w:lang w:val="en-US" w:eastAsia="zh-CN" w:bidi="ar-SA"/>
      </w:rPr>
    </w:lvl>
    <w:lvl w:ilvl="3" w:tentative="0">
      <w:start w:val="0"/>
      <w:numFmt w:val="bullet"/>
      <w:lvlText w:val="•"/>
      <w:lvlJc w:val="left"/>
      <w:pPr>
        <w:ind w:left="2745" w:hanging="357"/>
      </w:pPr>
      <w:rPr>
        <w:rFonts w:hint="default"/>
        <w:lang w:val="en-US" w:eastAsia="zh-CN" w:bidi="ar-SA"/>
      </w:rPr>
    </w:lvl>
    <w:lvl w:ilvl="4" w:tentative="0">
      <w:start w:val="0"/>
      <w:numFmt w:val="bullet"/>
      <w:lvlText w:val="•"/>
      <w:lvlJc w:val="left"/>
      <w:pPr>
        <w:ind w:left="3668" w:hanging="357"/>
      </w:pPr>
      <w:rPr>
        <w:rFonts w:hint="default"/>
        <w:lang w:val="en-US" w:eastAsia="zh-CN" w:bidi="ar-SA"/>
      </w:rPr>
    </w:lvl>
    <w:lvl w:ilvl="5" w:tentative="0">
      <w:start w:val="0"/>
      <w:numFmt w:val="bullet"/>
      <w:lvlText w:val="•"/>
      <w:lvlJc w:val="left"/>
      <w:pPr>
        <w:ind w:left="4591" w:hanging="357"/>
      </w:pPr>
      <w:rPr>
        <w:rFonts w:hint="default"/>
        <w:lang w:val="en-US" w:eastAsia="zh-CN" w:bidi="ar-SA"/>
      </w:rPr>
    </w:lvl>
    <w:lvl w:ilvl="6" w:tentative="0">
      <w:start w:val="0"/>
      <w:numFmt w:val="bullet"/>
      <w:lvlText w:val="•"/>
      <w:lvlJc w:val="left"/>
      <w:pPr>
        <w:ind w:left="5514" w:hanging="357"/>
      </w:pPr>
      <w:rPr>
        <w:rFonts w:hint="default"/>
        <w:lang w:val="en-US" w:eastAsia="zh-CN" w:bidi="ar-SA"/>
      </w:rPr>
    </w:lvl>
    <w:lvl w:ilvl="7" w:tentative="0">
      <w:start w:val="0"/>
      <w:numFmt w:val="bullet"/>
      <w:lvlText w:val="•"/>
      <w:lvlJc w:val="left"/>
      <w:pPr>
        <w:ind w:left="6437" w:hanging="357"/>
      </w:pPr>
      <w:rPr>
        <w:rFonts w:hint="default"/>
        <w:lang w:val="en-US" w:eastAsia="zh-CN" w:bidi="ar-SA"/>
      </w:rPr>
    </w:lvl>
    <w:lvl w:ilvl="8" w:tentative="0">
      <w:start w:val="0"/>
      <w:numFmt w:val="bullet"/>
      <w:lvlText w:val="•"/>
      <w:lvlJc w:val="left"/>
      <w:pPr>
        <w:ind w:left="7360" w:hanging="357"/>
      </w:pPr>
      <w:rPr>
        <w:rFonts w:hint="default"/>
        <w:lang w:val="en-US" w:eastAsia="zh-CN" w:bidi="ar-SA"/>
      </w:rPr>
    </w:lvl>
  </w:abstractNum>
  <w:abstractNum w:abstractNumId="10">
    <w:nsid w:val="9377BC45"/>
    <w:multiLevelType w:val="multilevel"/>
    <w:tmpl w:val="9377BC45"/>
    <w:lvl w:ilvl="0" w:tentative="0">
      <w:start w:val="1"/>
      <w:numFmt w:val="decimal"/>
      <w:lvlText w:val="（%1）"/>
      <w:lvlJc w:val="left"/>
      <w:pPr>
        <w:ind w:left="743" w:hanging="637"/>
        <w:jc w:val="left"/>
      </w:pPr>
      <w:rPr>
        <w:rFonts w:hint="default" w:ascii="宋体" w:hAnsi="宋体" w:eastAsia="宋体" w:cs="宋体"/>
        <w:b w:val="0"/>
        <w:bCs w:val="0"/>
        <w:i w:val="0"/>
        <w:iCs w:val="0"/>
        <w:spacing w:val="0"/>
        <w:w w:val="100"/>
        <w:sz w:val="21"/>
        <w:szCs w:val="21"/>
        <w:lang w:val="en-US" w:eastAsia="zh-CN" w:bidi="ar-SA"/>
      </w:rPr>
    </w:lvl>
    <w:lvl w:ilvl="1" w:tentative="0">
      <w:start w:val="0"/>
      <w:numFmt w:val="bullet"/>
      <w:lvlText w:val="•"/>
      <w:lvlJc w:val="left"/>
      <w:pPr>
        <w:ind w:left="1363" w:hanging="637"/>
      </w:pPr>
      <w:rPr>
        <w:rFonts w:hint="default"/>
        <w:lang w:val="en-US" w:eastAsia="zh-CN" w:bidi="ar-SA"/>
      </w:rPr>
    </w:lvl>
    <w:lvl w:ilvl="2" w:tentative="0">
      <w:start w:val="0"/>
      <w:numFmt w:val="bullet"/>
      <w:lvlText w:val="•"/>
      <w:lvlJc w:val="left"/>
      <w:pPr>
        <w:ind w:left="1987" w:hanging="637"/>
      </w:pPr>
      <w:rPr>
        <w:rFonts w:hint="default"/>
        <w:lang w:val="en-US" w:eastAsia="zh-CN" w:bidi="ar-SA"/>
      </w:rPr>
    </w:lvl>
    <w:lvl w:ilvl="3" w:tentative="0">
      <w:start w:val="0"/>
      <w:numFmt w:val="bullet"/>
      <w:lvlText w:val="•"/>
      <w:lvlJc w:val="left"/>
      <w:pPr>
        <w:ind w:left="2610" w:hanging="637"/>
      </w:pPr>
      <w:rPr>
        <w:rFonts w:hint="default"/>
        <w:lang w:val="en-US" w:eastAsia="zh-CN" w:bidi="ar-SA"/>
      </w:rPr>
    </w:lvl>
    <w:lvl w:ilvl="4" w:tentative="0">
      <w:start w:val="0"/>
      <w:numFmt w:val="bullet"/>
      <w:lvlText w:val="•"/>
      <w:lvlJc w:val="left"/>
      <w:pPr>
        <w:ind w:left="3234" w:hanging="637"/>
      </w:pPr>
      <w:rPr>
        <w:rFonts w:hint="default"/>
        <w:lang w:val="en-US" w:eastAsia="zh-CN" w:bidi="ar-SA"/>
      </w:rPr>
    </w:lvl>
    <w:lvl w:ilvl="5" w:tentative="0">
      <w:start w:val="0"/>
      <w:numFmt w:val="bullet"/>
      <w:lvlText w:val="•"/>
      <w:lvlJc w:val="left"/>
      <w:pPr>
        <w:ind w:left="3858" w:hanging="637"/>
      </w:pPr>
      <w:rPr>
        <w:rFonts w:hint="default"/>
        <w:lang w:val="en-US" w:eastAsia="zh-CN" w:bidi="ar-SA"/>
      </w:rPr>
    </w:lvl>
    <w:lvl w:ilvl="6" w:tentative="0">
      <w:start w:val="0"/>
      <w:numFmt w:val="bullet"/>
      <w:lvlText w:val="•"/>
      <w:lvlJc w:val="left"/>
      <w:pPr>
        <w:ind w:left="4481" w:hanging="637"/>
      </w:pPr>
      <w:rPr>
        <w:rFonts w:hint="default"/>
        <w:lang w:val="en-US" w:eastAsia="zh-CN" w:bidi="ar-SA"/>
      </w:rPr>
    </w:lvl>
    <w:lvl w:ilvl="7" w:tentative="0">
      <w:start w:val="0"/>
      <w:numFmt w:val="bullet"/>
      <w:lvlText w:val="•"/>
      <w:lvlJc w:val="left"/>
      <w:pPr>
        <w:ind w:left="5105" w:hanging="637"/>
      </w:pPr>
      <w:rPr>
        <w:rFonts w:hint="default"/>
        <w:lang w:val="en-US" w:eastAsia="zh-CN" w:bidi="ar-SA"/>
      </w:rPr>
    </w:lvl>
    <w:lvl w:ilvl="8" w:tentative="0">
      <w:start w:val="0"/>
      <w:numFmt w:val="bullet"/>
      <w:lvlText w:val="•"/>
      <w:lvlJc w:val="left"/>
      <w:pPr>
        <w:ind w:left="5728" w:hanging="637"/>
      </w:pPr>
      <w:rPr>
        <w:rFonts w:hint="default"/>
        <w:lang w:val="en-US" w:eastAsia="zh-CN" w:bidi="ar-SA"/>
      </w:rPr>
    </w:lvl>
  </w:abstractNum>
  <w:abstractNum w:abstractNumId="11">
    <w:nsid w:val="9ACF65A0"/>
    <w:multiLevelType w:val="multilevel"/>
    <w:tmpl w:val="9ACF65A0"/>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2">
    <w:nsid w:val="9C11E984"/>
    <w:multiLevelType w:val="multilevel"/>
    <w:tmpl w:val="9C11E984"/>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3">
    <w:nsid w:val="9D5D7490"/>
    <w:multiLevelType w:val="multilevel"/>
    <w:tmpl w:val="9D5D7490"/>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4">
    <w:nsid w:val="A0C93552"/>
    <w:multiLevelType w:val="multilevel"/>
    <w:tmpl w:val="A0C93552"/>
    <w:lvl w:ilvl="0" w:tentative="0">
      <w:start w:val="1"/>
      <w:numFmt w:val="decimal"/>
      <w:lvlText w:val="（%1）"/>
      <w:lvlJc w:val="left"/>
      <w:pPr>
        <w:ind w:left="106" w:hanging="527"/>
        <w:jc w:val="left"/>
      </w:pPr>
      <w:rPr>
        <w:rFonts w:hint="default" w:ascii="宋体" w:hAnsi="宋体" w:eastAsia="宋体" w:cs="宋体"/>
        <w:b w:val="0"/>
        <w:bCs w:val="0"/>
        <w:i w:val="0"/>
        <w:iCs w:val="0"/>
        <w:spacing w:val="-28"/>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15">
    <w:nsid w:val="A0F05207"/>
    <w:multiLevelType w:val="multilevel"/>
    <w:tmpl w:val="A0F05207"/>
    <w:lvl w:ilvl="0" w:tentative="0">
      <w:start w:val="1"/>
      <w:numFmt w:val="decimal"/>
      <w:lvlText w:val="（%1）"/>
      <w:lvlJc w:val="left"/>
      <w:pPr>
        <w:ind w:left="106" w:hanging="531"/>
        <w:jc w:val="left"/>
      </w:pPr>
      <w:rPr>
        <w:rFonts w:hint="default" w:ascii="宋体" w:hAnsi="宋体" w:eastAsia="宋体" w:cs="宋体"/>
        <w:b w:val="0"/>
        <w:bCs w:val="0"/>
        <w:i w:val="0"/>
        <w:iCs w:val="0"/>
        <w:spacing w:val="-21"/>
        <w:w w:val="100"/>
        <w:sz w:val="21"/>
        <w:szCs w:val="21"/>
        <w:lang w:val="en-US" w:eastAsia="zh-CN" w:bidi="ar-SA"/>
      </w:rPr>
    </w:lvl>
    <w:lvl w:ilvl="1" w:tentative="0">
      <w:start w:val="0"/>
      <w:numFmt w:val="bullet"/>
      <w:lvlText w:val="•"/>
      <w:lvlJc w:val="left"/>
      <w:pPr>
        <w:ind w:left="787" w:hanging="531"/>
      </w:pPr>
      <w:rPr>
        <w:rFonts w:hint="default"/>
        <w:lang w:val="en-US" w:eastAsia="zh-CN" w:bidi="ar-SA"/>
      </w:rPr>
    </w:lvl>
    <w:lvl w:ilvl="2" w:tentative="0">
      <w:start w:val="0"/>
      <w:numFmt w:val="bullet"/>
      <w:lvlText w:val="•"/>
      <w:lvlJc w:val="left"/>
      <w:pPr>
        <w:ind w:left="1475" w:hanging="531"/>
      </w:pPr>
      <w:rPr>
        <w:rFonts w:hint="default"/>
        <w:lang w:val="en-US" w:eastAsia="zh-CN" w:bidi="ar-SA"/>
      </w:rPr>
    </w:lvl>
    <w:lvl w:ilvl="3" w:tentative="0">
      <w:start w:val="0"/>
      <w:numFmt w:val="bullet"/>
      <w:lvlText w:val="•"/>
      <w:lvlJc w:val="left"/>
      <w:pPr>
        <w:ind w:left="2162" w:hanging="531"/>
      </w:pPr>
      <w:rPr>
        <w:rFonts w:hint="default"/>
        <w:lang w:val="en-US" w:eastAsia="zh-CN" w:bidi="ar-SA"/>
      </w:rPr>
    </w:lvl>
    <w:lvl w:ilvl="4" w:tentative="0">
      <w:start w:val="0"/>
      <w:numFmt w:val="bullet"/>
      <w:lvlText w:val="•"/>
      <w:lvlJc w:val="left"/>
      <w:pPr>
        <w:ind w:left="2850" w:hanging="531"/>
      </w:pPr>
      <w:rPr>
        <w:rFonts w:hint="default"/>
        <w:lang w:val="en-US" w:eastAsia="zh-CN" w:bidi="ar-SA"/>
      </w:rPr>
    </w:lvl>
    <w:lvl w:ilvl="5" w:tentative="0">
      <w:start w:val="0"/>
      <w:numFmt w:val="bullet"/>
      <w:lvlText w:val="•"/>
      <w:lvlJc w:val="left"/>
      <w:pPr>
        <w:ind w:left="3538" w:hanging="531"/>
      </w:pPr>
      <w:rPr>
        <w:rFonts w:hint="default"/>
        <w:lang w:val="en-US" w:eastAsia="zh-CN" w:bidi="ar-SA"/>
      </w:rPr>
    </w:lvl>
    <w:lvl w:ilvl="6" w:tentative="0">
      <w:start w:val="0"/>
      <w:numFmt w:val="bullet"/>
      <w:lvlText w:val="•"/>
      <w:lvlJc w:val="left"/>
      <w:pPr>
        <w:ind w:left="4225" w:hanging="531"/>
      </w:pPr>
      <w:rPr>
        <w:rFonts w:hint="default"/>
        <w:lang w:val="en-US" w:eastAsia="zh-CN" w:bidi="ar-SA"/>
      </w:rPr>
    </w:lvl>
    <w:lvl w:ilvl="7" w:tentative="0">
      <w:start w:val="0"/>
      <w:numFmt w:val="bullet"/>
      <w:lvlText w:val="•"/>
      <w:lvlJc w:val="left"/>
      <w:pPr>
        <w:ind w:left="4913" w:hanging="531"/>
      </w:pPr>
      <w:rPr>
        <w:rFonts w:hint="default"/>
        <w:lang w:val="en-US" w:eastAsia="zh-CN" w:bidi="ar-SA"/>
      </w:rPr>
    </w:lvl>
    <w:lvl w:ilvl="8" w:tentative="0">
      <w:start w:val="0"/>
      <w:numFmt w:val="bullet"/>
      <w:lvlText w:val="•"/>
      <w:lvlJc w:val="left"/>
      <w:pPr>
        <w:ind w:left="5600" w:hanging="531"/>
      </w:pPr>
      <w:rPr>
        <w:rFonts w:hint="default"/>
        <w:lang w:val="en-US" w:eastAsia="zh-CN" w:bidi="ar-SA"/>
      </w:rPr>
    </w:lvl>
  </w:abstractNum>
  <w:abstractNum w:abstractNumId="16">
    <w:nsid w:val="A9AC3AA7"/>
    <w:multiLevelType w:val="multilevel"/>
    <w:tmpl w:val="A9AC3AA7"/>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7">
    <w:nsid w:val="AAF3F3FA"/>
    <w:multiLevelType w:val="multilevel"/>
    <w:tmpl w:val="AAF3F3FA"/>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18">
    <w:nsid w:val="B0ED9BEA"/>
    <w:multiLevelType w:val="multilevel"/>
    <w:tmpl w:val="B0ED9BEA"/>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63" w:hanging="632"/>
      </w:pPr>
      <w:rPr>
        <w:rFonts w:hint="default"/>
        <w:lang w:val="en-US" w:eastAsia="zh-CN" w:bidi="ar-SA"/>
      </w:rPr>
    </w:lvl>
    <w:lvl w:ilvl="2" w:tentative="0">
      <w:start w:val="0"/>
      <w:numFmt w:val="bullet"/>
      <w:lvlText w:val="•"/>
      <w:lvlJc w:val="left"/>
      <w:pPr>
        <w:ind w:left="1987" w:hanging="632"/>
      </w:pPr>
      <w:rPr>
        <w:rFonts w:hint="default"/>
        <w:lang w:val="en-US" w:eastAsia="zh-CN" w:bidi="ar-SA"/>
      </w:rPr>
    </w:lvl>
    <w:lvl w:ilvl="3" w:tentative="0">
      <w:start w:val="0"/>
      <w:numFmt w:val="bullet"/>
      <w:lvlText w:val="•"/>
      <w:lvlJc w:val="left"/>
      <w:pPr>
        <w:ind w:left="2610" w:hanging="632"/>
      </w:pPr>
      <w:rPr>
        <w:rFonts w:hint="default"/>
        <w:lang w:val="en-US" w:eastAsia="zh-CN" w:bidi="ar-SA"/>
      </w:rPr>
    </w:lvl>
    <w:lvl w:ilvl="4" w:tentative="0">
      <w:start w:val="0"/>
      <w:numFmt w:val="bullet"/>
      <w:lvlText w:val="•"/>
      <w:lvlJc w:val="left"/>
      <w:pPr>
        <w:ind w:left="3234" w:hanging="632"/>
      </w:pPr>
      <w:rPr>
        <w:rFonts w:hint="default"/>
        <w:lang w:val="en-US" w:eastAsia="zh-CN" w:bidi="ar-SA"/>
      </w:rPr>
    </w:lvl>
    <w:lvl w:ilvl="5" w:tentative="0">
      <w:start w:val="0"/>
      <w:numFmt w:val="bullet"/>
      <w:lvlText w:val="•"/>
      <w:lvlJc w:val="left"/>
      <w:pPr>
        <w:ind w:left="3858" w:hanging="632"/>
      </w:pPr>
      <w:rPr>
        <w:rFonts w:hint="default"/>
        <w:lang w:val="en-US" w:eastAsia="zh-CN" w:bidi="ar-SA"/>
      </w:rPr>
    </w:lvl>
    <w:lvl w:ilvl="6" w:tentative="0">
      <w:start w:val="0"/>
      <w:numFmt w:val="bullet"/>
      <w:lvlText w:val="•"/>
      <w:lvlJc w:val="left"/>
      <w:pPr>
        <w:ind w:left="4481" w:hanging="632"/>
      </w:pPr>
      <w:rPr>
        <w:rFonts w:hint="default"/>
        <w:lang w:val="en-US" w:eastAsia="zh-CN" w:bidi="ar-SA"/>
      </w:rPr>
    </w:lvl>
    <w:lvl w:ilvl="7" w:tentative="0">
      <w:start w:val="0"/>
      <w:numFmt w:val="bullet"/>
      <w:lvlText w:val="•"/>
      <w:lvlJc w:val="left"/>
      <w:pPr>
        <w:ind w:left="5105" w:hanging="632"/>
      </w:pPr>
      <w:rPr>
        <w:rFonts w:hint="default"/>
        <w:lang w:val="en-US" w:eastAsia="zh-CN" w:bidi="ar-SA"/>
      </w:rPr>
    </w:lvl>
    <w:lvl w:ilvl="8" w:tentative="0">
      <w:start w:val="0"/>
      <w:numFmt w:val="bullet"/>
      <w:lvlText w:val="•"/>
      <w:lvlJc w:val="left"/>
      <w:pPr>
        <w:ind w:left="5728" w:hanging="632"/>
      </w:pPr>
      <w:rPr>
        <w:rFonts w:hint="default"/>
        <w:lang w:val="en-US" w:eastAsia="zh-CN" w:bidi="ar-SA"/>
      </w:rPr>
    </w:lvl>
  </w:abstractNum>
  <w:abstractNum w:abstractNumId="19">
    <w:nsid w:val="B0F1ACD9"/>
    <w:multiLevelType w:val="multilevel"/>
    <w:tmpl w:val="B0F1ACD9"/>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20">
    <w:nsid w:val="B23A94A9"/>
    <w:multiLevelType w:val="multilevel"/>
    <w:tmpl w:val="B23A94A9"/>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21">
    <w:nsid w:val="B53F3350"/>
    <w:multiLevelType w:val="multilevel"/>
    <w:tmpl w:val="B53F3350"/>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22">
    <w:nsid w:val="B88D21A8"/>
    <w:multiLevelType w:val="multilevel"/>
    <w:tmpl w:val="B88D21A8"/>
    <w:lvl w:ilvl="0" w:tentative="0">
      <w:start w:val="1"/>
      <w:numFmt w:val="decimal"/>
      <w:lvlText w:val="（%1）"/>
      <w:lvlJc w:val="left"/>
      <w:pPr>
        <w:ind w:left="106" w:hanging="527"/>
        <w:jc w:val="left"/>
      </w:pPr>
      <w:rPr>
        <w:rFonts w:hint="default" w:ascii="宋体" w:hAnsi="宋体" w:eastAsia="宋体" w:cs="宋体"/>
        <w:b w:val="0"/>
        <w:bCs w:val="0"/>
        <w:i w:val="0"/>
        <w:iCs w:val="0"/>
        <w:spacing w:val="-28"/>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23">
    <w:nsid w:val="B8CEF35B"/>
    <w:multiLevelType w:val="multilevel"/>
    <w:tmpl w:val="B8CEF35B"/>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55" w:hanging="526"/>
      </w:pPr>
      <w:rPr>
        <w:rFonts w:hint="default"/>
        <w:lang w:val="en-US" w:eastAsia="zh-CN" w:bidi="ar-SA"/>
      </w:rPr>
    </w:lvl>
    <w:lvl w:ilvl="2" w:tentative="0">
      <w:start w:val="0"/>
      <w:numFmt w:val="bullet"/>
      <w:lvlText w:val="•"/>
      <w:lvlJc w:val="left"/>
      <w:pPr>
        <w:ind w:left="1870" w:hanging="526"/>
      </w:pPr>
      <w:rPr>
        <w:rFonts w:hint="default"/>
        <w:lang w:val="en-US" w:eastAsia="zh-CN" w:bidi="ar-SA"/>
      </w:rPr>
    </w:lvl>
    <w:lvl w:ilvl="3" w:tentative="0">
      <w:start w:val="0"/>
      <w:numFmt w:val="bullet"/>
      <w:lvlText w:val="•"/>
      <w:lvlJc w:val="left"/>
      <w:pPr>
        <w:ind w:left="2486" w:hanging="526"/>
      </w:pPr>
      <w:rPr>
        <w:rFonts w:hint="default"/>
        <w:lang w:val="en-US" w:eastAsia="zh-CN" w:bidi="ar-SA"/>
      </w:rPr>
    </w:lvl>
    <w:lvl w:ilvl="4" w:tentative="0">
      <w:start w:val="0"/>
      <w:numFmt w:val="bullet"/>
      <w:lvlText w:val="•"/>
      <w:lvlJc w:val="left"/>
      <w:pPr>
        <w:ind w:left="3101" w:hanging="526"/>
      </w:pPr>
      <w:rPr>
        <w:rFonts w:hint="default"/>
        <w:lang w:val="en-US" w:eastAsia="zh-CN" w:bidi="ar-SA"/>
      </w:rPr>
    </w:lvl>
    <w:lvl w:ilvl="5" w:tentative="0">
      <w:start w:val="0"/>
      <w:numFmt w:val="bullet"/>
      <w:lvlText w:val="•"/>
      <w:lvlJc w:val="left"/>
      <w:pPr>
        <w:ind w:left="3717" w:hanging="526"/>
      </w:pPr>
      <w:rPr>
        <w:rFonts w:hint="default"/>
        <w:lang w:val="en-US" w:eastAsia="zh-CN" w:bidi="ar-SA"/>
      </w:rPr>
    </w:lvl>
    <w:lvl w:ilvl="6" w:tentative="0">
      <w:start w:val="0"/>
      <w:numFmt w:val="bullet"/>
      <w:lvlText w:val="•"/>
      <w:lvlJc w:val="left"/>
      <w:pPr>
        <w:ind w:left="4332" w:hanging="526"/>
      </w:pPr>
      <w:rPr>
        <w:rFonts w:hint="default"/>
        <w:lang w:val="en-US" w:eastAsia="zh-CN" w:bidi="ar-SA"/>
      </w:rPr>
    </w:lvl>
    <w:lvl w:ilvl="7" w:tentative="0">
      <w:start w:val="0"/>
      <w:numFmt w:val="bullet"/>
      <w:lvlText w:val="•"/>
      <w:lvlJc w:val="left"/>
      <w:pPr>
        <w:ind w:left="4947" w:hanging="526"/>
      </w:pPr>
      <w:rPr>
        <w:rFonts w:hint="default"/>
        <w:lang w:val="en-US" w:eastAsia="zh-CN" w:bidi="ar-SA"/>
      </w:rPr>
    </w:lvl>
    <w:lvl w:ilvl="8" w:tentative="0">
      <w:start w:val="0"/>
      <w:numFmt w:val="bullet"/>
      <w:lvlText w:val="•"/>
      <w:lvlJc w:val="left"/>
      <w:pPr>
        <w:ind w:left="5563" w:hanging="526"/>
      </w:pPr>
      <w:rPr>
        <w:rFonts w:hint="default"/>
        <w:lang w:val="en-US" w:eastAsia="zh-CN" w:bidi="ar-SA"/>
      </w:rPr>
    </w:lvl>
  </w:abstractNum>
  <w:abstractNum w:abstractNumId="24">
    <w:nsid w:val="BB64CFA9"/>
    <w:multiLevelType w:val="multilevel"/>
    <w:tmpl w:val="BB64CFA9"/>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55" w:hanging="526"/>
      </w:pPr>
      <w:rPr>
        <w:rFonts w:hint="default"/>
        <w:lang w:val="en-US" w:eastAsia="zh-CN" w:bidi="ar-SA"/>
      </w:rPr>
    </w:lvl>
    <w:lvl w:ilvl="2" w:tentative="0">
      <w:start w:val="0"/>
      <w:numFmt w:val="bullet"/>
      <w:lvlText w:val="•"/>
      <w:lvlJc w:val="left"/>
      <w:pPr>
        <w:ind w:left="1870" w:hanging="526"/>
      </w:pPr>
      <w:rPr>
        <w:rFonts w:hint="default"/>
        <w:lang w:val="en-US" w:eastAsia="zh-CN" w:bidi="ar-SA"/>
      </w:rPr>
    </w:lvl>
    <w:lvl w:ilvl="3" w:tentative="0">
      <w:start w:val="0"/>
      <w:numFmt w:val="bullet"/>
      <w:lvlText w:val="•"/>
      <w:lvlJc w:val="left"/>
      <w:pPr>
        <w:ind w:left="2486" w:hanging="526"/>
      </w:pPr>
      <w:rPr>
        <w:rFonts w:hint="default"/>
        <w:lang w:val="en-US" w:eastAsia="zh-CN" w:bidi="ar-SA"/>
      </w:rPr>
    </w:lvl>
    <w:lvl w:ilvl="4" w:tentative="0">
      <w:start w:val="0"/>
      <w:numFmt w:val="bullet"/>
      <w:lvlText w:val="•"/>
      <w:lvlJc w:val="left"/>
      <w:pPr>
        <w:ind w:left="3101" w:hanging="526"/>
      </w:pPr>
      <w:rPr>
        <w:rFonts w:hint="default"/>
        <w:lang w:val="en-US" w:eastAsia="zh-CN" w:bidi="ar-SA"/>
      </w:rPr>
    </w:lvl>
    <w:lvl w:ilvl="5" w:tentative="0">
      <w:start w:val="0"/>
      <w:numFmt w:val="bullet"/>
      <w:lvlText w:val="•"/>
      <w:lvlJc w:val="left"/>
      <w:pPr>
        <w:ind w:left="3717" w:hanging="526"/>
      </w:pPr>
      <w:rPr>
        <w:rFonts w:hint="default"/>
        <w:lang w:val="en-US" w:eastAsia="zh-CN" w:bidi="ar-SA"/>
      </w:rPr>
    </w:lvl>
    <w:lvl w:ilvl="6" w:tentative="0">
      <w:start w:val="0"/>
      <w:numFmt w:val="bullet"/>
      <w:lvlText w:val="•"/>
      <w:lvlJc w:val="left"/>
      <w:pPr>
        <w:ind w:left="4332" w:hanging="526"/>
      </w:pPr>
      <w:rPr>
        <w:rFonts w:hint="default"/>
        <w:lang w:val="en-US" w:eastAsia="zh-CN" w:bidi="ar-SA"/>
      </w:rPr>
    </w:lvl>
    <w:lvl w:ilvl="7" w:tentative="0">
      <w:start w:val="0"/>
      <w:numFmt w:val="bullet"/>
      <w:lvlText w:val="•"/>
      <w:lvlJc w:val="left"/>
      <w:pPr>
        <w:ind w:left="4947" w:hanging="526"/>
      </w:pPr>
      <w:rPr>
        <w:rFonts w:hint="default"/>
        <w:lang w:val="en-US" w:eastAsia="zh-CN" w:bidi="ar-SA"/>
      </w:rPr>
    </w:lvl>
    <w:lvl w:ilvl="8" w:tentative="0">
      <w:start w:val="0"/>
      <w:numFmt w:val="bullet"/>
      <w:lvlText w:val="•"/>
      <w:lvlJc w:val="left"/>
      <w:pPr>
        <w:ind w:left="5563" w:hanging="526"/>
      </w:pPr>
      <w:rPr>
        <w:rFonts w:hint="default"/>
        <w:lang w:val="en-US" w:eastAsia="zh-CN" w:bidi="ar-SA"/>
      </w:rPr>
    </w:lvl>
  </w:abstractNum>
  <w:abstractNum w:abstractNumId="25">
    <w:nsid w:val="BCECA0B4"/>
    <w:multiLevelType w:val="multilevel"/>
    <w:tmpl w:val="BCECA0B4"/>
    <w:lvl w:ilvl="0" w:tentative="0">
      <w:start w:val="1"/>
      <w:numFmt w:val="decimal"/>
      <w:lvlText w:val="（%1）"/>
      <w:lvlJc w:val="left"/>
      <w:pPr>
        <w:ind w:left="106" w:hanging="527"/>
        <w:jc w:val="left"/>
      </w:pPr>
      <w:rPr>
        <w:rFonts w:hint="default" w:ascii="宋体" w:hAnsi="宋体" w:eastAsia="宋体" w:cs="宋体"/>
        <w:b w:val="0"/>
        <w:bCs w:val="0"/>
        <w:i w:val="0"/>
        <w:iCs w:val="0"/>
        <w:spacing w:val="-28"/>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26">
    <w:nsid w:val="BDA1395C"/>
    <w:multiLevelType w:val="multilevel"/>
    <w:tmpl w:val="BDA1395C"/>
    <w:lvl w:ilvl="0" w:tentative="0">
      <w:start w:val="2"/>
      <w:numFmt w:val="decimal"/>
      <w:lvlText w:val="（%1）"/>
      <w:lvlJc w:val="left"/>
      <w:pPr>
        <w:ind w:left="106" w:hanging="527"/>
        <w:jc w:val="left"/>
      </w:pPr>
      <w:rPr>
        <w:rFonts w:hint="default" w:ascii="宋体" w:hAnsi="宋体" w:eastAsia="宋体" w:cs="宋体"/>
        <w:b w:val="0"/>
        <w:bCs w:val="0"/>
        <w:i w:val="0"/>
        <w:iCs w:val="0"/>
        <w:spacing w:val="-24"/>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27">
    <w:nsid w:val="BE8A4F4C"/>
    <w:multiLevelType w:val="multilevel"/>
    <w:tmpl w:val="BE8A4F4C"/>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28">
    <w:nsid w:val="BE923771"/>
    <w:multiLevelType w:val="multilevel"/>
    <w:tmpl w:val="BE923771"/>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29">
    <w:nsid w:val="C0915F4F"/>
    <w:multiLevelType w:val="multilevel"/>
    <w:tmpl w:val="C0915F4F"/>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0">
    <w:nsid w:val="C4E0D24A"/>
    <w:multiLevelType w:val="multilevel"/>
    <w:tmpl w:val="C4E0D24A"/>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1">
    <w:nsid w:val="D1EB1714"/>
    <w:multiLevelType w:val="multilevel"/>
    <w:tmpl w:val="D1EB1714"/>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2">
    <w:nsid w:val="D7D140E4"/>
    <w:multiLevelType w:val="multilevel"/>
    <w:tmpl w:val="D7D140E4"/>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shd w:val="clear" w:color="auto" w:fill="DADADA"/>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33">
    <w:nsid w:val="DAD3A854"/>
    <w:multiLevelType w:val="multilevel"/>
    <w:tmpl w:val="DAD3A854"/>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4">
    <w:nsid w:val="E0294EC7"/>
    <w:multiLevelType w:val="multilevel"/>
    <w:tmpl w:val="E0294EC7"/>
    <w:lvl w:ilvl="0" w:tentative="0">
      <w:start w:val="1"/>
      <w:numFmt w:val="decimal"/>
      <w:lvlText w:val="（%1）"/>
      <w:lvlJc w:val="left"/>
      <w:pPr>
        <w:ind w:left="106" w:hanging="527"/>
        <w:jc w:val="left"/>
      </w:pPr>
      <w:rPr>
        <w:rFonts w:hint="default" w:ascii="宋体" w:hAnsi="宋体" w:eastAsia="宋体" w:cs="宋体"/>
        <w:b w:val="0"/>
        <w:bCs w:val="0"/>
        <w:i w:val="0"/>
        <w:iCs w:val="0"/>
        <w:spacing w:val="-24"/>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35">
    <w:nsid w:val="E093A4B0"/>
    <w:multiLevelType w:val="multilevel"/>
    <w:tmpl w:val="E093A4B0"/>
    <w:lvl w:ilvl="0" w:tentative="0">
      <w:start w:val="0"/>
      <w:numFmt w:val="decimal"/>
      <w:lvlText w:val="%1"/>
      <w:lvlJc w:val="left"/>
      <w:pPr>
        <w:ind w:left="392" w:hanging="135"/>
        <w:jc w:val="left"/>
      </w:pPr>
      <w:rPr>
        <w:rFonts w:hint="default" w:ascii="Times New Roman" w:hAnsi="Times New Roman" w:eastAsia="Times New Roman" w:cs="Times New Roman"/>
        <w:b w:val="0"/>
        <w:bCs w:val="0"/>
        <w:i w:val="0"/>
        <w:iCs w:val="0"/>
        <w:w w:val="100"/>
        <w:sz w:val="18"/>
        <w:szCs w:val="18"/>
        <w:lang w:val="en-US" w:eastAsia="zh-CN" w:bidi="ar-SA"/>
      </w:rPr>
    </w:lvl>
    <w:lvl w:ilvl="1" w:tentative="0">
      <w:start w:val="0"/>
      <w:numFmt w:val="bullet"/>
      <w:lvlText w:val="•"/>
      <w:lvlJc w:val="left"/>
      <w:pPr>
        <w:ind w:left="1280" w:hanging="135"/>
      </w:pPr>
      <w:rPr>
        <w:rFonts w:hint="default"/>
        <w:lang w:val="en-US" w:eastAsia="zh-CN" w:bidi="ar-SA"/>
      </w:rPr>
    </w:lvl>
    <w:lvl w:ilvl="2" w:tentative="0">
      <w:start w:val="0"/>
      <w:numFmt w:val="bullet"/>
      <w:lvlText w:val="•"/>
      <w:lvlJc w:val="left"/>
      <w:pPr>
        <w:ind w:left="2161" w:hanging="135"/>
      </w:pPr>
      <w:rPr>
        <w:rFonts w:hint="default"/>
        <w:lang w:val="en-US" w:eastAsia="zh-CN" w:bidi="ar-SA"/>
      </w:rPr>
    </w:lvl>
    <w:lvl w:ilvl="3" w:tentative="0">
      <w:start w:val="0"/>
      <w:numFmt w:val="bullet"/>
      <w:lvlText w:val="•"/>
      <w:lvlJc w:val="left"/>
      <w:pPr>
        <w:ind w:left="3041" w:hanging="135"/>
      </w:pPr>
      <w:rPr>
        <w:rFonts w:hint="default"/>
        <w:lang w:val="en-US" w:eastAsia="zh-CN" w:bidi="ar-SA"/>
      </w:rPr>
    </w:lvl>
    <w:lvl w:ilvl="4" w:tentative="0">
      <w:start w:val="0"/>
      <w:numFmt w:val="bullet"/>
      <w:lvlText w:val="•"/>
      <w:lvlJc w:val="left"/>
      <w:pPr>
        <w:ind w:left="3922" w:hanging="135"/>
      </w:pPr>
      <w:rPr>
        <w:rFonts w:hint="default"/>
        <w:lang w:val="en-US" w:eastAsia="zh-CN" w:bidi="ar-SA"/>
      </w:rPr>
    </w:lvl>
    <w:lvl w:ilvl="5" w:tentative="0">
      <w:start w:val="0"/>
      <w:numFmt w:val="bullet"/>
      <w:lvlText w:val="•"/>
      <w:lvlJc w:val="left"/>
      <w:pPr>
        <w:ind w:left="4803" w:hanging="135"/>
      </w:pPr>
      <w:rPr>
        <w:rFonts w:hint="default"/>
        <w:lang w:val="en-US" w:eastAsia="zh-CN" w:bidi="ar-SA"/>
      </w:rPr>
    </w:lvl>
    <w:lvl w:ilvl="6" w:tentative="0">
      <w:start w:val="0"/>
      <w:numFmt w:val="bullet"/>
      <w:lvlText w:val="•"/>
      <w:lvlJc w:val="left"/>
      <w:pPr>
        <w:ind w:left="5683" w:hanging="135"/>
      </w:pPr>
      <w:rPr>
        <w:rFonts w:hint="default"/>
        <w:lang w:val="en-US" w:eastAsia="zh-CN" w:bidi="ar-SA"/>
      </w:rPr>
    </w:lvl>
    <w:lvl w:ilvl="7" w:tentative="0">
      <w:start w:val="0"/>
      <w:numFmt w:val="bullet"/>
      <w:lvlText w:val="•"/>
      <w:lvlJc w:val="left"/>
      <w:pPr>
        <w:ind w:left="6564" w:hanging="135"/>
      </w:pPr>
      <w:rPr>
        <w:rFonts w:hint="default"/>
        <w:lang w:val="en-US" w:eastAsia="zh-CN" w:bidi="ar-SA"/>
      </w:rPr>
    </w:lvl>
    <w:lvl w:ilvl="8" w:tentative="0">
      <w:start w:val="0"/>
      <w:numFmt w:val="bullet"/>
      <w:lvlText w:val="•"/>
      <w:lvlJc w:val="left"/>
      <w:pPr>
        <w:ind w:left="7445" w:hanging="135"/>
      </w:pPr>
      <w:rPr>
        <w:rFonts w:hint="default"/>
        <w:lang w:val="en-US" w:eastAsia="zh-CN" w:bidi="ar-SA"/>
      </w:rPr>
    </w:lvl>
  </w:abstractNum>
  <w:abstractNum w:abstractNumId="36">
    <w:nsid w:val="E504947C"/>
    <w:multiLevelType w:val="multilevel"/>
    <w:tmpl w:val="E504947C"/>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73" w:hanging="526"/>
      </w:pPr>
      <w:rPr>
        <w:rFonts w:hint="default"/>
        <w:lang w:val="en-US" w:eastAsia="zh-CN" w:bidi="ar-SA"/>
      </w:rPr>
    </w:lvl>
    <w:lvl w:ilvl="2" w:tentative="0">
      <w:start w:val="0"/>
      <w:numFmt w:val="bullet"/>
      <w:lvlText w:val="•"/>
      <w:lvlJc w:val="left"/>
      <w:pPr>
        <w:ind w:left="1907" w:hanging="526"/>
      </w:pPr>
      <w:rPr>
        <w:rFonts w:hint="default"/>
        <w:lang w:val="en-US" w:eastAsia="zh-CN" w:bidi="ar-SA"/>
      </w:rPr>
    </w:lvl>
    <w:lvl w:ilvl="3" w:tentative="0">
      <w:start w:val="0"/>
      <w:numFmt w:val="bullet"/>
      <w:lvlText w:val="•"/>
      <w:lvlJc w:val="left"/>
      <w:pPr>
        <w:ind w:left="2540" w:hanging="526"/>
      </w:pPr>
      <w:rPr>
        <w:rFonts w:hint="default"/>
        <w:lang w:val="en-US" w:eastAsia="zh-CN" w:bidi="ar-SA"/>
      </w:rPr>
    </w:lvl>
    <w:lvl w:ilvl="4" w:tentative="0">
      <w:start w:val="0"/>
      <w:numFmt w:val="bullet"/>
      <w:lvlText w:val="•"/>
      <w:lvlJc w:val="left"/>
      <w:pPr>
        <w:ind w:left="3174" w:hanging="526"/>
      </w:pPr>
      <w:rPr>
        <w:rFonts w:hint="default"/>
        <w:lang w:val="en-US" w:eastAsia="zh-CN" w:bidi="ar-SA"/>
      </w:rPr>
    </w:lvl>
    <w:lvl w:ilvl="5" w:tentative="0">
      <w:start w:val="0"/>
      <w:numFmt w:val="bullet"/>
      <w:lvlText w:val="•"/>
      <w:lvlJc w:val="left"/>
      <w:pPr>
        <w:ind w:left="3808" w:hanging="526"/>
      </w:pPr>
      <w:rPr>
        <w:rFonts w:hint="default"/>
        <w:lang w:val="en-US" w:eastAsia="zh-CN" w:bidi="ar-SA"/>
      </w:rPr>
    </w:lvl>
    <w:lvl w:ilvl="6" w:tentative="0">
      <w:start w:val="0"/>
      <w:numFmt w:val="bullet"/>
      <w:lvlText w:val="•"/>
      <w:lvlJc w:val="left"/>
      <w:pPr>
        <w:ind w:left="4441" w:hanging="526"/>
      </w:pPr>
      <w:rPr>
        <w:rFonts w:hint="default"/>
        <w:lang w:val="en-US" w:eastAsia="zh-CN" w:bidi="ar-SA"/>
      </w:rPr>
    </w:lvl>
    <w:lvl w:ilvl="7" w:tentative="0">
      <w:start w:val="0"/>
      <w:numFmt w:val="bullet"/>
      <w:lvlText w:val="•"/>
      <w:lvlJc w:val="left"/>
      <w:pPr>
        <w:ind w:left="5075" w:hanging="526"/>
      </w:pPr>
      <w:rPr>
        <w:rFonts w:hint="default"/>
        <w:lang w:val="en-US" w:eastAsia="zh-CN" w:bidi="ar-SA"/>
      </w:rPr>
    </w:lvl>
    <w:lvl w:ilvl="8" w:tentative="0">
      <w:start w:val="0"/>
      <w:numFmt w:val="bullet"/>
      <w:lvlText w:val="•"/>
      <w:lvlJc w:val="left"/>
      <w:pPr>
        <w:ind w:left="5708" w:hanging="526"/>
      </w:pPr>
      <w:rPr>
        <w:rFonts w:hint="default"/>
        <w:lang w:val="en-US" w:eastAsia="zh-CN" w:bidi="ar-SA"/>
      </w:rPr>
    </w:lvl>
  </w:abstractNum>
  <w:abstractNum w:abstractNumId="37">
    <w:nsid w:val="E7B27C5B"/>
    <w:multiLevelType w:val="multilevel"/>
    <w:tmpl w:val="E7B27C5B"/>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38">
    <w:nsid w:val="F0E89278"/>
    <w:multiLevelType w:val="multilevel"/>
    <w:tmpl w:val="F0E89278"/>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39">
    <w:nsid w:val="F585BF25"/>
    <w:multiLevelType w:val="multilevel"/>
    <w:tmpl w:val="F585BF25"/>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40">
    <w:nsid w:val="F689643B"/>
    <w:multiLevelType w:val="multilevel"/>
    <w:tmpl w:val="F689643B"/>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41">
    <w:nsid w:val="F7735DC9"/>
    <w:multiLevelType w:val="multilevel"/>
    <w:tmpl w:val="F7735DC9"/>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093" w:hanging="351"/>
      </w:pPr>
      <w:rPr>
        <w:rFonts w:hint="default"/>
        <w:lang w:val="en-US" w:eastAsia="zh-CN" w:bidi="ar-SA"/>
      </w:rPr>
    </w:lvl>
    <w:lvl w:ilvl="2" w:tentative="0">
      <w:start w:val="0"/>
      <w:numFmt w:val="bullet"/>
      <w:lvlText w:val="•"/>
      <w:lvlJc w:val="left"/>
      <w:pPr>
        <w:ind w:left="1726" w:hanging="351"/>
      </w:pPr>
      <w:rPr>
        <w:rFonts w:hint="default"/>
        <w:lang w:val="en-US" w:eastAsia="zh-CN" w:bidi="ar-SA"/>
      </w:rPr>
    </w:lvl>
    <w:lvl w:ilvl="3" w:tentative="0">
      <w:start w:val="0"/>
      <w:numFmt w:val="bullet"/>
      <w:lvlText w:val="•"/>
      <w:lvlJc w:val="left"/>
      <w:pPr>
        <w:ind w:left="2360" w:hanging="351"/>
      </w:pPr>
      <w:rPr>
        <w:rFonts w:hint="default"/>
        <w:lang w:val="en-US" w:eastAsia="zh-CN" w:bidi="ar-SA"/>
      </w:rPr>
    </w:lvl>
    <w:lvl w:ilvl="4" w:tentative="0">
      <w:start w:val="0"/>
      <w:numFmt w:val="bullet"/>
      <w:lvlText w:val="•"/>
      <w:lvlJc w:val="left"/>
      <w:pPr>
        <w:ind w:left="2993" w:hanging="351"/>
      </w:pPr>
      <w:rPr>
        <w:rFonts w:hint="default"/>
        <w:lang w:val="en-US" w:eastAsia="zh-CN" w:bidi="ar-SA"/>
      </w:rPr>
    </w:lvl>
    <w:lvl w:ilvl="5" w:tentative="0">
      <w:start w:val="0"/>
      <w:numFmt w:val="bullet"/>
      <w:lvlText w:val="•"/>
      <w:lvlJc w:val="left"/>
      <w:pPr>
        <w:ind w:left="3627" w:hanging="351"/>
      </w:pPr>
      <w:rPr>
        <w:rFonts w:hint="default"/>
        <w:lang w:val="en-US" w:eastAsia="zh-CN" w:bidi="ar-SA"/>
      </w:rPr>
    </w:lvl>
    <w:lvl w:ilvl="6" w:tentative="0">
      <w:start w:val="0"/>
      <w:numFmt w:val="bullet"/>
      <w:lvlText w:val="•"/>
      <w:lvlJc w:val="left"/>
      <w:pPr>
        <w:ind w:left="4260" w:hanging="351"/>
      </w:pPr>
      <w:rPr>
        <w:rFonts w:hint="default"/>
        <w:lang w:val="en-US" w:eastAsia="zh-CN" w:bidi="ar-SA"/>
      </w:rPr>
    </w:lvl>
    <w:lvl w:ilvl="7" w:tentative="0">
      <w:start w:val="0"/>
      <w:numFmt w:val="bullet"/>
      <w:lvlText w:val="•"/>
      <w:lvlJc w:val="left"/>
      <w:pPr>
        <w:ind w:left="4893" w:hanging="351"/>
      </w:pPr>
      <w:rPr>
        <w:rFonts w:hint="default"/>
        <w:lang w:val="en-US" w:eastAsia="zh-CN" w:bidi="ar-SA"/>
      </w:rPr>
    </w:lvl>
    <w:lvl w:ilvl="8" w:tentative="0">
      <w:start w:val="0"/>
      <w:numFmt w:val="bullet"/>
      <w:lvlText w:val="•"/>
      <w:lvlJc w:val="left"/>
      <w:pPr>
        <w:ind w:left="5527" w:hanging="351"/>
      </w:pPr>
      <w:rPr>
        <w:rFonts w:hint="default"/>
        <w:lang w:val="en-US" w:eastAsia="zh-CN" w:bidi="ar-SA"/>
      </w:rPr>
    </w:lvl>
  </w:abstractNum>
  <w:abstractNum w:abstractNumId="42">
    <w:nsid w:val="FEC2EA36"/>
    <w:multiLevelType w:val="multilevel"/>
    <w:tmpl w:val="FEC2EA36"/>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43">
    <w:nsid w:val="03A63A41"/>
    <w:multiLevelType w:val="multilevel"/>
    <w:tmpl w:val="03A63A41"/>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44">
    <w:nsid w:val="0709FD3E"/>
    <w:multiLevelType w:val="multilevel"/>
    <w:tmpl w:val="0709FD3E"/>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45">
    <w:nsid w:val="0CEF100B"/>
    <w:multiLevelType w:val="multilevel"/>
    <w:tmpl w:val="0CEF100B"/>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46">
    <w:nsid w:val="0E640482"/>
    <w:multiLevelType w:val="multilevel"/>
    <w:tmpl w:val="0E640482"/>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47">
    <w:nsid w:val="0F9F9CCA"/>
    <w:multiLevelType w:val="multilevel"/>
    <w:tmpl w:val="0F9F9CCA"/>
    <w:lvl w:ilvl="0" w:tentative="0">
      <w:start w:val="1"/>
      <w:numFmt w:val="decimal"/>
      <w:lvlText w:val="（%1）"/>
      <w:lvlJc w:val="left"/>
      <w:pPr>
        <w:ind w:left="636" w:hanging="530"/>
        <w:jc w:val="left"/>
      </w:pPr>
      <w:rPr>
        <w:rFonts w:hint="default" w:ascii="宋体" w:hAnsi="宋体" w:eastAsia="宋体" w:cs="宋体"/>
        <w:b w:val="0"/>
        <w:bCs w:val="0"/>
        <w:i w:val="0"/>
        <w:iCs w:val="0"/>
        <w:spacing w:val="1"/>
        <w:w w:val="100"/>
        <w:sz w:val="19"/>
        <w:szCs w:val="19"/>
        <w:lang w:val="en-US" w:eastAsia="zh-CN" w:bidi="ar-SA"/>
      </w:rPr>
    </w:lvl>
    <w:lvl w:ilvl="1" w:tentative="0">
      <w:start w:val="0"/>
      <w:numFmt w:val="bullet"/>
      <w:lvlText w:val="•"/>
      <w:lvlJc w:val="left"/>
      <w:pPr>
        <w:ind w:left="1273" w:hanging="530"/>
      </w:pPr>
      <w:rPr>
        <w:rFonts w:hint="default"/>
        <w:lang w:val="en-US" w:eastAsia="zh-CN" w:bidi="ar-SA"/>
      </w:rPr>
    </w:lvl>
    <w:lvl w:ilvl="2" w:tentative="0">
      <w:start w:val="0"/>
      <w:numFmt w:val="bullet"/>
      <w:lvlText w:val="•"/>
      <w:lvlJc w:val="left"/>
      <w:pPr>
        <w:ind w:left="1907" w:hanging="530"/>
      </w:pPr>
      <w:rPr>
        <w:rFonts w:hint="default"/>
        <w:lang w:val="en-US" w:eastAsia="zh-CN" w:bidi="ar-SA"/>
      </w:rPr>
    </w:lvl>
    <w:lvl w:ilvl="3" w:tentative="0">
      <w:start w:val="0"/>
      <w:numFmt w:val="bullet"/>
      <w:lvlText w:val="•"/>
      <w:lvlJc w:val="left"/>
      <w:pPr>
        <w:ind w:left="2540" w:hanging="530"/>
      </w:pPr>
      <w:rPr>
        <w:rFonts w:hint="default"/>
        <w:lang w:val="en-US" w:eastAsia="zh-CN" w:bidi="ar-SA"/>
      </w:rPr>
    </w:lvl>
    <w:lvl w:ilvl="4" w:tentative="0">
      <w:start w:val="0"/>
      <w:numFmt w:val="bullet"/>
      <w:lvlText w:val="•"/>
      <w:lvlJc w:val="left"/>
      <w:pPr>
        <w:ind w:left="3174" w:hanging="530"/>
      </w:pPr>
      <w:rPr>
        <w:rFonts w:hint="default"/>
        <w:lang w:val="en-US" w:eastAsia="zh-CN" w:bidi="ar-SA"/>
      </w:rPr>
    </w:lvl>
    <w:lvl w:ilvl="5" w:tentative="0">
      <w:start w:val="0"/>
      <w:numFmt w:val="bullet"/>
      <w:lvlText w:val="•"/>
      <w:lvlJc w:val="left"/>
      <w:pPr>
        <w:ind w:left="3808" w:hanging="530"/>
      </w:pPr>
      <w:rPr>
        <w:rFonts w:hint="default"/>
        <w:lang w:val="en-US" w:eastAsia="zh-CN" w:bidi="ar-SA"/>
      </w:rPr>
    </w:lvl>
    <w:lvl w:ilvl="6" w:tentative="0">
      <w:start w:val="0"/>
      <w:numFmt w:val="bullet"/>
      <w:lvlText w:val="•"/>
      <w:lvlJc w:val="left"/>
      <w:pPr>
        <w:ind w:left="4441" w:hanging="530"/>
      </w:pPr>
      <w:rPr>
        <w:rFonts w:hint="default"/>
        <w:lang w:val="en-US" w:eastAsia="zh-CN" w:bidi="ar-SA"/>
      </w:rPr>
    </w:lvl>
    <w:lvl w:ilvl="7" w:tentative="0">
      <w:start w:val="0"/>
      <w:numFmt w:val="bullet"/>
      <w:lvlText w:val="•"/>
      <w:lvlJc w:val="left"/>
      <w:pPr>
        <w:ind w:left="5075" w:hanging="530"/>
      </w:pPr>
      <w:rPr>
        <w:rFonts w:hint="default"/>
        <w:lang w:val="en-US" w:eastAsia="zh-CN" w:bidi="ar-SA"/>
      </w:rPr>
    </w:lvl>
    <w:lvl w:ilvl="8" w:tentative="0">
      <w:start w:val="0"/>
      <w:numFmt w:val="bullet"/>
      <w:lvlText w:val="•"/>
      <w:lvlJc w:val="left"/>
      <w:pPr>
        <w:ind w:left="5708" w:hanging="530"/>
      </w:pPr>
      <w:rPr>
        <w:rFonts w:hint="default"/>
        <w:lang w:val="en-US" w:eastAsia="zh-CN" w:bidi="ar-SA"/>
      </w:rPr>
    </w:lvl>
  </w:abstractNum>
  <w:abstractNum w:abstractNumId="48">
    <w:nsid w:val="10D591E5"/>
    <w:multiLevelType w:val="multilevel"/>
    <w:tmpl w:val="10D591E5"/>
    <w:lvl w:ilvl="0" w:tentative="0">
      <w:start w:val="1"/>
      <w:numFmt w:val="decimal"/>
      <w:lvlText w:val="（%1）"/>
      <w:lvlJc w:val="left"/>
      <w:pPr>
        <w:ind w:left="106" w:hanging="527"/>
        <w:jc w:val="left"/>
      </w:pPr>
      <w:rPr>
        <w:rFonts w:hint="default" w:ascii="宋体" w:hAnsi="宋体" w:eastAsia="宋体" w:cs="宋体"/>
        <w:b w:val="0"/>
        <w:bCs w:val="0"/>
        <w:i w:val="0"/>
        <w:iCs w:val="0"/>
        <w:spacing w:val="-14"/>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49">
    <w:nsid w:val="12EADF99"/>
    <w:multiLevelType w:val="multilevel"/>
    <w:tmpl w:val="12EADF99"/>
    <w:lvl w:ilvl="0" w:tentative="0">
      <w:start w:val="1"/>
      <w:numFmt w:val="decimal"/>
      <w:lvlText w:val="（%1）"/>
      <w:lvlJc w:val="left"/>
      <w:pPr>
        <w:ind w:left="106" w:hanging="527"/>
        <w:jc w:val="left"/>
      </w:pPr>
      <w:rPr>
        <w:rFonts w:hint="default" w:ascii="宋体" w:hAnsi="宋体" w:eastAsia="宋体" w:cs="宋体"/>
        <w:b w:val="0"/>
        <w:bCs w:val="0"/>
        <w:i w:val="0"/>
        <w:iCs w:val="0"/>
        <w:spacing w:val="-56"/>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50">
    <w:nsid w:val="1450273B"/>
    <w:multiLevelType w:val="multilevel"/>
    <w:tmpl w:val="1450273B"/>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51">
    <w:nsid w:val="18F74015"/>
    <w:multiLevelType w:val="multilevel"/>
    <w:tmpl w:val="18F74015"/>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73" w:hanging="526"/>
      </w:pPr>
      <w:rPr>
        <w:rFonts w:hint="default"/>
        <w:lang w:val="en-US" w:eastAsia="zh-CN" w:bidi="ar-SA"/>
      </w:rPr>
    </w:lvl>
    <w:lvl w:ilvl="2" w:tentative="0">
      <w:start w:val="0"/>
      <w:numFmt w:val="bullet"/>
      <w:lvlText w:val="•"/>
      <w:lvlJc w:val="left"/>
      <w:pPr>
        <w:ind w:left="1907" w:hanging="526"/>
      </w:pPr>
      <w:rPr>
        <w:rFonts w:hint="default"/>
        <w:lang w:val="en-US" w:eastAsia="zh-CN" w:bidi="ar-SA"/>
      </w:rPr>
    </w:lvl>
    <w:lvl w:ilvl="3" w:tentative="0">
      <w:start w:val="0"/>
      <w:numFmt w:val="bullet"/>
      <w:lvlText w:val="•"/>
      <w:lvlJc w:val="left"/>
      <w:pPr>
        <w:ind w:left="2540" w:hanging="526"/>
      </w:pPr>
      <w:rPr>
        <w:rFonts w:hint="default"/>
        <w:lang w:val="en-US" w:eastAsia="zh-CN" w:bidi="ar-SA"/>
      </w:rPr>
    </w:lvl>
    <w:lvl w:ilvl="4" w:tentative="0">
      <w:start w:val="0"/>
      <w:numFmt w:val="bullet"/>
      <w:lvlText w:val="•"/>
      <w:lvlJc w:val="left"/>
      <w:pPr>
        <w:ind w:left="3174" w:hanging="526"/>
      </w:pPr>
      <w:rPr>
        <w:rFonts w:hint="default"/>
        <w:lang w:val="en-US" w:eastAsia="zh-CN" w:bidi="ar-SA"/>
      </w:rPr>
    </w:lvl>
    <w:lvl w:ilvl="5" w:tentative="0">
      <w:start w:val="0"/>
      <w:numFmt w:val="bullet"/>
      <w:lvlText w:val="•"/>
      <w:lvlJc w:val="left"/>
      <w:pPr>
        <w:ind w:left="3808" w:hanging="526"/>
      </w:pPr>
      <w:rPr>
        <w:rFonts w:hint="default"/>
        <w:lang w:val="en-US" w:eastAsia="zh-CN" w:bidi="ar-SA"/>
      </w:rPr>
    </w:lvl>
    <w:lvl w:ilvl="6" w:tentative="0">
      <w:start w:val="0"/>
      <w:numFmt w:val="bullet"/>
      <w:lvlText w:val="•"/>
      <w:lvlJc w:val="left"/>
      <w:pPr>
        <w:ind w:left="4441" w:hanging="526"/>
      </w:pPr>
      <w:rPr>
        <w:rFonts w:hint="default"/>
        <w:lang w:val="en-US" w:eastAsia="zh-CN" w:bidi="ar-SA"/>
      </w:rPr>
    </w:lvl>
    <w:lvl w:ilvl="7" w:tentative="0">
      <w:start w:val="0"/>
      <w:numFmt w:val="bullet"/>
      <w:lvlText w:val="•"/>
      <w:lvlJc w:val="left"/>
      <w:pPr>
        <w:ind w:left="5075" w:hanging="526"/>
      </w:pPr>
      <w:rPr>
        <w:rFonts w:hint="default"/>
        <w:lang w:val="en-US" w:eastAsia="zh-CN" w:bidi="ar-SA"/>
      </w:rPr>
    </w:lvl>
    <w:lvl w:ilvl="8" w:tentative="0">
      <w:start w:val="0"/>
      <w:numFmt w:val="bullet"/>
      <w:lvlText w:val="•"/>
      <w:lvlJc w:val="left"/>
      <w:pPr>
        <w:ind w:left="5708" w:hanging="526"/>
      </w:pPr>
      <w:rPr>
        <w:rFonts w:hint="default"/>
        <w:lang w:val="en-US" w:eastAsia="zh-CN" w:bidi="ar-SA"/>
      </w:rPr>
    </w:lvl>
  </w:abstractNum>
  <w:abstractNum w:abstractNumId="52">
    <w:nsid w:val="1ACDE60F"/>
    <w:multiLevelType w:val="multilevel"/>
    <w:tmpl w:val="1ACDE60F"/>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45" w:hanging="632"/>
      </w:pPr>
      <w:rPr>
        <w:rFonts w:hint="default"/>
        <w:lang w:val="en-US" w:eastAsia="zh-CN" w:bidi="ar-SA"/>
      </w:rPr>
    </w:lvl>
    <w:lvl w:ilvl="2" w:tentative="0">
      <w:start w:val="0"/>
      <w:numFmt w:val="bullet"/>
      <w:lvlText w:val="•"/>
      <w:lvlJc w:val="left"/>
      <w:pPr>
        <w:ind w:left="1950" w:hanging="632"/>
      </w:pPr>
      <w:rPr>
        <w:rFonts w:hint="default"/>
        <w:lang w:val="en-US" w:eastAsia="zh-CN" w:bidi="ar-SA"/>
      </w:rPr>
    </w:lvl>
    <w:lvl w:ilvl="3" w:tentative="0">
      <w:start w:val="0"/>
      <w:numFmt w:val="bullet"/>
      <w:lvlText w:val="•"/>
      <w:lvlJc w:val="left"/>
      <w:pPr>
        <w:ind w:left="2556" w:hanging="632"/>
      </w:pPr>
      <w:rPr>
        <w:rFonts w:hint="default"/>
        <w:lang w:val="en-US" w:eastAsia="zh-CN" w:bidi="ar-SA"/>
      </w:rPr>
    </w:lvl>
    <w:lvl w:ilvl="4" w:tentative="0">
      <w:start w:val="0"/>
      <w:numFmt w:val="bullet"/>
      <w:lvlText w:val="•"/>
      <w:lvlJc w:val="left"/>
      <w:pPr>
        <w:ind w:left="3161" w:hanging="632"/>
      </w:pPr>
      <w:rPr>
        <w:rFonts w:hint="default"/>
        <w:lang w:val="en-US" w:eastAsia="zh-CN" w:bidi="ar-SA"/>
      </w:rPr>
    </w:lvl>
    <w:lvl w:ilvl="5" w:tentative="0">
      <w:start w:val="0"/>
      <w:numFmt w:val="bullet"/>
      <w:lvlText w:val="•"/>
      <w:lvlJc w:val="left"/>
      <w:pPr>
        <w:ind w:left="3767" w:hanging="632"/>
      </w:pPr>
      <w:rPr>
        <w:rFonts w:hint="default"/>
        <w:lang w:val="en-US" w:eastAsia="zh-CN" w:bidi="ar-SA"/>
      </w:rPr>
    </w:lvl>
    <w:lvl w:ilvl="6" w:tentative="0">
      <w:start w:val="0"/>
      <w:numFmt w:val="bullet"/>
      <w:lvlText w:val="•"/>
      <w:lvlJc w:val="left"/>
      <w:pPr>
        <w:ind w:left="4372" w:hanging="632"/>
      </w:pPr>
      <w:rPr>
        <w:rFonts w:hint="default"/>
        <w:lang w:val="en-US" w:eastAsia="zh-CN" w:bidi="ar-SA"/>
      </w:rPr>
    </w:lvl>
    <w:lvl w:ilvl="7" w:tentative="0">
      <w:start w:val="0"/>
      <w:numFmt w:val="bullet"/>
      <w:lvlText w:val="•"/>
      <w:lvlJc w:val="left"/>
      <w:pPr>
        <w:ind w:left="4977" w:hanging="632"/>
      </w:pPr>
      <w:rPr>
        <w:rFonts w:hint="default"/>
        <w:lang w:val="en-US" w:eastAsia="zh-CN" w:bidi="ar-SA"/>
      </w:rPr>
    </w:lvl>
    <w:lvl w:ilvl="8" w:tentative="0">
      <w:start w:val="0"/>
      <w:numFmt w:val="bullet"/>
      <w:lvlText w:val="•"/>
      <w:lvlJc w:val="left"/>
      <w:pPr>
        <w:ind w:left="5583" w:hanging="632"/>
      </w:pPr>
      <w:rPr>
        <w:rFonts w:hint="default"/>
        <w:lang w:val="en-US" w:eastAsia="zh-CN" w:bidi="ar-SA"/>
      </w:rPr>
    </w:lvl>
  </w:abstractNum>
  <w:abstractNum w:abstractNumId="53">
    <w:nsid w:val="1AD50295"/>
    <w:multiLevelType w:val="multilevel"/>
    <w:tmpl w:val="1AD50295"/>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54">
    <w:nsid w:val="1BCBBCF0"/>
    <w:multiLevelType w:val="multilevel"/>
    <w:tmpl w:val="1BCBBCF0"/>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55">
    <w:nsid w:val="1C257C7B"/>
    <w:multiLevelType w:val="multilevel"/>
    <w:tmpl w:val="1C257C7B"/>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56">
    <w:nsid w:val="23E97754"/>
    <w:multiLevelType w:val="multilevel"/>
    <w:tmpl w:val="23E97754"/>
    <w:lvl w:ilvl="0" w:tentative="0">
      <w:start w:val="1"/>
      <w:numFmt w:val="decimal"/>
      <w:lvlText w:val="(%1)"/>
      <w:lvlJc w:val="left"/>
      <w:pPr>
        <w:ind w:left="106" w:hanging="363"/>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787" w:hanging="363"/>
      </w:pPr>
      <w:rPr>
        <w:rFonts w:hint="default"/>
        <w:lang w:val="en-US" w:eastAsia="zh-CN" w:bidi="ar-SA"/>
      </w:rPr>
    </w:lvl>
    <w:lvl w:ilvl="2" w:tentative="0">
      <w:start w:val="0"/>
      <w:numFmt w:val="bullet"/>
      <w:lvlText w:val="•"/>
      <w:lvlJc w:val="left"/>
      <w:pPr>
        <w:ind w:left="1475" w:hanging="363"/>
      </w:pPr>
      <w:rPr>
        <w:rFonts w:hint="default"/>
        <w:lang w:val="en-US" w:eastAsia="zh-CN" w:bidi="ar-SA"/>
      </w:rPr>
    </w:lvl>
    <w:lvl w:ilvl="3" w:tentative="0">
      <w:start w:val="0"/>
      <w:numFmt w:val="bullet"/>
      <w:lvlText w:val="•"/>
      <w:lvlJc w:val="left"/>
      <w:pPr>
        <w:ind w:left="2162" w:hanging="363"/>
      </w:pPr>
      <w:rPr>
        <w:rFonts w:hint="default"/>
        <w:lang w:val="en-US" w:eastAsia="zh-CN" w:bidi="ar-SA"/>
      </w:rPr>
    </w:lvl>
    <w:lvl w:ilvl="4" w:tentative="0">
      <w:start w:val="0"/>
      <w:numFmt w:val="bullet"/>
      <w:lvlText w:val="•"/>
      <w:lvlJc w:val="left"/>
      <w:pPr>
        <w:ind w:left="2850" w:hanging="363"/>
      </w:pPr>
      <w:rPr>
        <w:rFonts w:hint="default"/>
        <w:lang w:val="en-US" w:eastAsia="zh-CN" w:bidi="ar-SA"/>
      </w:rPr>
    </w:lvl>
    <w:lvl w:ilvl="5" w:tentative="0">
      <w:start w:val="0"/>
      <w:numFmt w:val="bullet"/>
      <w:lvlText w:val="•"/>
      <w:lvlJc w:val="left"/>
      <w:pPr>
        <w:ind w:left="3538" w:hanging="363"/>
      </w:pPr>
      <w:rPr>
        <w:rFonts w:hint="default"/>
        <w:lang w:val="en-US" w:eastAsia="zh-CN" w:bidi="ar-SA"/>
      </w:rPr>
    </w:lvl>
    <w:lvl w:ilvl="6" w:tentative="0">
      <w:start w:val="0"/>
      <w:numFmt w:val="bullet"/>
      <w:lvlText w:val="•"/>
      <w:lvlJc w:val="left"/>
      <w:pPr>
        <w:ind w:left="4225" w:hanging="363"/>
      </w:pPr>
      <w:rPr>
        <w:rFonts w:hint="default"/>
        <w:lang w:val="en-US" w:eastAsia="zh-CN" w:bidi="ar-SA"/>
      </w:rPr>
    </w:lvl>
    <w:lvl w:ilvl="7" w:tentative="0">
      <w:start w:val="0"/>
      <w:numFmt w:val="bullet"/>
      <w:lvlText w:val="•"/>
      <w:lvlJc w:val="left"/>
      <w:pPr>
        <w:ind w:left="4913" w:hanging="363"/>
      </w:pPr>
      <w:rPr>
        <w:rFonts w:hint="default"/>
        <w:lang w:val="en-US" w:eastAsia="zh-CN" w:bidi="ar-SA"/>
      </w:rPr>
    </w:lvl>
    <w:lvl w:ilvl="8" w:tentative="0">
      <w:start w:val="0"/>
      <w:numFmt w:val="bullet"/>
      <w:lvlText w:val="•"/>
      <w:lvlJc w:val="left"/>
      <w:pPr>
        <w:ind w:left="5600" w:hanging="363"/>
      </w:pPr>
      <w:rPr>
        <w:rFonts w:hint="default"/>
        <w:lang w:val="en-US" w:eastAsia="zh-CN" w:bidi="ar-SA"/>
      </w:rPr>
    </w:lvl>
  </w:abstractNum>
  <w:abstractNum w:abstractNumId="57">
    <w:nsid w:val="243FCF68"/>
    <w:multiLevelType w:val="multilevel"/>
    <w:tmpl w:val="243FCF68"/>
    <w:lvl w:ilvl="0" w:tentative="0">
      <w:start w:val="2"/>
      <w:numFmt w:val="decimal"/>
      <w:lvlText w:val="(%1)"/>
      <w:lvlJc w:val="left"/>
      <w:pPr>
        <w:ind w:left="400" w:hanging="294"/>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039" w:hanging="294"/>
      </w:pPr>
      <w:rPr>
        <w:rFonts w:hint="default"/>
        <w:lang w:val="en-US" w:eastAsia="zh-CN" w:bidi="ar-SA"/>
      </w:rPr>
    </w:lvl>
    <w:lvl w:ilvl="2" w:tentative="0">
      <w:start w:val="0"/>
      <w:numFmt w:val="bullet"/>
      <w:lvlText w:val="•"/>
      <w:lvlJc w:val="left"/>
      <w:pPr>
        <w:ind w:left="1678" w:hanging="294"/>
      </w:pPr>
      <w:rPr>
        <w:rFonts w:hint="default"/>
        <w:lang w:val="en-US" w:eastAsia="zh-CN" w:bidi="ar-SA"/>
      </w:rPr>
    </w:lvl>
    <w:lvl w:ilvl="3" w:tentative="0">
      <w:start w:val="0"/>
      <w:numFmt w:val="bullet"/>
      <w:lvlText w:val="•"/>
      <w:lvlJc w:val="left"/>
      <w:pPr>
        <w:ind w:left="2318" w:hanging="294"/>
      </w:pPr>
      <w:rPr>
        <w:rFonts w:hint="default"/>
        <w:lang w:val="en-US" w:eastAsia="zh-CN" w:bidi="ar-SA"/>
      </w:rPr>
    </w:lvl>
    <w:lvl w:ilvl="4" w:tentative="0">
      <w:start w:val="0"/>
      <w:numFmt w:val="bullet"/>
      <w:lvlText w:val="•"/>
      <w:lvlJc w:val="left"/>
      <w:pPr>
        <w:ind w:left="2957" w:hanging="294"/>
      </w:pPr>
      <w:rPr>
        <w:rFonts w:hint="default"/>
        <w:lang w:val="en-US" w:eastAsia="zh-CN" w:bidi="ar-SA"/>
      </w:rPr>
    </w:lvl>
    <w:lvl w:ilvl="5" w:tentative="0">
      <w:start w:val="0"/>
      <w:numFmt w:val="bullet"/>
      <w:lvlText w:val="•"/>
      <w:lvlJc w:val="left"/>
      <w:pPr>
        <w:ind w:left="3597" w:hanging="294"/>
      </w:pPr>
      <w:rPr>
        <w:rFonts w:hint="default"/>
        <w:lang w:val="en-US" w:eastAsia="zh-CN" w:bidi="ar-SA"/>
      </w:rPr>
    </w:lvl>
    <w:lvl w:ilvl="6" w:tentative="0">
      <w:start w:val="0"/>
      <w:numFmt w:val="bullet"/>
      <w:lvlText w:val="•"/>
      <w:lvlJc w:val="left"/>
      <w:pPr>
        <w:ind w:left="4236" w:hanging="294"/>
      </w:pPr>
      <w:rPr>
        <w:rFonts w:hint="default"/>
        <w:lang w:val="en-US" w:eastAsia="zh-CN" w:bidi="ar-SA"/>
      </w:rPr>
    </w:lvl>
    <w:lvl w:ilvl="7" w:tentative="0">
      <w:start w:val="0"/>
      <w:numFmt w:val="bullet"/>
      <w:lvlText w:val="•"/>
      <w:lvlJc w:val="left"/>
      <w:pPr>
        <w:ind w:left="4875" w:hanging="294"/>
      </w:pPr>
      <w:rPr>
        <w:rFonts w:hint="default"/>
        <w:lang w:val="en-US" w:eastAsia="zh-CN" w:bidi="ar-SA"/>
      </w:rPr>
    </w:lvl>
    <w:lvl w:ilvl="8" w:tentative="0">
      <w:start w:val="0"/>
      <w:numFmt w:val="bullet"/>
      <w:lvlText w:val="•"/>
      <w:lvlJc w:val="left"/>
      <w:pPr>
        <w:ind w:left="5515" w:hanging="294"/>
      </w:pPr>
      <w:rPr>
        <w:rFonts w:hint="default"/>
        <w:lang w:val="en-US" w:eastAsia="zh-CN" w:bidi="ar-SA"/>
      </w:rPr>
    </w:lvl>
  </w:abstractNum>
  <w:abstractNum w:abstractNumId="58">
    <w:nsid w:val="2F2D79CE"/>
    <w:multiLevelType w:val="multilevel"/>
    <w:tmpl w:val="2F2D79CE"/>
    <w:lvl w:ilvl="0" w:tentative="0">
      <w:start w:val="1"/>
      <w:numFmt w:val="decimal"/>
      <w:lvlText w:val="（%1）"/>
      <w:lvlJc w:val="left"/>
      <w:pPr>
        <w:ind w:left="106"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59">
    <w:nsid w:val="30A0AC00"/>
    <w:multiLevelType w:val="multilevel"/>
    <w:tmpl w:val="30A0AC00"/>
    <w:lvl w:ilvl="0" w:tentative="0">
      <w:start w:val="1"/>
      <w:numFmt w:val="decimal"/>
      <w:lvlText w:val="（%1）"/>
      <w:lvlJc w:val="left"/>
      <w:pPr>
        <w:ind w:left="106" w:hanging="527"/>
        <w:jc w:val="left"/>
      </w:pPr>
      <w:rPr>
        <w:rFonts w:hint="default" w:ascii="宋体" w:hAnsi="宋体" w:eastAsia="宋体" w:cs="宋体"/>
        <w:b w:val="0"/>
        <w:bCs w:val="0"/>
        <w:i w:val="0"/>
        <w:iCs w:val="0"/>
        <w:spacing w:val="-28"/>
        <w:w w:val="100"/>
        <w:sz w:val="19"/>
        <w:szCs w:val="19"/>
        <w:lang w:val="en-US" w:eastAsia="zh-CN" w:bidi="ar-SA"/>
      </w:rPr>
    </w:lvl>
    <w:lvl w:ilvl="1" w:tentative="0">
      <w:start w:val="0"/>
      <w:numFmt w:val="bullet"/>
      <w:lvlText w:val="•"/>
      <w:lvlJc w:val="left"/>
      <w:pPr>
        <w:ind w:left="787" w:hanging="527"/>
      </w:pPr>
      <w:rPr>
        <w:rFonts w:hint="default"/>
        <w:lang w:val="en-US" w:eastAsia="zh-CN" w:bidi="ar-SA"/>
      </w:rPr>
    </w:lvl>
    <w:lvl w:ilvl="2" w:tentative="0">
      <w:start w:val="0"/>
      <w:numFmt w:val="bullet"/>
      <w:lvlText w:val="•"/>
      <w:lvlJc w:val="left"/>
      <w:pPr>
        <w:ind w:left="1475" w:hanging="527"/>
      </w:pPr>
      <w:rPr>
        <w:rFonts w:hint="default"/>
        <w:lang w:val="en-US" w:eastAsia="zh-CN" w:bidi="ar-SA"/>
      </w:rPr>
    </w:lvl>
    <w:lvl w:ilvl="3" w:tentative="0">
      <w:start w:val="0"/>
      <w:numFmt w:val="bullet"/>
      <w:lvlText w:val="•"/>
      <w:lvlJc w:val="left"/>
      <w:pPr>
        <w:ind w:left="2162" w:hanging="527"/>
      </w:pPr>
      <w:rPr>
        <w:rFonts w:hint="default"/>
        <w:lang w:val="en-US" w:eastAsia="zh-CN" w:bidi="ar-SA"/>
      </w:rPr>
    </w:lvl>
    <w:lvl w:ilvl="4" w:tentative="0">
      <w:start w:val="0"/>
      <w:numFmt w:val="bullet"/>
      <w:lvlText w:val="•"/>
      <w:lvlJc w:val="left"/>
      <w:pPr>
        <w:ind w:left="2850" w:hanging="527"/>
      </w:pPr>
      <w:rPr>
        <w:rFonts w:hint="default"/>
        <w:lang w:val="en-US" w:eastAsia="zh-CN" w:bidi="ar-SA"/>
      </w:rPr>
    </w:lvl>
    <w:lvl w:ilvl="5" w:tentative="0">
      <w:start w:val="0"/>
      <w:numFmt w:val="bullet"/>
      <w:lvlText w:val="•"/>
      <w:lvlJc w:val="left"/>
      <w:pPr>
        <w:ind w:left="3538" w:hanging="527"/>
      </w:pPr>
      <w:rPr>
        <w:rFonts w:hint="default"/>
        <w:lang w:val="en-US" w:eastAsia="zh-CN" w:bidi="ar-SA"/>
      </w:rPr>
    </w:lvl>
    <w:lvl w:ilvl="6" w:tentative="0">
      <w:start w:val="0"/>
      <w:numFmt w:val="bullet"/>
      <w:lvlText w:val="•"/>
      <w:lvlJc w:val="left"/>
      <w:pPr>
        <w:ind w:left="4225" w:hanging="527"/>
      </w:pPr>
      <w:rPr>
        <w:rFonts w:hint="default"/>
        <w:lang w:val="en-US" w:eastAsia="zh-CN" w:bidi="ar-SA"/>
      </w:rPr>
    </w:lvl>
    <w:lvl w:ilvl="7" w:tentative="0">
      <w:start w:val="0"/>
      <w:numFmt w:val="bullet"/>
      <w:lvlText w:val="•"/>
      <w:lvlJc w:val="left"/>
      <w:pPr>
        <w:ind w:left="4913" w:hanging="527"/>
      </w:pPr>
      <w:rPr>
        <w:rFonts w:hint="default"/>
        <w:lang w:val="en-US" w:eastAsia="zh-CN" w:bidi="ar-SA"/>
      </w:rPr>
    </w:lvl>
    <w:lvl w:ilvl="8" w:tentative="0">
      <w:start w:val="0"/>
      <w:numFmt w:val="bullet"/>
      <w:lvlText w:val="•"/>
      <w:lvlJc w:val="left"/>
      <w:pPr>
        <w:ind w:left="5600" w:hanging="527"/>
      </w:pPr>
      <w:rPr>
        <w:rFonts w:hint="default"/>
        <w:lang w:val="en-US" w:eastAsia="zh-CN" w:bidi="ar-SA"/>
      </w:rPr>
    </w:lvl>
  </w:abstractNum>
  <w:abstractNum w:abstractNumId="60">
    <w:nsid w:val="30FC5B15"/>
    <w:multiLevelType w:val="multilevel"/>
    <w:tmpl w:val="30FC5B15"/>
    <w:lvl w:ilvl="0" w:tentative="0">
      <w:start w:val="1"/>
      <w:numFmt w:val="decimal"/>
      <w:lvlText w:val="（%1）"/>
      <w:lvlJc w:val="left"/>
      <w:pPr>
        <w:ind w:left="708" w:hanging="451"/>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550" w:hanging="451"/>
      </w:pPr>
      <w:rPr>
        <w:rFonts w:hint="default"/>
        <w:lang w:val="en-US" w:eastAsia="zh-CN" w:bidi="ar-SA"/>
      </w:rPr>
    </w:lvl>
    <w:lvl w:ilvl="2" w:tentative="0">
      <w:start w:val="0"/>
      <w:numFmt w:val="bullet"/>
      <w:lvlText w:val="•"/>
      <w:lvlJc w:val="left"/>
      <w:pPr>
        <w:ind w:left="2401" w:hanging="451"/>
      </w:pPr>
      <w:rPr>
        <w:rFonts w:hint="default"/>
        <w:lang w:val="en-US" w:eastAsia="zh-CN" w:bidi="ar-SA"/>
      </w:rPr>
    </w:lvl>
    <w:lvl w:ilvl="3" w:tentative="0">
      <w:start w:val="0"/>
      <w:numFmt w:val="bullet"/>
      <w:lvlText w:val="•"/>
      <w:lvlJc w:val="left"/>
      <w:pPr>
        <w:ind w:left="3251" w:hanging="451"/>
      </w:pPr>
      <w:rPr>
        <w:rFonts w:hint="default"/>
        <w:lang w:val="en-US" w:eastAsia="zh-CN" w:bidi="ar-SA"/>
      </w:rPr>
    </w:lvl>
    <w:lvl w:ilvl="4" w:tentative="0">
      <w:start w:val="0"/>
      <w:numFmt w:val="bullet"/>
      <w:lvlText w:val="•"/>
      <w:lvlJc w:val="left"/>
      <w:pPr>
        <w:ind w:left="4102" w:hanging="451"/>
      </w:pPr>
      <w:rPr>
        <w:rFonts w:hint="default"/>
        <w:lang w:val="en-US" w:eastAsia="zh-CN" w:bidi="ar-SA"/>
      </w:rPr>
    </w:lvl>
    <w:lvl w:ilvl="5" w:tentative="0">
      <w:start w:val="0"/>
      <w:numFmt w:val="bullet"/>
      <w:lvlText w:val="•"/>
      <w:lvlJc w:val="left"/>
      <w:pPr>
        <w:ind w:left="4953" w:hanging="451"/>
      </w:pPr>
      <w:rPr>
        <w:rFonts w:hint="default"/>
        <w:lang w:val="en-US" w:eastAsia="zh-CN" w:bidi="ar-SA"/>
      </w:rPr>
    </w:lvl>
    <w:lvl w:ilvl="6" w:tentative="0">
      <w:start w:val="0"/>
      <w:numFmt w:val="bullet"/>
      <w:lvlText w:val="•"/>
      <w:lvlJc w:val="left"/>
      <w:pPr>
        <w:ind w:left="5803" w:hanging="451"/>
      </w:pPr>
      <w:rPr>
        <w:rFonts w:hint="default"/>
        <w:lang w:val="en-US" w:eastAsia="zh-CN" w:bidi="ar-SA"/>
      </w:rPr>
    </w:lvl>
    <w:lvl w:ilvl="7" w:tentative="0">
      <w:start w:val="0"/>
      <w:numFmt w:val="bullet"/>
      <w:lvlText w:val="•"/>
      <w:lvlJc w:val="left"/>
      <w:pPr>
        <w:ind w:left="6654" w:hanging="451"/>
      </w:pPr>
      <w:rPr>
        <w:rFonts w:hint="default"/>
        <w:lang w:val="en-US" w:eastAsia="zh-CN" w:bidi="ar-SA"/>
      </w:rPr>
    </w:lvl>
    <w:lvl w:ilvl="8" w:tentative="0">
      <w:start w:val="0"/>
      <w:numFmt w:val="bullet"/>
      <w:lvlText w:val="•"/>
      <w:lvlJc w:val="left"/>
      <w:pPr>
        <w:ind w:left="7505" w:hanging="451"/>
      </w:pPr>
      <w:rPr>
        <w:rFonts w:hint="default"/>
        <w:lang w:val="en-US" w:eastAsia="zh-CN" w:bidi="ar-SA"/>
      </w:rPr>
    </w:lvl>
  </w:abstractNum>
  <w:abstractNum w:abstractNumId="61">
    <w:nsid w:val="322D85CA"/>
    <w:multiLevelType w:val="multilevel"/>
    <w:tmpl w:val="322D85CA"/>
    <w:lvl w:ilvl="0" w:tentative="0">
      <w:start w:val="1"/>
      <w:numFmt w:val="decimal"/>
      <w:lvlText w:val="(%1)"/>
      <w:lvlJc w:val="left"/>
      <w:pPr>
        <w:ind w:left="106"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787" w:hanging="351"/>
      </w:pPr>
      <w:rPr>
        <w:rFonts w:hint="default"/>
        <w:lang w:val="en-US" w:eastAsia="zh-CN" w:bidi="ar-SA"/>
      </w:rPr>
    </w:lvl>
    <w:lvl w:ilvl="2" w:tentative="0">
      <w:start w:val="0"/>
      <w:numFmt w:val="bullet"/>
      <w:lvlText w:val="•"/>
      <w:lvlJc w:val="left"/>
      <w:pPr>
        <w:ind w:left="1475" w:hanging="351"/>
      </w:pPr>
      <w:rPr>
        <w:rFonts w:hint="default"/>
        <w:lang w:val="en-US" w:eastAsia="zh-CN" w:bidi="ar-SA"/>
      </w:rPr>
    </w:lvl>
    <w:lvl w:ilvl="3" w:tentative="0">
      <w:start w:val="0"/>
      <w:numFmt w:val="bullet"/>
      <w:lvlText w:val="•"/>
      <w:lvlJc w:val="left"/>
      <w:pPr>
        <w:ind w:left="2162" w:hanging="351"/>
      </w:pPr>
      <w:rPr>
        <w:rFonts w:hint="default"/>
        <w:lang w:val="en-US" w:eastAsia="zh-CN" w:bidi="ar-SA"/>
      </w:rPr>
    </w:lvl>
    <w:lvl w:ilvl="4" w:tentative="0">
      <w:start w:val="0"/>
      <w:numFmt w:val="bullet"/>
      <w:lvlText w:val="•"/>
      <w:lvlJc w:val="left"/>
      <w:pPr>
        <w:ind w:left="2850" w:hanging="351"/>
      </w:pPr>
      <w:rPr>
        <w:rFonts w:hint="default"/>
        <w:lang w:val="en-US" w:eastAsia="zh-CN" w:bidi="ar-SA"/>
      </w:rPr>
    </w:lvl>
    <w:lvl w:ilvl="5" w:tentative="0">
      <w:start w:val="0"/>
      <w:numFmt w:val="bullet"/>
      <w:lvlText w:val="•"/>
      <w:lvlJc w:val="left"/>
      <w:pPr>
        <w:ind w:left="3538" w:hanging="351"/>
      </w:pPr>
      <w:rPr>
        <w:rFonts w:hint="default"/>
        <w:lang w:val="en-US" w:eastAsia="zh-CN" w:bidi="ar-SA"/>
      </w:rPr>
    </w:lvl>
    <w:lvl w:ilvl="6" w:tentative="0">
      <w:start w:val="0"/>
      <w:numFmt w:val="bullet"/>
      <w:lvlText w:val="•"/>
      <w:lvlJc w:val="left"/>
      <w:pPr>
        <w:ind w:left="4225" w:hanging="351"/>
      </w:pPr>
      <w:rPr>
        <w:rFonts w:hint="default"/>
        <w:lang w:val="en-US" w:eastAsia="zh-CN" w:bidi="ar-SA"/>
      </w:rPr>
    </w:lvl>
    <w:lvl w:ilvl="7" w:tentative="0">
      <w:start w:val="0"/>
      <w:numFmt w:val="bullet"/>
      <w:lvlText w:val="•"/>
      <w:lvlJc w:val="left"/>
      <w:pPr>
        <w:ind w:left="4913" w:hanging="351"/>
      </w:pPr>
      <w:rPr>
        <w:rFonts w:hint="default"/>
        <w:lang w:val="en-US" w:eastAsia="zh-CN" w:bidi="ar-SA"/>
      </w:rPr>
    </w:lvl>
    <w:lvl w:ilvl="8" w:tentative="0">
      <w:start w:val="0"/>
      <w:numFmt w:val="bullet"/>
      <w:lvlText w:val="•"/>
      <w:lvlJc w:val="left"/>
      <w:pPr>
        <w:ind w:left="5600" w:hanging="351"/>
      </w:pPr>
      <w:rPr>
        <w:rFonts w:hint="default"/>
        <w:lang w:val="en-US" w:eastAsia="zh-CN" w:bidi="ar-SA"/>
      </w:rPr>
    </w:lvl>
  </w:abstractNum>
  <w:abstractNum w:abstractNumId="62">
    <w:nsid w:val="32A7AF2D"/>
    <w:multiLevelType w:val="multilevel"/>
    <w:tmpl w:val="32A7AF2D"/>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63">
    <w:nsid w:val="35E83B33"/>
    <w:multiLevelType w:val="multilevel"/>
    <w:tmpl w:val="35E83B33"/>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64">
    <w:nsid w:val="39A0D9AC"/>
    <w:multiLevelType w:val="multilevel"/>
    <w:tmpl w:val="39A0D9AC"/>
    <w:lvl w:ilvl="0" w:tentative="0">
      <w:start w:val="1"/>
      <w:numFmt w:val="decimal"/>
      <w:lvlText w:val="%1)"/>
      <w:lvlJc w:val="left"/>
      <w:pPr>
        <w:ind w:left="902" w:hanging="360"/>
        <w:jc w:val="left"/>
      </w:pPr>
      <w:rPr>
        <w:rFonts w:hint="default" w:ascii="Times New Roman" w:hAnsi="Times New Roman" w:eastAsia="Times New Roman" w:cs="Times New Roman"/>
        <w:b w:val="0"/>
        <w:bCs w:val="0"/>
        <w:i w:val="0"/>
        <w:iCs w:val="0"/>
        <w:w w:val="99"/>
        <w:sz w:val="18"/>
        <w:szCs w:val="18"/>
        <w:lang w:val="en-US" w:eastAsia="zh-CN" w:bidi="ar-SA"/>
      </w:rPr>
    </w:lvl>
    <w:lvl w:ilvl="1" w:tentative="0">
      <w:start w:val="0"/>
      <w:numFmt w:val="bullet"/>
      <w:lvlText w:val="•"/>
      <w:lvlJc w:val="left"/>
      <w:pPr>
        <w:ind w:left="1730" w:hanging="360"/>
      </w:pPr>
      <w:rPr>
        <w:rFonts w:hint="default"/>
        <w:lang w:val="en-US" w:eastAsia="zh-CN" w:bidi="ar-SA"/>
      </w:rPr>
    </w:lvl>
    <w:lvl w:ilvl="2" w:tentative="0">
      <w:start w:val="0"/>
      <w:numFmt w:val="bullet"/>
      <w:lvlText w:val="•"/>
      <w:lvlJc w:val="left"/>
      <w:pPr>
        <w:ind w:left="2561" w:hanging="360"/>
      </w:pPr>
      <w:rPr>
        <w:rFonts w:hint="default"/>
        <w:lang w:val="en-US" w:eastAsia="zh-CN" w:bidi="ar-SA"/>
      </w:rPr>
    </w:lvl>
    <w:lvl w:ilvl="3" w:tentative="0">
      <w:start w:val="0"/>
      <w:numFmt w:val="bullet"/>
      <w:lvlText w:val="•"/>
      <w:lvlJc w:val="left"/>
      <w:pPr>
        <w:ind w:left="3391" w:hanging="360"/>
      </w:pPr>
      <w:rPr>
        <w:rFonts w:hint="default"/>
        <w:lang w:val="en-US" w:eastAsia="zh-CN" w:bidi="ar-SA"/>
      </w:rPr>
    </w:lvl>
    <w:lvl w:ilvl="4" w:tentative="0">
      <w:start w:val="0"/>
      <w:numFmt w:val="bullet"/>
      <w:lvlText w:val="•"/>
      <w:lvlJc w:val="left"/>
      <w:pPr>
        <w:ind w:left="4222" w:hanging="360"/>
      </w:pPr>
      <w:rPr>
        <w:rFonts w:hint="default"/>
        <w:lang w:val="en-US" w:eastAsia="zh-CN" w:bidi="ar-SA"/>
      </w:rPr>
    </w:lvl>
    <w:lvl w:ilvl="5" w:tentative="0">
      <w:start w:val="0"/>
      <w:numFmt w:val="bullet"/>
      <w:lvlText w:val="•"/>
      <w:lvlJc w:val="left"/>
      <w:pPr>
        <w:ind w:left="5053" w:hanging="360"/>
      </w:pPr>
      <w:rPr>
        <w:rFonts w:hint="default"/>
        <w:lang w:val="en-US" w:eastAsia="zh-CN" w:bidi="ar-SA"/>
      </w:rPr>
    </w:lvl>
    <w:lvl w:ilvl="6" w:tentative="0">
      <w:start w:val="0"/>
      <w:numFmt w:val="bullet"/>
      <w:lvlText w:val="•"/>
      <w:lvlJc w:val="left"/>
      <w:pPr>
        <w:ind w:left="5883" w:hanging="360"/>
      </w:pPr>
      <w:rPr>
        <w:rFonts w:hint="default"/>
        <w:lang w:val="en-US" w:eastAsia="zh-CN" w:bidi="ar-SA"/>
      </w:rPr>
    </w:lvl>
    <w:lvl w:ilvl="7" w:tentative="0">
      <w:start w:val="0"/>
      <w:numFmt w:val="bullet"/>
      <w:lvlText w:val="•"/>
      <w:lvlJc w:val="left"/>
      <w:pPr>
        <w:ind w:left="6714" w:hanging="360"/>
      </w:pPr>
      <w:rPr>
        <w:rFonts w:hint="default"/>
        <w:lang w:val="en-US" w:eastAsia="zh-CN" w:bidi="ar-SA"/>
      </w:rPr>
    </w:lvl>
    <w:lvl w:ilvl="8" w:tentative="0">
      <w:start w:val="0"/>
      <w:numFmt w:val="bullet"/>
      <w:lvlText w:val="•"/>
      <w:lvlJc w:val="left"/>
      <w:pPr>
        <w:ind w:left="7545" w:hanging="360"/>
      </w:pPr>
      <w:rPr>
        <w:rFonts w:hint="default"/>
        <w:lang w:val="en-US" w:eastAsia="zh-CN" w:bidi="ar-SA"/>
      </w:rPr>
    </w:lvl>
  </w:abstractNum>
  <w:abstractNum w:abstractNumId="65">
    <w:nsid w:val="3B8127DF"/>
    <w:multiLevelType w:val="multilevel"/>
    <w:tmpl w:val="3B8127DF"/>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66">
    <w:nsid w:val="40B249F9"/>
    <w:multiLevelType w:val="multilevel"/>
    <w:tmpl w:val="40B249F9"/>
    <w:lvl w:ilvl="0" w:tentative="0">
      <w:start w:val="1"/>
      <w:numFmt w:val="decimal"/>
      <w:lvlText w:val="(%1)"/>
      <w:lvlJc w:val="left"/>
      <w:pPr>
        <w:ind w:left="457"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67">
    <w:nsid w:val="46A08BB8"/>
    <w:multiLevelType w:val="multilevel"/>
    <w:tmpl w:val="46A08BB8"/>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68">
    <w:nsid w:val="4A51D704"/>
    <w:multiLevelType w:val="multilevel"/>
    <w:tmpl w:val="4A51D704"/>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69">
    <w:nsid w:val="4C3D7A74"/>
    <w:multiLevelType w:val="multilevel"/>
    <w:tmpl w:val="4C3D7A74"/>
    <w:lvl w:ilvl="0" w:tentative="0">
      <w:start w:val="3"/>
      <w:numFmt w:val="decimal"/>
      <w:lvlText w:val="(%1)"/>
      <w:lvlJc w:val="left"/>
      <w:pPr>
        <w:ind w:left="400" w:hanging="294"/>
        <w:jc w:val="left"/>
      </w:pPr>
      <w:rPr>
        <w:rFonts w:hint="default" w:ascii="Times New Roman" w:hAnsi="Times New Roman" w:eastAsia="Times New Roman" w:cs="Times New Roman"/>
        <w:b w:val="0"/>
        <w:bCs w:val="0"/>
        <w:i w:val="0"/>
        <w:iCs w:val="0"/>
        <w:spacing w:val="-1"/>
        <w:w w:val="99"/>
        <w:sz w:val="21"/>
        <w:szCs w:val="21"/>
        <w:shd w:val="clear" w:color="auto" w:fill="DADADA"/>
        <w:lang w:val="en-US" w:eastAsia="zh-CN" w:bidi="ar-SA"/>
      </w:rPr>
    </w:lvl>
    <w:lvl w:ilvl="1" w:tentative="0">
      <w:start w:val="0"/>
      <w:numFmt w:val="bullet"/>
      <w:lvlText w:val="•"/>
      <w:lvlJc w:val="left"/>
      <w:pPr>
        <w:ind w:left="1057" w:hanging="294"/>
      </w:pPr>
      <w:rPr>
        <w:rFonts w:hint="default"/>
        <w:lang w:val="en-US" w:eastAsia="zh-CN" w:bidi="ar-SA"/>
      </w:rPr>
    </w:lvl>
    <w:lvl w:ilvl="2" w:tentative="0">
      <w:start w:val="0"/>
      <w:numFmt w:val="bullet"/>
      <w:lvlText w:val="•"/>
      <w:lvlJc w:val="left"/>
      <w:pPr>
        <w:ind w:left="1715" w:hanging="294"/>
      </w:pPr>
      <w:rPr>
        <w:rFonts w:hint="default"/>
        <w:lang w:val="en-US" w:eastAsia="zh-CN" w:bidi="ar-SA"/>
      </w:rPr>
    </w:lvl>
    <w:lvl w:ilvl="3" w:tentative="0">
      <w:start w:val="0"/>
      <w:numFmt w:val="bullet"/>
      <w:lvlText w:val="•"/>
      <w:lvlJc w:val="left"/>
      <w:pPr>
        <w:ind w:left="2372" w:hanging="294"/>
      </w:pPr>
      <w:rPr>
        <w:rFonts w:hint="default"/>
        <w:lang w:val="en-US" w:eastAsia="zh-CN" w:bidi="ar-SA"/>
      </w:rPr>
    </w:lvl>
    <w:lvl w:ilvl="4" w:tentative="0">
      <w:start w:val="0"/>
      <w:numFmt w:val="bullet"/>
      <w:lvlText w:val="•"/>
      <w:lvlJc w:val="left"/>
      <w:pPr>
        <w:ind w:left="3030" w:hanging="294"/>
      </w:pPr>
      <w:rPr>
        <w:rFonts w:hint="default"/>
        <w:lang w:val="en-US" w:eastAsia="zh-CN" w:bidi="ar-SA"/>
      </w:rPr>
    </w:lvl>
    <w:lvl w:ilvl="5" w:tentative="0">
      <w:start w:val="0"/>
      <w:numFmt w:val="bullet"/>
      <w:lvlText w:val="•"/>
      <w:lvlJc w:val="left"/>
      <w:pPr>
        <w:ind w:left="3688" w:hanging="294"/>
      </w:pPr>
      <w:rPr>
        <w:rFonts w:hint="default"/>
        <w:lang w:val="en-US" w:eastAsia="zh-CN" w:bidi="ar-SA"/>
      </w:rPr>
    </w:lvl>
    <w:lvl w:ilvl="6" w:tentative="0">
      <w:start w:val="0"/>
      <w:numFmt w:val="bullet"/>
      <w:lvlText w:val="•"/>
      <w:lvlJc w:val="left"/>
      <w:pPr>
        <w:ind w:left="4345" w:hanging="294"/>
      </w:pPr>
      <w:rPr>
        <w:rFonts w:hint="default"/>
        <w:lang w:val="en-US" w:eastAsia="zh-CN" w:bidi="ar-SA"/>
      </w:rPr>
    </w:lvl>
    <w:lvl w:ilvl="7" w:tentative="0">
      <w:start w:val="0"/>
      <w:numFmt w:val="bullet"/>
      <w:lvlText w:val="•"/>
      <w:lvlJc w:val="left"/>
      <w:pPr>
        <w:ind w:left="5003" w:hanging="294"/>
      </w:pPr>
      <w:rPr>
        <w:rFonts w:hint="default"/>
        <w:lang w:val="en-US" w:eastAsia="zh-CN" w:bidi="ar-SA"/>
      </w:rPr>
    </w:lvl>
    <w:lvl w:ilvl="8" w:tentative="0">
      <w:start w:val="0"/>
      <w:numFmt w:val="bullet"/>
      <w:lvlText w:val="•"/>
      <w:lvlJc w:val="left"/>
      <w:pPr>
        <w:ind w:left="5660" w:hanging="294"/>
      </w:pPr>
      <w:rPr>
        <w:rFonts w:hint="default"/>
        <w:lang w:val="en-US" w:eastAsia="zh-CN" w:bidi="ar-SA"/>
      </w:rPr>
    </w:lvl>
  </w:abstractNum>
  <w:abstractNum w:abstractNumId="70">
    <w:nsid w:val="4CD1E351"/>
    <w:multiLevelType w:val="multilevel"/>
    <w:tmpl w:val="4CD1E351"/>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63" w:hanging="632"/>
      </w:pPr>
      <w:rPr>
        <w:rFonts w:hint="default"/>
        <w:lang w:val="en-US" w:eastAsia="zh-CN" w:bidi="ar-SA"/>
      </w:rPr>
    </w:lvl>
    <w:lvl w:ilvl="2" w:tentative="0">
      <w:start w:val="0"/>
      <w:numFmt w:val="bullet"/>
      <w:lvlText w:val="•"/>
      <w:lvlJc w:val="left"/>
      <w:pPr>
        <w:ind w:left="1987" w:hanging="632"/>
      </w:pPr>
      <w:rPr>
        <w:rFonts w:hint="default"/>
        <w:lang w:val="en-US" w:eastAsia="zh-CN" w:bidi="ar-SA"/>
      </w:rPr>
    </w:lvl>
    <w:lvl w:ilvl="3" w:tentative="0">
      <w:start w:val="0"/>
      <w:numFmt w:val="bullet"/>
      <w:lvlText w:val="•"/>
      <w:lvlJc w:val="left"/>
      <w:pPr>
        <w:ind w:left="2610" w:hanging="632"/>
      </w:pPr>
      <w:rPr>
        <w:rFonts w:hint="default"/>
        <w:lang w:val="en-US" w:eastAsia="zh-CN" w:bidi="ar-SA"/>
      </w:rPr>
    </w:lvl>
    <w:lvl w:ilvl="4" w:tentative="0">
      <w:start w:val="0"/>
      <w:numFmt w:val="bullet"/>
      <w:lvlText w:val="•"/>
      <w:lvlJc w:val="left"/>
      <w:pPr>
        <w:ind w:left="3234" w:hanging="632"/>
      </w:pPr>
      <w:rPr>
        <w:rFonts w:hint="default"/>
        <w:lang w:val="en-US" w:eastAsia="zh-CN" w:bidi="ar-SA"/>
      </w:rPr>
    </w:lvl>
    <w:lvl w:ilvl="5" w:tentative="0">
      <w:start w:val="0"/>
      <w:numFmt w:val="bullet"/>
      <w:lvlText w:val="•"/>
      <w:lvlJc w:val="left"/>
      <w:pPr>
        <w:ind w:left="3858" w:hanging="632"/>
      </w:pPr>
      <w:rPr>
        <w:rFonts w:hint="default"/>
        <w:lang w:val="en-US" w:eastAsia="zh-CN" w:bidi="ar-SA"/>
      </w:rPr>
    </w:lvl>
    <w:lvl w:ilvl="6" w:tentative="0">
      <w:start w:val="0"/>
      <w:numFmt w:val="bullet"/>
      <w:lvlText w:val="•"/>
      <w:lvlJc w:val="left"/>
      <w:pPr>
        <w:ind w:left="4481" w:hanging="632"/>
      </w:pPr>
      <w:rPr>
        <w:rFonts w:hint="default"/>
        <w:lang w:val="en-US" w:eastAsia="zh-CN" w:bidi="ar-SA"/>
      </w:rPr>
    </w:lvl>
    <w:lvl w:ilvl="7" w:tentative="0">
      <w:start w:val="0"/>
      <w:numFmt w:val="bullet"/>
      <w:lvlText w:val="•"/>
      <w:lvlJc w:val="left"/>
      <w:pPr>
        <w:ind w:left="5105" w:hanging="632"/>
      </w:pPr>
      <w:rPr>
        <w:rFonts w:hint="default"/>
        <w:lang w:val="en-US" w:eastAsia="zh-CN" w:bidi="ar-SA"/>
      </w:rPr>
    </w:lvl>
    <w:lvl w:ilvl="8" w:tentative="0">
      <w:start w:val="0"/>
      <w:numFmt w:val="bullet"/>
      <w:lvlText w:val="•"/>
      <w:lvlJc w:val="left"/>
      <w:pPr>
        <w:ind w:left="5728" w:hanging="632"/>
      </w:pPr>
      <w:rPr>
        <w:rFonts w:hint="default"/>
        <w:lang w:val="en-US" w:eastAsia="zh-CN" w:bidi="ar-SA"/>
      </w:rPr>
    </w:lvl>
  </w:abstractNum>
  <w:abstractNum w:abstractNumId="71">
    <w:nsid w:val="4D94DA66"/>
    <w:multiLevelType w:val="multilevel"/>
    <w:tmpl w:val="4D94DA66"/>
    <w:lvl w:ilvl="0" w:tentative="0">
      <w:start w:val="1"/>
      <w:numFmt w:val="lowerLetter"/>
      <w:lvlText w:val="%1."/>
      <w:lvlJc w:val="left"/>
      <w:pPr>
        <w:ind w:left="106" w:hanging="252"/>
        <w:jc w:val="left"/>
      </w:pPr>
      <w:rPr>
        <w:rFonts w:hint="default" w:ascii="Times New Roman" w:hAnsi="Times New Roman" w:eastAsia="Times New Roman" w:cs="Times New Roman"/>
        <w:b w:val="0"/>
        <w:bCs w:val="0"/>
        <w:i w:val="0"/>
        <w:iCs w:val="0"/>
        <w:w w:val="100"/>
        <w:sz w:val="21"/>
        <w:szCs w:val="21"/>
        <w:shd w:val="clear" w:color="auto" w:fill="DADADA"/>
        <w:lang w:val="en-US" w:eastAsia="zh-CN" w:bidi="ar-SA"/>
      </w:rPr>
    </w:lvl>
    <w:lvl w:ilvl="1" w:tentative="0">
      <w:start w:val="0"/>
      <w:numFmt w:val="bullet"/>
      <w:lvlText w:val="•"/>
      <w:lvlJc w:val="left"/>
      <w:pPr>
        <w:ind w:left="769" w:hanging="252"/>
      </w:pPr>
      <w:rPr>
        <w:rFonts w:hint="default"/>
        <w:lang w:val="en-US" w:eastAsia="zh-CN" w:bidi="ar-SA"/>
      </w:rPr>
    </w:lvl>
    <w:lvl w:ilvl="2" w:tentative="0">
      <w:start w:val="0"/>
      <w:numFmt w:val="bullet"/>
      <w:lvlText w:val="•"/>
      <w:lvlJc w:val="left"/>
      <w:pPr>
        <w:ind w:left="1438" w:hanging="252"/>
      </w:pPr>
      <w:rPr>
        <w:rFonts w:hint="default"/>
        <w:lang w:val="en-US" w:eastAsia="zh-CN" w:bidi="ar-SA"/>
      </w:rPr>
    </w:lvl>
    <w:lvl w:ilvl="3" w:tentative="0">
      <w:start w:val="0"/>
      <w:numFmt w:val="bullet"/>
      <w:lvlText w:val="•"/>
      <w:lvlJc w:val="left"/>
      <w:pPr>
        <w:ind w:left="2108" w:hanging="252"/>
      </w:pPr>
      <w:rPr>
        <w:rFonts w:hint="default"/>
        <w:lang w:val="en-US" w:eastAsia="zh-CN" w:bidi="ar-SA"/>
      </w:rPr>
    </w:lvl>
    <w:lvl w:ilvl="4" w:tentative="0">
      <w:start w:val="0"/>
      <w:numFmt w:val="bullet"/>
      <w:lvlText w:val="•"/>
      <w:lvlJc w:val="left"/>
      <w:pPr>
        <w:ind w:left="2777" w:hanging="252"/>
      </w:pPr>
      <w:rPr>
        <w:rFonts w:hint="default"/>
        <w:lang w:val="en-US" w:eastAsia="zh-CN" w:bidi="ar-SA"/>
      </w:rPr>
    </w:lvl>
    <w:lvl w:ilvl="5" w:tentative="0">
      <w:start w:val="0"/>
      <w:numFmt w:val="bullet"/>
      <w:lvlText w:val="•"/>
      <w:lvlJc w:val="left"/>
      <w:pPr>
        <w:ind w:left="3447" w:hanging="252"/>
      </w:pPr>
      <w:rPr>
        <w:rFonts w:hint="default"/>
        <w:lang w:val="en-US" w:eastAsia="zh-CN" w:bidi="ar-SA"/>
      </w:rPr>
    </w:lvl>
    <w:lvl w:ilvl="6" w:tentative="0">
      <w:start w:val="0"/>
      <w:numFmt w:val="bullet"/>
      <w:lvlText w:val="•"/>
      <w:lvlJc w:val="left"/>
      <w:pPr>
        <w:ind w:left="4116" w:hanging="252"/>
      </w:pPr>
      <w:rPr>
        <w:rFonts w:hint="default"/>
        <w:lang w:val="en-US" w:eastAsia="zh-CN" w:bidi="ar-SA"/>
      </w:rPr>
    </w:lvl>
    <w:lvl w:ilvl="7" w:tentative="0">
      <w:start w:val="0"/>
      <w:numFmt w:val="bullet"/>
      <w:lvlText w:val="•"/>
      <w:lvlJc w:val="left"/>
      <w:pPr>
        <w:ind w:left="4785" w:hanging="252"/>
      </w:pPr>
      <w:rPr>
        <w:rFonts w:hint="default"/>
        <w:lang w:val="en-US" w:eastAsia="zh-CN" w:bidi="ar-SA"/>
      </w:rPr>
    </w:lvl>
    <w:lvl w:ilvl="8" w:tentative="0">
      <w:start w:val="0"/>
      <w:numFmt w:val="bullet"/>
      <w:lvlText w:val="•"/>
      <w:lvlJc w:val="left"/>
      <w:pPr>
        <w:ind w:left="5455" w:hanging="252"/>
      </w:pPr>
      <w:rPr>
        <w:rFonts w:hint="default"/>
        <w:lang w:val="en-US" w:eastAsia="zh-CN" w:bidi="ar-SA"/>
      </w:rPr>
    </w:lvl>
  </w:abstractNum>
  <w:abstractNum w:abstractNumId="72">
    <w:nsid w:val="58765686"/>
    <w:multiLevelType w:val="multilevel"/>
    <w:tmpl w:val="58765686"/>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73">
    <w:nsid w:val="59EEFD2A"/>
    <w:multiLevelType w:val="multilevel"/>
    <w:tmpl w:val="59EEFD2A"/>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74">
    <w:nsid w:val="5E29AB5A"/>
    <w:multiLevelType w:val="multilevel"/>
    <w:tmpl w:val="5E29AB5A"/>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55" w:hanging="526"/>
      </w:pPr>
      <w:rPr>
        <w:rFonts w:hint="default"/>
        <w:lang w:val="en-US" w:eastAsia="zh-CN" w:bidi="ar-SA"/>
      </w:rPr>
    </w:lvl>
    <w:lvl w:ilvl="2" w:tentative="0">
      <w:start w:val="0"/>
      <w:numFmt w:val="bullet"/>
      <w:lvlText w:val="•"/>
      <w:lvlJc w:val="left"/>
      <w:pPr>
        <w:ind w:left="1870" w:hanging="526"/>
      </w:pPr>
      <w:rPr>
        <w:rFonts w:hint="default"/>
        <w:lang w:val="en-US" w:eastAsia="zh-CN" w:bidi="ar-SA"/>
      </w:rPr>
    </w:lvl>
    <w:lvl w:ilvl="3" w:tentative="0">
      <w:start w:val="0"/>
      <w:numFmt w:val="bullet"/>
      <w:lvlText w:val="•"/>
      <w:lvlJc w:val="left"/>
      <w:pPr>
        <w:ind w:left="2486" w:hanging="526"/>
      </w:pPr>
      <w:rPr>
        <w:rFonts w:hint="default"/>
        <w:lang w:val="en-US" w:eastAsia="zh-CN" w:bidi="ar-SA"/>
      </w:rPr>
    </w:lvl>
    <w:lvl w:ilvl="4" w:tentative="0">
      <w:start w:val="0"/>
      <w:numFmt w:val="bullet"/>
      <w:lvlText w:val="•"/>
      <w:lvlJc w:val="left"/>
      <w:pPr>
        <w:ind w:left="3101" w:hanging="526"/>
      </w:pPr>
      <w:rPr>
        <w:rFonts w:hint="default"/>
        <w:lang w:val="en-US" w:eastAsia="zh-CN" w:bidi="ar-SA"/>
      </w:rPr>
    </w:lvl>
    <w:lvl w:ilvl="5" w:tentative="0">
      <w:start w:val="0"/>
      <w:numFmt w:val="bullet"/>
      <w:lvlText w:val="•"/>
      <w:lvlJc w:val="left"/>
      <w:pPr>
        <w:ind w:left="3717" w:hanging="526"/>
      </w:pPr>
      <w:rPr>
        <w:rFonts w:hint="default"/>
        <w:lang w:val="en-US" w:eastAsia="zh-CN" w:bidi="ar-SA"/>
      </w:rPr>
    </w:lvl>
    <w:lvl w:ilvl="6" w:tentative="0">
      <w:start w:val="0"/>
      <w:numFmt w:val="bullet"/>
      <w:lvlText w:val="•"/>
      <w:lvlJc w:val="left"/>
      <w:pPr>
        <w:ind w:left="4332" w:hanging="526"/>
      </w:pPr>
      <w:rPr>
        <w:rFonts w:hint="default"/>
        <w:lang w:val="en-US" w:eastAsia="zh-CN" w:bidi="ar-SA"/>
      </w:rPr>
    </w:lvl>
    <w:lvl w:ilvl="7" w:tentative="0">
      <w:start w:val="0"/>
      <w:numFmt w:val="bullet"/>
      <w:lvlText w:val="•"/>
      <w:lvlJc w:val="left"/>
      <w:pPr>
        <w:ind w:left="4947" w:hanging="526"/>
      </w:pPr>
      <w:rPr>
        <w:rFonts w:hint="default"/>
        <w:lang w:val="en-US" w:eastAsia="zh-CN" w:bidi="ar-SA"/>
      </w:rPr>
    </w:lvl>
    <w:lvl w:ilvl="8" w:tentative="0">
      <w:start w:val="0"/>
      <w:numFmt w:val="bullet"/>
      <w:lvlText w:val="•"/>
      <w:lvlJc w:val="left"/>
      <w:pPr>
        <w:ind w:left="5563" w:hanging="526"/>
      </w:pPr>
      <w:rPr>
        <w:rFonts w:hint="default"/>
        <w:lang w:val="en-US" w:eastAsia="zh-CN" w:bidi="ar-SA"/>
      </w:rPr>
    </w:lvl>
  </w:abstractNum>
  <w:abstractNum w:abstractNumId="75">
    <w:nsid w:val="5FFFB1A7"/>
    <w:multiLevelType w:val="multilevel"/>
    <w:tmpl w:val="5FFFB1A7"/>
    <w:lvl w:ilvl="0" w:tentative="0">
      <w:start w:val="1"/>
      <w:numFmt w:val="decimal"/>
      <w:lvlText w:val="（%1）"/>
      <w:lvlJc w:val="left"/>
      <w:pPr>
        <w:ind w:left="632"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55" w:hanging="527"/>
      </w:pPr>
      <w:rPr>
        <w:rFonts w:hint="default"/>
        <w:lang w:val="en-US" w:eastAsia="zh-CN" w:bidi="ar-SA"/>
      </w:rPr>
    </w:lvl>
    <w:lvl w:ilvl="2" w:tentative="0">
      <w:start w:val="0"/>
      <w:numFmt w:val="bullet"/>
      <w:lvlText w:val="•"/>
      <w:lvlJc w:val="left"/>
      <w:pPr>
        <w:ind w:left="1870" w:hanging="527"/>
      </w:pPr>
      <w:rPr>
        <w:rFonts w:hint="default"/>
        <w:lang w:val="en-US" w:eastAsia="zh-CN" w:bidi="ar-SA"/>
      </w:rPr>
    </w:lvl>
    <w:lvl w:ilvl="3" w:tentative="0">
      <w:start w:val="0"/>
      <w:numFmt w:val="bullet"/>
      <w:lvlText w:val="•"/>
      <w:lvlJc w:val="left"/>
      <w:pPr>
        <w:ind w:left="2486" w:hanging="527"/>
      </w:pPr>
      <w:rPr>
        <w:rFonts w:hint="default"/>
        <w:lang w:val="en-US" w:eastAsia="zh-CN" w:bidi="ar-SA"/>
      </w:rPr>
    </w:lvl>
    <w:lvl w:ilvl="4" w:tentative="0">
      <w:start w:val="0"/>
      <w:numFmt w:val="bullet"/>
      <w:lvlText w:val="•"/>
      <w:lvlJc w:val="left"/>
      <w:pPr>
        <w:ind w:left="3101" w:hanging="527"/>
      </w:pPr>
      <w:rPr>
        <w:rFonts w:hint="default"/>
        <w:lang w:val="en-US" w:eastAsia="zh-CN" w:bidi="ar-SA"/>
      </w:rPr>
    </w:lvl>
    <w:lvl w:ilvl="5" w:tentative="0">
      <w:start w:val="0"/>
      <w:numFmt w:val="bullet"/>
      <w:lvlText w:val="•"/>
      <w:lvlJc w:val="left"/>
      <w:pPr>
        <w:ind w:left="3717" w:hanging="527"/>
      </w:pPr>
      <w:rPr>
        <w:rFonts w:hint="default"/>
        <w:lang w:val="en-US" w:eastAsia="zh-CN" w:bidi="ar-SA"/>
      </w:rPr>
    </w:lvl>
    <w:lvl w:ilvl="6" w:tentative="0">
      <w:start w:val="0"/>
      <w:numFmt w:val="bullet"/>
      <w:lvlText w:val="•"/>
      <w:lvlJc w:val="left"/>
      <w:pPr>
        <w:ind w:left="4332" w:hanging="527"/>
      </w:pPr>
      <w:rPr>
        <w:rFonts w:hint="default"/>
        <w:lang w:val="en-US" w:eastAsia="zh-CN" w:bidi="ar-SA"/>
      </w:rPr>
    </w:lvl>
    <w:lvl w:ilvl="7" w:tentative="0">
      <w:start w:val="0"/>
      <w:numFmt w:val="bullet"/>
      <w:lvlText w:val="•"/>
      <w:lvlJc w:val="left"/>
      <w:pPr>
        <w:ind w:left="4947" w:hanging="527"/>
      </w:pPr>
      <w:rPr>
        <w:rFonts w:hint="default"/>
        <w:lang w:val="en-US" w:eastAsia="zh-CN" w:bidi="ar-SA"/>
      </w:rPr>
    </w:lvl>
    <w:lvl w:ilvl="8" w:tentative="0">
      <w:start w:val="0"/>
      <w:numFmt w:val="bullet"/>
      <w:lvlText w:val="•"/>
      <w:lvlJc w:val="left"/>
      <w:pPr>
        <w:ind w:left="5563" w:hanging="527"/>
      </w:pPr>
      <w:rPr>
        <w:rFonts w:hint="default"/>
        <w:lang w:val="en-US" w:eastAsia="zh-CN" w:bidi="ar-SA"/>
      </w:rPr>
    </w:lvl>
  </w:abstractNum>
  <w:abstractNum w:abstractNumId="76">
    <w:nsid w:val="60382F6E"/>
    <w:multiLevelType w:val="multilevel"/>
    <w:tmpl w:val="60382F6E"/>
    <w:lvl w:ilvl="0" w:tentative="0">
      <w:start w:val="1"/>
      <w:numFmt w:val="decimal"/>
      <w:lvlText w:val="（%1）"/>
      <w:lvlJc w:val="left"/>
      <w:pPr>
        <w:ind w:left="708" w:hanging="451"/>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550" w:hanging="451"/>
      </w:pPr>
      <w:rPr>
        <w:rFonts w:hint="default"/>
        <w:lang w:val="en-US" w:eastAsia="zh-CN" w:bidi="ar-SA"/>
      </w:rPr>
    </w:lvl>
    <w:lvl w:ilvl="2" w:tentative="0">
      <w:start w:val="0"/>
      <w:numFmt w:val="bullet"/>
      <w:lvlText w:val="•"/>
      <w:lvlJc w:val="left"/>
      <w:pPr>
        <w:ind w:left="2401" w:hanging="451"/>
      </w:pPr>
      <w:rPr>
        <w:rFonts w:hint="default"/>
        <w:lang w:val="en-US" w:eastAsia="zh-CN" w:bidi="ar-SA"/>
      </w:rPr>
    </w:lvl>
    <w:lvl w:ilvl="3" w:tentative="0">
      <w:start w:val="0"/>
      <w:numFmt w:val="bullet"/>
      <w:lvlText w:val="•"/>
      <w:lvlJc w:val="left"/>
      <w:pPr>
        <w:ind w:left="3251" w:hanging="451"/>
      </w:pPr>
      <w:rPr>
        <w:rFonts w:hint="default"/>
        <w:lang w:val="en-US" w:eastAsia="zh-CN" w:bidi="ar-SA"/>
      </w:rPr>
    </w:lvl>
    <w:lvl w:ilvl="4" w:tentative="0">
      <w:start w:val="0"/>
      <w:numFmt w:val="bullet"/>
      <w:lvlText w:val="•"/>
      <w:lvlJc w:val="left"/>
      <w:pPr>
        <w:ind w:left="4102" w:hanging="451"/>
      </w:pPr>
      <w:rPr>
        <w:rFonts w:hint="default"/>
        <w:lang w:val="en-US" w:eastAsia="zh-CN" w:bidi="ar-SA"/>
      </w:rPr>
    </w:lvl>
    <w:lvl w:ilvl="5" w:tentative="0">
      <w:start w:val="0"/>
      <w:numFmt w:val="bullet"/>
      <w:lvlText w:val="•"/>
      <w:lvlJc w:val="left"/>
      <w:pPr>
        <w:ind w:left="4953" w:hanging="451"/>
      </w:pPr>
      <w:rPr>
        <w:rFonts w:hint="default"/>
        <w:lang w:val="en-US" w:eastAsia="zh-CN" w:bidi="ar-SA"/>
      </w:rPr>
    </w:lvl>
    <w:lvl w:ilvl="6" w:tentative="0">
      <w:start w:val="0"/>
      <w:numFmt w:val="bullet"/>
      <w:lvlText w:val="•"/>
      <w:lvlJc w:val="left"/>
      <w:pPr>
        <w:ind w:left="5803" w:hanging="451"/>
      </w:pPr>
      <w:rPr>
        <w:rFonts w:hint="default"/>
        <w:lang w:val="en-US" w:eastAsia="zh-CN" w:bidi="ar-SA"/>
      </w:rPr>
    </w:lvl>
    <w:lvl w:ilvl="7" w:tentative="0">
      <w:start w:val="0"/>
      <w:numFmt w:val="bullet"/>
      <w:lvlText w:val="•"/>
      <w:lvlJc w:val="left"/>
      <w:pPr>
        <w:ind w:left="6654" w:hanging="451"/>
      </w:pPr>
      <w:rPr>
        <w:rFonts w:hint="default"/>
        <w:lang w:val="en-US" w:eastAsia="zh-CN" w:bidi="ar-SA"/>
      </w:rPr>
    </w:lvl>
    <w:lvl w:ilvl="8" w:tentative="0">
      <w:start w:val="0"/>
      <w:numFmt w:val="bullet"/>
      <w:lvlText w:val="•"/>
      <w:lvlJc w:val="left"/>
      <w:pPr>
        <w:ind w:left="7505" w:hanging="451"/>
      </w:pPr>
      <w:rPr>
        <w:rFonts w:hint="default"/>
        <w:lang w:val="en-US" w:eastAsia="zh-CN" w:bidi="ar-SA"/>
      </w:rPr>
    </w:lvl>
  </w:abstractNum>
  <w:abstractNum w:abstractNumId="77">
    <w:nsid w:val="610EFE5C"/>
    <w:multiLevelType w:val="multilevel"/>
    <w:tmpl w:val="610EFE5C"/>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78">
    <w:nsid w:val="629F7852"/>
    <w:multiLevelType w:val="multilevel"/>
    <w:tmpl w:val="629F7852"/>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1"/>
      <w:numFmt w:val="decimal"/>
      <w:lvlText w:val="%2)"/>
      <w:lvlJc w:val="left"/>
      <w:pPr>
        <w:ind w:left="797" w:hanging="360"/>
        <w:jc w:val="left"/>
      </w:pPr>
      <w:rPr>
        <w:rFonts w:hint="default" w:ascii="宋体" w:hAnsi="宋体" w:eastAsia="宋体" w:cs="宋体"/>
        <w:b w:val="0"/>
        <w:bCs w:val="0"/>
        <w:i w:val="0"/>
        <w:iCs w:val="0"/>
        <w:w w:val="100"/>
        <w:sz w:val="18"/>
        <w:szCs w:val="18"/>
        <w:lang w:val="en-US" w:eastAsia="zh-CN" w:bidi="ar-SA"/>
      </w:rPr>
    </w:lvl>
    <w:lvl w:ilvl="2" w:tentative="0">
      <w:start w:val="0"/>
      <w:numFmt w:val="bullet"/>
      <w:lvlText w:val="•"/>
      <w:lvlJc w:val="left"/>
      <w:pPr>
        <w:ind w:left="1734" w:hanging="360"/>
      </w:pPr>
      <w:rPr>
        <w:rFonts w:hint="default"/>
        <w:lang w:val="en-US" w:eastAsia="zh-CN" w:bidi="ar-SA"/>
      </w:rPr>
    </w:lvl>
    <w:lvl w:ilvl="3" w:tentative="0">
      <w:start w:val="0"/>
      <w:numFmt w:val="bullet"/>
      <w:lvlText w:val="•"/>
      <w:lvlJc w:val="left"/>
      <w:pPr>
        <w:ind w:left="2668" w:hanging="360"/>
      </w:pPr>
      <w:rPr>
        <w:rFonts w:hint="default"/>
        <w:lang w:val="en-US" w:eastAsia="zh-CN" w:bidi="ar-SA"/>
      </w:rPr>
    </w:lvl>
    <w:lvl w:ilvl="4" w:tentative="0">
      <w:start w:val="0"/>
      <w:numFmt w:val="bullet"/>
      <w:lvlText w:val="•"/>
      <w:lvlJc w:val="left"/>
      <w:pPr>
        <w:ind w:left="3602" w:hanging="360"/>
      </w:pPr>
      <w:rPr>
        <w:rFonts w:hint="default"/>
        <w:lang w:val="en-US" w:eastAsia="zh-CN" w:bidi="ar-SA"/>
      </w:rPr>
    </w:lvl>
    <w:lvl w:ilvl="5" w:tentative="0">
      <w:start w:val="0"/>
      <w:numFmt w:val="bullet"/>
      <w:lvlText w:val="•"/>
      <w:lvlJc w:val="left"/>
      <w:pPr>
        <w:ind w:left="4536" w:hanging="360"/>
      </w:pPr>
      <w:rPr>
        <w:rFonts w:hint="default"/>
        <w:lang w:val="en-US" w:eastAsia="zh-CN" w:bidi="ar-SA"/>
      </w:rPr>
    </w:lvl>
    <w:lvl w:ilvl="6" w:tentative="0">
      <w:start w:val="0"/>
      <w:numFmt w:val="bullet"/>
      <w:lvlText w:val="•"/>
      <w:lvlJc w:val="left"/>
      <w:pPr>
        <w:ind w:left="5470" w:hanging="360"/>
      </w:pPr>
      <w:rPr>
        <w:rFonts w:hint="default"/>
        <w:lang w:val="en-US" w:eastAsia="zh-CN" w:bidi="ar-SA"/>
      </w:rPr>
    </w:lvl>
    <w:lvl w:ilvl="7" w:tentative="0">
      <w:start w:val="0"/>
      <w:numFmt w:val="bullet"/>
      <w:lvlText w:val="•"/>
      <w:lvlJc w:val="left"/>
      <w:pPr>
        <w:ind w:left="6404" w:hanging="360"/>
      </w:pPr>
      <w:rPr>
        <w:rFonts w:hint="default"/>
        <w:lang w:val="en-US" w:eastAsia="zh-CN" w:bidi="ar-SA"/>
      </w:rPr>
    </w:lvl>
    <w:lvl w:ilvl="8" w:tentative="0">
      <w:start w:val="0"/>
      <w:numFmt w:val="bullet"/>
      <w:lvlText w:val="•"/>
      <w:lvlJc w:val="left"/>
      <w:pPr>
        <w:ind w:left="7338" w:hanging="360"/>
      </w:pPr>
      <w:rPr>
        <w:rFonts w:hint="default"/>
        <w:lang w:val="en-US" w:eastAsia="zh-CN" w:bidi="ar-SA"/>
      </w:rPr>
    </w:lvl>
  </w:abstractNum>
  <w:abstractNum w:abstractNumId="79">
    <w:nsid w:val="65CD0074"/>
    <w:multiLevelType w:val="multilevel"/>
    <w:tmpl w:val="65CD0074"/>
    <w:lvl w:ilvl="0" w:tentative="0">
      <w:start w:val="1"/>
      <w:numFmt w:val="decimal"/>
      <w:lvlText w:val="(%1)"/>
      <w:lvlJc w:val="left"/>
      <w:pPr>
        <w:ind w:left="456" w:hanging="351"/>
        <w:jc w:val="left"/>
      </w:pPr>
      <w:rPr>
        <w:rFonts w:hint="default" w:ascii="Times New Roman" w:hAnsi="Times New Roman" w:eastAsia="Times New Roman" w:cs="Times New Roman"/>
        <w:b w:val="0"/>
        <w:bCs w:val="0"/>
        <w:i w:val="0"/>
        <w:iCs w:val="0"/>
        <w:spacing w:val="-1"/>
        <w:w w:val="99"/>
        <w:sz w:val="21"/>
        <w:szCs w:val="21"/>
        <w:lang w:val="en-US" w:eastAsia="zh-CN" w:bidi="ar-SA"/>
      </w:rPr>
    </w:lvl>
    <w:lvl w:ilvl="1" w:tentative="0">
      <w:start w:val="0"/>
      <w:numFmt w:val="bullet"/>
      <w:lvlText w:val="•"/>
      <w:lvlJc w:val="left"/>
      <w:pPr>
        <w:ind w:left="1111" w:hanging="351"/>
      </w:pPr>
      <w:rPr>
        <w:rFonts w:hint="default"/>
        <w:lang w:val="en-US" w:eastAsia="zh-CN" w:bidi="ar-SA"/>
      </w:rPr>
    </w:lvl>
    <w:lvl w:ilvl="2" w:tentative="0">
      <w:start w:val="0"/>
      <w:numFmt w:val="bullet"/>
      <w:lvlText w:val="•"/>
      <w:lvlJc w:val="left"/>
      <w:pPr>
        <w:ind w:left="1763" w:hanging="351"/>
      </w:pPr>
      <w:rPr>
        <w:rFonts w:hint="default"/>
        <w:lang w:val="en-US" w:eastAsia="zh-CN" w:bidi="ar-SA"/>
      </w:rPr>
    </w:lvl>
    <w:lvl w:ilvl="3" w:tentative="0">
      <w:start w:val="0"/>
      <w:numFmt w:val="bullet"/>
      <w:lvlText w:val="•"/>
      <w:lvlJc w:val="left"/>
      <w:pPr>
        <w:ind w:left="2414" w:hanging="351"/>
      </w:pPr>
      <w:rPr>
        <w:rFonts w:hint="default"/>
        <w:lang w:val="en-US" w:eastAsia="zh-CN" w:bidi="ar-SA"/>
      </w:rPr>
    </w:lvl>
    <w:lvl w:ilvl="4" w:tentative="0">
      <w:start w:val="0"/>
      <w:numFmt w:val="bullet"/>
      <w:lvlText w:val="•"/>
      <w:lvlJc w:val="left"/>
      <w:pPr>
        <w:ind w:left="3066" w:hanging="351"/>
      </w:pPr>
      <w:rPr>
        <w:rFonts w:hint="default"/>
        <w:lang w:val="en-US" w:eastAsia="zh-CN" w:bidi="ar-SA"/>
      </w:rPr>
    </w:lvl>
    <w:lvl w:ilvl="5" w:tentative="0">
      <w:start w:val="0"/>
      <w:numFmt w:val="bullet"/>
      <w:lvlText w:val="•"/>
      <w:lvlJc w:val="left"/>
      <w:pPr>
        <w:ind w:left="3718" w:hanging="351"/>
      </w:pPr>
      <w:rPr>
        <w:rFonts w:hint="default"/>
        <w:lang w:val="en-US" w:eastAsia="zh-CN" w:bidi="ar-SA"/>
      </w:rPr>
    </w:lvl>
    <w:lvl w:ilvl="6" w:tentative="0">
      <w:start w:val="0"/>
      <w:numFmt w:val="bullet"/>
      <w:lvlText w:val="•"/>
      <w:lvlJc w:val="left"/>
      <w:pPr>
        <w:ind w:left="4369" w:hanging="351"/>
      </w:pPr>
      <w:rPr>
        <w:rFonts w:hint="default"/>
        <w:lang w:val="en-US" w:eastAsia="zh-CN" w:bidi="ar-SA"/>
      </w:rPr>
    </w:lvl>
    <w:lvl w:ilvl="7" w:tentative="0">
      <w:start w:val="0"/>
      <w:numFmt w:val="bullet"/>
      <w:lvlText w:val="•"/>
      <w:lvlJc w:val="left"/>
      <w:pPr>
        <w:ind w:left="5021" w:hanging="351"/>
      </w:pPr>
      <w:rPr>
        <w:rFonts w:hint="default"/>
        <w:lang w:val="en-US" w:eastAsia="zh-CN" w:bidi="ar-SA"/>
      </w:rPr>
    </w:lvl>
    <w:lvl w:ilvl="8" w:tentative="0">
      <w:start w:val="0"/>
      <w:numFmt w:val="bullet"/>
      <w:lvlText w:val="•"/>
      <w:lvlJc w:val="left"/>
      <w:pPr>
        <w:ind w:left="5672" w:hanging="351"/>
      </w:pPr>
      <w:rPr>
        <w:rFonts w:hint="default"/>
        <w:lang w:val="en-US" w:eastAsia="zh-CN" w:bidi="ar-SA"/>
      </w:rPr>
    </w:lvl>
  </w:abstractNum>
  <w:abstractNum w:abstractNumId="80">
    <w:nsid w:val="68B298F7"/>
    <w:multiLevelType w:val="multilevel"/>
    <w:tmpl w:val="68B298F7"/>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81">
    <w:nsid w:val="700FDCEF"/>
    <w:multiLevelType w:val="multilevel"/>
    <w:tmpl w:val="700FDCEF"/>
    <w:lvl w:ilvl="0" w:tentative="0">
      <w:start w:val="1"/>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82">
    <w:nsid w:val="74C28B35"/>
    <w:multiLevelType w:val="multilevel"/>
    <w:tmpl w:val="74C28B35"/>
    <w:lvl w:ilvl="0" w:tentative="0">
      <w:start w:val="1"/>
      <w:numFmt w:val="decimal"/>
      <w:lvlText w:val="（%1）"/>
      <w:lvlJc w:val="left"/>
      <w:pPr>
        <w:ind w:left="632"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55" w:hanging="527"/>
      </w:pPr>
      <w:rPr>
        <w:rFonts w:hint="default"/>
        <w:lang w:val="en-US" w:eastAsia="zh-CN" w:bidi="ar-SA"/>
      </w:rPr>
    </w:lvl>
    <w:lvl w:ilvl="2" w:tentative="0">
      <w:start w:val="0"/>
      <w:numFmt w:val="bullet"/>
      <w:lvlText w:val="•"/>
      <w:lvlJc w:val="left"/>
      <w:pPr>
        <w:ind w:left="1870" w:hanging="527"/>
      </w:pPr>
      <w:rPr>
        <w:rFonts w:hint="default"/>
        <w:lang w:val="en-US" w:eastAsia="zh-CN" w:bidi="ar-SA"/>
      </w:rPr>
    </w:lvl>
    <w:lvl w:ilvl="3" w:tentative="0">
      <w:start w:val="0"/>
      <w:numFmt w:val="bullet"/>
      <w:lvlText w:val="•"/>
      <w:lvlJc w:val="left"/>
      <w:pPr>
        <w:ind w:left="2486" w:hanging="527"/>
      </w:pPr>
      <w:rPr>
        <w:rFonts w:hint="default"/>
        <w:lang w:val="en-US" w:eastAsia="zh-CN" w:bidi="ar-SA"/>
      </w:rPr>
    </w:lvl>
    <w:lvl w:ilvl="4" w:tentative="0">
      <w:start w:val="0"/>
      <w:numFmt w:val="bullet"/>
      <w:lvlText w:val="•"/>
      <w:lvlJc w:val="left"/>
      <w:pPr>
        <w:ind w:left="3101" w:hanging="527"/>
      </w:pPr>
      <w:rPr>
        <w:rFonts w:hint="default"/>
        <w:lang w:val="en-US" w:eastAsia="zh-CN" w:bidi="ar-SA"/>
      </w:rPr>
    </w:lvl>
    <w:lvl w:ilvl="5" w:tentative="0">
      <w:start w:val="0"/>
      <w:numFmt w:val="bullet"/>
      <w:lvlText w:val="•"/>
      <w:lvlJc w:val="left"/>
      <w:pPr>
        <w:ind w:left="3717" w:hanging="527"/>
      </w:pPr>
      <w:rPr>
        <w:rFonts w:hint="default"/>
        <w:lang w:val="en-US" w:eastAsia="zh-CN" w:bidi="ar-SA"/>
      </w:rPr>
    </w:lvl>
    <w:lvl w:ilvl="6" w:tentative="0">
      <w:start w:val="0"/>
      <w:numFmt w:val="bullet"/>
      <w:lvlText w:val="•"/>
      <w:lvlJc w:val="left"/>
      <w:pPr>
        <w:ind w:left="4332" w:hanging="527"/>
      </w:pPr>
      <w:rPr>
        <w:rFonts w:hint="default"/>
        <w:lang w:val="en-US" w:eastAsia="zh-CN" w:bidi="ar-SA"/>
      </w:rPr>
    </w:lvl>
    <w:lvl w:ilvl="7" w:tentative="0">
      <w:start w:val="0"/>
      <w:numFmt w:val="bullet"/>
      <w:lvlText w:val="•"/>
      <w:lvlJc w:val="left"/>
      <w:pPr>
        <w:ind w:left="4947" w:hanging="527"/>
      </w:pPr>
      <w:rPr>
        <w:rFonts w:hint="default"/>
        <w:lang w:val="en-US" w:eastAsia="zh-CN" w:bidi="ar-SA"/>
      </w:rPr>
    </w:lvl>
    <w:lvl w:ilvl="8" w:tentative="0">
      <w:start w:val="0"/>
      <w:numFmt w:val="bullet"/>
      <w:lvlText w:val="•"/>
      <w:lvlJc w:val="left"/>
      <w:pPr>
        <w:ind w:left="5563" w:hanging="527"/>
      </w:pPr>
      <w:rPr>
        <w:rFonts w:hint="default"/>
        <w:lang w:val="en-US" w:eastAsia="zh-CN" w:bidi="ar-SA"/>
      </w:rPr>
    </w:lvl>
  </w:abstractNum>
  <w:abstractNum w:abstractNumId="83">
    <w:nsid w:val="77633216"/>
    <w:multiLevelType w:val="multilevel"/>
    <w:tmpl w:val="77633216"/>
    <w:lvl w:ilvl="0" w:tentative="0">
      <w:start w:val="3"/>
      <w:numFmt w:val="decimal"/>
      <w:lvlText w:val="（%1）"/>
      <w:lvlJc w:val="left"/>
      <w:pPr>
        <w:ind w:left="633"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3" w:hanging="527"/>
      </w:pPr>
      <w:rPr>
        <w:rFonts w:hint="default"/>
        <w:lang w:val="en-US" w:eastAsia="zh-CN" w:bidi="ar-SA"/>
      </w:rPr>
    </w:lvl>
    <w:lvl w:ilvl="2" w:tentative="0">
      <w:start w:val="0"/>
      <w:numFmt w:val="bullet"/>
      <w:lvlText w:val="•"/>
      <w:lvlJc w:val="left"/>
      <w:pPr>
        <w:ind w:left="1907" w:hanging="527"/>
      </w:pPr>
      <w:rPr>
        <w:rFonts w:hint="default"/>
        <w:lang w:val="en-US" w:eastAsia="zh-CN" w:bidi="ar-SA"/>
      </w:rPr>
    </w:lvl>
    <w:lvl w:ilvl="3" w:tentative="0">
      <w:start w:val="0"/>
      <w:numFmt w:val="bullet"/>
      <w:lvlText w:val="•"/>
      <w:lvlJc w:val="left"/>
      <w:pPr>
        <w:ind w:left="2540" w:hanging="527"/>
      </w:pPr>
      <w:rPr>
        <w:rFonts w:hint="default"/>
        <w:lang w:val="en-US" w:eastAsia="zh-CN" w:bidi="ar-SA"/>
      </w:rPr>
    </w:lvl>
    <w:lvl w:ilvl="4" w:tentative="0">
      <w:start w:val="0"/>
      <w:numFmt w:val="bullet"/>
      <w:lvlText w:val="•"/>
      <w:lvlJc w:val="left"/>
      <w:pPr>
        <w:ind w:left="3174" w:hanging="527"/>
      </w:pPr>
      <w:rPr>
        <w:rFonts w:hint="default"/>
        <w:lang w:val="en-US" w:eastAsia="zh-CN" w:bidi="ar-SA"/>
      </w:rPr>
    </w:lvl>
    <w:lvl w:ilvl="5" w:tentative="0">
      <w:start w:val="0"/>
      <w:numFmt w:val="bullet"/>
      <w:lvlText w:val="•"/>
      <w:lvlJc w:val="left"/>
      <w:pPr>
        <w:ind w:left="3808" w:hanging="527"/>
      </w:pPr>
      <w:rPr>
        <w:rFonts w:hint="default"/>
        <w:lang w:val="en-US" w:eastAsia="zh-CN" w:bidi="ar-SA"/>
      </w:rPr>
    </w:lvl>
    <w:lvl w:ilvl="6" w:tentative="0">
      <w:start w:val="0"/>
      <w:numFmt w:val="bullet"/>
      <w:lvlText w:val="•"/>
      <w:lvlJc w:val="left"/>
      <w:pPr>
        <w:ind w:left="4441" w:hanging="527"/>
      </w:pPr>
      <w:rPr>
        <w:rFonts w:hint="default"/>
        <w:lang w:val="en-US" w:eastAsia="zh-CN" w:bidi="ar-SA"/>
      </w:rPr>
    </w:lvl>
    <w:lvl w:ilvl="7" w:tentative="0">
      <w:start w:val="0"/>
      <w:numFmt w:val="bullet"/>
      <w:lvlText w:val="•"/>
      <w:lvlJc w:val="left"/>
      <w:pPr>
        <w:ind w:left="5075" w:hanging="527"/>
      </w:pPr>
      <w:rPr>
        <w:rFonts w:hint="default"/>
        <w:lang w:val="en-US" w:eastAsia="zh-CN" w:bidi="ar-SA"/>
      </w:rPr>
    </w:lvl>
    <w:lvl w:ilvl="8" w:tentative="0">
      <w:start w:val="0"/>
      <w:numFmt w:val="bullet"/>
      <w:lvlText w:val="•"/>
      <w:lvlJc w:val="left"/>
      <w:pPr>
        <w:ind w:left="5708" w:hanging="527"/>
      </w:pPr>
      <w:rPr>
        <w:rFonts w:hint="default"/>
        <w:lang w:val="en-US" w:eastAsia="zh-CN" w:bidi="ar-SA"/>
      </w:rPr>
    </w:lvl>
  </w:abstractNum>
  <w:abstractNum w:abstractNumId="84">
    <w:nsid w:val="77ECEA79"/>
    <w:multiLevelType w:val="multilevel"/>
    <w:tmpl w:val="77ECEA79"/>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85">
    <w:nsid w:val="79AA4FA4"/>
    <w:multiLevelType w:val="multilevel"/>
    <w:tmpl w:val="79AA4FA4"/>
    <w:lvl w:ilvl="0" w:tentative="0">
      <w:start w:val="1"/>
      <w:numFmt w:val="decimal"/>
      <w:lvlText w:val="（%1）"/>
      <w:lvlJc w:val="left"/>
      <w:pPr>
        <w:ind w:left="632" w:hanging="526"/>
        <w:jc w:val="left"/>
      </w:pPr>
      <w:rPr>
        <w:rFonts w:hint="default" w:ascii="黑体" w:hAnsi="黑体" w:eastAsia="黑体" w:cs="黑体"/>
        <w:b w:val="0"/>
        <w:bCs w:val="0"/>
        <w:i w:val="0"/>
        <w:iCs w:val="0"/>
        <w:spacing w:val="-1"/>
        <w:w w:val="100"/>
        <w:sz w:val="19"/>
        <w:szCs w:val="19"/>
        <w:shd w:val="clear" w:color="auto" w:fill="DADADA"/>
        <w:lang w:val="en-US" w:eastAsia="zh-CN" w:bidi="ar-SA"/>
      </w:rPr>
    </w:lvl>
    <w:lvl w:ilvl="1" w:tentative="0">
      <w:start w:val="0"/>
      <w:numFmt w:val="bullet"/>
      <w:lvlText w:val="•"/>
      <w:lvlJc w:val="left"/>
      <w:pPr>
        <w:ind w:left="1255" w:hanging="526"/>
      </w:pPr>
      <w:rPr>
        <w:rFonts w:hint="default"/>
        <w:lang w:val="en-US" w:eastAsia="zh-CN" w:bidi="ar-SA"/>
      </w:rPr>
    </w:lvl>
    <w:lvl w:ilvl="2" w:tentative="0">
      <w:start w:val="0"/>
      <w:numFmt w:val="bullet"/>
      <w:lvlText w:val="•"/>
      <w:lvlJc w:val="left"/>
      <w:pPr>
        <w:ind w:left="1870" w:hanging="526"/>
      </w:pPr>
      <w:rPr>
        <w:rFonts w:hint="default"/>
        <w:lang w:val="en-US" w:eastAsia="zh-CN" w:bidi="ar-SA"/>
      </w:rPr>
    </w:lvl>
    <w:lvl w:ilvl="3" w:tentative="0">
      <w:start w:val="0"/>
      <w:numFmt w:val="bullet"/>
      <w:lvlText w:val="•"/>
      <w:lvlJc w:val="left"/>
      <w:pPr>
        <w:ind w:left="2486" w:hanging="526"/>
      </w:pPr>
      <w:rPr>
        <w:rFonts w:hint="default"/>
        <w:lang w:val="en-US" w:eastAsia="zh-CN" w:bidi="ar-SA"/>
      </w:rPr>
    </w:lvl>
    <w:lvl w:ilvl="4" w:tentative="0">
      <w:start w:val="0"/>
      <w:numFmt w:val="bullet"/>
      <w:lvlText w:val="•"/>
      <w:lvlJc w:val="left"/>
      <w:pPr>
        <w:ind w:left="3101" w:hanging="526"/>
      </w:pPr>
      <w:rPr>
        <w:rFonts w:hint="default"/>
        <w:lang w:val="en-US" w:eastAsia="zh-CN" w:bidi="ar-SA"/>
      </w:rPr>
    </w:lvl>
    <w:lvl w:ilvl="5" w:tentative="0">
      <w:start w:val="0"/>
      <w:numFmt w:val="bullet"/>
      <w:lvlText w:val="•"/>
      <w:lvlJc w:val="left"/>
      <w:pPr>
        <w:ind w:left="3717" w:hanging="526"/>
      </w:pPr>
      <w:rPr>
        <w:rFonts w:hint="default"/>
        <w:lang w:val="en-US" w:eastAsia="zh-CN" w:bidi="ar-SA"/>
      </w:rPr>
    </w:lvl>
    <w:lvl w:ilvl="6" w:tentative="0">
      <w:start w:val="0"/>
      <w:numFmt w:val="bullet"/>
      <w:lvlText w:val="•"/>
      <w:lvlJc w:val="left"/>
      <w:pPr>
        <w:ind w:left="4332" w:hanging="526"/>
      </w:pPr>
      <w:rPr>
        <w:rFonts w:hint="default"/>
        <w:lang w:val="en-US" w:eastAsia="zh-CN" w:bidi="ar-SA"/>
      </w:rPr>
    </w:lvl>
    <w:lvl w:ilvl="7" w:tentative="0">
      <w:start w:val="0"/>
      <w:numFmt w:val="bullet"/>
      <w:lvlText w:val="•"/>
      <w:lvlJc w:val="left"/>
      <w:pPr>
        <w:ind w:left="4947" w:hanging="526"/>
      </w:pPr>
      <w:rPr>
        <w:rFonts w:hint="default"/>
        <w:lang w:val="en-US" w:eastAsia="zh-CN" w:bidi="ar-SA"/>
      </w:rPr>
    </w:lvl>
    <w:lvl w:ilvl="8" w:tentative="0">
      <w:start w:val="0"/>
      <w:numFmt w:val="bullet"/>
      <w:lvlText w:val="•"/>
      <w:lvlJc w:val="left"/>
      <w:pPr>
        <w:ind w:left="5563" w:hanging="526"/>
      </w:pPr>
      <w:rPr>
        <w:rFonts w:hint="default"/>
        <w:lang w:val="en-US" w:eastAsia="zh-CN" w:bidi="ar-SA"/>
      </w:rPr>
    </w:lvl>
  </w:abstractNum>
  <w:abstractNum w:abstractNumId="86">
    <w:nsid w:val="7C246926"/>
    <w:multiLevelType w:val="multilevel"/>
    <w:tmpl w:val="7C246926"/>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abstractNum w:abstractNumId="87">
    <w:nsid w:val="7DEC2089"/>
    <w:multiLevelType w:val="multilevel"/>
    <w:tmpl w:val="7DEC2089"/>
    <w:lvl w:ilvl="0" w:tentative="0">
      <w:start w:val="1"/>
      <w:numFmt w:val="decimal"/>
      <w:lvlText w:val="%1."/>
      <w:lvlJc w:val="left"/>
      <w:pPr>
        <w:ind w:left="6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532" w:hanging="420"/>
      </w:pPr>
      <w:rPr>
        <w:rFonts w:hint="default"/>
        <w:lang w:val="en-US" w:eastAsia="zh-CN" w:bidi="ar-SA"/>
      </w:rPr>
    </w:lvl>
    <w:lvl w:ilvl="2" w:tentative="0">
      <w:start w:val="0"/>
      <w:numFmt w:val="bullet"/>
      <w:lvlText w:val="•"/>
      <w:lvlJc w:val="left"/>
      <w:pPr>
        <w:ind w:left="2385" w:hanging="420"/>
      </w:pPr>
      <w:rPr>
        <w:rFonts w:hint="default"/>
        <w:lang w:val="en-US" w:eastAsia="zh-CN" w:bidi="ar-SA"/>
      </w:rPr>
    </w:lvl>
    <w:lvl w:ilvl="3" w:tentative="0">
      <w:start w:val="0"/>
      <w:numFmt w:val="bullet"/>
      <w:lvlText w:val="•"/>
      <w:lvlJc w:val="left"/>
      <w:pPr>
        <w:ind w:left="3237" w:hanging="420"/>
      </w:pPr>
      <w:rPr>
        <w:rFonts w:hint="default"/>
        <w:lang w:val="en-US" w:eastAsia="zh-CN" w:bidi="ar-SA"/>
      </w:rPr>
    </w:lvl>
    <w:lvl w:ilvl="4" w:tentative="0">
      <w:start w:val="0"/>
      <w:numFmt w:val="bullet"/>
      <w:lvlText w:val="•"/>
      <w:lvlJc w:val="left"/>
      <w:pPr>
        <w:ind w:left="4090"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795" w:hanging="420"/>
      </w:pPr>
      <w:rPr>
        <w:rFonts w:hint="default"/>
        <w:lang w:val="en-US" w:eastAsia="zh-CN" w:bidi="ar-SA"/>
      </w:rPr>
    </w:lvl>
    <w:lvl w:ilvl="7" w:tentative="0">
      <w:start w:val="0"/>
      <w:numFmt w:val="bullet"/>
      <w:lvlText w:val="•"/>
      <w:lvlJc w:val="left"/>
      <w:pPr>
        <w:ind w:left="6648" w:hanging="420"/>
      </w:pPr>
      <w:rPr>
        <w:rFonts w:hint="default"/>
        <w:lang w:val="en-US" w:eastAsia="zh-CN" w:bidi="ar-SA"/>
      </w:rPr>
    </w:lvl>
    <w:lvl w:ilvl="8" w:tentative="0">
      <w:start w:val="0"/>
      <w:numFmt w:val="bullet"/>
      <w:lvlText w:val="•"/>
      <w:lvlJc w:val="left"/>
      <w:pPr>
        <w:ind w:left="7501" w:hanging="420"/>
      </w:pPr>
      <w:rPr>
        <w:rFonts w:hint="default"/>
        <w:lang w:val="en-US" w:eastAsia="zh-CN" w:bidi="ar-SA"/>
      </w:rPr>
    </w:lvl>
  </w:abstractNum>
  <w:num w:numId="1">
    <w:abstractNumId w:val="76"/>
  </w:num>
  <w:num w:numId="2">
    <w:abstractNumId w:val="46"/>
  </w:num>
  <w:num w:numId="3">
    <w:abstractNumId w:val="67"/>
  </w:num>
  <w:num w:numId="4">
    <w:abstractNumId w:val="19"/>
  </w:num>
  <w:num w:numId="5">
    <w:abstractNumId w:val="86"/>
  </w:num>
  <w:num w:numId="6">
    <w:abstractNumId w:val="84"/>
  </w:num>
  <w:num w:numId="7">
    <w:abstractNumId w:val="28"/>
  </w:num>
  <w:num w:numId="8">
    <w:abstractNumId w:val="78"/>
  </w:num>
  <w:num w:numId="9">
    <w:abstractNumId w:val="9"/>
  </w:num>
  <w:num w:numId="10">
    <w:abstractNumId w:val="64"/>
  </w:num>
  <w:num w:numId="11">
    <w:abstractNumId w:val="4"/>
  </w:num>
  <w:num w:numId="12">
    <w:abstractNumId w:val="72"/>
  </w:num>
  <w:num w:numId="13">
    <w:abstractNumId w:val="87"/>
  </w:num>
  <w:num w:numId="14">
    <w:abstractNumId w:val="1"/>
  </w:num>
  <w:num w:numId="15">
    <w:abstractNumId w:val="57"/>
  </w:num>
  <w:num w:numId="16">
    <w:abstractNumId w:val="71"/>
  </w:num>
  <w:num w:numId="17">
    <w:abstractNumId w:val="41"/>
  </w:num>
  <w:num w:numId="18">
    <w:abstractNumId w:val="35"/>
  </w:num>
  <w:num w:numId="19">
    <w:abstractNumId w:val="60"/>
  </w:num>
  <w:num w:numId="20">
    <w:abstractNumId w:val="85"/>
  </w:num>
  <w:num w:numId="21">
    <w:abstractNumId w:val="24"/>
  </w:num>
  <w:num w:numId="22">
    <w:abstractNumId w:val="7"/>
  </w:num>
  <w:num w:numId="23">
    <w:abstractNumId w:val="23"/>
  </w:num>
  <w:num w:numId="24">
    <w:abstractNumId w:val="74"/>
  </w:num>
  <w:num w:numId="25">
    <w:abstractNumId w:val="3"/>
  </w:num>
  <w:num w:numId="26">
    <w:abstractNumId w:val="52"/>
  </w:num>
  <w:num w:numId="27">
    <w:abstractNumId w:val="6"/>
  </w:num>
  <w:num w:numId="28">
    <w:abstractNumId w:val="75"/>
  </w:num>
  <w:num w:numId="29">
    <w:abstractNumId w:val="82"/>
  </w:num>
  <w:num w:numId="30">
    <w:abstractNumId w:val="69"/>
  </w:num>
  <w:num w:numId="31">
    <w:abstractNumId w:val="61"/>
  </w:num>
  <w:num w:numId="32">
    <w:abstractNumId w:val="79"/>
  </w:num>
  <w:num w:numId="33">
    <w:abstractNumId w:val="44"/>
  </w:num>
  <w:num w:numId="34">
    <w:abstractNumId w:val="45"/>
  </w:num>
  <w:num w:numId="35">
    <w:abstractNumId w:val="32"/>
  </w:num>
  <w:num w:numId="36">
    <w:abstractNumId w:val="62"/>
  </w:num>
  <w:num w:numId="37">
    <w:abstractNumId w:val="55"/>
  </w:num>
  <w:num w:numId="38">
    <w:abstractNumId w:val="38"/>
  </w:num>
  <w:num w:numId="39">
    <w:abstractNumId w:val="56"/>
  </w:num>
  <w:num w:numId="40">
    <w:abstractNumId w:val="21"/>
  </w:num>
  <w:num w:numId="41">
    <w:abstractNumId w:val="66"/>
  </w:num>
  <w:num w:numId="42">
    <w:abstractNumId w:val="47"/>
  </w:num>
  <w:num w:numId="43">
    <w:abstractNumId w:val="63"/>
  </w:num>
  <w:num w:numId="44">
    <w:abstractNumId w:val="43"/>
  </w:num>
  <w:num w:numId="45">
    <w:abstractNumId w:val="29"/>
  </w:num>
  <w:num w:numId="46">
    <w:abstractNumId w:val="49"/>
  </w:num>
  <w:num w:numId="47">
    <w:abstractNumId w:val="20"/>
  </w:num>
  <w:num w:numId="48">
    <w:abstractNumId w:val="65"/>
  </w:num>
  <w:num w:numId="49">
    <w:abstractNumId w:val="15"/>
  </w:num>
  <w:num w:numId="50">
    <w:abstractNumId w:val="40"/>
  </w:num>
  <w:num w:numId="51">
    <w:abstractNumId w:val="59"/>
  </w:num>
  <w:num w:numId="52">
    <w:abstractNumId w:val="42"/>
  </w:num>
  <w:num w:numId="53">
    <w:abstractNumId w:val="51"/>
  </w:num>
  <w:num w:numId="54">
    <w:abstractNumId w:val="81"/>
  </w:num>
  <w:num w:numId="55">
    <w:abstractNumId w:val="36"/>
  </w:num>
  <w:num w:numId="56">
    <w:abstractNumId w:val="30"/>
  </w:num>
  <w:num w:numId="57">
    <w:abstractNumId w:val="14"/>
  </w:num>
  <w:num w:numId="58">
    <w:abstractNumId w:val="83"/>
  </w:num>
  <w:num w:numId="59">
    <w:abstractNumId w:val="33"/>
  </w:num>
  <w:num w:numId="60">
    <w:abstractNumId w:val="22"/>
  </w:num>
  <w:num w:numId="61">
    <w:abstractNumId w:val="58"/>
  </w:num>
  <w:num w:numId="62">
    <w:abstractNumId w:val="37"/>
  </w:num>
  <w:num w:numId="63">
    <w:abstractNumId w:val="11"/>
  </w:num>
  <w:num w:numId="64">
    <w:abstractNumId w:val="73"/>
  </w:num>
  <w:num w:numId="65">
    <w:abstractNumId w:val="26"/>
  </w:num>
  <w:num w:numId="66">
    <w:abstractNumId w:val="18"/>
  </w:num>
  <w:num w:numId="67">
    <w:abstractNumId w:val="10"/>
  </w:num>
  <w:num w:numId="68">
    <w:abstractNumId w:val="13"/>
  </w:num>
  <w:num w:numId="69">
    <w:abstractNumId w:val="17"/>
  </w:num>
  <w:num w:numId="70">
    <w:abstractNumId w:val="8"/>
  </w:num>
  <w:num w:numId="71">
    <w:abstractNumId w:val="54"/>
  </w:num>
  <w:num w:numId="72">
    <w:abstractNumId w:val="27"/>
  </w:num>
  <w:num w:numId="73">
    <w:abstractNumId w:val="50"/>
  </w:num>
  <w:num w:numId="74">
    <w:abstractNumId w:val="31"/>
  </w:num>
  <w:num w:numId="75">
    <w:abstractNumId w:val="80"/>
  </w:num>
  <w:num w:numId="76">
    <w:abstractNumId w:val="0"/>
  </w:num>
  <w:num w:numId="77">
    <w:abstractNumId w:val="25"/>
  </w:num>
  <w:num w:numId="78">
    <w:abstractNumId w:val="39"/>
  </w:num>
  <w:num w:numId="79">
    <w:abstractNumId w:val="70"/>
  </w:num>
  <w:num w:numId="80">
    <w:abstractNumId w:val="48"/>
  </w:num>
  <w:num w:numId="81">
    <w:abstractNumId w:val="12"/>
  </w:num>
  <w:num w:numId="82">
    <w:abstractNumId w:val="34"/>
  </w:num>
  <w:num w:numId="83">
    <w:abstractNumId w:val="53"/>
  </w:num>
  <w:num w:numId="84">
    <w:abstractNumId w:val="68"/>
  </w:num>
  <w:num w:numId="85">
    <w:abstractNumId w:val="16"/>
  </w:num>
  <w:num w:numId="86">
    <w:abstractNumId w:val="77"/>
  </w:num>
  <w:num w:numId="87">
    <w:abstractNumId w:val="2"/>
  </w:num>
  <w:num w:numId="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7AF84F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57"/>
      <w:jc w:val="center"/>
      <w:outlineLvl w:val="1"/>
    </w:pPr>
    <w:rPr>
      <w:rFonts w:ascii="宋体" w:hAnsi="宋体" w:eastAsia="宋体" w:cs="宋体"/>
      <w:b/>
      <w:bCs/>
      <w:sz w:val="21"/>
      <w:szCs w:val="21"/>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257"/>
    </w:pPr>
    <w:rPr>
      <w:rFonts w:ascii="宋体" w:hAnsi="宋体" w:eastAsia="宋体" w:cs="宋体"/>
      <w:sz w:val="21"/>
      <w:szCs w:val="21"/>
      <w:lang w:val="en-US" w:eastAsia="zh-CN" w:bidi="ar-SA"/>
    </w:rPr>
  </w:style>
  <w:style w:type="paragraph" w:styleId="4">
    <w:name w:val="toc 1"/>
    <w:basedOn w:val="1"/>
    <w:next w:val="1"/>
    <w:qFormat/>
    <w:uiPriority w:val="1"/>
    <w:pPr>
      <w:spacing w:before="43"/>
      <w:ind w:left="262"/>
    </w:pPr>
    <w:rPr>
      <w:rFonts w:ascii="宋体" w:hAnsi="宋体" w:eastAsia="宋体" w:cs="宋体"/>
      <w:b/>
      <w:bCs/>
      <w:sz w:val="21"/>
      <w:szCs w:val="21"/>
      <w:lang w:val="en-US" w:eastAsia="zh-CN" w:bidi="ar-SA"/>
    </w:rPr>
  </w:style>
  <w:style w:type="paragraph" w:styleId="5">
    <w:name w:val="toc 2"/>
    <w:basedOn w:val="1"/>
    <w:next w:val="1"/>
    <w:qFormat/>
    <w:uiPriority w:val="1"/>
    <w:pPr>
      <w:spacing w:before="43"/>
      <w:ind w:left="682"/>
    </w:pPr>
    <w:rPr>
      <w:rFonts w:ascii="宋体" w:hAnsi="宋体" w:eastAsia="宋体" w:cs="宋体"/>
      <w:sz w:val="21"/>
      <w:szCs w:val="21"/>
      <w:lang w:val="en-US" w:eastAsia="zh-CN" w:bidi="ar-SA"/>
    </w:rPr>
  </w:style>
  <w:style w:type="paragraph" w:styleId="6">
    <w:name w:val="Title"/>
    <w:basedOn w:val="1"/>
    <w:qFormat/>
    <w:uiPriority w:val="1"/>
    <w:pPr>
      <w:spacing w:before="133"/>
      <w:ind w:left="2847" w:right="3224"/>
      <w:jc w:val="center"/>
    </w:pPr>
    <w:rPr>
      <w:rFonts w:ascii="宋体" w:hAnsi="宋体" w:eastAsia="宋体" w:cs="宋体"/>
      <w:b/>
      <w:bCs/>
      <w:sz w:val="32"/>
      <w:szCs w:val="32"/>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43"/>
      <w:ind w:left="677" w:hanging="421"/>
    </w:pPr>
    <w:rPr>
      <w:rFonts w:ascii="宋体" w:hAnsi="宋体" w:eastAsia="宋体" w:cs="宋体"/>
      <w:lang w:val="en-US" w:eastAsia="zh-CN" w:bidi="ar-SA"/>
    </w:rPr>
  </w:style>
  <w:style w:type="paragraph" w:customStyle="1" w:styleId="11">
    <w:name w:val="Table Paragraph"/>
    <w:basedOn w:val="1"/>
    <w:qFormat/>
    <w:uiPriority w:val="1"/>
    <w:pPr>
      <w:ind w:left="10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41184</Words>
  <Characters>42575</Characters>
  <TotalTime>1</TotalTime>
  <ScaleCrop>false</ScaleCrop>
  <LinksUpToDate>false</LinksUpToDate>
  <CharactersWithSpaces>45541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2023-06-02T03:30:00Z</dcterms:created>
  <dc:creator>Administrator</dc:creator>
  <cp:lastModifiedBy>Administrator</cp:lastModifiedBy>
  <dcterms:modified xsi:type="dcterms:W3CDTF">2023-06-02T07:56:50Z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23F4C74734EA42C0AB44426E6FD231D1_12</vt:lpwstr>
  </property>
</Properties>
</file>