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[2021]</w:t>
      </w:r>
      <w:r>
        <w:rPr>
          <w:spacing w:val="-12"/>
        </w:rPr>
        <w:t>疾病保险 </w:t>
      </w:r>
      <w:r>
        <w:rPr>
          <w:rFonts w:ascii="Calibri" w:eastAsia="Calibri"/>
          <w:spacing w:val="-2"/>
        </w:rPr>
        <w:t>001</w:t>
      </w:r>
      <w:r>
        <w:rPr>
          <w:rFonts w:ascii="Calibri" w:eastAsia="Calibri"/>
          <w:spacing w:val="11"/>
        </w:rPr>
        <w:t> </w:t>
      </w:r>
      <w:r>
        <w:rPr>
          <w:spacing w:val="-10"/>
        </w:rPr>
        <w:t>号</w:t>
      </w:r>
    </w:p>
    <w:p>
      <w:pPr>
        <w:pStyle w:val="BodyText"/>
        <w:spacing w:before="12"/>
        <w:rPr>
          <w:sz w:val="3"/>
        </w:rPr>
      </w:pPr>
      <w:r>
        <w:rPr/>
        <w:drawing>
          <wp:anchor distT="0" distB="0" distL="0" distR="0" allowOverlap="1" layoutInCell="1" locked="0" behindDoc="0" simplePos="0" relativeHeight="0">
            <wp:simplePos x="0" y="0"/>
            <wp:positionH relativeFrom="page">
              <wp:posOffset>5196204</wp:posOffset>
            </wp:positionH>
            <wp:positionV relativeFrom="paragraph">
              <wp:posOffset>47331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7"/>
        <w:ind w:right="6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p>
    <w:p>
      <w:pPr>
        <w:pStyle w:val="Title"/>
        <w:spacing w:line="184" w:lineRule="auto"/>
      </w:pPr>
      <w:r>
        <w:rPr/>
        <w:t>瑞</w:t>
      </w:r>
      <w:r>
        <w:rPr/>
        <w:t>泰</w:t>
      </w:r>
      <w:r>
        <w:rPr/>
        <w:t>乐</w:t>
      </w:r>
      <w:r>
        <w:rPr/>
        <w:t>享</w:t>
      </w:r>
      <w:r>
        <w:rPr/>
        <w:t>安</w:t>
      </w:r>
      <w:r>
        <w:rPr>
          <w:spacing w:val="-13"/>
        </w:rPr>
        <w:t>康 </w:t>
      </w:r>
      <w:r>
        <w:rPr>
          <w:rFonts w:ascii="Calibri" w:eastAsia="Calibri"/>
        </w:rPr>
        <w:t>2021 </w:t>
      </w:r>
      <w:r>
        <w:rPr/>
        <w:t>重</w:t>
      </w:r>
      <w:r>
        <w:rPr/>
        <w:t>大</w:t>
      </w:r>
      <w:r>
        <w:rPr/>
        <w:t>疾</w:t>
      </w:r>
      <w:r>
        <w:rPr/>
        <w:t>病</w:t>
      </w:r>
      <w:r>
        <w:rPr/>
        <w:t>保</w:t>
      </w:r>
      <w:r>
        <w:rPr/>
        <w:t>险</w:t>
      </w:r>
      <w:r>
        <w:rPr>
          <w:spacing w:val="-4"/>
        </w:rPr>
        <w:t>合</w:t>
      </w:r>
      <w:r>
        <w:rPr>
          <w:spacing w:val="-4"/>
        </w:rPr>
        <w:t>同</w:t>
      </w:r>
      <w:r>
        <w:rPr>
          <w:spacing w:val="-4"/>
        </w:rPr>
        <w:t>条</w:t>
      </w:r>
      <w:r>
        <w:rPr>
          <w:spacing w:val="-4"/>
        </w:rPr>
        <w:t>款</w:t>
      </w:r>
    </w:p>
    <w:p>
      <w:pPr>
        <w:pStyle w:val="BodyText"/>
        <w:rPr>
          <w:rFonts w:ascii="微软雅黑"/>
          <w:b/>
          <w:sz w:val="44"/>
        </w:rPr>
      </w:pPr>
    </w:p>
    <w:p>
      <w:pPr>
        <w:pStyle w:val="BodyText"/>
        <w:rPr>
          <w:rFonts w:ascii="微软雅黑"/>
          <w:b/>
          <w:sz w:val="44"/>
        </w:rPr>
      </w:pPr>
    </w:p>
    <w:p>
      <w:pPr>
        <w:pStyle w:val="BodyText"/>
        <w:rPr>
          <w:rFonts w:ascii="微软雅黑"/>
          <w:b/>
          <w:sz w:val="44"/>
        </w:rPr>
      </w:pPr>
    </w:p>
    <w:p>
      <w:pPr>
        <w:pStyle w:val="BodyText"/>
        <w:rPr>
          <w:rFonts w:ascii="微软雅黑"/>
          <w:b/>
          <w:sz w:val="44"/>
        </w:rPr>
      </w:pPr>
    </w:p>
    <w:p>
      <w:pPr>
        <w:pStyle w:val="BodyText"/>
        <w:rPr>
          <w:rFonts w:ascii="微软雅黑"/>
          <w:b/>
          <w:sz w:val="44"/>
        </w:rPr>
      </w:pPr>
    </w:p>
    <w:p>
      <w:pPr>
        <w:pStyle w:val="BodyText"/>
        <w:rPr>
          <w:rFonts w:ascii="微软雅黑"/>
          <w:b/>
          <w:sz w:val="44"/>
        </w:rPr>
      </w:pPr>
    </w:p>
    <w:p>
      <w:pPr>
        <w:pStyle w:val="BodyText"/>
        <w:spacing w:before="16"/>
        <w:rPr>
          <w:rFonts w:ascii="微软雅黑"/>
          <w:b/>
          <w:sz w:val="41"/>
        </w:rPr>
      </w:pPr>
    </w:p>
    <w:p>
      <w:pPr>
        <w:pStyle w:val="Heading1"/>
        <w:ind w:left="1066" w:right="1262"/>
      </w:pPr>
      <w:r>
        <w:rPr>
          <w:spacing w:val="-1"/>
        </w:rPr>
        <w:t>瑞泰人寿保险有限公司</w:t>
      </w:r>
    </w:p>
    <w:p>
      <w:pPr>
        <w:spacing w:after="0"/>
        <w:sectPr>
          <w:footerReference w:type="default" r:id="rId5"/>
          <w:type w:val="continuous"/>
          <w:pgSz w:w="11910" w:h="16840"/>
          <w:pgMar w:footer="1005" w:header="0" w:top="1400" w:bottom="1200" w:left="1680" w:right="1480"/>
          <w:pgNumType w:start="1"/>
        </w:sectPr>
      </w:pPr>
    </w:p>
    <w:p>
      <w:pPr>
        <w:spacing w:line="392" w:lineRule="exact" w:before="0"/>
        <w:ind w:left="1066" w:right="1259" w:firstLine="0"/>
        <w:jc w:val="center"/>
        <w:rPr>
          <w:rFonts w:ascii="微软雅黑" w:eastAsia="微软雅黑"/>
          <w:b/>
          <w:sz w:val="24"/>
        </w:rPr>
      </w:pPr>
      <w:r>
        <w:rPr>
          <w:rFonts w:ascii="微软雅黑" w:eastAsia="微软雅黑"/>
          <w:b/>
          <w:spacing w:val="-5"/>
          <w:sz w:val="24"/>
        </w:rPr>
        <w:t>目录</w:t>
      </w:r>
    </w:p>
    <w:sdt>
      <w:sdtPr>
        <w:docPartObj>
          <w:docPartGallery w:val="Table of Contents"/>
          <w:docPartUnique/>
        </w:docPartObj>
      </w:sdtPr>
      <w:sdtEndPr/>
      <w:sdtContent>
        <w:p>
          <w:pPr>
            <w:pStyle w:val="TOC1"/>
            <w:tabs>
              <w:tab w:pos="960" w:val="left" w:leader="none"/>
              <w:tab w:pos="8418"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2"/>
            <w:numPr>
              <w:ilvl w:val="0"/>
              <w:numId w:val="1"/>
            </w:numPr>
            <w:tabs>
              <w:tab w:pos="972" w:val="left" w:leader="none"/>
              <w:tab w:pos="973" w:val="left" w:leader="none"/>
              <w:tab w:pos="8418" w:val="right" w:leader="dot"/>
            </w:tabs>
            <w:spacing w:line="337" w:lineRule="exact" w:before="0" w:after="0"/>
            <w:ind w:left="972" w:right="0" w:hanging="433"/>
            <w:jc w:val="left"/>
            <w:rPr>
              <w:rFonts w:ascii="Calibri" w:hAnsi="Calibri" w:eastAsia="Calibri"/>
            </w:rPr>
          </w:pPr>
          <w:hyperlink w:history="true" w:anchor="_bookmark1">
            <w:r>
              <w:rPr/>
              <w:t>关于瑞泰乐享安康</w:t>
            </w:r>
            <w:r>
              <w:rPr>
                <w:spacing w:val="53"/>
              </w:rPr>
              <w:t> </w:t>
            </w:r>
            <w:r>
              <w:rPr>
                <w:rFonts w:ascii="Calibri" w:hAnsi="Calibri" w:eastAsia="Calibri"/>
              </w:rPr>
              <w:t>2021</w:t>
            </w:r>
            <w:r>
              <w:rPr>
                <w:rFonts w:ascii="Calibri" w:hAnsi="Calibri" w:eastAsia="Calibri"/>
                <w:spacing w:val="64"/>
              </w:rPr>
              <w:t> </w:t>
            </w:r>
            <w:r>
              <w:rPr/>
              <w:t>重大疾病保险合</w:t>
            </w:r>
            <w:r>
              <w:rPr/>
              <w:t>同</w:t>
            </w:r>
            <w:r>
              <w:rPr/>
              <w:t>（以下简称</w:t>
            </w:r>
            <w:r>
              <w:rPr>
                <w:rFonts w:ascii="Calibri" w:hAnsi="Calibri" w:eastAsia="Calibri"/>
              </w:rPr>
              <w:t>“</w:t>
            </w:r>
            <w:r>
              <w:rPr/>
              <w:t>本</w:t>
            </w:r>
            <w:r>
              <w:rPr/>
              <w:t>合</w:t>
            </w:r>
            <w:r>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
            <w:r>
              <w:rPr>
                <w:i w:val="0"/>
                <w:w w:val="105"/>
                <w:sz w:val="21"/>
              </w:rPr>
              <w:t>本合同的构</w:t>
            </w:r>
            <w:r>
              <w:rPr>
                <w:i w:val="0"/>
                <w:spacing w:val="-10"/>
                <w:w w:val="105"/>
                <w:sz w:val="21"/>
              </w:rPr>
              <w:t>成</w:t>
            </w:r>
            <w:r>
              <w:rPr>
                <w:rFonts w:ascii="Times New Roman" w:eastAsia="Times New Roman"/>
                <w:b w:val="0"/>
                <w:i w:val="0"/>
                <w:sz w:val="21"/>
              </w:rPr>
              <w:tab/>
            </w:r>
            <w:r>
              <w:rPr>
                <w:rFonts w:ascii="Times New Roman" w:eastAsia="Times New Roman"/>
                <w:b w:val="0"/>
                <w:i w:val="0"/>
                <w:spacing w:val="-10"/>
                <w:w w:val="105"/>
                <w:sz w:val="21"/>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2"/>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rPr>
          </w:pPr>
          <w:hyperlink w:history="true" w:anchor="_bookmark4">
            <w:r>
              <w:rPr/>
              <w:t>本</w:t>
            </w:r>
            <w:r>
              <w:rPr/>
              <w:t>合</w:t>
            </w:r>
            <w:r>
              <w:rPr/>
              <w:t>同</w:t>
            </w:r>
            <w:r>
              <w:rPr/>
              <w:t>的</w:t>
            </w:r>
            <w:r>
              <w:rPr/>
              <w:t>成</w:t>
            </w:r>
            <w:r>
              <w:rPr/>
              <w:t>立</w:t>
            </w:r>
            <w:r>
              <w:rPr/>
              <w:t>与</w:t>
            </w:r>
            <w:r>
              <w:rPr/>
              <w:t>生</w:t>
            </w:r>
            <w:r>
              <w:rPr>
                <w:spacing w:val="-10"/>
              </w:rPr>
              <w:t>效</w:t>
            </w:r>
            <w:r>
              <w:rPr>
                <w:rFonts w:ascii="Times New Roman" w:eastAsia="Times New Roman"/>
                <w:b w:val="0"/>
              </w:rPr>
              <w:tab/>
            </w:r>
            <w:r>
              <w:rPr>
                <w:rFonts w:ascii="Times New Roman" w:eastAsia="Times New Roman"/>
                <w:b w:val="0"/>
                <w:spacing w:val="-10"/>
                <w:w w:val="105"/>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72" w:val="left" w:leader="none"/>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0" w:val="left" w:leader="none"/>
              <w:tab w:pos="8418"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72" w:val="left" w:leader="none"/>
              <w:tab w:pos="973" w:val="left" w:leader="none"/>
              <w:tab w:pos="8418" w:val="right" w:leader="dot"/>
            </w:tabs>
            <w:spacing w:line="337" w:lineRule="exact" w:before="0" w:after="0"/>
            <w:ind w:left="9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72" w:val="left" w:leader="none"/>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0" w:val="left" w:leader="none"/>
              <w:tab w:pos="8418" w:val="right" w:leader="dot"/>
            </w:tabs>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72" w:val="left" w:leader="none"/>
              <w:tab w:pos="973" w:val="left" w:leader="none"/>
              <w:tab w:pos="8418" w:val="right" w:leader="dot"/>
            </w:tabs>
            <w:spacing w:line="338" w:lineRule="exact" w:before="0" w:after="0"/>
            <w:ind w:left="972" w:right="0" w:hanging="433"/>
            <w:jc w:val="left"/>
            <w:rPr>
              <w:rFonts w:ascii="Calibri" w:eastAsia="Calibri"/>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73" w:val="left" w:leader="none"/>
              <w:tab w:pos="8418" w:val="right" w:leader="dot"/>
            </w:tabs>
            <w:spacing w:line="253" w:lineRule="exact" w:before="0" w:after="0"/>
            <w:ind w:left="972" w:right="0" w:hanging="433"/>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73" w:val="left" w:leader="none"/>
              <w:tab w:pos="8413" w:val="right" w:leader="dot"/>
            </w:tabs>
            <w:spacing w:line="337" w:lineRule="exact" w:before="0" w:after="0"/>
            <w:ind w:left="972" w:right="0" w:hanging="433"/>
            <w:jc w:val="left"/>
            <w:rPr>
              <w:rFonts w:ascii="Calibri" w:eastAsia="Calibri"/>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5"/>
                <w:sz w:val="21"/>
              </w:rPr>
              <w:t>13</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8">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9">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20">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5"/>
                <w:sz w:val="21"/>
              </w:rPr>
              <w:t>14</w:t>
            </w:r>
          </w:hyperlink>
        </w:p>
        <w:p>
          <w:pPr>
            <w:pStyle w:val="TOC1"/>
            <w:tabs>
              <w:tab w:pos="960" w:val="left" w:leader="none"/>
              <w:tab w:pos="8418" w:val="right" w:leader="dot"/>
            </w:tabs>
            <w:rPr>
              <w:rFonts w:ascii="Times New Roman" w:eastAsia="Times New Roman"/>
            </w:rPr>
          </w:pPr>
          <w:hyperlink w:history="true" w:anchor="_bookmark21">
            <w:r>
              <w:rPr/>
              <w:t>四</w:t>
            </w:r>
            <w:r>
              <w:rPr>
                <w:spacing w:val="-10"/>
              </w:rPr>
              <w:t>、</w:t>
            </w:r>
            <w:r>
              <w:rPr/>
              <w:tab/>
              <w:t>其</w:t>
            </w:r>
            <w:r>
              <w:rPr>
                <w:spacing w:val="-10"/>
              </w:rPr>
              <w:t>他</w:t>
            </w:r>
            <w:r>
              <w:rPr>
                <w:rFonts w:ascii="Times New Roman" w:eastAsia="Times New Roman"/>
              </w:rPr>
              <w:tab/>
            </w:r>
            <w:r>
              <w:rPr>
                <w:rFonts w:ascii="Times New Roman" w:eastAsia="Times New Roman"/>
                <w:spacing w:val="-5"/>
              </w:rPr>
              <w:t>15</w:t>
            </w:r>
          </w:hyperlink>
        </w:p>
        <w:p>
          <w:pPr>
            <w:pStyle w:val="TOC3"/>
            <w:numPr>
              <w:ilvl w:val="0"/>
              <w:numId w:val="1"/>
            </w:numPr>
            <w:tabs>
              <w:tab w:pos="973" w:val="left" w:leader="none"/>
              <w:tab w:pos="8418" w:val="right" w:leader="dot"/>
            </w:tabs>
            <w:spacing w:line="337" w:lineRule="exact" w:before="0" w:after="0"/>
            <w:ind w:left="972" w:right="0" w:hanging="433"/>
            <w:jc w:val="left"/>
            <w:rPr>
              <w:rFonts w:ascii="Calibri" w:eastAsia="Calibri"/>
              <w:i w:val="0"/>
              <w:sz w:val="21"/>
            </w:rPr>
          </w:pPr>
          <w:hyperlink w:history="true" w:anchor="_bookmark22">
            <w:r>
              <w:rPr>
                <w:i w:val="0"/>
                <w:sz w:val="21"/>
              </w:rPr>
              <w:t>明确说明与如实告</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15</w:t>
            </w:r>
          </w:hyperlink>
        </w:p>
        <w:p>
          <w:pPr>
            <w:pStyle w:val="TOC2"/>
            <w:numPr>
              <w:ilvl w:val="0"/>
              <w:numId w:val="1"/>
            </w:numPr>
            <w:tabs>
              <w:tab w:pos="973" w:val="left" w:leader="none"/>
              <w:tab w:pos="8418" w:val="right" w:leader="dot"/>
            </w:tabs>
            <w:spacing w:line="312" w:lineRule="exact" w:before="0" w:after="0"/>
            <w:ind w:left="972" w:right="0" w:hanging="433"/>
            <w:jc w:val="left"/>
            <w:rPr>
              <w:rFonts w:ascii="Calibri" w:eastAsia="Calibri"/>
            </w:rPr>
          </w:pPr>
          <w:hyperlink w:history="true" w:anchor="_bookmark23">
            <w:r>
              <w:rPr/>
              <w:t>我</w:t>
            </w:r>
            <w:r>
              <w:rPr/>
              <w:t>们</w:t>
            </w:r>
            <w:r>
              <w:rPr/>
              <w:t>行</w:t>
            </w:r>
            <w:r>
              <w:rPr/>
              <w:t>使</w:t>
            </w:r>
            <w:r>
              <w:rPr/>
              <w:t>合</w:t>
            </w:r>
            <w:r>
              <w:rPr/>
              <w:t>同</w:t>
            </w:r>
            <w:r>
              <w:rPr/>
              <w:t>解</w:t>
            </w:r>
            <w:r>
              <w:rPr/>
              <w:t>除</w:t>
            </w:r>
            <w:r>
              <w:rPr/>
              <w:t>权的限</w:t>
            </w:r>
            <w:r>
              <w:rPr>
                <w:spacing w:val="-10"/>
              </w:rPr>
              <w:t>制</w:t>
            </w:r>
            <w:r>
              <w:rPr>
                <w:rFonts w:ascii="Times New Roman" w:eastAsia="Times New Roman"/>
                <w:b w:val="0"/>
              </w:rPr>
              <w:tab/>
            </w:r>
            <w:r>
              <w:rPr>
                <w:rFonts w:ascii="Times New Roman" w:eastAsia="Times New Roman"/>
                <w:b w:val="0"/>
                <w:spacing w:val="-5"/>
                <w:w w:val="105"/>
              </w:rPr>
              <w:t>15</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4">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5">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16</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6">
            <w:r>
              <w:rPr>
                <w:i w:val="0"/>
                <w:w w:val="105"/>
                <w:sz w:val="21"/>
              </w:rPr>
              <w:t>本合同内容变</w:t>
            </w:r>
            <w:r>
              <w:rPr>
                <w:i w:val="0"/>
                <w:spacing w:val="-10"/>
                <w:w w:val="105"/>
                <w:sz w:val="21"/>
              </w:rPr>
              <w:t>更</w:t>
            </w:r>
            <w:r>
              <w:rPr>
                <w:rFonts w:ascii="Times New Roman" w:eastAsia="Times New Roman"/>
                <w:b w:val="0"/>
                <w:i w:val="0"/>
                <w:sz w:val="21"/>
              </w:rPr>
              <w:tab/>
            </w:r>
            <w:r>
              <w:rPr>
                <w:rFonts w:ascii="Times New Roman" w:eastAsia="Times New Roman"/>
                <w:b w:val="0"/>
                <w:i w:val="0"/>
                <w:spacing w:val="-5"/>
                <w:w w:val="105"/>
                <w:sz w:val="21"/>
              </w:rPr>
              <w:t>16</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7">
            <w:r>
              <w:rPr>
                <w:i w:val="0"/>
                <w:sz w:val="21"/>
              </w:rPr>
              <w:t>本</w:t>
            </w:r>
            <w:r>
              <w:rPr>
                <w:i w:val="0"/>
                <w:sz w:val="21"/>
              </w:rPr>
              <w:t>合</w:t>
            </w:r>
            <w:r>
              <w:rPr>
                <w:i w:val="0"/>
                <w:sz w:val="21"/>
              </w:rPr>
              <w:t>同</w:t>
            </w:r>
            <w:r>
              <w:rPr>
                <w:i w:val="0"/>
                <w:sz w:val="21"/>
              </w:rPr>
              <w:t>效</w:t>
            </w:r>
            <w:r>
              <w:rPr>
                <w:i w:val="0"/>
                <w:sz w:val="21"/>
              </w:rPr>
              <w:t>力</w:t>
            </w:r>
            <w:r>
              <w:rPr>
                <w:i w:val="0"/>
                <w:sz w:val="21"/>
              </w:rPr>
              <w:t>的</w:t>
            </w:r>
            <w:r>
              <w:rPr>
                <w:i w:val="0"/>
                <w:sz w:val="21"/>
              </w:rPr>
              <w:t>中</w:t>
            </w:r>
            <w:r>
              <w:rPr>
                <w:i w:val="0"/>
                <w:sz w:val="21"/>
              </w:rPr>
              <w:t>止</w:t>
            </w:r>
            <w:r>
              <w:rPr>
                <w:i w:val="0"/>
                <w:sz w:val="21"/>
              </w:rPr>
              <w:t>及</w:t>
            </w:r>
            <w:r>
              <w:rPr>
                <w:i w:val="0"/>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w w:val="105"/>
                <w:sz w:val="21"/>
              </w:rPr>
              <w:t>16</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8">
            <w:r>
              <w:rPr>
                <w:i w:val="0"/>
                <w:w w:val="105"/>
                <w:sz w:val="21"/>
              </w:rPr>
              <w:t>本合同的解</w:t>
            </w:r>
            <w:r>
              <w:rPr>
                <w:i w:val="0"/>
                <w:spacing w:val="-10"/>
                <w:w w:val="105"/>
                <w:sz w:val="21"/>
              </w:rPr>
              <w:t>除</w:t>
            </w:r>
            <w:r>
              <w:rPr>
                <w:rFonts w:ascii="Times New Roman" w:eastAsia="Times New Roman"/>
                <w:b w:val="0"/>
                <w:i w:val="0"/>
                <w:sz w:val="21"/>
              </w:rPr>
              <w:tab/>
            </w:r>
            <w:r>
              <w:rPr>
                <w:rFonts w:ascii="Times New Roman" w:eastAsia="Times New Roman"/>
                <w:b w:val="0"/>
                <w:i w:val="0"/>
                <w:spacing w:val="-5"/>
                <w:w w:val="105"/>
                <w:sz w:val="21"/>
              </w:rPr>
              <w:t>17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9">
            <w:r>
              <w:rPr>
                <w:i w:val="0"/>
                <w:w w:val="105"/>
                <w:sz w:val="21"/>
              </w:rPr>
              <w:t>本合同的终</w:t>
            </w:r>
            <w:r>
              <w:rPr>
                <w:i w:val="0"/>
                <w:spacing w:val="-10"/>
                <w:w w:val="105"/>
                <w:sz w:val="21"/>
              </w:rPr>
              <w:t>止</w:t>
            </w:r>
            <w:r>
              <w:rPr>
                <w:rFonts w:ascii="Times New Roman" w:eastAsia="Times New Roman"/>
                <w:b w:val="0"/>
                <w:i w:val="0"/>
                <w:sz w:val="21"/>
              </w:rPr>
              <w:tab/>
            </w:r>
            <w:r>
              <w:rPr>
                <w:rFonts w:ascii="Times New Roman" w:eastAsia="Times New Roman"/>
                <w:b w:val="0"/>
                <w:i w:val="0"/>
                <w:spacing w:val="-5"/>
                <w:w w:val="105"/>
                <w:sz w:val="21"/>
              </w:rPr>
              <w:t>17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0">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1">
            <w:r>
              <w:rPr>
                <w:i w:val="0"/>
                <w:sz w:val="21"/>
              </w:rPr>
              <w:t>伤残鉴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2">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18</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3">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18</w:t>
            </w:r>
          </w:hyperlink>
        </w:p>
        <w:p>
          <w:pPr>
            <w:pStyle w:val="TOC3"/>
            <w:numPr>
              <w:ilvl w:val="0"/>
              <w:numId w:val="1"/>
            </w:numPr>
            <w:tabs>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34">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18</w:t>
            </w:r>
          </w:hyperlink>
        </w:p>
        <w:p>
          <w:pPr>
            <w:pStyle w:val="TOC1"/>
            <w:tabs>
              <w:tab w:pos="960" w:val="left" w:leader="none"/>
              <w:tab w:pos="8418" w:val="right" w:leader="dot"/>
            </w:tabs>
            <w:rPr>
              <w:rFonts w:ascii="Times New Roman" w:eastAsia="Times New Roman"/>
            </w:rPr>
          </w:pPr>
          <w:hyperlink w:history="true" w:anchor="_bookmark35">
            <w:r>
              <w:rPr/>
              <w:t>五</w:t>
            </w:r>
            <w:r>
              <w:rPr>
                <w:spacing w:val="-10"/>
              </w:rPr>
              <w:t>、</w:t>
            </w:r>
            <w:r>
              <w:rPr/>
              <w:tab/>
            </w:r>
            <w:r>
              <w:rPr>
                <w:spacing w:val="-2"/>
              </w:rPr>
              <w:t>疾</w:t>
            </w:r>
            <w:r>
              <w:rPr>
                <w:spacing w:val="-2"/>
              </w:rPr>
              <w:t>病</w:t>
            </w:r>
            <w:r>
              <w:rPr>
                <w:spacing w:val="-2"/>
              </w:rPr>
              <w:t>定</w:t>
            </w:r>
            <w:r>
              <w:rPr>
                <w:spacing w:val="-10"/>
              </w:rPr>
              <w:t>义</w:t>
            </w:r>
            <w:r>
              <w:rPr>
                <w:rFonts w:ascii="Times New Roman" w:eastAsia="Times New Roman"/>
              </w:rPr>
              <w:tab/>
            </w:r>
            <w:r>
              <w:rPr>
                <w:rFonts w:ascii="Times New Roman" w:eastAsia="Times New Roman"/>
                <w:spacing w:val="-5"/>
              </w:rPr>
              <w:t>18</w:t>
            </w:r>
          </w:hyperlink>
        </w:p>
        <w:p>
          <w:pPr>
            <w:pStyle w:val="TOC3"/>
            <w:numPr>
              <w:ilvl w:val="0"/>
              <w:numId w:val="1"/>
            </w:numPr>
            <w:tabs>
              <w:tab w:pos="973" w:val="left" w:leader="none"/>
              <w:tab w:pos="8418" w:val="right" w:leader="dot"/>
            </w:tabs>
            <w:spacing w:line="338" w:lineRule="exact" w:before="0" w:after="0"/>
            <w:ind w:left="972" w:right="0" w:hanging="433"/>
            <w:jc w:val="left"/>
            <w:rPr>
              <w:rFonts w:ascii="Calibri" w:eastAsia="Calibri"/>
              <w:i w:val="0"/>
              <w:sz w:val="21"/>
            </w:rPr>
          </w:pPr>
          <w:hyperlink w:history="true" w:anchor="_bookmark36">
            <w:r>
              <w:rPr>
                <w:i w:val="0"/>
                <w:sz w:val="21"/>
              </w:rPr>
              <w:t>重大疾病定</w:t>
            </w:r>
            <w:r>
              <w:rPr>
                <w:i w:val="0"/>
                <w:spacing w:val="-10"/>
                <w:sz w:val="21"/>
              </w:rPr>
              <w:t>义</w:t>
            </w:r>
            <w:r>
              <w:rPr>
                <w:rFonts w:ascii="Times New Roman" w:eastAsia="Times New Roman"/>
                <w:b w:val="0"/>
                <w:i w:val="0"/>
                <w:sz w:val="21"/>
              </w:rPr>
              <w:tab/>
            </w:r>
            <w:r>
              <w:rPr>
                <w:rFonts w:ascii="Times New Roman" w:eastAsia="Times New Roman"/>
                <w:b w:val="0"/>
                <w:i w:val="0"/>
                <w:spacing w:val="-5"/>
                <w:sz w:val="21"/>
              </w:rPr>
              <w:t>18</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7">
            <w:r>
              <w:rPr>
                <w:i w:val="0"/>
                <w:sz w:val="21"/>
              </w:rPr>
              <w:t>中症疾病定</w:t>
            </w:r>
            <w:r>
              <w:rPr>
                <w:i w:val="0"/>
                <w:spacing w:val="-10"/>
                <w:sz w:val="21"/>
              </w:rPr>
              <w:t>义</w:t>
            </w:r>
            <w:r>
              <w:rPr>
                <w:rFonts w:ascii="Times New Roman" w:eastAsia="Times New Roman"/>
                <w:b w:val="0"/>
                <w:i w:val="0"/>
                <w:sz w:val="21"/>
              </w:rPr>
              <w:tab/>
            </w:r>
            <w:r>
              <w:rPr>
                <w:rFonts w:ascii="Times New Roman" w:eastAsia="Times New Roman"/>
                <w:b w:val="0"/>
                <w:i w:val="0"/>
                <w:spacing w:val="-5"/>
                <w:sz w:val="21"/>
              </w:rPr>
              <w:t>42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8">
            <w:r>
              <w:rPr>
                <w:i w:val="0"/>
                <w:sz w:val="21"/>
              </w:rPr>
              <w:t>轻症疾病定</w:t>
            </w:r>
            <w:r>
              <w:rPr>
                <w:i w:val="0"/>
                <w:spacing w:val="-10"/>
                <w:sz w:val="21"/>
              </w:rPr>
              <w:t>义</w:t>
            </w:r>
            <w:r>
              <w:rPr>
                <w:rFonts w:ascii="Times New Roman" w:eastAsia="Times New Roman"/>
                <w:b w:val="0"/>
                <w:i w:val="0"/>
                <w:sz w:val="21"/>
              </w:rPr>
              <w:tab/>
            </w:r>
            <w:r>
              <w:rPr>
                <w:rFonts w:ascii="Times New Roman" w:eastAsia="Times New Roman"/>
                <w:b w:val="0"/>
                <w:i w:val="0"/>
                <w:spacing w:val="-5"/>
                <w:sz w:val="21"/>
              </w:rPr>
              <w:t>47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9">
            <w:r>
              <w:rPr>
                <w:i w:val="0"/>
                <w:sz w:val="21"/>
              </w:rPr>
              <w:t>少儿特定疾病定</w:t>
            </w:r>
            <w:r>
              <w:rPr>
                <w:i w:val="0"/>
                <w:spacing w:val="-10"/>
                <w:sz w:val="21"/>
              </w:rPr>
              <w:t>义</w:t>
            </w:r>
            <w:r>
              <w:rPr>
                <w:rFonts w:ascii="Times New Roman" w:eastAsia="Times New Roman"/>
                <w:b w:val="0"/>
                <w:i w:val="0"/>
                <w:sz w:val="21"/>
              </w:rPr>
              <w:tab/>
            </w:r>
            <w:r>
              <w:rPr>
                <w:rFonts w:ascii="Times New Roman" w:eastAsia="Times New Roman"/>
                <w:b w:val="0"/>
                <w:i w:val="0"/>
                <w:spacing w:val="-5"/>
                <w:sz w:val="21"/>
              </w:rPr>
              <w:t>56</w:t>
            </w:r>
          </w:hyperlink>
        </w:p>
        <w:p>
          <w:pPr>
            <w:pStyle w:val="TOC3"/>
            <w:numPr>
              <w:ilvl w:val="0"/>
              <w:numId w:val="1"/>
            </w:numPr>
            <w:tabs>
              <w:tab w:pos="973" w:val="left" w:leader="none"/>
              <w:tab w:pos="8418" w:val="right" w:leader="dot"/>
            </w:tabs>
            <w:spacing w:line="346" w:lineRule="exact" w:before="0" w:after="0"/>
            <w:ind w:left="972" w:right="0" w:hanging="433"/>
            <w:jc w:val="left"/>
            <w:rPr>
              <w:rFonts w:ascii="Calibri" w:eastAsia="Calibri"/>
              <w:i w:val="0"/>
              <w:sz w:val="21"/>
            </w:rPr>
          </w:pPr>
          <w:hyperlink w:history="true" w:anchor="_bookmark40">
            <w:r>
              <w:rPr>
                <w:i w:val="0"/>
                <w:spacing w:val="-2"/>
                <w:sz w:val="21"/>
              </w:rPr>
              <w:t>心</w:t>
            </w:r>
            <w:r>
              <w:rPr>
                <w:i w:val="0"/>
                <w:spacing w:val="-2"/>
                <w:sz w:val="21"/>
              </w:rPr>
              <w:t>脑</w:t>
            </w:r>
            <w:r>
              <w:rPr>
                <w:i w:val="0"/>
                <w:spacing w:val="-2"/>
                <w:sz w:val="21"/>
              </w:rPr>
              <w:t>血</w:t>
            </w:r>
            <w:r>
              <w:rPr>
                <w:i w:val="0"/>
                <w:spacing w:val="-2"/>
                <w:sz w:val="21"/>
              </w:rPr>
              <w:t>管</w:t>
            </w:r>
            <w:r>
              <w:rPr>
                <w:i w:val="0"/>
                <w:spacing w:val="-2"/>
                <w:sz w:val="21"/>
              </w:rPr>
              <w:t>特</w:t>
            </w:r>
            <w:r>
              <w:rPr>
                <w:i w:val="0"/>
                <w:spacing w:val="-2"/>
                <w:sz w:val="21"/>
              </w:rPr>
              <w:t>定</w:t>
            </w:r>
            <w:r>
              <w:rPr>
                <w:i w:val="0"/>
                <w:spacing w:val="-2"/>
                <w:sz w:val="21"/>
              </w:rPr>
              <w:t>疾</w:t>
            </w:r>
            <w:r>
              <w:rPr>
                <w:i w:val="0"/>
                <w:spacing w:val="-2"/>
                <w:sz w:val="21"/>
              </w:rPr>
              <w:t>病</w:t>
            </w:r>
            <w:r>
              <w:rPr>
                <w:i w:val="0"/>
                <w:spacing w:val="-2"/>
                <w:sz w:val="21"/>
              </w:rPr>
              <w:t>定</w:t>
            </w:r>
            <w:r>
              <w:rPr>
                <w:i w:val="0"/>
                <w:spacing w:val="-10"/>
                <w:sz w:val="21"/>
              </w:rPr>
              <w:t>义</w:t>
            </w:r>
            <w:r>
              <w:rPr>
                <w:rFonts w:ascii="Times New Roman" w:eastAsia="Times New Roman"/>
                <w:b w:val="0"/>
                <w:i w:val="0"/>
                <w:sz w:val="21"/>
              </w:rPr>
              <w:tab/>
            </w:r>
            <w:r>
              <w:rPr>
                <w:rFonts w:ascii="Times New Roman" w:eastAsia="Times New Roman"/>
                <w:b w:val="0"/>
                <w:i w:val="0"/>
                <w:spacing w:val="-5"/>
                <w:sz w:val="21"/>
              </w:rPr>
              <w:t>58</w:t>
            </w:r>
          </w:hyperlink>
        </w:p>
        <w:p>
          <w:pPr>
            <w:pStyle w:val="TOC1"/>
            <w:tabs>
              <w:tab w:pos="8418" w:val="right" w:leader="dot"/>
            </w:tabs>
            <w:spacing w:line="265" w:lineRule="exact"/>
            <w:rPr>
              <w:rFonts w:ascii="Times New Roman" w:eastAsia="Times New Roman"/>
            </w:rPr>
          </w:pPr>
          <w:hyperlink w:history="true" w:anchor="_bookmark41">
            <w:r>
              <w:rPr/>
              <w:t>释</w:t>
            </w:r>
            <w:r>
              <w:rPr>
                <w:spacing w:val="-10"/>
              </w:rPr>
              <w:t>义</w:t>
            </w:r>
            <w:r>
              <w:rPr>
                <w:rFonts w:ascii="Times New Roman" w:eastAsia="Times New Roman"/>
              </w:rPr>
              <w:tab/>
            </w:r>
            <w:r>
              <w:rPr>
                <w:rFonts w:ascii="Times New Roman" w:eastAsia="Times New Roman"/>
                <w:spacing w:val="-5"/>
              </w:rPr>
              <w:t>61</w:t>
            </w:r>
          </w:hyperlink>
        </w:p>
      </w:sdtContent>
    </w:sdt>
    <w:p>
      <w:pPr>
        <w:spacing w:after="0" w:line="265" w:lineRule="exact"/>
        <w:rPr>
          <w:rFonts w:ascii="Times New Roman" w:eastAsia="Times New Roman"/>
        </w:rPr>
        <w:sectPr>
          <w:pgSz w:w="11910" w:h="16840"/>
          <w:pgMar w:header="0" w:footer="1005" w:top="1380" w:bottom="1200" w:left="1680" w:right="1480"/>
        </w:sectPr>
      </w:pPr>
    </w:p>
    <w:p>
      <w:pPr>
        <w:pStyle w:val="Heading1"/>
        <w:spacing w:line="461" w:lineRule="exact"/>
        <w:ind w:left="1066" w:right="1262"/>
      </w:pPr>
      <w:r>
        <w:rPr>
          <w:spacing w:val="3"/>
        </w:rPr>
        <w:t>瑞泰乐享安康 </w:t>
      </w:r>
      <w:r>
        <w:rPr>
          <w:rFonts w:ascii="Calibri" w:eastAsia="Calibri"/>
        </w:rPr>
        <w:t>2021</w:t>
      </w:r>
      <w:r>
        <w:rPr>
          <w:rFonts w:ascii="Calibri" w:eastAsia="Calibri"/>
          <w:spacing w:val="38"/>
        </w:rPr>
        <w:t> </w:t>
      </w:r>
      <w:r>
        <w:rPr/>
        <w:t>重大疾病保险合</w:t>
      </w:r>
      <w:r>
        <w:rPr/>
        <w:t>同</w:t>
      </w:r>
      <w:r>
        <w:rPr/>
        <w:t>条</w:t>
      </w:r>
      <w:r>
        <w:rPr>
          <w:spacing w:val="-10"/>
        </w:rPr>
        <w:t>款</w:t>
      </w:r>
    </w:p>
    <w:p>
      <w:pPr>
        <w:pStyle w:val="BodyText"/>
        <w:spacing w:before="4"/>
        <w:rPr>
          <w:rFonts w:ascii="微软雅黑"/>
          <w:b/>
          <w:sz w:val="31"/>
        </w:rPr>
      </w:pPr>
    </w:p>
    <w:p>
      <w:pPr>
        <w:pStyle w:val="Heading1"/>
        <w:tabs>
          <w:tab w:pos="839"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2"/>
        <w:rPr>
          <w:rFonts w:ascii="微软雅黑"/>
          <w:b/>
          <w:sz w:val="30"/>
        </w:rPr>
      </w:pPr>
    </w:p>
    <w:p>
      <w:pPr>
        <w:pStyle w:val="Heading2"/>
        <w:numPr>
          <w:ilvl w:val="0"/>
          <w:numId w:val="2"/>
        </w:numPr>
        <w:tabs>
          <w:tab w:pos="481" w:val="left" w:leader="none"/>
        </w:tabs>
        <w:spacing w:line="240" w:lineRule="auto" w:before="0" w:after="0"/>
        <w:ind w:left="480" w:right="0" w:hanging="361"/>
        <w:jc w:val="left"/>
        <w:rPr>
          <w:rFonts w:ascii="Calibri" w:hAnsi="Calibri" w:eastAsia="Calibri"/>
        </w:rPr>
      </w:pPr>
      <w:bookmarkStart w:name="_bookmark1" w:id="2"/>
      <w:bookmarkEnd w:id="2"/>
      <w:r>
        <w:rPr>
          <w:b w:val="0"/>
        </w:rPr>
      </w:r>
      <w:bookmarkStart w:name="_bookmark1" w:id="3"/>
      <w:bookmarkEnd w:id="3"/>
      <w:r>
        <w:rPr>
          <w:spacing w:val="5"/>
        </w:rPr>
        <w:t>关于瑞泰乐享安康 </w:t>
      </w:r>
      <w:r>
        <w:rPr>
          <w:rFonts w:ascii="Calibri" w:hAnsi="Calibri" w:eastAsia="Calibri"/>
        </w:rPr>
        <w:t>2021</w:t>
      </w:r>
      <w:r>
        <w:rPr>
          <w:rFonts w:ascii="Calibri" w:hAnsi="Calibri" w:eastAsia="Calibri"/>
          <w:spacing w:val="66"/>
        </w:rPr>
        <w:t> </w:t>
      </w:r>
      <w:r>
        <w:rPr/>
        <w:t>重大疾病保险合</w:t>
      </w:r>
      <w:r>
        <w:rPr/>
        <w:t>同</w:t>
      </w:r>
      <w:r>
        <w:rPr/>
        <w:t>（以下简称</w:t>
      </w:r>
      <w:r>
        <w:rPr>
          <w:rFonts w:ascii="Calibri" w:hAnsi="Calibri" w:eastAsia="Calibri"/>
        </w:rPr>
        <w:t>“</w:t>
      </w:r>
      <w:r>
        <w:rPr/>
        <w:t>本</w:t>
      </w:r>
      <w:r>
        <w:rPr/>
        <w:t>合</w:t>
      </w:r>
      <w:r>
        <w:rPr/>
        <w:t>同</w:t>
      </w:r>
      <w:r>
        <w:rPr>
          <w:rFonts w:ascii="Calibri" w:hAnsi="Calibri" w:eastAsia="Calibri"/>
          <w:spacing w:val="-5"/>
        </w:rPr>
        <w:t>”</w:t>
      </w:r>
      <w:r>
        <w:rPr>
          <w:spacing w:val="-5"/>
        </w:rPr>
        <w:t>）</w:t>
      </w:r>
    </w:p>
    <w:p>
      <w:pPr>
        <w:pStyle w:val="BodyText"/>
        <w:spacing w:line="417" w:lineRule="auto" w:before="148"/>
        <w:ind w:left="120" w:right="3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481" w:val="left" w:leader="none"/>
        </w:tabs>
        <w:spacing w:line="240" w:lineRule="auto" w:before="145" w:after="0"/>
        <w:ind w:left="480" w:right="0" w:hanging="361"/>
        <w:jc w:val="left"/>
        <w:rPr>
          <w:rFonts w:ascii="Calibri" w:eastAsia="Calibri"/>
        </w:rPr>
      </w:pPr>
      <w:bookmarkStart w:name="_bookmark2" w:id="4"/>
      <w:bookmarkEnd w:id="4"/>
      <w:r>
        <w:rPr>
          <w:b w:val="0"/>
        </w:rPr>
      </w:r>
      <w:bookmarkStart w:name="_bookmark2" w:id="5"/>
      <w:bookmarkEnd w:id="5"/>
      <w:r>
        <w:rPr>
          <w:spacing w:val="-2"/>
          <w:w w:val="105"/>
        </w:rPr>
        <w:t>本合同的构成</w:t>
      </w:r>
    </w:p>
    <w:p>
      <w:pPr>
        <w:pStyle w:val="BodyText"/>
        <w:spacing w:line="417" w:lineRule="auto" w:before="148"/>
        <w:ind w:left="120" w:right="3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Heading2"/>
        <w:numPr>
          <w:ilvl w:val="0"/>
          <w:numId w:val="2"/>
        </w:numPr>
        <w:tabs>
          <w:tab w:pos="481" w:val="left" w:leader="none"/>
        </w:tabs>
        <w:spacing w:line="240" w:lineRule="auto" w:before="145"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961" w:val="left" w:leader="none"/>
        </w:tabs>
        <w:spacing w:line="240" w:lineRule="auto" w:before="148" w:after="0"/>
        <w:ind w:left="960" w:right="0" w:hanging="421"/>
        <w:jc w:val="left"/>
        <w:rPr>
          <w:sz w:val="21"/>
        </w:rPr>
      </w:pPr>
      <w:r>
        <w:rPr>
          <w:spacing w:val="-4"/>
          <w:sz w:val="21"/>
        </w:rPr>
        <w:t>投保人</w:t>
      </w:r>
    </w:p>
    <w:p>
      <w:pPr>
        <w:pStyle w:val="BodyText"/>
        <w:spacing w:line="331" w:lineRule="auto" w:before="131"/>
        <w:ind w:left="120" w:right="3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微软雅黑" w:eastAsia="微软雅黑"/>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98" w:after="0"/>
        <w:ind w:left="960" w:right="0" w:hanging="421"/>
        <w:jc w:val="left"/>
        <w:rPr>
          <w:sz w:val="21"/>
        </w:rPr>
      </w:pPr>
      <w:r>
        <w:rPr>
          <w:spacing w:val="-4"/>
          <w:sz w:val="21"/>
        </w:rPr>
        <w:t>被保险人</w:t>
      </w:r>
    </w:p>
    <w:p>
      <w:pPr>
        <w:pStyle w:val="BodyText"/>
        <w:spacing w:before="7"/>
        <w:rPr>
          <w:sz w:val="15"/>
        </w:rPr>
      </w:pPr>
    </w:p>
    <w:p>
      <w:pPr>
        <w:pStyle w:val="BodyText"/>
        <w:ind w:left="540"/>
      </w:pPr>
      <w:r>
        <w:rPr>
          <w:spacing w:val="-4"/>
        </w:rPr>
        <w:t>被保险人的年龄应在出生后满 </w:t>
      </w:r>
      <w:r>
        <w:rPr>
          <w:rFonts w:ascii="Calibri" w:eastAsia="Calibri"/>
        </w:rPr>
        <w:t>30</w:t>
      </w:r>
      <w:r>
        <w:rPr>
          <w:rFonts w:ascii="Calibri" w:eastAsia="Calibri"/>
          <w:spacing w:val="-12"/>
        </w:rPr>
        <w:t> </w:t>
      </w:r>
      <w:r>
        <w:rPr>
          <w:spacing w:val="-18"/>
        </w:rPr>
        <w:t>日至 </w:t>
      </w:r>
      <w:r>
        <w:rPr>
          <w:rFonts w:ascii="Calibri" w:eastAsia="Calibri"/>
        </w:rPr>
        <w:t>65</w:t>
      </w:r>
      <w:r>
        <w:rPr>
          <w:rFonts w:ascii="Calibri" w:eastAsia="Calibri"/>
          <w:spacing w:val="-10"/>
        </w:rPr>
        <w:t> </w:t>
      </w:r>
      <w:r>
        <w:rPr/>
        <w:t>周岁（含）</w:t>
      </w:r>
      <w:r>
        <w:rPr>
          <w:spacing w:val="-4"/>
        </w:rPr>
        <w:t>之间。</w:t>
      </w:r>
    </w:p>
    <w:p>
      <w:pPr>
        <w:pStyle w:val="BodyText"/>
        <w:rPr>
          <w:sz w:val="22"/>
        </w:rPr>
      </w:pPr>
    </w:p>
    <w:p>
      <w:pPr>
        <w:pStyle w:val="BodyText"/>
        <w:spacing w:before="10"/>
        <w:rPr>
          <w:sz w:val="24"/>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4" w:id="8"/>
      <w:bookmarkEnd w:id="8"/>
      <w:r>
        <w:rPr>
          <w:b w:val="0"/>
        </w:rPr>
      </w:r>
      <w:bookmarkStart w:name="_bookmark4" w:id="9"/>
      <w:bookmarkEnd w:id="9"/>
      <w:r>
        <w:rPr/>
        <w:t>本</w:t>
      </w:r>
      <w:r>
        <w:rPr/>
        <w:t>合</w:t>
      </w:r>
      <w:r>
        <w:rPr/>
        <w:t>同</w:t>
      </w:r>
      <w:r>
        <w:rPr/>
        <w:t>的</w:t>
      </w:r>
      <w:r>
        <w:rPr/>
        <w:t>成</w:t>
      </w:r>
      <w:r>
        <w:rPr/>
        <w:t>立</w:t>
      </w:r>
      <w:r>
        <w:rPr/>
        <w:t>与</w:t>
      </w:r>
      <w:r>
        <w:rPr/>
        <w:t>生</w:t>
      </w:r>
      <w:r>
        <w:rPr>
          <w:spacing w:val="-10"/>
        </w:rPr>
        <w:t>效</w:t>
      </w:r>
    </w:p>
    <w:p>
      <w:pPr>
        <w:pStyle w:val="BodyText"/>
        <w:spacing w:before="148"/>
        <w:ind w:left="540"/>
      </w:pPr>
      <w:r>
        <w:rPr>
          <w:spacing w:val="-3"/>
        </w:rPr>
        <w:t>您向我们完整提交投保单等相关投保文件、我们同意承保，本合同成立。</w:t>
      </w:r>
    </w:p>
    <w:p>
      <w:pPr>
        <w:pStyle w:val="BodyText"/>
        <w:spacing w:before="6"/>
        <w:rPr>
          <w:sz w:val="15"/>
        </w:rPr>
      </w:pPr>
    </w:p>
    <w:p>
      <w:pPr>
        <w:pStyle w:val="BodyText"/>
        <w:spacing w:line="417" w:lineRule="auto"/>
        <w:ind w:left="120" w:right="3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20" w:lineRule="exact" w:before="0"/>
        <w:ind w:left="540" w:right="0" w:firstLine="0"/>
        <w:jc w:val="both"/>
        <w:rPr>
          <w:sz w:val="21"/>
        </w:rPr>
      </w:pPr>
      <w:r>
        <w:rPr>
          <w:spacing w:val="-4"/>
          <w:sz w:val="21"/>
        </w:rPr>
        <w:t>本合同的</w:t>
      </w:r>
      <w:r>
        <w:rPr>
          <w:rFonts w:ascii="微软雅黑" w:eastAsia="微软雅黑"/>
          <w:b/>
          <w:spacing w:val="-4"/>
          <w:sz w:val="21"/>
        </w:rPr>
        <w:t>保单周年日</w:t>
      </w:r>
      <w:r>
        <w:rPr>
          <w:spacing w:val="-4"/>
          <w:sz w:val="21"/>
        </w:rPr>
        <w:t>（</w:t>
      </w:r>
      <w:r>
        <w:rPr>
          <w:spacing w:val="-17"/>
          <w:sz w:val="21"/>
        </w:rPr>
        <w:t>释义 </w:t>
      </w:r>
      <w:r>
        <w:rPr>
          <w:rFonts w:ascii="Calibri" w:eastAsia="Calibri"/>
          <w:spacing w:val="-2"/>
          <w:sz w:val="21"/>
        </w:rPr>
        <w:t>2</w:t>
      </w:r>
      <w:r>
        <w:rPr>
          <w:spacing w:val="-106"/>
          <w:sz w:val="21"/>
        </w:rPr>
        <w:t>）</w:t>
      </w:r>
      <w:r>
        <w:rPr>
          <w:spacing w:val="-4"/>
          <w:sz w:val="21"/>
        </w:rPr>
        <w:t>、</w:t>
      </w:r>
      <w:r>
        <w:rPr>
          <w:rFonts w:ascii="微软雅黑" w:eastAsia="微软雅黑"/>
          <w:b/>
          <w:spacing w:val="-4"/>
          <w:sz w:val="21"/>
        </w:rPr>
        <w:t>保单年度</w:t>
      </w:r>
      <w:r>
        <w:rPr>
          <w:spacing w:val="-4"/>
          <w:sz w:val="21"/>
        </w:rPr>
        <w:t>（</w:t>
      </w:r>
      <w:r>
        <w:rPr>
          <w:spacing w:val="-16"/>
          <w:sz w:val="21"/>
        </w:rPr>
        <w:t>释义 </w:t>
      </w:r>
      <w:r>
        <w:rPr>
          <w:rFonts w:ascii="Calibri" w:eastAsia="Calibri"/>
          <w:sz w:val="21"/>
        </w:rPr>
        <w:t>3</w:t>
      </w:r>
      <w:r>
        <w:rPr>
          <w:spacing w:val="-108"/>
          <w:sz w:val="21"/>
        </w:rPr>
        <w:t>）</w:t>
      </w:r>
      <w:r>
        <w:rPr>
          <w:spacing w:val="-4"/>
          <w:sz w:val="21"/>
        </w:rPr>
        <w:t>、</w:t>
      </w:r>
      <w:r>
        <w:rPr>
          <w:rFonts w:ascii="微软雅黑" w:eastAsia="微软雅黑"/>
          <w:b/>
          <w:spacing w:val="-4"/>
          <w:sz w:val="21"/>
        </w:rPr>
        <w:t>保险费约定交纳日</w:t>
      </w:r>
      <w:r>
        <w:rPr>
          <w:spacing w:val="-4"/>
          <w:sz w:val="21"/>
        </w:rPr>
        <w:t>（</w:t>
      </w:r>
      <w:r>
        <w:rPr>
          <w:spacing w:val="-15"/>
          <w:sz w:val="21"/>
        </w:rPr>
        <w:t>释义 </w:t>
      </w:r>
      <w:r>
        <w:rPr>
          <w:rFonts w:ascii="Calibri" w:eastAsia="Calibri"/>
          <w:spacing w:val="-2"/>
          <w:sz w:val="21"/>
        </w:rPr>
        <w:t>4</w:t>
      </w:r>
      <w:r>
        <w:rPr>
          <w:spacing w:val="-106"/>
          <w:sz w:val="21"/>
        </w:rPr>
        <w:t>）</w:t>
      </w:r>
      <w:r>
        <w:rPr>
          <w:spacing w:val="-7"/>
          <w:sz w:val="21"/>
        </w:rPr>
        <w:t>、保</w:t>
      </w:r>
    </w:p>
    <w:p>
      <w:pPr>
        <w:pStyle w:val="BodyText"/>
        <w:spacing w:line="417" w:lineRule="auto" w:before="149"/>
        <w:ind w:left="120" w:right="311"/>
      </w:pPr>
      <w:r>
        <w:rPr>
          <w:spacing w:val="-4"/>
        </w:rPr>
        <w:t>险合同满期日均以保单中载明的生效日期为准计算。如果当月无对应的同一日，则以该月最</w:t>
      </w:r>
      <w:r>
        <w:rPr>
          <w:spacing w:val="-2"/>
        </w:rPr>
        <w:t>后一日为对应日。</w:t>
      </w:r>
    </w:p>
    <w:p>
      <w:pPr>
        <w:pStyle w:val="BodyText"/>
        <w:rPr>
          <w:sz w:val="20"/>
        </w:rPr>
      </w:pPr>
    </w:p>
    <w:p>
      <w:pPr>
        <w:pStyle w:val="Heading2"/>
        <w:numPr>
          <w:ilvl w:val="0"/>
          <w:numId w:val="2"/>
        </w:numPr>
        <w:tabs>
          <w:tab w:pos="481" w:val="left" w:leader="none"/>
        </w:tabs>
        <w:spacing w:line="240" w:lineRule="auto" w:before="144"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spacing w:after="0" w:line="240" w:lineRule="auto"/>
        <w:jc w:val="left"/>
        <w:rPr>
          <w:rFonts w:ascii="Calibri" w:eastAsia="Calibri"/>
        </w:rPr>
        <w:sectPr>
          <w:pgSz w:w="11910" w:h="16840"/>
          <w:pgMar w:header="0" w:footer="1005" w:top="1520" w:bottom="1200" w:left="1680" w:right="1480"/>
        </w:sectPr>
      </w:pPr>
    </w:p>
    <w:p>
      <w:pPr>
        <w:pStyle w:val="BodyText"/>
        <w:spacing w:before="61"/>
        <w:ind w:left="540"/>
      </w:pPr>
      <w:r>
        <w:rPr>
          <w:spacing w:val="-3"/>
        </w:rPr>
        <w:t>本合同的保险期间由您在投保时与我们约定，该保险期间在保单中载明。</w:t>
      </w:r>
    </w:p>
    <w:p>
      <w:pPr>
        <w:pStyle w:val="BodyText"/>
        <w:rPr>
          <w:sz w:val="20"/>
        </w:rPr>
      </w:pPr>
    </w:p>
    <w:p>
      <w:pPr>
        <w:pStyle w:val="BodyText"/>
        <w:spacing w:before="11"/>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48"/>
        <w:ind w:left="120" w:right="3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9" w:lineRule="exact" w:before="0"/>
        <w:ind w:left="120" w:right="0" w:firstLine="0"/>
        <w:jc w:val="left"/>
        <w:rPr>
          <w:rFonts w:ascii="微软雅黑" w:eastAsia="微软雅黑"/>
          <w:b/>
          <w:sz w:val="21"/>
        </w:rPr>
      </w:pPr>
      <w:r>
        <w:rPr>
          <w:sz w:val="21"/>
        </w:rPr>
        <w:t>费</w:t>
      </w:r>
      <w:r>
        <w:rPr>
          <w:spacing w:val="-106"/>
          <w:sz w:val="21"/>
        </w:rPr>
        <w:t>）</w:t>
      </w:r>
      <w:r>
        <w:rPr>
          <w:spacing w:val="-80"/>
          <w:sz w:val="21"/>
        </w:rPr>
        <w:t>。</w:t>
      </w:r>
      <w:r>
        <w:rPr>
          <w:rFonts w:ascii="微软雅黑" w:eastAsia="微软雅黑"/>
          <w:b/>
          <w:sz w:val="21"/>
        </w:rPr>
        <w:t>自</w:t>
      </w:r>
      <w:r>
        <w:rPr>
          <w:rFonts w:ascii="微软雅黑" w:eastAsia="微软雅黑"/>
          <w:b/>
          <w:sz w:val="21"/>
        </w:rPr>
        <w:t>我</w:t>
      </w:r>
      <w:r>
        <w:rPr>
          <w:rFonts w:ascii="微软雅黑" w:eastAsia="微软雅黑"/>
          <w:b/>
          <w:sz w:val="21"/>
        </w:rPr>
        <w:t>们</w:t>
      </w:r>
      <w:r>
        <w:rPr>
          <w:rFonts w:ascii="微软雅黑" w:eastAsia="微软雅黑"/>
          <w:b/>
          <w:sz w:val="21"/>
        </w:rPr>
        <w:t>收</w:t>
      </w:r>
      <w:r>
        <w:rPr>
          <w:rFonts w:ascii="微软雅黑" w:eastAsia="微软雅黑"/>
          <w:b/>
          <w:sz w:val="21"/>
        </w:rPr>
        <w:t>到</w:t>
      </w:r>
      <w:r>
        <w:rPr>
          <w:rFonts w:ascii="微软雅黑" w:eastAsia="微软雅黑"/>
          <w:b/>
          <w:sz w:val="21"/>
        </w:rPr>
        <w:t>您</w:t>
      </w:r>
      <w:r>
        <w:rPr>
          <w:rFonts w:ascii="微软雅黑" w:eastAsia="微软雅黑"/>
          <w:b/>
          <w:sz w:val="21"/>
        </w:rPr>
        <w:t>解</w:t>
      </w:r>
      <w:r>
        <w:rPr>
          <w:rFonts w:ascii="微软雅黑" w:eastAsia="微软雅黑"/>
          <w:b/>
          <w:sz w:val="21"/>
        </w:rPr>
        <w:t>除</w:t>
      </w:r>
      <w:r>
        <w:rPr>
          <w:rFonts w:ascii="微软雅黑" w:eastAsia="微软雅黑"/>
          <w:b/>
          <w:sz w:val="21"/>
        </w:rPr>
        <w:t>合</w:t>
      </w:r>
      <w:r>
        <w:rPr>
          <w:rFonts w:ascii="微软雅黑" w:eastAsia="微软雅黑"/>
          <w:b/>
          <w:spacing w:val="-9"/>
          <w:sz w:val="21"/>
        </w:rPr>
        <w:t>同的书面申请时起，本</w:t>
      </w:r>
      <w:r>
        <w:rPr>
          <w:rFonts w:ascii="微软雅黑" w:eastAsia="微软雅黑"/>
          <w:b/>
          <w:sz w:val="21"/>
        </w:rPr>
        <w:t>合</w:t>
      </w:r>
      <w:r>
        <w:rPr>
          <w:rFonts w:ascii="微软雅黑" w:eastAsia="微软雅黑"/>
          <w:b/>
          <w:sz w:val="21"/>
        </w:rPr>
        <w:t>同</w:t>
      </w:r>
      <w:r>
        <w:rPr>
          <w:rFonts w:ascii="微软雅黑" w:eastAsia="微软雅黑"/>
          <w:b/>
          <w:spacing w:val="-10"/>
          <w:sz w:val="21"/>
        </w:rPr>
        <w:t>即被解除，我们自始不承担保险责任。</w:t>
      </w:r>
    </w:p>
    <w:p>
      <w:pPr>
        <w:spacing w:line="290" w:lineRule="auto" w:before="81"/>
        <w:ind w:left="120" w:right="312" w:firstLine="422"/>
        <w:jc w:val="left"/>
        <w:rPr>
          <w:sz w:val="21"/>
        </w:rPr>
      </w:pPr>
      <w:r>
        <w:rPr>
          <w:rFonts w:ascii="微软雅黑" w:eastAsia="微软雅黑"/>
          <w:b/>
          <w:spacing w:val="-2"/>
          <w:sz w:val="21"/>
        </w:rPr>
        <w:t>由于不可抗力或您本人的原因导致犹豫期无法起算或计算错误的，我们将协助您及时</w:t>
      </w:r>
      <w:r>
        <w:rPr>
          <w:rFonts w:ascii="微软雅黑" w:eastAsia="微软雅黑"/>
          <w:b/>
          <w:spacing w:val="-2"/>
          <w:sz w:val="21"/>
        </w:rPr>
        <w:t>予以解决，但不承担损失赔偿责任</w:t>
      </w:r>
      <w:r>
        <w:rPr>
          <w:spacing w:val="-2"/>
          <w:sz w:val="21"/>
        </w:rPr>
        <w:t>。</w:t>
      </w:r>
    </w:p>
    <w:p>
      <w:pPr>
        <w:pStyle w:val="BodyText"/>
        <w:rPr>
          <w:sz w:val="20"/>
        </w:rPr>
      </w:pPr>
    </w:p>
    <w:p>
      <w:pPr>
        <w:pStyle w:val="BodyText"/>
        <w:spacing w:before="4"/>
        <w:rPr>
          <w:sz w:val="17"/>
        </w:rPr>
      </w:pPr>
    </w:p>
    <w:p>
      <w:pPr>
        <w:pStyle w:val="Heading1"/>
        <w:tabs>
          <w:tab w:pos="839" w:val="left" w:leader="none"/>
        </w:tabs>
        <w:ind w:right="198"/>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2"/>
        <w:rPr>
          <w:rFonts w:ascii="微软雅黑"/>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48"/>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3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Heading2"/>
        <w:numPr>
          <w:ilvl w:val="0"/>
          <w:numId w:val="2"/>
        </w:numPr>
        <w:tabs>
          <w:tab w:pos="481" w:val="left" w:leader="none"/>
        </w:tabs>
        <w:spacing w:line="240" w:lineRule="auto" w:before="145" w:after="0"/>
        <w:ind w:left="4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357" w:lineRule="auto" w:before="148"/>
        <w:ind w:left="120" w:right="311" w:firstLine="419"/>
        <w:rPr>
          <w:rFonts w:ascii="微软雅黑" w:eastAsia="微软雅黑"/>
          <w:b/>
        </w:rPr>
      </w:pPr>
      <w:r>
        <w:rPr>
          <w:spacing w:val="-4"/>
        </w:rPr>
        <w:t>分期交纳保险费的，您交纳首期保险费后，除本合同另有约定外，如果您到期未交纳保</w:t>
      </w:r>
      <w:r>
        <w:rPr>
          <w:spacing w:val="-4"/>
        </w:rPr>
        <w:t>险费，自保险费约定交纳日的次日零时起 </w:t>
      </w:r>
      <w:r>
        <w:rPr>
          <w:rFonts w:ascii="Calibri" w:eastAsia="Calibri"/>
          <w:spacing w:val="-2"/>
        </w:rPr>
        <w:t>60</w:t>
      </w:r>
      <w:r>
        <w:rPr>
          <w:rFonts w:ascii="Calibri" w:eastAsia="Calibri"/>
          <w:spacing w:val="22"/>
        </w:rPr>
        <w:t> </w:t>
      </w:r>
      <w:r>
        <w:rPr>
          <w:spacing w:val="-2"/>
        </w:rPr>
        <w:t>日为宽限期。</w:t>
      </w:r>
      <w:r>
        <w:rPr>
          <w:rFonts w:ascii="微软雅黑" w:eastAsia="微软雅黑"/>
          <w:b/>
          <w:spacing w:val="-3"/>
        </w:rPr>
        <w:t>宽限期内发生的保险事故，我们</w:t>
      </w:r>
    </w:p>
    <w:p>
      <w:pPr>
        <w:spacing w:line="278" w:lineRule="exact" w:before="0"/>
        <w:ind w:left="120" w:right="0" w:firstLine="0"/>
        <w:jc w:val="left"/>
        <w:rPr>
          <w:rFonts w:ascii="微软雅黑" w:eastAsia="微软雅黑"/>
          <w:b/>
          <w:sz w:val="21"/>
        </w:rPr>
      </w:pPr>
      <w:r>
        <w:rPr>
          <w:rFonts w:ascii="微软雅黑" w:eastAsia="微软雅黑"/>
          <w:b/>
          <w:spacing w:val="-3"/>
          <w:sz w:val="21"/>
        </w:rPr>
        <w:t>仍会承担保险责任，但在给付保险金时会扣减您欠交的保险费。</w:t>
      </w:r>
    </w:p>
    <w:p>
      <w:pPr>
        <w:spacing w:before="81"/>
        <w:ind w:left="542" w:right="0" w:firstLine="0"/>
        <w:jc w:val="left"/>
        <w:rPr>
          <w:rFonts w:ascii="微软雅黑" w:eastAsia="微软雅黑"/>
          <w:b/>
          <w:sz w:val="21"/>
        </w:rPr>
      </w:pPr>
      <w:r>
        <w:rPr>
          <w:rFonts w:ascii="微软雅黑" w:eastAsia="微软雅黑"/>
          <w:b/>
          <w:sz w:val="21"/>
        </w:rPr>
        <w:t>如果您宽限期结束之后仍未交纳保险费，则本合同</w:t>
      </w:r>
      <w:r>
        <w:rPr>
          <w:rFonts w:ascii="微软雅黑" w:eastAsia="微软雅黑"/>
          <w:b/>
          <w:spacing w:val="-1"/>
          <w:sz w:val="21"/>
        </w:rPr>
        <w:t>自宽限期满的次日零时起效力中止。</w:t>
      </w:r>
    </w:p>
    <w:p>
      <w:pPr>
        <w:pStyle w:val="BodyText"/>
        <w:rPr>
          <w:rFonts w:ascii="微软雅黑"/>
          <w:b/>
          <w:sz w:val="20"/>
        </w:rPr>
      </w:pPr>
    </w:p>
    <w:p>
      <w:pPr>
        <w:pStyle w:val="BodyText"/>
        <w:spacing w:before="6"/>
        <w:rPr>
          <w:rFonts w:ascii="微软雅黑"/>
          <w:b/>
          <w:sz w:val="10"/>
        </w:rPr>
      </w:pPr>
    </w:p>
    <w:p>
      <w:pPr>
        <w:pStyle w:val="Heading1"/>
        <w:tabs>
          <w:tab w:pos="839" w:val="left" w:leader="none"/>
        </w:tabs>
        <w:spacing w:before="1"/>
      </w:pPr>
      <w:bookmarkStart w:name="_bookmark10" w:id="19"/>
      <w:bookmarkEnd w:id="19"/>
      <w:r>
        <w:rPr>
          <w:b w:val="0"/>
        </w:rPr>
      </w:r>
      <w:r>
        <w:rPr/>
        <w:t>三</w:t>
      </w:r>
      <w:r>
        <w:rPr>
          <w:spacing w:val="-10"/>
        </w:rPr>
        <w:t>、</w:t>
      </w:r>
      <w:r>
        <w:rPr/>
        <w:tab/>
        <w:t>保障条</w:t>
      </w:r>
      <w:r>
        <w:rPr>
          <w:spacing w:val="-10"/>
        </w:rPr>
        <w:t>款</w:t>
      </w:r>
    </w:p>
    <w:p>
      <w:pPr>
        <w:pStyle w:val="BodyText"/>
        <w:spacing w:before="12"/>
        <w:rPr>
          <w:rFonts w:ascii="微软雅黑"/>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148"/>
        <w:ind w:left="540"/>
      </w:pPr>
      <w:r>
        <w:rPr>
          <w:spacing w:val="-3"/>
        </w:rPr>
        <w:t>本合同的基本保险金额由您和我们约定，并在保单中载明。</w:t>
      </w:r>
    </w:p>
    <w:p>
      <w:pPr>
        <w:pStyle w:val="BodyText"/>
        <w:rPr>
          <w:sz w:val="20"/>
        </w:rPr>
      </w:pPr>
    </w:p>
    <w:p>
      <w:pPr>
        <w:pStyle w:val="BodyText"/>
        <w:spacing w:before="11"/>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spacing w:after="0" w:line="240" w:lineRule="auto"/>
        <w:jc w:val="left"/>
        <w:rPr>
          <w:rFonts w:ascii="Calibri" w:eastAsia="Calibri"/>
        </w:rPr>
        <w:sectPr>
          <w:pgSz w:w="11910" w:h="16840"/>
          <w:pgMar w:header="0" w:footer="1005" w:top="1460" w:bottom="1200" w:left="1680" w:right="1480"/>
        </w:sectPr>
      </w:pPr>
    </w:p>
    <w:p>
      <w:pPr>
        <w:pStyle w:val="BodyText"/>
        <w:spacing w:line="417" w:lineRule="auto" w:before="61"/>
        <w:ind w:left="120" w:right="313" w:firstLine="419"/>
        <w:jc w:val="both"/>
      </w:pPr>
      <w:r>
        <w:rPr>
          <w:spacing w:val="-17"/>
        </w:rPr>
        <w:t>以下保险责任中，</w:t>
      </w:r>
      <w:r>
        <w:rPr>
          <w:rFonts w:ascii="Calibri" w:eastAsia="Calibri"/>
          <w:spacing w:val="13"/>
        </w:rPr>
        <w:t>1</w:t>
      </w:r>
      <w:r>
        <w:rPr>
          <w:rFonts w:ascii="Calibri" w:eastAsia="Calibri"/>
          <w:spacing w:val="15"/>
        </w:rPr>
        <w:t>0</w:t>
      </w:r>
      <w:r>
        <w:rPr>
          <w:rFonts w:ascii="Calibri" w:eastAsia="Calibri"/>
          <w:spacing w:val="14"/>
        </w:rPr>
        <w:t>.</w:t>
      </w:r>
      <w:r>
        <w:rPr>
          <w:rFonts w:ascii="Calibri" w:eastAsia="Calibri"/>
          <w:spacing w:val="15"/>
        </w:rPr>
        <w:t>1</w:t>
      </w:r>
      <w:r>
        <w:rPr>
          <w:rFonts w:ascii="Calibri" w:eastAsia="Calibri"/>
          <w:spacing w:val="-6"/>
        </w:rPr>
        <w:t> </w:t>
      </w:r>
      <w:r>
        <w:rPr>
          <w:spacing w:val="-13"/>
        </w:rPr>
        <w:t>至 </w:t>
      </w:r>
      <w:r>
        <w:rPr>
          <w:rFonts w:ascii="Calibri" w:eastAsia="Calibri"/>
          <w:spacing w:val="-6"/>
        </w:rPr>
        <w:t>10.9 </w:t>
      </w:r>
      <w:r>
        <w:rPr>
          <w:spacing w:val="-16"/>
        </w:rPr>
        <w:t>项为必选保险责任，</w:t>
      </w:r>
      <w:r>
        <w:rPr>
          <w:rFonts w:ascii="Calibri" w:eastAsia="Calibri"/>
          <w:spacing w:val="10"/>
        </w:rPr>
        <w:t>1</w:t>
      </w:r>
      <w:r>
        <w:rPr>
          <w:rFonts w:ascii="Calibri" w:eastAsia="Calibri"/>
          <w:spacing w:val="12"/>
        </w:rPr>
        <w:t>0</w:t>
      </w:r>
      <w:r>
        <w:rPr>
          <w:rFonts w:ascii="Calibri" w:eastAsia="Calibri"/>
          <w:spacing w:val="9"/>
        </w:rPr>
        <w:t>.</w:t>
      </w:r>
      <w:r>
        <w:rPr>
          <w:rFonts w:ascii="Calibri" w:eastAsia="Calibri"/>
          <w:spacing w:val="12"/>
        </w:rPr>
        <w:t>10</w:t>
      </w:r>
      <w:r>
        <w:rPr>
          <w:rFonts w:ascii="Calibri" w:eastAsia="Calibri"/>
          <w:spacing w:val="-4"/>
        </w:rPr>
        <w:t> </w:t>
      </w:r>
      <w:r>
        <w:rPr>
          <w:spacing w:val="-11"/>
        </w:rPr>
        <w:t>项至 </w:t>
      </w:r>
      <w:r>
        <w:rPr>
          <w:rFonts w:ascii="Calibri" w:eastAsia="Calibri"/>
          <w:spacing w:val="-6"/>
        </w:rPr>
        <w:t>10.11</w:t>
      </w:r>
      <w:r>
        <w:rPr>
          <w:rFonts w:ascii="Calibri" w:eastAsia="Calibri"/>
          <w:spacing w:val="13"/>
        </w:rPr>
        <w:t> </w:t>
      </w:r>
      <w:r>
        <w:rPr>
          <w:spacing w:val="-6"/>
        </w:rPr>
        <w:t>项为可选保险责任。</w:t>
      </w:r>
      <w:r>
        <w:rPr>
          <w:spacing w:val="-2"/>
        </w:rPr>
        <w:t>在本合同有效期内，我们根据您的选择承担相应的保险责任：</w:t>
      </w:r>
    </w:p>
    <w:p>
      <w:pPr>
        <w:pStyle w:val="BodyText"/>
        <w:ind w:left="540"/>
        <w:rPr>
          <w:rFonts w:ascii="黑体" w:eastAsia="黑体"/>
        </w:rPr>
      </w:pPr>
      <w:r>
        <w:rPr>
          <w:rFonts w:ascii="黑体" w:eastAsia="黑体"/>
          <w:spacing w:val="-4"/>
        </w:rPr>
        <w:t>必选责任</w:t>
      </w:r>
    </w:p>
    <w:p>
      <w:pPr>
        <w:pStyle w:val="BodyText"/>
        <w:spacing w:before="7"/>
        <w:rPr>
          <w:rFonts w:ascii="黑体"/>
          <w:sz w:val="15"/>
        </w:rPr>
      </w:pPr>
    </w:p>
    <w:p>
      <w:pPr>
        <w:pStyle w:val="ListParagraph"/>
        <w:numPr>
          <w:ilvl w:val="1"/>
          <w:numId w:val="2"/>
        </w:numPr>
        <w:tabs>
          <w:tab w:pos="1113" w:val="left" w:leader="none"/>
          <w:tab w:pos="1114" w:val="left" w:leader="none"/>
        </w:tabs>
        <w:spacing w:line="240" w:lineRule="auto" w:before="0" w:after="0"/>
        <w:ind w:left="1114" w:right="0" w:hanging="574"/>
        <w:jc w:val="left"/>
        <w:rPr>
          <w:sz w:val="21"/>
        </w:rPr>
      </w:pPr>
      <w:r>
        <w:rPr>
          <w:spacing w:val="-4"/>
          <w:sz w:val="21"/>
        </w:rPr>
        <w:t>重大疾病保险金</w:t>
      </w:r>
    </w:p>
    <w:p>
      <w:pPr>
        <w:pStyle w:val="BodyText"/>
        <w:spacing w:before="6"/>
        <w:rPr>
          <w:sz w:val="15"/>
        </w:rPr>
      </w:pPr>
    </w:p>
    <w:p>
      <w:pPr>
        <w:pStyle w:val="BodyText"/>
        <w:ind w:left="540"/>
      </w:pPr>
      <w:r>
        <w:rPr>
          <w:spacing w:val="-3"/>
        </w:rPr>
        <w:t>本项保险责任为必选保险责任。</w:t>
      </w:r>
    </w:p>
    <w:p>
      <w:pPr>
        <w:pStyle w:val="BodyText"/>
        <w:spacing w:before="7"/>
        <w:rPr>
          <w:sz w:val="15"/>
        </w:rPr>
      </w:pPr>
    </w:p>
    <w:p>
      <w:pPr>
        <w:pStyle w:val="BodyText"/>
        <w:spacing w:line="417" w:lineRule="auto"/>
        <w:ind w:left="120" w:right="313" w:firstLine="419"/>
        <w:jc w:val="both"/>
        <w:rPr>
          <w:rFonts w:ascii="黑体" w:eastAsia="黑体"/>
        </w:rPr>
      </w:pPr>
      <w:r>
        <w:rPr>
          <w:spacing w:val="-4"/>
        </w:rPr>
        <w:t>若被保险人于本合同生效（或最后一次复效）</w:t>
      </w:r>
      <w:r>
        <w:rPr>
          <w:spacing w:val="-9"/>
        </w:rPr>
        <w:t>之日起 </w:t>
      </w:r>
      <w:r>
        <w:rPr>
          <w:rFonts w:ascii="Calibri" w:eastAsia="Calibri"/>
          <w:spacing w:val="-4"/>
        </w:rPr>
        <w:t>180</w:t>
      </w:r>
      <w:r>
        <w:rPr>
          <w:rFonts w:ascii="Calibri" w:eastAsia="Calibri"/>
          <w:spacing w:val="-8"/>
        </w:rPr>
        <w:t> </w:t>
      </w:r>
      <w:r>
        <w:rPr>
          <w:spacing w:val="-4"/>
        </w:rPr>
        <w:t>日内（</w:t>
      </w:r>
      <w:r>
        <w:rPr>
          <w:spacing w:val="-10"/>
        </w:rPr>
        <w:t>含第 </w:t>
      </w:r>
      <w:r>
        <w:rPr>
          <w:rFonts w:ascii="Calibri" w:eastAsia="Calibri"/>
          <w:spacing w:val="-4"/>
        </w:rPr>
        <w:t>180</w:t>
      </w:r>
      <w:r>
        <w:rPr>
          <w:rFonts w:ascii="Calibri" w:eastAsia="Calibri"/>
          <w:spacing w:val="-8"/>
        </w:rPr>
        <w:t> </w:t>
      </w:r>
      <w:r>
        <w:rPr>
          <w:spacing w:val="-4"/>
        </w:rPr>
        <w:t>日）因</w:t>
      </w:r>
      <w:r>
        <w:rPr>
          <w:rFonts w:ascii="黑体" w:eastAsia="黑体" w:hint="eastAsia"/>
          <w:b/>
          <w:spacing w:val="-4"/>
        </w:rPr>
        <w:t>意外伤</w:t>
      </w:r>
      <w:r>
        <w:rPr>
          <w:rFonts w:ascii="黑体" w:eastAsia="黑体" w:hint="eastAsia"/>
          <w:b/>
          <w:spacing w:val="-2"/>
        </w:rPr>
        <w:t>害</w:t>
      </w:r>
      <w:r>
        <w:rPr>
          <w:spacing w:val="-2"/>
        </w:rPr>
        <w:t>（</w:t>
      </w:r>
      <w:r>
        <w:rPr>
          <w:spacing w:val="-8"/>
        </w:rPr>
        <w:t>释义 </w:t>
      </w:r>
      <w:r>
        <w:rPr>
          <w:rFonts w:ascii="Calibri" w:eastAsia="Calibri"/>
          <w:spacing w:val="-2"/>
        </w:rPr>
        <w:t>5</w:t>
      </w:r>
      <w:r>
        <w:rPr>
          <w:spacing w:val="-2"/>
        </w:rPr>
        <w:t>）以外的原因导致的，</w:t>
      </w:r>
      <w:r>
        <w:rPr>
          <w:rFonts w:ascii="黑体" w:eastAsia="黑体" w:hint="eastAsia"/>
          <w:b/>
          <w:spacing w:val="-2"/>
        </w:rPr>
        <w:t>首次发生</w:t>
      </w:r>
      <w:r>
        <w:rPr>
          <w:spacing w:val="-2"/>
        </w:rPr>
        <w:t>（</w:t>
      </w:r>
      <w:r>
        <w:rPr>
          <w:spacing w:val="-9"/>
        </w:rPr>
        <w:t>释义 </w:t>
      </w:r>
      <w:r>
        <w:rPr>
          <w:rFonts w:ascii="Calibri" w:eastAsia="Calibri"/>
          <w:spacing w:val="-2"/>
        </w:rPr>
        <w:t>6</w:t>
      </w:r>
      <w:r>
        <w:rPr>
          <w:spacing w:val="-2"/>
        </w:rPr>
        <w:t>）并由我们</w:t>
      </w:r>
      <w:r>
        <w:rPr>
          <w:rFonts w:ascii="黑体" w:eastAsia="黑体" w:hint="eastAsia"/>
          <w:b/>
          <w:spacing w:val="-2"/>
        </w:rPr>
        <w:t>认可医院</w:t>
      </w:r>
      <w:r>
        <w:rPr>
          <w:spacing w:val="-2"/>
        </w:rPr>
        <w:t>（</w:t>
      </w:r>
      <w:r>
        <w:rPr>
          <w:spacing w:val="-8"/>
        </w:rPr>
        <w:t>释义 </w:t>
      </w:r>
      <w:r>
        <w:rPr>
          <w:rFonts w:ascii="Calibri" w:eastAsia="Calibri"/>
          <w:spacing w:val="-2"/>
        </w:rPr>
        <w:t>7</w:t>
      </w:r>
      <w:r>
        <w:rPr>
          <w:spacing w:val="-2"/>
        </w:rPr>
        <w:t>）的</w:t>
      </w:r>
      <w:r>
        <w:rPr>
          <w:rFonts w:ascii="黑体" w:eastAsia="黑体" w:hint="eastAsia"/>
          <w:b/>
          <w:spacing w:val="-2"/>
        </w:rPr>
        <w:t>专科</w:t>
      </w:r>
      <w:r>
        <w:rPr>
          <w:rFonts w:ascii="黑体" w:eastAsia="黑体" w:hint="eastAsia"/>
          <w:b/>
          <w:spacing w:val="-2"/>
        </w:rPr>
        <w:t>医生</w:t>
      </w:r>
      <w:r>
        <w:rPr>
          <w:spacing w:val="-2"/>
        </w:rPr>
        <w:t>（</w:t>
      </w:r>
      <w:r>
        <w:rPr>
          <w:spacing w:val="-10"/>
        </w:rPr>
        <w:t>释义 </w:t>
      </w:r>
      <w:r>
        <w:rPr>
          <w:rFonts w:ascii="Calibri" w:eastAsia="Calibri"/>
          <w:spacing w:val="-2"/>
        </w:rPr>
        <w:t>8</w:t>
      </w:r>
      <w:r>
        <w:rPr>
          <w:spacing w:val="-2"/>
        </w:rPr>
        <w:t>）初次确诊为本合同所定义的重大疾病，</w:t>
      </w:r>
      <w:r>
        <w:rPr>
          <w:rFonts w:ascii="黑体" w:eastAsia="黑体"/>
          <w:spacing w:val="-2"/>
        </w:rPr>
        <w:t>我们按本合同累计所交保险费（释义 9）给付重大疾病保险金，同时本合同效力终止。</w:t>
      </w:r>
    </w:p>
    <w:p>
      <w:pPr>
        <w:pStyle w:val="BodyText"/>
        <w:ind w:left="540"/>
        <w:rPr>
          <w:rFonts w:ascii="黑体" w:eastAsia="黑体"/>
        </w:rPr>
      </w:pPr>
      <w:r>
        <w:rPr>
          <w:rFonts w:ascii="黑体" w:eastAsia="黑体"/>
          <w:spacing w:val="-3"/>
        </w:rPr>
        <w:t>本合同约定的每种重大疾病仅给付一次，重大疾病保险金的给付最多以两次为限。</w:t>
      </w:r>
    </w:p>
    <w:p>
      <w:pPr>
        <w:pStyle w:val="BodyText"/>
        <w:spacing w:before="7"/>
        <w:rPr>
          <w:rFonts w:ascii="黑体"/>
          <w:sz w:val="15"/>
        </w:rPr>
      </w:pPr>
    </w:p>
    <w:p>
      <w:pPr>
        <w:pStyle w:val="BodyText"/>
        <w:spacing w:line="417" w:lineRule="auto"/>
        <w:ind w:left="120" w:right="311" w:firstLine="419"/>
        <w:jc w:val="both"/>
        <w:rPr>
          <w:rFonts w:ascii="黑体" w:eastAsia="黑体"/>
        </w:rPr>
      </w:pPr>
      <w:r>
        <w:rPr>
          <w:rFonts w:ascii="黑体" w:eastAsia="黑体"/>
          <w:spacing w:val="-10"/>
        </w:rPr>
        <w:t>若被保险人因同一疾病原因、同次医疗行为或同次意外伤害事故导致首次发生并由我们</w:t>
      </w:r>
      <w:r>
        <w:rPr>
          <w:rFonts w:ascii="黑体" w:eastAsia="黑体"/>
          <w:spacing w:val="-5"/>
        </w:rPr>
        <w:t>认可医院的专科医生初次确诊为本合同所定义的两种或两种以上重大疾病，我们仅按一种重</w:t>
      </w:r>
      <w:r>
        <w:rPr>
          <w:rFonts w:ascii="黑体" w:eastAsia="黑体"/>
          <w:spacing w:val="-2"/>
        </w:rPr>
        <w:t>大疾病给付重大疾病保险金。</w:t>
      </w:r>
    </w:p>
    <w:p>
      <w:pPr>
        <w:pStyle w:val="ListParagraph"/>
        <w:numPr>
          <w:ilvl w:val="2"/>
          <w:numId w:val="2"/>
        </w:numPr>
        <w:tabs>
          <w:tab w:pos="1381" w:val="left" w:leader="none"/>
        </w:tabs>
        <w:spacing w:line="269" w:lineRule="exact" w:before="0" w:after="0"/>
        <w:ind w:left="1380" w:right="0" w:hanging="591"/>
        <w:jc w:val="left"/>
        <w:rPr>
          <w:sz w:val="21"/>
        </w:rPr>
      </w:pPr>
      <w:r>
        <w:rPr>
          <w:spacing w:val="-3"/>
          <w:sz w:val="21"/>
        </w:rPr>
        <w:t>首次重大疾病保险金</w:t>
      </w:r>
    </w:p>
    <w:p>
      <w:pPr>
        <w:pStyle w:val="BodyText"/>
        <w:spacing w:before="6"/>
        <w:rPr>
          <w:sz w:val="15"/>
        </w:rPr>
      </w:pPr>
    </w:p>
    <w:p>
      <w:pPr>
        <w:pStyle w:val="BodyText"/>
        <w:spacing w:line="417" w:lineRule="auto" w:before="1"/>
        <w:ind w:left="120" w:right="208" w:firstLine="419"/>
      </w:pPr>
      <w:r>
        <w:rPr/>
        <w:t>若被保险人因意外伤害，或者被保险人于本合同生效（或最后一次复效）</w:t>
      </w:r>
      <w:r>
        <w:rPr>
          <w:spacing w:val="10"/>
        </w:rPr>
        <w:t>之日起 </w:t>
      </w:r>
      <w:r>
        <w:rPr>
          <w:rFonts w:ascii="Calibri" w:eastAsia="Calibri"/>
        </w:rPr>
        <w:t>180</w:t>
      </w:r>
      <w:r>
        <w:rPr>
          <w:spacing w:val="-8"/>
        </w:rPr>
        <w:t>日后因意外伤害以外的原因导致的，首次发生并由我们认可医院的专科医生初次确诊为本合</w:t>
      </w:r>
      <w:r>
        <w:rPr>
          <w:spacing w:val="-12"/>
        </w:rPr>
        <w:t>同所定义的重大疾病，我们按本合同约定的基本保险金额的 </w:t>
      </w:r>
      <w:r>
        <w:rPr>
          <w:rFonts w:ascii="Calibri" w:eastAsia="Calibri"/>
        </w:rPr>
        <w:t>100%</w:t>
      </w:r>
      <w:r>
        <w:rPr/>
        <w:t>给付首次重大疾病保险金，</w:t>
      </w:r>
      <w:r>
        <w:rPr>
          <w:rFonts w:ascii="黑体" w:eastAsia="黑体"/>
          <w:spacing w:val="-9"/>
        </w:rPr>
        <w:t>同时本合同 </w:t>
      </w:r>
      <w:r>
        <w:rPr>
          <w:rFonts w:ascii="黑体" w:eastAsia="黑体"/>
        </w:rPr>
        <w:t>10.3</w:t>
      </w:r>
      <w:r>
        <w:rPr>
          <w:rFonts w:ascii="黑体" w:eastAsia="黑体"/>
          <w:spacing w:val="-8"/>
        </w:rPr>
        <w:t> 约定的中症疾病保险金、</w:t>
      </w:r>
      <w:r>
        <w:rPr>
          <w:rFonts w:ascii="黑体" w:eastAsia="黑体"/>
        </w:rPr>
        <w:t>10.4</w:t>
      </w:r>
      <w:r>
        <w:rPr>
          <w:rFonts w:ascii="黑体" w:eastAsia="黑体"/>
          <w:spacing w:val="-8"/>
        </w:rPr>
        <w:t> 约定的轻症疾病保险金、</w:t>
      </w:r>
      <w:r>
        <w:rPr>
          <w:rFonts w:ascii="黑体" w:eastAsia="黑体"/>
        </w:rPr>
        <w:t>10.6</w:t>
      </w:r>
      <w:r>
        <w:rPr>
          <w:rFonts w:ascii="黑体" w:eastAsia="黑体"/>
          <w:spacing w:val="-9"/>
        </w:rPr>
        <w:t> 约定的身故保</w:t>
      </w:r>
      <w:r>
        <w:rPr>
          <w:rFonts w:ascii="黑体" w:eastAsia="黑体"/>
        </w:rPr>
        <w:t>险金、10.7</w:t>
      </w:r>
      <w:r>
        <w:rPr>
          <w:rFonts w:ascii="黑体" w:eastAsia="黑体"/>
          <w:spacing w:val="-10"/>
        </w:rPr>
        <w:t> 约定的全残保险金和 </w:t>
      </w:r>
      <w:r>
        <w:rPr>
          <w:rFonts w:ascii="黑体" w:eastAsia="黑体"/>
        </w:rPr>
        <w:t>10.8</w:t>
      </w:r>
      <w:r>
        <w:rPr>
          <w:rFonts w:ascii="黑体" w:eastAsia="黑体"/>
          <w:spacing w:val="-7"/>
        </w:rPr>
        <w:t> 约定的疾病终末期保险金的保险责任终止，本合同</w:t>
      </w:r>
      <w:r>
        <w:rPr>
          <w:rFonts w:ascii="黑体" w:eastAsia="黑体" w:hint="eastAsia"/>
          <w:b/>
        </w:rPr>
        <w:t>现金价值</w:t>
      </w:r>
      <w:r>
        <w:rPr>
          <w:rFonts w:ascii="黑体" w:eastAsia="黑体"/>
        </w:rPr>
        <w:t>（</w:t>
      </w:r>
      <w:r>
        <w:rPr>
          <w:rFonts w:ascii="黑体" w:eastAsia="黑体"/>
          <w:spacing w:val="-15"/>
        </w:rPr>
        <w:t>释义 </w:t>
      </w:r>
      <w:r>
        <w:rPr>
          <w:rFonts w:ascii="黑体" w:eastAsia="黑体"/>
        </w:rPr>
        <w:t>10）降为零，</w:t>
      </w:r>
      <w:r>
        <w:rPr/>
        <w:t>本合同继续有效。</w:t>
      </w:r>
    </w:p>
    <w:p>
      <w:pPr>
        <w:pStyle w:val="ListParagraph"/>
        <w:numPr>
          <w:ilvl w:val="2"/>
          <w:numId w:val="2"/>
        </w:numPr>
        <w:tabs>
          <w:tab w:pos="1381" w:val="left" w:leader="none"/>
        </w:tabs>
        <w:spacing w:line="268" w:lineRule="exact" w:before="0" w:after="0"/>
        <w:ind w:left="1380" w:right="0" w:hanging="591"/>
        <w:jc w:val="left"/>
        <w:rPr>
          <w:sz w:val="21"/>
        </w:rPr>
      </w:pPr>
      <w:r>
        <w:rPr>
          <w:spacing w:val="-3"/>
          <w:sz w:val="21"/>
        </w:rPr>
        <w:t>第二次重大疾病保险金</w:t>
      </w:r>
    </w:p>
    <w:p>
      <w:pPr>
        <w:pStyle w:val="BodyText"/>
        <w:spacing w:before="6"/>
        <w:rPr>
          <w:sz w:val="15"/>
        </w:rPr>
      </w:pPr>
    </w:p>
    <w:p>
      <w:pPr>
        <w:pStyle w:val="BodyText"/>
        <w:spacing w:line="417" w:lineRule="auto"/>
        <w:ind w:left="120" w:right="311" w:firstLine="419"/>
        <w:jc w:val="both"/>
      </w:pPr>
      <w:r>
        <w:rPr>
          <w:spacing w:val="-4"/>
        </w:rPr>
        <w:t>若被保险人自首次重大疾病确诊之日起满 </w:t>
      </w:r>
      <w:r>
        <w:rPr>
          <w:rFonts w:ascii="Calibri" w:eastAsia="Calibri"/>
          <w:spacing w:val="-2"/>
        </w:rPr>
        <w:t>365</w:t>
      </w:r>
      <w:r>
        <w:rPr>
          <w:rFonts w:ascii="Calibri" w:eastAsia="Calibri"/>
          <w:spacing w:val="30"/>
        </w:rPr>
        <w:t> </w:t>
      </w:r>
      <w:r>
        <w:rPr>
          <w:spacing w:val="-13"/>
        </w:rPr>
        <w:t>日后，首次发生并由我们认可医院的专科</w:t>
      </w:r>
      <w:r>
        <w:rPr>
          <w:spacing w:val="-5"/>
        </w:rPr>
        <w:t>医生初次确诊为本合同所定义的除首次重大疾病以外的其他任何重大疾病，我们按本合同约</w:t>
      </w:r>
      <w:r>
        <w:rPr>
          <w:spacing w:val="-5"/>
        </w:rPr>
        <w:t>定的基本保险金额的 </w:t>
      </w:r>
      <w:r>
        <w:rPr>
          <w:rFonts w:ascii="Calibri" w:eastAsia="Calibri"/>
        </w:rPr>
        <w:t>120%</w:t>
      </w:r>
      <w:r>
        <w:rPr/>
        <w:t>给付第二次重大疾病保险金。</w:t>
      </w:r>
    </w:p>
    <w:p>
      <w:pPr>
        <w:pStyle w:val="BodyText"/>
        <w:spacing w:line="417" w:lineRule="auto"/>
        <w:ind w:left="120" w:right="311" w:firstLine="419"/>
        <w:jc w:val="both"/>
        <w:rPr>
          <w:rFonts w:ascii="黑体" w:hAnsi="黑体" w:eastAsia="黑体"/>
        </w:rPr>
      </w:pPr>
      <w:r>
        <w:rPr>
          <w:rFonts w:ascii="黑体" w:hAnsi="黑体" w:eastAsia="黑体"/>
        </w:rPr>
        <w:t>若您投保时未选择本合同可选责任“10.10 第二次“恶性肿瘤——重度”保险金”和 </w:t>
      </w:r>
      <w:r>
        <w:rPr>
          <w:rFonts w:ascii="黑体" w:hAnsi="黑体" w:eastAsia="黑体"/>
          <w:spacing w:val="-2"/>
        </w:rPr>
        <w:t>“10.11</w:t>
      </w:r>
      <w:r>
        <w:rPr>
          <w:rFonts w:ascii="黑体" w:hAnsi="黑体" w:eastAsia="黑体"/>
          <w:spacing w:val="-7"/>
        </w:rPr>
        <w:t> 第二次心脑血管特定疾病保险金”，我们在给付第二次重大疾病保险金后，本合同</w:t>
      </w:r>
      <w:r>
        <w:rPr>
          <w:rFonts w:ascii="黑体" w:hAnsi="黑体" w:eastAsia="黑体"/>
          <w:spacing w:val="-4"/>
        </w:rPr>
        <w:t>终止。</w:t>
      </w:r>
    </w:p>
    <w:p>
      <w:pPr>
        <w:pStyle w:val="BodyText"/>
        <w:spacing w:line="417" w:lineRule="auto"/>
        <w:ind w:left="120" w:right="311" w:firstLine="419"/>
        <w:jc w:val="both"/>
        <w:rPr>
          <w:rFonts w:ascii="黑体" w:hAnsi="黑体" w:eastAsia="黑体"/>
        </w:rPr>
      </w:pPr>
      <w:r>
        <w:rPr>
          <w:rFonts w:ascii="黑体" w:hAnsi="黑体" w:eastAsia="黑体"/>
        </w:rPr>
        <w:t>若您投保时选择了本合同可选责任“10.10 第二次“恶性肿瘤——重度”保险金”或 </w:t>
      </w:r>
      <w:r>
        <w:rPr>
          <w:rFonts w:ascii="黑体" w:hAnsi="黑体" w:eastAsia="黑体"/>
          <w:spacing w:val="-2"/>
        </w:rPr>
        <w:t>“10.11</w:t>
      </w:r>
      <w:r>
        <w:rPr>
          <w:rFonts w:ascii="黑体" w:hAnsi="黑体" w:eastAsia="黑体"/>
          <w:spacing w:val="-7"/>
        </w:rPr>
        <w:t> 第二次心脑血管特定疾病保险金”，我们给付第二次重大疾病保险金后，除可选责</w:t>
      </w:r>
      <w:r>
        <w:rPr>
          <w:rFonts w:ascii="黑体" w:hAnsi="黑体" w:eastAsia="黑体"/>
          <w:spacing w:val="-2"/>
        </w:rPr>
        <w:t>任外的其他保险责任终止。</w:t>
      </w:r>
    </w:p>
    <w:p>
      <w:pPr>
        <w:spacing w:after="0" w:line="417" w:lineRule="auto"/>
        <w:jc w:val="both"/>
        <w:rPr>
          <w:rFonts w:ascii="黑体" w:hAnsi="黑体" w:eastAsia="黑体"/>
        </w:rPr>
        <w:sectPr>
          <w:pgSz w:w="11910" w:h="16840"/>
          <w:pgMar w:header="0" w:footer="1005" w:top="1460" w:bottom="1200" w:left="1680" w:right="1480"/>
        </w:sectPr>
      </w:pPr>
    </w:p>
    <w:p>
      <w:pPr>
        <w:pStyle w:val="BodyText"/>
        <w:spacing w:line="417" w:lineRule="auto" w:before="61"/>
        <w:ind w:left="120" w:right="311" w:firstLine="419"/>
        <w:jc w:val="both"/>
        <w:rPr>
          <w:rFonts w:ascii="黑体" w:hAnsi="黑体" w:eastAsia="黑体"/>
        </w:rPr>
      </w:pPr>
      <w:r>
        <w:rPr>
          <w:rFonts w:ascii="黑体" w:hAnsi="黑体" w:eastAsia="黑体"/>
        </w:rPr>
        <w:t>若您投保时选择了本合同可选责任“10.10 第二次“恶性肿瘤——重度”保险金”或 </w:t>
      </w:r>
      <w:r>
        <w:rPr>
          <w:rFonts w:ascii="黑体" w:hAnsi="黑体" w:eastAsia="黑体"/>
          <w:spacing w:val="-2"/>
        </w:rPr>
        <w:t>“10.11</w:t>
      </w:r>
      <w:r>
        <w:rPr>
          <w:rFonts w:ascii="黑体" w:hAnsi="黑体" w:eastAsia="黑体"/>
          <w:spacing w:val="-7"/>
        </w:rPr>
        <w:t> 第二次心脑血管特定疾病保险金”，且前两次确诊的重大疾病均为本合同所定义的</w:t>
      </w:r>
      <w:r>
        <w:rPr>
          <w:rFonts w:ascii="黑体" w:hAnsi="黑体" w:eastAsia="黑体"/>
          <w:spacing w:val="-4"/>
        </w:rPr>
        <w:t>除“恶性肿瘤——重度”和“心脑血管特定疾病”以外的其他任何重大疾病，我们在给付第</w:t>
      </w:r>
      <w:r>
        <w:rPr>
          <w:rFonts w:ascii="黑体" w:hAnsi="黑体" w:eastAsia="黑体"/>
          <w:spacing w:val="-2"/>
        </w:rPr>
        <w:t>二次重大疾病保险金后，本合同终止。</w:t>
      </w:r>
    </w:p>
    <w:p>
      <w:pPr>
        <w:pStyle w:val="ListParagraph"/>
        <w:numPr>
          <w:ilvl w:val="1"/>
          <w:numId w:val="2"/>
        </w:numPr>
        <w:tabs>
          <w:tab w:pos="1114" w:val="left" w:leader="none"/>
        </w:tabs>
        <w:spacing w:line="417" w:lineRule="auto" w:before="0" w:after="0"/>
        <w:ind w:left="540" w:right="5258" w:firstLine="0"/>
        <w:jc w:val="both"/>
        <w:rPr>
          <w:sz w:val="21"/>
        </w:rPr>
      </w:pPr>
      <w:r>
        <w:rPr>
          <w:spacing w:val="-2"/>
          <w:sz w:val="21"/>
        </w:rPr>
        <w:t>首次重大疾病额外保险金</w:t>
      </w:r>
      <w:r>
        <w:rPr>
          <w:spacing w:val="-3"/>
          <w:sz w:val="21"/>
        </w:rPr>
        <w:t>本项保险责任为必选保险责任。</w:t>
      </w:r>
    </w:p>
    <w:p>
      <w:pPr>
        <w:pStyle w:val="BodyText"/>
        <w:spacing w:line="417" w:lineRule="auto"/>
        <w:ind w:left="120" w:right="311" w:firstLine="419"/>
        <w:jc w:val="both"/>
        <w:rPr>
          <w:rFonts w:ascii="黑体" w:eastAsia="黑体"/>
        </w:rPr>
      </w:pPr>
      <w:r>
        <w:rPr/>
        <w:t>若被保险人因意外伤害，或者被保险人于本合同生效（或最后一次复效）之日起 </w:t>
      </w:r>
      <w:r>
        <w:rPr>
          <w:rFonts w:ascii="Calibri" w:eastAsia="Calibri"/>
        </w:rPr>
        <w:t>180</w:t>
      </w:r>
      <w:r>
        <w:rPr>
          <w:spacing w:val="-8"/>
        </w:rPr>
        <w:t>日后因意外伤害以外的原因导致的，首次发生并由我们认可医院的专科医生初次确诊为本合</w:t>
      </w:r>
      <w:r>
        <w:rPr>
          <w:spacing w:val="-1"/>
        </w:rPr>
        <w:t>同所定义的重大疾病，且首次确诊重大疾病时被保险人年龄在 </w:t>
      </w:r>
      <w:r>
        <w:rPr>
          <w:rFonts w:ascii="Calibri" w:eastAsia="Calibri"/>
        </w:rPr>
        <w:t>50</w:t>
      </w:r>
      <w:r>
        <w:rPr>
          <w:rFonts w:ascii="Calibri" w:eastAsia="Calibri"/>
          <w:spacing w:val="-12"/>
        </w:rPr>
        <w:t> </w:t>
      </w:r>
      <w:r>
        <w:rPr/>
        <w:t>周岁及以下，我们在给付</w:t>
      </w:r>
      <w:r>
        <w:rPr>
          <w:spacing w:val="-9"/>
        </w:rPr>
        <w:t>首次重大疾病保险金的同时，还将按本合同约定的基本保险金额的 </w:t>
      </w:r>
      <w:r>
        <w:rPr>
          <w:rFonts w:ascii="Calibri" w:eastAsia="Calibri"/>
          <w:spacing w:val="-2"/>
        </w:rPr>
        <w:t>50%</w:t>
      </w:r>
      <w:r>
        <w:rPr>
          <w:spacing w:val="-2"/>
        </w:rPr>
        <w:t>给付首次重大疾病额</w:t>
      </w:r>
      <w:r>
        <w:rPr>
          <w:spacing w:val="-2"/>
        </w:rPr>
        <w:t>外保险金，</w:t>
      </w:r>
      <w:r>
        <w:rPr>
          <w:rFonts w:ascii="黑体" w:eastAsia="黑体"/>
          <w:spacing w:val="-2"/>
        </w:rPr>
        <w:t>给付后本项保险责任终止。</w:t>
      </w:r>
    </w:p>
    <w:p>
      <w:pPr>
        <w:pStyle w:val="ListParagraph"/>
        <w:numPr>
          <w:ilvl w:val="1"/>
          <w:numId w:val="2"/>
        </w:numPr>
        <w:tabs>
          <w:tab w:pos="1114" w:val="left" w:leader="none"/>
        </w:tabs>
        <w:spacing w:line="269" w:lineRule="exact" w:before="0" w:after="0"/>
        <w:ind w:left="1114" w:right="0" w:hanging="574"/>
        <w:jc w:val="both"/>
        <w:rPr>
          <w:sz w:val="21"/>
        </w:rPr>
      </w:pPr>
      <w:r>
        <w:rPr>
          <w:spacing w:val="-4"/>
          <w:sz w:val="21"/>
        </w:rPr>
        <w:t>中症疾病保险金</w:t>
      </w:r>
    </w:p>
    <w:p>
      <w:pPr>
        <w:pStyle w:val="BodyText"/>
        <w:spacing w:before="6"/>
        <w:rPr>
          <w:sz w:val="15"/>
        </w:rPr>
      </w:pPr>
    </w:p>
    <w:p>
      <w:pPr>
        <w:pStyle w:val="BodyText"/>
        <w:ind w:left="540"/>
      </w:pPr>
      <w:r>
        <w:rPr>
          <w:spacing w:val="-3"/>
        </w:rPr>
        <w:t>本项保险责任为必选保险责任。</w:t>
      </w:r>
    </w:p>
    <w:p>
      <w:pPr>
        <w:pStyle w:val="BodyText"/>
        <w:spacing w:before="7"/>
        <w:rPr>
          <w:sz w:val="15"/>
        </w:rPr>
      </w:pPr>
    </w:p>
    <w:p>
      <w:pPr>
        <w:pStyle w:val="BodyText"/>
        <w:spacing w:line="417" w:lineRule="auto"/>
        <w:ind w:left="120" w:right="311" w:firstLine="419"/>
        <w:jc w:val="both"/>
        <w:rPr>
          <w:rFonts w:ascii="黑体" w:eastAsia="黑体"/>
        </w:rPr>
      </w:pPr>
      <w:r>
        <w:rPr>
          <w:rFonts w:ascii="黑体" w:eastAsia="黑体"/>
          <w:w w:val="95"/>
        </w:rPr>
        <w:t>若</w:t>
      </w:r>
      <w:r>
        <w:rPr>
          <w:rFonts w:ascii="黑体" w:eastAsia="黑体"/>
          <w:w w:val="95"/>
        </w:rPr>
        <w:t>被</w:t>
      </w:r>
      <w:r>
        <w:rPr>
          <w:rFonts w:ascii="黑体" w:eastAsia="黑体"/>
          <w:w w:val="95"/>
        </w:rPr>
        <w:t>保险人于本合同生效（</w:t>
      </w:r>
      <w:r>
        <w:rPr>
          <w:rFonts w:ascii="黑体" w:eastAsia="黑体"/>
          <w:w w:val="95"/>
        </w:rPr>
        <w:t>或</w:t>
      </w:r>
      <w:r>
        <w:rPr>
          <w:rFonts w:ascii="黑体" w:eastAsia="黑体"/>
          <w:w w:val="95"/>
        </w:rPr>
        <w:t>最后一次复效）之日起 180 日内（含第 180 日）因意</w:t>
      </w:r>
      <w:r>
        <w:rPr>
          <w:rFonts w:ascii="黑体" w:eastAsia="黑体"/>
          <w:w w:val="95"/>
        </w:rPr>
        <w:t>外</w:t>
      </w:r>
      <w:r>
        <w:rPr>
          <w:rFonts w:ascii="黑体" w:eastAsia="黑体"/>
          <w:w w:val="95"/>
        </w:rPr>
        <w:t>伤</w:t>
      </w:r>
      <w:r>
        <w:rPr>
          <w:rFonts w:ascii="黑体" w:eastAsia="黑体"/>
          <w:spacing w:val="-12"/>
        </w:rPr>
        <w:t>害以外的原因导致的，首次发生并由我们认可医院的专科医生初次确诊为本合同所定义的中</w:t>
      </w:r>
      <w:r>
        <w:rPr>
          <w:rFonts w:ascii="黑体" w:eastAsia="黑体"/>
          <w:spacing w:val="-2"/>
        </w:rPr>
        <w:t>症疾病，我们不承担给付中症疾病保险金的责任。</w:t>
      </w:r>
    </w:p>
    <w:p>
      <w:pPr>
        <w:pStyle w:val="BodyText"/>
        <w:spacing w:line="417" w:lineRule="auto"/>
        <w:ind w:left="120" w:right="311" w:firstLine="419"/>
        <w:jc w:val="both"/>
        <w:rPr>
          <w:rFonts w:ascii="黑体" w:eastAsia="黑体"/>
        </w:rPr>
      </w:pPr>
      <w:r>
        <w:rPr/>
        <w:t>若被保险人因意外伤害，或者被保险人于本合同生效（或最后一次复效）之日起 </w:t>
      </w:r>
      <w:r>
        <w:rPr>
          <w:rFonts w:ascii="Calibri" w:eastAsia="Calibri"/>
        </w:rPr>
        <w:t>180</w:t>
      </w:r>
      <w:r>
        <w:rPr>
          <w:spacing w:val="-8"/>
        </w:rPr>
        <w:t>日后因意外伤害以外的原因导致的，首次发生并由我们认可医院的专科医生初次确诊为本合</w:t>
      </w:r>
      <w:r>
        <w:rPr>
          <w:spacing w:val="-2"/>
        </w:rPr>
        <w:t>同所定义的中症疾病，</w:t>
      </w:r>
      <w:r>
        <w:rPr>
          <w:rFonts w:ascii="黑体" w:eastAsia="黑体"/>
          <w:spacing w:val="-4"/>
        </w:rPr>
        <w:t>我们按本合同约定的基本保险金额的 </w:t>
      </w:r>
      <w:r>
        <w:rPr>
          <w:rFonts w:ascii="黑体" w:eastAsia="黑体"/>
          <w:spacing w:val="-2"/>
        </w:rPr>
        <w:t>60%给付中症疾病保险金，同时</w:t>
      </w:r>
      <w:r>
        <w:rPr>
          <w:rFonts w:ascii="黑体" w:eastAsia="黑体"/>
          <w:spacing w:val="-2"/>
        </w:rPr>
        <w:t>该种中症疾病的保险责任终止。</w:t>
      </w:r>
    </w:p>
    <w:p>
      <w:pPr>
        <w:pStyle w:val="BodyText"/>
        <w:spacing w:line="417" w:lineRule="auto"/>
        <w:ind w:left="120" w:right="311" w:firstLine="419"/>
        <w:rPr>
          <w:rFonts w:ascii="黑体" w:eastAsia="黑体"/>
        </w:rPr>
      </w:pPr>
      <w:r>
        <w:rPr>
          <w:rFonts w:ascii="黑体" w:eastAsia="黑体"/>
          <w:spacing w:val="-5"/>
        </w:rPr>
        <w:t>本合同约定的每种中症疾病仅给付一次，中症疾病保险金给付次数以两次为限，当中症</w:t>
      </w:r>
      <w:r>
        <w:rPr>
          <w:rFonts w:ascii="黑体" w:eastAsia="黑体"/>
          <w:spacing w:val="-2"/>
        </w:rPr>
        <w:t>疾病保险金累计给付达到两次后，本项保险责任效力终止。</w:t>
      </w:r>
    </w:p>
    <w:p>
      <w:pPr>
        <w:pStyle w:val="BodyText"/>
        <w:spacing w:line="417" w:lineRule="auto"/>
        <w:ind w:left="120" w:right="311" w:firstLine="419"/>
        <w:jc w:val="both"/>
        <w:rPr>
          <w:rFonts w:ascii="黑体" w:eastAsia="黑体"/>
        </w:rPr>
      </w:pPr>
      <w:r>
        <w:rPr>
          <w:rFonts w:ascii="黑体" w:eastAsia="黑体"/>
          <w:spacing w:val="-10"/>
        </w:rPr>
        <w:t>若被保险人因同一疾病原因、同次医疗行为或同次意外伤害事故导致首次发生并由我们</w:t>
      </w:r>
      <w:r>
        <w:rPr>
          <w:rFonts w:ascii="黑体" w:eastAsia="黑体"/>
          <w:spacing w:val="-5"/>
        </w:rPr>
        <w:t>认可医院的专科医生初次确诊为本合同所定义的两种或两种以上中症疾病，我们仅按一种中</w:t>
      </w:r>
      <w:r>
        <w:rPr>
          <w:rFonts w:ascii="黑体" w:eastAsia="黑体"/>
          <w:spacing w:val="-2"/>
        </w:rPr>
        <w:t>症疾病给付中症疾病保险金。</w:t>
      </w:r>
    </w:p>
    <w:p>
      <w:pPr>
        <w:pStyle w:val="BodyText"/>
        <w:spacing w:line="417" w:lineRule="auto"/>
        <w:ind w:left="120" w:right="311" w:firstLine="419"/>
        <w:jc w:val="both"/>
        <w:rPr>
          <w:rFonts w:ascii="黑体" w:eastAsia="黑体"/>
        </w:rPr>
      </w:pPr>
      <w:r>
        <w:rPr>
          <w:rFonts w:ascii="黑体" w:eastAsia="黑体"/>
          <w:spacing w:val="-8"/>
        </w:rPr>
        <w:t>对于被保险人因同一疾病原因、同次医疗行为或同次意外伤害导致的，同时符合本合同</w:t>
      </w:r>
      <w:r>
        <w:rPr>
          <w:rFonts w:ascii="黑体" w:eastAsia="黑体"/>
          <w:spacing w:val="-4"/>
        </w:rPr>
        <w:t>中症疾病保险金和本合同重大疾病保险金给付条件的，我们仅给付重大疾病保险金，不再给</w:t>
      </w:r>
      <w:r>
        <w:rPr>
          <w:rFonts w:ascii="黑体" w:eastAsia="黑体"/>
          <w:spacing w:val="-2"/>
        </w:rPr>
        <w:t>付中症疾病保险金。</w:t>
      </w:r>
    </w:p>
    <w:p>
      <w:pPr>
        <w:pStyle w:val="ListParagraph"/>
        <w:numPr>
          <w:ilvl w:val="1"/>
          <w:numId w:val="2"/>
        </w:numPr>
        <w:tabs>
          <w:tab w:pos="1114" w:val="left" w:leader="none"/>
        </w:tabs>
        <w:spacing w:line="268" w:lineRule="exact" w:before="0" w:after="0"/>
        <w:ind w:left="1114" w:right="0" w:hanging="574"/>
        <w:jc w:val="both"/>
        <w:rPr>
          <w:sz w:val="21"/>
        </w:rPr>
      </w:pPr>
      <w:r>
        <w:rPr>
          <w:spacing w:val="-4"/>
          <w:sz w:val="21"/>
        </w:rPr>
        <w:t>轻症疾病保险金</w:t>
      </w:r>
    </w:p>
    <w:p>
      <w:pPr>
        <w:pStyle w:val="BodyText"/>
        <w:spacing w:before="198"/>
        <w:ind w:left="540"/>
      </w:pPr>
      <w:r>
        <w:rPr>
          <w:spacing w:val="-3"/>
        </w:rPr>
        <w:t>本项保险责任为必选保险责任。</w:t>
      </w:r>
    </w:p>
    <w:p>
      <w:pPr>
        <w:spacing w:after="0"/>
        <w:sectPr>
          <w:pgSz w:w="11910" w:h="16840"/>
          <w:pgMar w:header="0" w:footer="1005" w:top="1460" w:bottom="1200" w:left="1680" w:right="1480"/>
        </w:sectPr>
      </w:pPr>
    </w:p>
    <w:p>
      <w:pPr>
        <w:pStyle w:val="BodyText"/>
        <w:spacing w:line="417" w:lineRule="auto" w:before="61"/>
        <w:ind w:left="120" w:right="311" w:firstLine="419"/>
        <w:jc w:val="both"/>
      </w:pPr>
      <w:r>
        <w:rPr>
          <w:rFonts w:ascii="黑体" w:eastAsia="黑体"/>
          <w:w w:val="95"/>
        </w:rPr>
        <w:t>若</w:t>
      </w:r>
      <w:r>
        <w:rPr>
          <w:rFonts w:ascii="黑体" w:eastAsia="黑体"/>
          <w:w w:val="95"/>
        </w:rPr>
        <w:t>被</w:t>
      </w:r>
      <w:r>
        <w:rPr>
          <w:rFonts w:ascii="黑体" w:eastAsia="黑体"/>
          <w:w w:val="95"/>
        </w:rPr>
        <w:t>保险人于本合同生效（</w:t>
      </w:r>
      <w:r>
        <w:rPr>
          <w:rFonts w:ascii="黑体" w:eastAsia="黑体"/>
          <w:w w:val="95"/>
        </w:rPr>
        <w:t>或</w:t>
      </w:r>
      <w:r>
        <w:rPr>
          <w:rFonts w:ascii="黑体" w:eastAsia="黑体"/>
          <w:w w:val="95"/>
        </w:rPr>
        <w:t>最后一次复效）之日起 180 日内（含第 180 日）因意</w:t>
      </w:r>
      <w:r>
        <w:rPr>
          <w:rFonts w:ascii="黑体" w:eastAsia="黑体"/>
          <w:w w:val="95"/>
        </w:rPr>
        <w:t>外</w:t>
      </w:r>
      <w:r>
        <w:rPr>
          <w:rFonts w:ascii="黑体" w:eastAsia="黑体"/>
          <w:w w:val="95"/>
        </w:rPr>
        <w:t>伤</w:t>
      </w:r>
      <w:r>
        <w:rPr>
          <w:rFonts w:ascii="黑体" w:eastAsia="黑体"/>
          <w:spacing w:val="-12"/>
        </w:rPr>
        <w:t>害以外的原因导致的，首次发生并由我们认可医院的专科医生初次确诊为本合同所定义的轻</w:t>
      </w:r>
      <w:r>
        <w:rPr>
          <w:rFonts w:ascii="黑体" w:eastAsia="黑体"/>
          <w:spacing w:val="-2"/>
        </w:rPr>
        <w:t>症疾病，我们不承担给付轻症疾病保险金的责任</w:t>
      </w:r>
      <w:r>
        <w:rPr>
          <w:spacing w:val="-2"/>
        </w:rPr>
        <w:t>。</w:t>
      </w:r>
    </w:p>
    <w:p>
      <w:pPr>
        <w:pStyle w:val="BodyText"/>
        <w:spacing w:line="417" w:lineRule="auto"/>
        <w:ind w:left="120" w:right="311" w:firstLine="419"/>
        <w:jc w:val="both"/>
        <w:rPr>
          <w:rFonts w:ascii="黑体" w:eastAsia="黑体"/>
        </w:rPr>
      </w:pPr>
      <w:r>
        <w:rPr/>
        <w:t>若被保险人因意外伤害，或者被保险人于本合同生效（或最后一次复效）之日起 </w:t>
      </w:r>
      <w:r>
        <w:rPr>
          <w:rFonts w:ascii="Calibri" w:eastAsia="Calibri"/>
        </w:rPr>
        <w:t>180</w:t>
      </w:r>
      <w:r>
        <w:rPr>
          <w:spacing w:val="-8"/>
        </w:rPr>
        <w:t>日后因意外伤害以外的原因导致的，首次发生并由我们认可医院的专科医生初次确诊为本合</w:t>
      </w:r>
      <w:r>
        <w:rPr>
          <w:spacing w:val="-2"/>
        </w:rPr>
        <w:t>同所定义的轻症疾病，</w:t>
      </w:r>
      <w:r>
        <w:rPr>
          <w:rFonts w:ascii="黑体" w:eastAsia="黑体"/>
          <w:spacing w:val="-4"/>
        </w:rPr>
        <w:t>我们按本合同约定的基本保险金额的 </w:t>
      </w:r>
      <w:r>
        <w:rPr>
          <w:rFonts w:ascii="黑体" w:eastAsia="黑体"/>
          <w:spacing w:val="-2"/>
        </w:rPr>
        <w:t>30%给付轻症疾病保险金，同时</w:t>
      </w:r>
      <w:r>
        <w:rPr>
          <w:rFonts w:ascii="黑体" w:eastAsia="黑体"/>
          <w:spacing w:val="-2"/>
        </w:rPr>
        <w:t>该种轻症疾病的保险责任终止。</w:t>
      </w:r>
    </w:p>
    <w:p>
      <w:pPr>
        <w:pStyle w:val="BodyText"/>
        <w:spacing w:line="417" w:lineRule="auto"/>
        <w:ind w:left="120" w:right="311" w:firstLine="419"/>
        <w:rPr>
          <w:rFonts w:ascii="黑体" w:eastAsia="黑体"/>
        </w:rPr>
      </w:pPr>
      <w:r>
        <w:rPr>
          <w:rFonts w:ascii="黑体" w:eastAsia="黑体"/>
          <w:spacing w:val="-5"/>
        </w:rPr>
        <w:t>本合同约定的每种轻症疾病仅给付一次，轻症疾病保险金给付次数以三次为限，当轻症</w:t>
      </w:r>
      <w:r>
        <w:rPr>
          <w:rFonts w:ascii="黑体" w:eastAsia="黑体"/>
          <w:spacing w:val="-2"/>
        </w:rPr>
        <w:t>疾病保险金累计给付达到三次后，本项保险责任效力终止。</w:t>
      </w:r>
    </w:p>
    <w:p>
      <w:pPr>
        <w:pStyle w:val="BodyText"/>
        <w:spacing w:line="417" w:lineRule="auto"/>
        <w:ind w:left="120" w:right="311" w:firstLine="419"/>
        <w:jc w:val="both"/>
        <w:rPr>
          <w:rFonts w:ascii="黑体" w:eastAsia="黑体"/>
        </w:rPr>
      </w:pPr>
      <w:r>
        <w:rPr>
          <w:rFonts w:ascii="黑体" w:eastAsia="黑体"/>
          <w:spacing w:val="-10"/>
        </w:rPr>
        <w:t>若被保险人因同一疾病原因、同次医疗行为或同次意外伤害事故导致首次发生并由我们</w:t>
      </w:r>
      <w:r>
        <w:rPr>
          <w:rFonts w:ascii="黑体" w:eastAsia="黑体"/>
          <w:spacing w:val="-5"/>
        </w:rPr>
        <w:t>认可医院的专科医生初次确诊为本合同所定义的两种或两种以上轻症疾病，我们仅按一种轻</w:t>
      </w:r>
      <w:r>
        <w:rPr>
          <w:rFonts w:ascii="黑体" w:eastAsia="黑体"/>
          <w:spacing w:val="-2"/>
        </w:rPr>
        <w:t>症疾病给付轻症疾病保险金。</w:t>
      </w:r>
    </w:p>
    <w:p>
      <w:pPr>
        <w:pStyle w:val="BodyText"/>
        <w:spacing w:line="417" w:lineRule="auto"/>
        <w:ind w:left="120" w:right="311" w:firstLine="419"/>
        <w:jc w:val="both"/>
        <w:rPr>
          <w:rFonts w:ascii="黑体" w:eastAsia="黑体"/>
        </w:rPr>
      </w:pPr>
      <w:r>
        <w:rPr>
          <w:rFonts w:ascii="黑体" w:eastAsia="黑体"/>
          <w:spacing w:val="-8"/>
        </w:rPr>
        <w:t>对于被保险人因同一疾病原因、同次医疗行为或同次意外伤害导致的，同时符合本合同</w:t>
      </w:r>
      <w:r>
        <w:rPr>
          <w:rFonts w:ascii="黑体" w:eastAsia="黑体"/>
          <w:spacing w:val="-4"/>
        </w:rPr>
        <w:t>轻症疾病保险金和本合同重大疾病保险金给付条件的，我们仅给付重大疾病保险金，不再给</w:t>
      </w:r>
      <w:r>
        <w:rPr>
          <w:rFonts w:ascii="黑体" w:eastAsia="黑体"/>
          <w:spacing w:val="-2"/>
        </w:rPr>
        <w:t>付轻症疾病保险金。</w:t>
      </w:r>
    </w:p>
    <w:p>
      <w:pPr>
        <w:pStyle w:val="BodyText"/>
        <w:spacing w:line="417" w:lineRule="auto"/>
        <w:ind w:left="120" w:right="311" w:firstLine="419"/>
        <w:jc w:val="both"/>
        <w:rPr>
          <w:rFonts w:ascii="黑体" w:eastAsia="黑体"/>
        </w:rPr>
      </w:pPr>
      <w:r>
        <w:rPr>
          <w:rFonts w:ascii="黑体" w:eastAsia="黑体"/>
          <w:spacing w:val="-8"/>
        </w:rPr>
        <w:t>对于被保险人因同一疾病原因、同次医疗行为或同次意外伤害导致的，同时符合本合同</w:t>
      </w:r>
      <w:r>
        <w:rPr>
          <w:rFonts w:ascii="黑体" w:eastAsia="黑体"/>
          <w:spacing w:val="-4"/>
        </w:rPr>
        <w:t>轻症疾病保险金和本合同中症疾病保险金给付条件的，我们仅给付中症疾病保险金，不再给</w:t>
      </w:r>
      <w:r>
        <w:rPr>
          <w:rFonts w:ascii="黑体" w:eastAsia="黑体"/>
          <w:spacing w:val="-2"/>
        </w:rPr>
        <w:t>付轻症疾病保险金。</w:t>
      </w:r>
    </w:p>
    <w:p>
      <w:pPr>
        <w:pStyle w:val="ListParagraph"/>
        <w:numPr>
          <w:ilvl w:val="1"/>
          <w:numId w:val="2"/>
        </w:numPr>
        <w:tabs>
          <w:tab w:pos="1113" w:val="left" w:leader="none"/>
          <w:tab w:pos="1114" w:val="left" w:leader="none"/>
        </w:tabs>
        <w:spacing w:line="417" w:lineRule="auto" w:before="0" w:after="0"/>
        <w:ind w:left="540" w:right="5259" w:firstLine="0"/>
        <w:jc w:val="left"/>
        <w:rPr>
          <w:sz w:val="21"/>
        </w:rPr>
      </w:pPr>
      <w:r>
        <w:rPr>
          <w:spacing w:val="-2"/>
          <w:sz w:val="21"/>
        </w:rPr>
        <w:t>少儿特定疾病额外保险金</w:t>
      </w:r>
      <w:r>
        <w:rPr>
          <w:spacing w:val="-3"/>
          <w:sz w:val="21"/>
        </w:rPr>
        <w:t>本项保险责任为必选保险责任。</w:t>
      </w:r>
    </w:p>
    <w:p>
      <w:pPr>
        <w:pStyle w:val="BodyText"/>
        <w:spacing w:line="417" w:lineRule="auto"/>
        <w:ind w:left="120" w:right="208" w:firstLine="419"/>
        <w:rPr>
          <w:rFonts w:ascii="黑体" w:eastAsia="黑体"/>
        </w:rPr>
      </w:pPr>
      <w:r>
        <w:rPr/>
        <w:t>若被保险人因意外伤害，或者被保险人于本合同生效（或最后一次复效）</w:t>
      </w:r>
      <w:r>
        <w:rPr>
          <w:spacing w:val="10"/>
        </w:rPr>
        <w:t>之日起 </w:t>
      </w:r>
      <w:r>
        <w:rPr>
          <w:rFonts w:ascii="Calibri" w:eastAsia="Calibri"/>
        </w:rPr>
        <w:t>180</w:t>
      </w:r>
      <w:r>
        <w:rPr>
          <w:spacing w:val="-8"/>
        </w:rPr>
        <w:t>日后因意外伤害以外的原因导致的，首次发生并由我们认可医院的专科医生初次确诊为本合</w:t>
      </w:r>
      <w:r>
        <w:rPr>
          <w:spacing w:val="-2"/>
        </w:rPr>
        <w:t>同所定义的少儿特定疾病，且我们针对该疾病按本合同约定给付重大疾病保险金的，若首次</w:t>
      </w:r>
      <w:r>
        <w:rPr>
          <w:spacing w:val="-1"/>
        </w:rPr>
        <w:t>确诊该种少儿特定疾病时被保险人未满 </w:t>
      </w:r>
      <w:r>
        <w:rPr>
          <w:rFonts w:ascii="Calibri" w:eastAsia="Calibri"/>
        </w:rPr>
        <w:t>18 </w:t>
      </w:r>
      <w:r>
        <w:rPr/>
        <w:t>周岁，我们在给付重大疾病保险金的同时，额外</w:t>
      </w:r>
      <w:r>
        <w:rPr>
          <w:spacing w:val="-2"/>
        </w:rPr>
        <w:t>按本合同约定的基本保险金额给付少儿特定疾病额外保险金，</w:t>
      </w:r>
      <w:r>
        <w:rPr>
          <w:rFonts w:ascii="黑体" w:eastAsia="黑体"/>
          <w:spacing w:val="-2"/>
        </w:rPr>
        <w:t>同时本项保险责任效力终止。</w:t>
      </w:r>
      <w:r>
        <w:rPr>
          <w:rFonts w:ascii="黑体" w:eastAsia="黑体"/>
          <w:spacing w:val="-2"/>
        </w:rPr>
        <w:t>本合同少儿特定疾病额外保险金的给付次数以一次为限。</w:t>
      </w:r>
    </w:p>
    <w:p>
      <w:pPr>
        <w:pStyle w:val="ListParagraph"/>
        <w:numPr>
          <w:ilvl w:val="1"/>
          <w:numId w:val="2"/>
        </w:numPr>
        <w:tabs>
          <w:tab w:pos="1113" w:val="left" w:leader="none"/>
          <w:tab w:pos="1114" w:val="left" w:leader="none"/>
        </w:tabs>
        <w:spacing w:line="269" w:lineRule="exact" w:before="0" w:after="0"/>
        <w:ind w:left="1114" w:right="0" w:hanging="574"/>
        <w:jc w:val="left"/>
        <w:rPr>
          <w:sz w:val="21"/>
        </w:rPr>
      </w:pPr>
      <w:r>
        <w:rPr>
          <w:spacing w:val="-4"/>
          <w:sz w:val="21"/>
        </w:rPr>
        <w:t>身故保险金</w:t>
      </w:r>
    </w:p>
    <w:p>
      <w:pPr>
        <w:pStyle w:val="BodyText"/>
        <w:spacing w:before="197"/>
        <w:ind w:left="540"/>
      </w:pPr>
      <w:r>
        <w:rPr>
          <w:spacing w:val="-3"/>
        </w:rPr>
        <w:t>本项保险责任为必选保险责任。</w:t>
      </w:r>
    </w:p>
    <w:p>
      <w:pPr>
        <w:pStyle w:val="BodyText"/>
        <w:spacing w:before="6"/>
        <w:rPr>
          <w:sz w:val="15"/>
        </w:rPr>
      </w:pPr>
    </w:p>
    <w:p>
      <w:pPr>
        <w:pStyle w:val="BodyText"/>
        <w:spacing w:line="417" w:lineRule="auto" w:before="1"/>
        <w:ind w:left="120" w:right="311" w:firstLine="419"/>
        <w:rPr>
          <w:rFonts w:ascii="黑体" w:eastAsia="黑体"/>
        </w:rPr>
      </w:pPr>
      <w:r>
        <w:rPr>
          <w:spacing w:val="-2"/>
        </w:rPr>
        <w:t>若被保险人于本合同生效（或最后一次复效）</w:t>
      </w:r>
      <w:r>
        <w:rPr>
          <w:spacing w:val="-15"/>
        </w:rPr>
        <w:t>之日起 </w:t>
      </w:r>
      <w:r>
        <w:rPr>
          <w:rFonts w:ascii="Calibri" w:eastAsia="Calibri"/>
          <w:spacing w:val="-2"/>
        </w:rPr>
        <w:t>180</w:t>
      </w:r>
      <w:r>
        <w:rPr>
          <w:rFonts w:ascii="Calibri" w:eastAsia="Calibri"/>
          <w:spacing w:val="-10"/>
        </w:rPr>
        <w:t> </w:t>
      </w:r>
      <w:r>
        <w:rPr>
          <w:spacing w:val="-2"/>
        </w:rPr>
        <w:t>日内（</w:t>
      </w:r>
      <w:r>
        <w:rPr>
          <w:spacing w:val="-20"/>
        </w:rPr>
        <w:t>含第 </w:t>
      </w:r>
      <w:r>
        <w:rPr>
          <w:rFonts w:ascii="Calibri" w:eastAsia="Calibri"/>
          <w:spacing w:val="-2"/>
        </w:rPr>
        <w:t>180</w:t>
      </w:r>
      <w:r>
        <w:rPr>
          <w:rFonts w:ascii="Calibri" w:eastAsia="Calibri"/>
          <w:spacing w:val="-10"/>
        </w:rPr>
        <w:t> </w:t>
      </w:r>
      <w:r>
        <w:rPr>
          <w:spacing w:val="-2"/>
        </w:rPr>
        <w:t>日）因意外伤</w:t>
      </w:r>
      <w:r>
        <w:rPr>
          <w:spacing w:val="-9"/>
        </w:rPr>
        <w:t>害以外的原因导致身故，我们按本合同累计所交保险费给付身故保险金，</w:t>
      </w:r>
      <w:r>
        <w:rPr>
          <w:rFonts w:ascii="黑体" w:eastAsia="黑体"/>
          <w:spacing w:val="-5"/>
        </w:rPr>
        <w:t>同时本合同效力终</w:t>
      </w:r>
    </w:p>
    <w:p>
      <w:pPr>
        <w:spacing w:after="0" w:line="417" w:lineRule="auto"/>
        <w:rPr>
          <w:rFonts w:ascii="黑体" w:eastAsia="黑体"/>
        </w:rPr>
        <w:sectPr>
          <w:pgSz w:w="11910" w:h="16840"/>
          <w:pgMar w:header="0" w:footer="1005" w:top="1460" w:bottom="1200" w:left="1680" w:right="1480"/>
        </w:sectPr>
      </w:pPr>
    </w:p>
    <w:p>
      <w:pPr>
        <w:pStyle w:val="BodyText"/>
        <w:spacing w:before="61"/>
        <w:ind w:left="120"/>
        <w:rPr>
          <w:rFonts w:ascii="黑体" w:eastAsia="黑体"/>
        </w:rPr>
      </w:pPr>
      <w:r>
        <w:rPr>
          <w:rFonts w:ascii="黑体" w:eastAsia="黑体"/>
          <w:spacing w:val="-5"/>
        </w:rPr>
        <w:t>止。</w:t>
      </w:r>
    </w:p>
    <w:p>
      <w:pPr>
        <w:pStyle w:val="BodyText"/>
        <w:spacing w:before="7"/>
        <w:rPr>
          <w:rFonts w:ascii="黑体"/>
          <w:sz w:val="15"/>
        </w:rPr>
      </w:pPr>
    </w:p>
    <w:p>
      <w:pPr>
        <w:pStyle w:val="BodyText"/>
        <w:ind w:left="540"/>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3"/>
        <w:rPr>
          <w:rFonts w:ascii="Calibri"/>
          <w:sz w:val="16"/>
        </w:rPr>
      </w:pPr>
    </w:p>
    <w:p>
      <w:pPr>
        <w:pStyle w:val="BodyText"/>
        <w:spacing w:line="417" w:lineRule="auto" w:before="1"/>
        <w:ind w:left="120" w:right="311"/>
        <w:rPr>
          <w:rFonts w:ascii="黑体" w:eastAsia="黑体"/>
        </w:rPr>
      </w:pPr>
      <w:r>
        <w:rPr>
          <w:spacing w:val="-2"/>
        </w:rPr>
        <w:t>日后因意外伤害以外的原因导致身故，且被保险人身故时未满 </w:t>
      </w:r>
      <w:r>
        <w:rPr>
          <w:rFonts w:ascii="Calibri" w:eastAsia="Calibri"/>
        </w:rPr>
        <w:t>18</w:t>
      </w:r>
      <w:r>
        <w:rPr>
          <w:rFonts w:ascii="Calibri" w:eastAsia="Calibri"/>
          <w:spacing w:val="-10"/>
        </w:rPr>
        <w:t> </w:t>
      </w:r>
      <w:r>
        <w:rPr/>
        <w:t>周岁的，我们按本合同累</w:t>
      </w:r>
      <w:r>
        <w:rPr>
          <w:spacing w:val="-2"/>
        </w:rPr>
        <w:t>计所交保险费给付身故保险金，</w:t>
      </w:r>
      <w:r>
        <w:rPr>
          <w:rFonts w:ascii="黑体" w:eastAsia="黑体"/>
          <w:spacing w:val="-2"/>
        </w:rPr>
        <w:t>同时本合同效力终止。</w:t>
      </w:r>
    </w:p>
    <w:p>
      <w:pPr>
        <w:pStyle w:val="BodyText"/>
        <w:spacing w:line="269" w:lineRule="exact"/>
        <w:ind w:left="540"/>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3"/>
        <w:rPr>
          <w:rFonts w:ascii="Calibri"/>
          <w:sz w:val="16"/>
        </w:rPr>
      </w:pPr>
    </w:p>
    <w:p>
      <w:pPr>
        <w:pStyle w:val="BodyText"/>
        <w:spacing w:line="417" w:lineRule="auto"/>
        <w:ind w:left="120" w:right="311"/>
        <w:rPr>
          <w:rFonts w:ascii="黑体" w:eastAsia="黑体"/>
        </w:rPr>
      </w:pPr>
      <w:r>
        <w:rPr>
          <w:spacing w:val="-2"/>
        </w:rPr>
        <w:t>日后因意外伤害以外的原因导致身故，且被保险人身故时已满 </w:t>
      </w:r>
      <w:r>
        <w:rPr>
          <w:rFonts w:ascii="Calibri" w:eastAsia="Calibri"/>
        </w:rPr>
        <w:t>18</w:t>
      </w:r>
      <w:r>
        <w:rPr>
          <w:rFonts w:ascii="Calibri" w:eastAsia="Calibri"/>
          <w:spacing w:val="-10"/>
        </w:rPr>
        <w:t> </w:t>
      </w:r>
      <w:r>
        <w:rPr/>
        <w:t>周岁（含）的，我们按本</w:t>
      </w:r>
      <w:r>
        <w:rPr>
          <w:spacing w:val="-2"/>
        </w:rPr>
        <w:t>合同基本保险金额给付身故保险金，</w:t>
      </w:r>
      <w:r>
        <w:rPr>
          <w:rFonts w:ascii="黑体" w:eastAsia="黑体"/>
          <w:spacing w:val="-2"/>
        </w:rPr>
        <w:t>同时本合同效力终止。</w:t>
      </w:r>
    </w:p>
    <w:p>
      <w:pPr>
        <w:pStyle w:val="BodyText"/>
        <w:spacing w:line="417" w:lineRule="auto"/>
        <w:ind w:left="120" w:right="311" w:firstLine="419"/>
        <w:rPr>
          <w:rFonts w:ascii="黑体" w:eastAsia="黑体"/>
        </w:rPr>
      </w:pPr>
      <w:r>
        <w:rPr>
          <w:rFonts w:ascii="黑体" w:eastAsia="黑体"/>
          <w:spacing w:val="-9"/>
        </w:rPr>
        <w:t>若被保险人身故时是未成年人的，被保险人身故保险金的给付按照银行保险监督管理机</w:t>
      </w:r>
      <w:r>
        <w:rPr>
          <w:rFonts w:ascii="黑体" w:eastAsia="黑体"/>
          <w:spacing w:val="-2"/>
        </w:rPr>
        <w:t>构规定的限额执行。</w:t>
      </w:r>
    </w:p>
    <w:p>
      <w:pPr>
        <w:pStyle w:val="ListParagraph"/>
        <w:numPr>
          <w:ilvl w:val="1"/>
          <w:numId w:val="2"/>
        </w:numPr>
        <w:tabs>
          <w:tab w:pos="1114" w:val="left" w:leader="none"/>
        </w:tabs>
        <w:spacing w:line="240" w:lineRule="auto" w:before="0" w:after="0"/>
        <w:ind w:left="1114" w:right="0" w:hanging="574"/>
        <w:jc w:val="both"/>
        <w:rPr>
          <w:sz w:val="21"/>
        </w:rPr>
      </w:pPr>
      <w:r>
        <w:rPr>
          <w:spacing w:val="-4"/>
          <w:sz w:val="21"/>
        </w:rPr>
        <w:t>全残保险金</w:t>
      </w:r>
    </w:p>
    <w:p>
      <w:pPr>
        <w:pStyle w:val="BodyText"/>
        <w:spacing w:before="7"/>
        <w:rPr>
          <w:sz w:val="15"/>
        </w:rPr>
      </w:pPr>
    </w:p>
    <w:p>
      <w:pPr>
        <w:pStyle w:val="BodyText"/>
        <w:ind w:left="540"/>
      </w:pPr>
      <w:r>
        <w:rPr>
          <w:spacing w:val="-3"/>
        </w:rPr>
        <w:t>本项保险责任为必选保险责任。</w:t>
      </w:r>
    </w:p>
    <w:p>
      <w:pPr>
        <w:pStyle w:val="BodyText"/>
        <w:spacing w:before="7"/>
        <w:rPr>
          <w:sz w:val="15"/>
        </w:rPr>
      </w:pPr>
    </w:p>
    <w:p>
      <w:pPr>
        <w:pStyle w:val="BodyText"/>
        <w:spacing w:line="345" w:lineRule="auto"/>
        <w:ind w:left="120" w:right="311" w:firstLine="419"/>
        <w:jc w:val="both"/>
        <w:rPr>
          <w:rFonts w:ascii="黑体" w:eastAsia="黑体"/>
        </w:rPr>
      </w:pPr>
      <w:r>
        <w:rPr>
          <w:spacing w:val="-4"/>
        </w:rPr>
        <w:t>若被保险人于本合同生效（或最后一次复效）</w:t>
      </w:r>
      <w:r>
        <w:rPr>
          <w:spacing w:val="-9"/>
        </w:rPr>
        <w:t>之日起 </w:t>
      </w:r>
      <w:r>
        <w:rPr>
          <w:rFonts w:ascii="Calibri" w:eastAsia="Calibri"/>
          <w:spacing w:val="-4"/>
        </w:rPr>
        <w:t>180</w:t>
      </w:r>
      <w:r>
        <w:rPr>
          <w:rFonts w:ascii="Calibri" w:eastAsia="Calibri"/>
          <w:spacing w:val="-8"/>
        </w:rPr>
        <w:t> </w:t>
      </w:r>
      <w:r>
        <w:rPr>
          <w:spacing w:val="-4"/>
        </w:rPr>
        <w:t>日内（</w:t>
      </w:r>
      <w:r>
        <w:rPr>
          <w:spacing w:val="-10"/>
        </w:rPr>
        <w:t>含第 </w:t>
      </w:r>
      <w:r>
        <w:rPr>
          <w:rFonts w:ascii="Calibri" w:eastAsia="Calibri"/>
          <w:spacing w:val="-4"/>
        </w:rPr>
        <w:t>180</w:t>
      </w:r>
      <w:r>
        <w:rPr>
          <w:rFonts w:ascii="Calibri" w:eastAsia="Calibri"/>
          <w:spacing w:val="-8"/>
        </w:rPr>
        <w:t> </w:t>
      </w:r>
      <w:r>
        <w:rPr>
          <w:spacing w:val="-4"/>
        </w:rPr>
        <w:t>日）因意外伤</w:t>
      </w:r>
      <w:r>
        <w:rPr>
          <w:spacing w:val="-6"/>
        </w:rPr>
        <w:t>害以外的原因导致</w:t>
      </w:r>
      <w:r>
        <w:rPr>
          <w:rFonts w:ascii="微软雅黑" w:eastAsia="微软雅黑"/>
          <w:b/>
          <w:spacing w:val="-6"/>
        </w:rPr>
        <w:t>全残</w:t>
      </w:r>
      <w:r>
        <w:rPr>
          <w:spacing w:val="-6"/>
        </w:rPr>
        <w:t>（释义 </w:t>
      </w:r>
      <w:r>
        <w:rPr>
          <w:rFonts w:ascii="Calibri" w:eastAsia="Calibri"/>
          <w:spacing w:val="25"/>
        </w:rPr>
        <w:t>1</w:t>
      </w:r>
      <w:r>
        <w:rPr>
          <w:rFonts w:ascii="Calibri" w:eastAsia="Calibri"/>
          <w:spacing w:val="23"/>
        </w:rPr>
        <w:t>1</w:t>
      </w:r>
      <w:r>
        <w:rPr>
          <w:spacing w:val="-83"/>
        </w:rPr>
        <w:t>）</w:t>
      </w:r>
      <w:r>
        <w:rPr>
          <w:spacing w:val="-6"/>
        </w:rPr>
        <w:t>，我们按本合同累计所交保险费给付全残保险金，</w:t>
      </w:r>
      <w:r>
        <w:rPr>
          <w:rFonts w:ascii="黑体" w:eastAsia="黑体"/>
          <w:spacing w:val="-6"/>
        </w:rPr>
        <w:t>同时本</w:t>
      </w:r>
      <w:r>
        <w:rPr>
          <w:rFonts w:ascii="黑体" w:eastAsia="黑体"/>
          <w:spacing w:val="-2"/>
        </w:rPr>
        <w:t>合同效力终止。</w:t>
      </w:r>
    </w:p>
    <w:p>
      <w:pPr>
        <w:pStyle w:val="BodyText"/>
        <w:spacing w:before="71"/>
        <w:ind w:left="540"/>
        <w:jc w:val="both"/>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4"/>
        <w:rPr>
          <w:rFonts w:ascii="Calibri"/>
          <w:sz w:val="16"/>
        </w:rPr>
      </w:pPr>
    </w:p>
    <w:p>
      <w:pPr>
        <w:pStyle w:val="BodyText"/>
        <w:spacing w:line="417" w:lineRule="auto"/>
        <w:ind w:left="120" w:right="311"/>
        <w:jc w:val="both"/>
        <w:rPr>
          <w:rFonts w:ascii="黑体" w:eastAsia="黑体"/>
        </w:rPr>
      </w:pPr>
      <w:r>
        <w:rPr>
          <w:spacing w:val="-1"/>
        </w:rPr>
        <w:t>日后因意外伤害以外的原因导致全残，且被保险人全残时未满 </w:t>
      </w:r>
      <w:r>
        <w:rPr>
          <w:rFonts w:ascii="Calibri" w:eastAsia="Calibri"/>
        </w:rPr>
        <w:t>18</w:t>
      </w:r>
      <w:r>
        <w:rPr>
          <w:rFonts w:ascii="Calibri" w:eastAsia="Calibri"/>
          <w:spacing w:val="-12"/>
        </w:rPr>
        <w:t> </w:t>
      </w:r>
      <w:r>
        <w:rPr/>
        <w:t>周岁的，我们按本合同累</w:t>
      </w:r>
      <w:r>
        <w:rPr>
          <w:spacing w:val="-2"/>
        </w:rPr>
        <w:t>计所交保险费给付全残保险金，</w:t>
      </w:r>
      <w:r>
        <w:rPr>
          <w:rFonts w:ascii="黑体" w:eastAsia="黑体"/>
          <w:spacing w:val="-2"/>
        </w:rPr>
        <w:t>同时本合同效力终止。</w:t>
      </w:r>
    </w:p>
    <w:p>
      <w:pPr>
        <w:pStyle w:val="BodyText"/>
        <w:ind w:left="540"/>
        <w:jc w:val="both"/>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4"/>
        <w:rPr>
          <w:rFonts w:ascii="Calibri"/>
          <w:sz w:val="16"/>
        </w:rPr>
      </w:pPr>
    </w:p>
    <w:p>
      <w:pPr>
        <w:pStyle w:val="BodyText"/>
        <w:spacing w:line="417" w:lineRule="auto"/>
        <w:ind w:left="120" w:right="311"/>
        <w:jc w:val="both"/>
        <w:rPr>
          <w:rFonts w:ascii="黑体" w:eastAsia="黑体"/>
        </w:rPr>
      </w:pPr>
      <w:r>
        <w:rPr>
          <w:spacing w:val="-1"/>
        </w:rPr>
        <w:t>日后因意外伤害以外的原因导致全残，且被保险人全残时已满 </w:t>
      </w:r>
      <w:r>
        <w:rPr>
          <w:rFonts w:ascii="Calibri" w:eastAsia="Calibri"/>
        </w:rPr>
        <w:t>18</w:t>
      </w:r>
      <w:r>
        <w:rPr>
          <w:rFonts w:ascii="Calibri" w:eastAsia="Calibri"/>
          <w:spacing w:val="-12"/>
        </w:rPr>
        <w:t> </w:t>
      </w:r>
      <w:r>
        <w:rPr/>
        <w:t>周岁（含）的，我们按本</w:t>
      </w:r>
      <w:r>
        <w:rPr>
          <w:spacing w:val="-2"/>
        </w:rPr>
        <w:t>合同基本保险金额给付全残保险金，</w:t>
      </w:r>
      <w:r>
        <w:rPr>
          <w:rFonts w:ascii="黑体" w:eastAsia="黑体"/>
          <w:spacing w:val="-2"/>
        </w:rPr>
        <w:t>同时本合同效力终止。</w:t>
      </w:r>
    </w:p>
    <w:p>
      <w:pPr>
        <w:pStyle w:val="ListParagraph"/>
        <w:numPr>
          <w:ilvl w:val="1"/>
          <w:numId w:val="2"/>
        </w:numPr>
        <w:tabs>
          <w:tab w:pos="1114" w:val="left" w:leader="none"/>
        </w:tabs>
        <w:spacing w:line="269" w:lineRule="exact" w:before="0" w:after="0"/>
        <w:ind w:left="1114" w:right="0" w:hanging="574"/>
        <w:jc w:val="both"/>
        <w:rPr>
          <w:sz w:val="21"/>
        </w:rPr>
      </w:pPr>
      <w:r>
        <w:rPr>
          <w:spacing w:val="-4"/>
          <w:sz w:val="21"/>
        </w:rPr>
        <w:t>疾病终末期保险金</w:t>
      </w:r>
    </w:p>
    <w:p>
      <w:pPr>
        <w:pStyle w:val="BodyText"/>
        <w:spacing w:before="6"/>
        <w:rPr>
          <w:sz w:val="15"/>
        </w:rPr>
      </w:pPr>
    </w:p>
    <w:p>
      <w:pPr>
        <w:pStyle w:val="BodyText"/>
        <w:ind w:left="540"/>
      </w:pPr>
      <w:r>
        <w:rPr>
          <w:spacing w:val="-3"/>
        </w:rPr>
        <w:t>本项保险责任为必选保险责任。</w:t>
      </w:r>
    </w:p>
    <w:p>
      <w:pPr>
        <w:pStyle w:val="BodyText"/>
        <w:spacing w:before="7"/>
        <w:rPr>
          <w:sz w:val="15"/>
        </w:rPr>
      </w:pPr>
    </w:p>
    <w:p>
      <w:pPr>
        <w:pStyle w:val="BodyText"/>
        <w:spacing w:line="357" w:lineRule="auto"/>
        <w:ind w:left="120" w:right="311" w:firstLine="419"/>
        <w:rPr>
          <w:rFonts w:ascii="微软雅黑" w:eastAsia="微软雅黑"/>
          <w:b/>
        </w:rPr>
      </w:pPr>
      <w:r>
        <w:rPr>
          <w:spacing w:val="-2"/>
        </w:rPr>
        <w:t>若被保险人于本合同生效（或最后一次复效）</w:t>
      </w:r>
      <w:r>
        <w:rPr>
          <w:spacing w:val="-15"/>
        </w:rPr>
        <w:t>之日起 </w:t>
      </w:r>
      <w:r>
        <w:rPr>
          <w:rFonts w:ascii="Calibri" w:eastAsia="Calibri"/>
          <w:spacing w:val="-2"/>
        </w:rPr>
        <w:t>180</w:t>
      </w:r>
      <w:r>
        <w:rPr>
          <w:rFonts w:ascii="Calibri" w:eastAsia="Calibri"/>
          <w:spacing w:val="-10"/>
        </w:rPr>
        <w:t> </w:t>
      </w:r>
      <w:r>
        <w:rPr>
          <w:spacing w:val="-2"/>
        </w:rPr>
        <w:t>日内（</w:t>
      </w:r>
      <w:r>
        <w:rPr>
          <w:spacing w:val="-20"/>
        </w:rPr>
        <w:t>含第 </w:t>
      </w:r>
      <w:r>
        <w:rPr>
          <w:rFonts w:ascii="Calibri" w:eastAsia="Calibri"/>
          <w:spacing w:val="-2"/>
        </w:rPr>
        <w:t>180</w:t>
      </w:r>
      <w:r>
        <w:rPr>
          <w:rFonts w:ascii="Calibri" w:eastAsia="Calibri"/>
          <w:spacing w:val="-10"/>
        </w:rPr>
        <w:t> </w:t>
      </w:r>
      <w:r>
        <w:rPr>
          <w:spacing w:val="-2"/>
        </w:rPr>
        <w:t>日）因意外伤</w:t>
      </w:r>
      <w:r>
        <w:rPr>
          <w:spacing w:val="-12"/>
        </w:rPr>
        <w:t>害以外的原因导致的，首次发生并由我们认可医院的专科医生初次确诊达到</w:t>
      </w:r>
      <w:r>
        <w:rPr>
          <w:rFonts w:ascii="微软雅黑" w:eastAsia="微软雅黑"/>
          <w:b/>
          <w:spacing w:val="-4"/>
        </w:rPr>
        <w:t>疾病终末期阶段</w:t>
      </w:r>
    </w:p>
    <w:p>
      <w:pPr>
        <w:pStyle w:val="BodyText"/>
        <w:spacing w:line="227" w:lineRule="exact"/>
        <w:ind w:left="120"/>
        <w:jc w:val="both"/>
        <w:rPr>
          <w:rFonts w:ascii="黑体" w:eastAsia="黑体"/>
        </w:rPr>
      </w:pPr>
      <w:r>
        <w:rPr>
          <w:spacing w:val="-4"/>
        </w:rPr>
        <w:t>（</w:t>
      </w:r>
      <w:r>
        <w:rPr>
          <w:spacing w:val="-1"/>
        </w:rPr>
        <w:t>释义 </w:t>
      </w:r>
      <w:r>
        <w:rPr>
          <w:rFonts w:ascii="Calibri" w:eastAsia="Calibri"/>
          <w:spacing w:val="21"/>
        </w:rPr>
        <w:t>1</w:t>
      </w:r>
      <w:r>
        <w:rPr>
          <w:rFonts w:ascii="Calibri" w:eastAsia="Calibri"/>
          <w:spacing w:val="23"/>
        </w:rPr>
        <w:t>2</w:t>
      </w:r>
      <w:r>
        <w:rPr>
          <w:spacing w:val="-85"/>
        </w:rPr>
        <w:t>）</w:t>
      </w:r>
      <w:r>
        <w:rPr>
          <w:spacing w:val="-4"/>
        </w:rPr>
        <w:t>，我们按本合同累计所交保险费给付疾病终末期保险金，</w:t>
      </w:r>
      <w:r>
        <w:rPr>
          <w:rFonts w:ascii="黑体" w:eastAsia="黑体"/>
          <w:spacing w:val="-5"/>
        </w:rPr>
        <w:t>同时本合同效力终止。</w:t>
      </w:r>
    </w:p>
    <w:p>
      <w:pPr>
        <w:pStyle w:val="BodyText"/>
        <w:spacing w:before="7"/>
        <w:rPr>
          <w:rFonts w:ascii="黑体"/>
          <w:sz w:val="15"/>
        </w:rPr>
      </w:pPr>
    </w:p>
    <w:p>
      <w:pPr>
        <w:pStyle w:val="BodyText"/>
        <w:spacing w:line="417" w:lineRule="auto" w:before="1"/>
        <w:ind w:left="120" w:right="311" w:firstLine="419"/>
        <w:jc w:val="both"/>
        <w:rPr>
          <w:rFonts w:ascii="黑体" w:eastAsia="黑体"/>
        </w:rPr>
      </w:pPr>
      <w:r>
        <w:rPr/>
        <w:t>若被保险人因意外伤害，或者被保险人于本合同生效（或最后一次复效）之日起 </w:t>
      </w:r>
      <w:r>
        <w:rPr>
          <w:rFonts w:ascii="Calibri" w:eastAsia="Calibri"/>
        </w:rPr>
        <w:t>180</w:t>
      </w:r>
      <w:r>
        <w:rPr>
          <w:spacing w:val="-8"/>
        </w:rPr>
        <w:t>日后因意外伤害以外的原因导致的，首次发生并由我们认可医院的专科医生初次确诊达到疾</w:t>
      </w:r>
      <w:r>
        <w:rPr>
          <w:spacing w:val="-2"/>
        </w:rPr>
        <w:t>病终末期阶段，且被保险人未满 </w:t>
      </w:r>
      <w:r>
        <w:rPr>
          <w:rFonts w:ascii="Calibri" w:eastAsia="Calibri"/>
        </w:rPr>
        <w:t>18</w:t>
      </w:r>
      <w:r>
        <w:rPr>
          <w:rFonts w:ascii="Calibri" w:eastAsia="Calibri"/>
          <w:spacing w:val="-12"/>
        </w:rPr>
        <w:t> </w:t>
      </w:r>
      <w:r>
        <w:rPr/>
        <w:t>周岁的，我们按本合同累计所交保险费给付疾病终末期</w:t>
      </w:r>
      <w:r>
        <w:rPr>
          <w:spacing w:val="-2"/>
        </w:rPr>
        <w:t>保险金，</w:t>
      </w:r>
      <w:r>
        <w:rPr>
          <w:rFonts w:ascii="黑体" w:eastAsia="黑体"/>
          <w:spacing w:val="-2"/>
        </w:rPr>
        <w:t>同时本合同效力终止。</w:t>
      </w:r>
    </w:p>
    <w:p>
      <w:pPr>
        <w:pStyle w:val="BodyText"/>
        <w:spacing w:line="268" w:lineRule="exact"/>
        <w:ind w:left="540"/>
        <w:jc w:val="both"/>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spacing w:after="0" w:line="268" w:lineRule="exact"/>
        <w:jc w:val="both"/>
        <w:rPr>
          <w:rFonts w:ascii="Calibri" w:eastAsia="Calibri"/>
        </w:rPr>
        <w:sectPr>
          <w:pgSz w:w="11910" w:h="16840"/>
          <w:pgMar w:header="0" w:footer="1005" w:top="1460" w:bottom="1200" w:left="1680" w:right="1480"/>
        </w:sectPr>
      </w:pPr>
    </w:p>
    <w:p>
      <w:pPr>
        <w:pStyle w:val="BodyText"/>
        <w:spacing w:line="417" w:lineRule="auto" w:before="61"/>
        <w:ind w:left="120" w:right="311"/>
        <w:jc w:val="both"/>
        <w:rPr>
          <w:rFonts w:ascii="黑体" w:eastAsia="黑体"/>
        </w:rPr>
      </w:pPr>
      <w:r>
        <w:rPr>
          <w:spacing w:val="-8"/>
        </w:rPr>
        <w:t>日后因意外伤害以外的原因导致的，首次发生并由我们认可医院的专科医生初次确诊达到疾</w:t>
      </w:r>
      <w:r>
        <w:rPr>
          <w:spacing w:val="-2"/>
        </w:rPr>
        <w:t>病终末期阶段，且被保险人已满 </w:t>
      </w:r>
      <w:r>
        <w:rPr>
          <w:rFonts w:ascii="Calibri" w:eastAsia="Calibri"/>
        </w:rPr>
        <w:t>18</w:t>
      </w:r>
      <w:r>
        <w:rPr>
          <w:rFonts w:ascii="Calibri" w:eastAsia="Calibri"/>
          <w:spacing w:val="-12"/>
        </w:rPr>
        <w:t> </w:t>
      </w:r>
      <w:r>
        <w:rPr/>
        <w:t>周岁的，我们按本合同基本保险金额给付疾病终末期保</w:t>
      </w:r>
      <w:r>
        <w:rPr>
          <w:spacing w:val="-2"/>
        </w:rPr>
        <w:t>险金，</w:t>
      </w:r>
      <w:r>
        <w:rPr>
          <w:rFonts w:ascii="黑体" w:eastAsia="黑体"/>
          <w:spacing w:val="-2"/>
        </w:rPr>
        <w:t>同时本合同效力终止。</w:t>
      </w:r>
    </w:p>
    <w:p>
      <w:pPr>
        <w:pStyle w:val="ListParagraph"/>
        <w:numPr>
          <w:ilvl w:val="1"/>
          <w:numId w:val="2"/>
        </w:numPr>
        <w:tabs>
          <w:tab w:pos="1114" w:val="left" w:leader="none"/>
        </w:tabs>
        <w:spacing w:line="240" w:lineRule="auto" w:before="0" w:after="0"/>
        <w:ind w:left="1114" w:right="0" w:hanging="574"/>
        <w:jc w:val="both"/>
        <w:rPr>
          <w:sz w:val="21"/>
        </w:rPr>
      </w:pPr>
      <w:r>
        <w:rPr>
          <w:spacing w:val="-4"/>
          <w:sz w:val="21"/>
        </w:rPr>
        <w:t>豁免保险费</w:t>
      </w:r>
    </w:p>
    <w:p>
      <w:pPr>
        <w:pStyle w:val="BodyText"/>
        <w:spacing w:before="6"/>
        <w:rPr>
          <w:sz w:val="15"/>
        </w:rPr>
      </w:pPr>
    </w:p>
    <w:p>
      <w:pPr>
        <w:pStyle w:val="BodyText"/>
        <w:spacing w:before="1"/>
        <w:ind w:left="540"/>
      </w:pPr>
      <w:r>
        <w:rPr>
          <w:spacing w:val="-3"/>
        </w:rPr>
        <w:t>本项保险责任为必选保险责任。</w:t>
      </w:r>
    </w:p>
    <w:p>
      <w:pPr>
        <w:pStyle w:val="BodyText"/>
        <w:spacing w:before="6"/>
        <w:rPr>
          <w:sz w:val="15"/>
        </w:rPr>
      </w:pPr>
    </w:p>
    <w:p>
      <w:pPr>
        <w:pStyle w:val="BodyText"/>
        <w:spacing w:line="417" w:lineRule="auto"/>
        <w:ind w:left="120" w:right="311" w:firstLine="419"/>
        <w:jc w:val="both"/>
        <w:rPr>
          <w:rFonts w:ascii="黑体" w:eastAsia="黑体"/>
        </w:rPr>
      </w:pPr>
      <w:r>
        <w:rPr>
          <w:rFonts w:ascii="黑体" w:eastAsia="黑体"/>
          <w:w w:val="95"/>
        </w:rPr>
        <w:t>若</w:t>
      </w:r>
      <w:r>
        <w:rPr>
          <w:rFonts w:ascii="黑体" w:eastAsia="黑体"/>
          <w:w w:val="95"/>
        </w:rPr>
        <w:t>被</w:t>
      </w:r>
      <w:r>
        <w:rPr>
          <w:rFonts w:ascii="黑体" w:eastAsia="黑体"/>
          <w:w w:val="95"/>
        </w:rPr>
        <w:t>保险人于本合同生效（</w:t>
      </w:r>
      <w:r>
        <w:rPr>
          <w:rFonts w:ascii="黑体" w:eastAsia="黑体"/>
          <w:w w:val="95"/>
        </w:rPr>
        <w:t>或</w:t>
      </w:r>
      <w:r>
        <w:rPr>
          <w:rFonts w:ascii="黑体" w:eastAsia="黑体"/>
          <w:w w:val="95"/>
        </w:rPr>
        <w:t>最后一次复效）之日起 180 日内（含第 180 日）因意</w:t>
      </w:r>
      <w:r>
        <w:rPr>
          <w:rFonts w:ascii="黑体" w:eastAsia="黑体"/>
          <w:w w:val="95"/>
        </w:rPr>
        <w:t>外</w:t>
      </w:r>
      <w:r>
        <w:rPr>
          <w:rFonts w:ascii="黑体" w:eastAsia="黑体"/>
          <w:w w:val="95"/>
        </w:rPr>
        <w:t>伤</w:t>
      </w:r>
      <w:r>
        <w:rPr>
          <w:rFonts w:ascii="黑体" w:eastAsia="黑体"/>
          <w:spacing w:val="-12"/>
        </w:rPr>
        <w:t>害以外的原因导致的，首次发生并由我们认可医院的专科医生初次确诊为本合同所定义的重</w:t>
      </w:r>
      <w:r>
        <w:rPr>
          <w:rFonts w:ascii="黑体" w:eastAsia="黑体"/>
          <w:spacing w:val="-2"/>
        </w:rPr>
        <w:t>大疾病、中症疾病或轻症疾病，我们不承担豁免保险费的责任。</w:t>
      </w:r>
    </w:p>
    <w:p>
      <w:pPr>
        <w:pStyle w:val="BodyText"/>
        <w:spacing w:line="417" w:lineRule="auto"/>
        <w:ind w:left="120" w:right="207" w:firstLine="419"/>
      </w:pPr>
      <w:r>
        <w:rPr/>
        <w:t>若被保险人因意外伤害，或者被保险人于本合同生效（或最后一次复效）</w:t>
      </w:r>
      <w:r>
        <w:rPr>
          <w:spacing w:val="10"/>
        </w:rPr>
        <w:t>之日起 </w:t>
      </w:r>
      <w:r>
        <w:rPr>
          <w:rFonts w:ascii="Calibri" w:eastAsia="Calibri"/>
        </w:rPr>
        <w:t>180</w:t>
      </w:r>
      <w:r>
        <w:rPr>
          <w:spacing w:val="-8"/>
        </w:rPr>
        <w:t>日后因意外伤害以外的原因导致的，首次发生并由我们认可医院的专科医生初次确诊为本合</w:t>
      </w:r>
      <w:r>
        <w:rPr>
          <w:spacing w:val="-2"/>
        </w:rPr>
        <w:t>同所定义的重大疾病、中症疾病或轻症疾病，则自确诊日后的首个保险费约定交纳日开始，</w:t>
      </w:r>
      <w:r>
        <w:rPr>
          <w:rFonts w:ascii="黑体" w:eastAsia="黑体"/>
          <w:spacing w:val="-5"/>
        </w:rPr>
        <w:t>我们在以后的每个保险费约定交纳日逐期豁免当期本合同应交纳的保险费，</w:t>
      </w:r>
      <w:r>
        <w:rPr>
          <w:spacing w:val="-2"/>
        </w:rPr>
        <w:t>直至最后一个保</w:t>
      </w:r>
      <w:r>
        <w:rPr>
          <w:spacing w:val="-2"/>
        </w:rPr>
        <w:t>险费约定交纳日止。我们视豁免的保险费为您已交纳的当期保险费。本合同继续有效。</w:t>
      </w:r>
    </w:p>
    <w:p>
      <w:pPr>
        <w:pStyle w:val="BodyText"/>
        <w:rPr>
          <w:sz w:val="20"/>
        </w:rPr>
      </w:pPr>
    </w:p>
    <w:p>
      <w:pPr>
        <w:pStyle w:val="BodyText"/>
        <w:spacing w:before="6"/>
        <w:rPr>
          <w:sz w:val="16"/>
        </w:rPr>
      </w:pPr>
    </w:p>
    <w:p>
      <w:pPr>
        <w:pStyle w:val="BodyText"/>
        <w:spacing w:line="417" w:lineRule="auto"/>
        <w:ind w:left="120" w:right="311" w:firstLine="419"/>
        <w:rPr>
          <w:rFonts w:ascii="黑体" w:eastAsia="黑体"/>
        </w:rPr>
      </w:pPr>
      <w:r>
        <w:rPr>
          <w:rFonts w:ascii="黑体" w:eastAsia="黑体"/>
          <w:spacing w:val="-4"/>
        </w:rPr>
        <w:t>本合同的重大疾病保险金、身故保险金、全残保险金与疾病终末期保险金，我们仅承担</w:t>
      </w:r>
      <w:r>
        <w:rPr>
          <w:rFonts w:ascii="黑体" w:eastAsia="黑体"/>
          <w:spacing w:val="-2"/>
        </w:rPr>
        <w:t>给付其中一项保险金的责任。</w:t>
      </w:r>
    </w:p>
    <w:p>
      <w:pPr>
        <w:pStyle w:val="BodyText"/>
        <w:spacing w:line="417" w:lineRule="auto"/>
        <w:ind w:left="120" w:right="208" w:firstLine="419"/>
        <w:rPr>
          <w:rFonts w:ascii="黑体" w:eastAsia="黑体"/>
        </w:rPr>
      </w:pPr>
      <w:r>
        <w:rPr>
          <w:rFonts w:ascii="黑体" w:eastAsia="黑体"/>
          <w:spacing w:val="-2"/>
        </w:rPr>
        <w:t>被保险人同时符合本合同约定的重大疾病保险金、中症疾病保险金、轻症疾病保险金、</w:t>
      </w:r>
      <w:r>
        <w:rPr>
          <w:rFonts w:ascii="黑体" w:eastAsia="黑体"/>
          <w:spacing w:val="-2"/>
        </w:rPr>
        <w:t>身故保险金、全残保险金或疾病终末期保险金中的两项或两项以上给付条件的，我们仅承担</w:t>
      </w:r>
      <w:r>
        <w:rPr>
          <w:rFonts w:ascii="黑体" w:eastAsia="黑体"/>
          <w:spacing w:val="-2"/>
        </w:rPr>
        <w:t>给付其中保险金最高一项保险金的责任。</w:t>
      </w:r>
    </w:p>
    <w:p>
      <w:pPr>
        <w:pStyle w:val="BodyText"/>
        <w:rPr>
          <w:rFonts w:ascii="黑体"/>
          <w:sz w:val="20"/>
        </w:rPr>
      </w:pPr>
    </w:p>
    <w:p>
      <w:pPr>
        <w:pStyle w:val="BodyText"/>
        <w:spacing w:before="6"/>
        <w:rPr>
          <w:rFonts w:ascii="黑体"/>
          <w:sz w:val="16"/>
        </w:rPr>
      </w:pPr>
    </w:p>
    <w:p>
      <w:pPr>
        <w:pStyle w:val="BodyText"/>
        <w:spacing w:before="1"/>
        <w:ind w:left="540"/>
        <w:rPr>
          <w:rFonts w:ascii="黑体" w:eastAsia="黑体"/>
        </w:rPr>
      </w:pPr>
      <w:r>
        <w:rPr>
          <w:rFonts w:ascii="黑体" w:eastAsia="黑体"/>
          <w:spacing w:val="-4"/>
        </w:rPr>
        <w:t>可选责任</w:t>
      </w:r>
    </w:p>
    <w:p>
      <w:pPr>
        <w:pStyle w:val="BodyText"/>
        <w:spacing w:before="6"/>
        <w:rPr>
          <w:rFonts w:ascii="黑体"/>
          <w:sz w:val="15"/>
        </w:rPr>
      </w:pPr>
    </w:p>
    <w:p>
      <w:pPr>
        <w:pStyle w:val="ListParagraph"/>
        <w:numPr>
          <w:ilvl w:val="1"/>
          <w:numId w:val="2"/>
        </w:numPr>
        <w:tabs>
          <w:tab w:pos="1114" w:val="left" w:leader="none"/>
        </w:tabs>
        <w:spacing w:line="240" w:lineRule="auto" w:before="0" w:after="0"/>
        <w:ind w:left="1114" w:right="0" w:hanging="574"/>
        <w:jc w:val="left"/>
        <w:rPr>
          <w:sz w:val="21"/>
        </w:rPr>
      </w:pPr>
      <w:r>
        <w:rPr>
          <w:spacing w:val="-3"/>
          <w:sz w:val="21"/>
        </w:rPr>
        <w:t>第二次“恶性肿瘤——重度”保险金</w:t>
      </w:r>
    </w:p>
    <w:p>
      <w:pPr>
        <w:pStyle w:val="BodyText"/>
        <w:spacing w:before="7"/>
        <w:rPr>
          <w:sz w:val="15"/>
        </w:rPr>
      </w:pPr>
    </w:p>
    <w:p>
      <w:pPr>
        <w:pStyle w:val="BodyText"/>
        <w:spacing w:line="417" w:lineRule="auto"/>
        <w:ind w:left="120" w:right="311" w:firstLine="419"/>
      </w:pPr>
      <w:r>
        <w:rPr>
          <w:spacing w:val="-17"/>
        </w:rPr>
        <w:t>本项保险责任为可选保险责任。若您投保时选择了第二次“恶性肿瘤——重度”保险金，</w:t>
      </w:r>
      <w:r>
        <w:rPr>
          <w:spacing w:val="-2"/>
        </w:rPr>
        <w:t>我们还将承担如下责任：</w:t>
      </w:r>
    </w:p>
    <w:p>
      <w:pPr>
        <w:pStyle w:val="BodyText"/>
        <w:spacing w:line="417" w:lineRule="auto"/>
        <w:ind w:left="120" w:right="308" w:firstLine="419"/>
        <w:jc w:val="both"/>
        <w:rPr>
          <w:rFonts w:ascii="黑体" w:hAnsi="黑体" w:eastAsia="黑体"/>
        </w:rPr>
      </w:pPr>
      <w:r>
        <w:rPr>
          <w:spacing w:val="-4"/>
        </w:rPr>
        <w:t>若被保险人于本合同生效（或最后一次复效）</w:t>
      </w:r>
      <w:r>
        <w:rPr>
          <w:spacing w:val="-9"/>
        </w:rPr>
        <w:t>之日起 </w:t>
      </w:r>
      <w:r>
        <w:rPr>
          <w:rFonts w:ascii="Calibri" w:hAnsi="Calibri" w:eastAsia="Calibri"/>
          <w:spacing w:val="-4"/>
        </w:rPr>
        <w:t>180</w:t>
      </w:r>
      <w:r>
        <w:rPr>
          <w:rFonts w:ascii="Calibri" w:hAnsi="Calibri" w:eastAsia="Calibri"/>
          <w:spacing w:val="10"/>
        </w:rPr>
        <w:t> </w:t>
      </w:r>
      <w:r>
        <w:rPr>
          <w:spacing w:val="-4"/>
        </w:rPr>
        <w:t>日后，首次发生并由我们认可</w:t>
      </w:r>
      <w:r>
        <w:rPr>
          <w:spacing w:val="-2"/>
        </w:rPr>
        <w:t>医院的专科医生初次确诊为本合同所定义的“恶性肿瘤</w:t>
      </w:r>
      <w:r>
        <w:rPr>
          <w:rFonts w:ascii="Calibri" w:hAnsi="Calibri" w:eastAsia="Calibri"/>
          <w:spacing w:val="-2"/>
        </w:rPr>
        <w:t>——</w:t>
      </w:r>
      <w:r>
        <w:rPr>
          <w:spacing w:val="-28"/>
        </w:rPr>
        <w:t>重度”，</w:t>
      </w:r>
      <w:r>
        <w:rPr>
          <w:rFonts w:ascii="黑体" w:hAnsi="黑体" w:eastAsia="黑体"/>
          <w:spacing w:val="-2"/>
        </w:rPr>
        <w:t>且针对该疾病我们已经</w:t>
      </w:r>
      <w:r>
        <w:rPr>
          <w:rFonts w:ascii="黑体" w:hAnsi="黑体" w:eastAsia="黑体"/>
          <w:spacing w:val="-5"/>
        </w:rPr>
        <w:t>按本合同约定给付重大疾病保险金后，自“恶性肿瘤——重度”确诊之日起满 </w:t>
      </w:r>
      <w:r>
        <w:rPr>
          <w:rFonts w:ascii="黑体" w:hAnsi="黑体" w:eastAsia="黑体"/>
          <w:spacing w:val="-4"/>
        </w:rPr>
        <w:t>3</w:t>
      </w:r>
      <w:r>
        <w:rPr>
          <w:rFonts w:ascii="黑体" w:hAnsi="黑体" w:eastAsia="黑体"/>
          <w:spacing w:val="-8"/>
        </w:rPr>
        <w:t> 年后，发生</w:t>
      </w:r>
      <w:r>
        <w:rPr>
          <w:rFonts w:ascii="黑体" w:hAnsi="黑体" w:eastAsia="黑体"/>
          <w:spacing w:val="-5"/>
        </w:rPr>
        <w:t>并由我们认可医院的专科医生再次确诊为本合同所定义的“恶性肿瘤——重度”，我们按本</w:t>
      </w:r>
      <w:r>
        <w:rPr>
          <w:rFonts w:ascii="黑体" w:hAnsi="黑体" w:eastAsia="黑体"/>
          <w:spacing w:val="-16"/>
        </w:rPr>
        <w:t>合同约定的基本保险金额给付第二次“恶性肿瘤——重度”保险金，本项保险责任效力终止。</w:t>
      </w:r>
    </w:p>
    <w:p>
      <w:pPr>
        <w:pStyle w:val="BodyText"/>
        <w:spacing w:line="269" w:lineRule="exact"/>
        <w:ind w:left="480"/>
      </w:pPr>
      <w:r>
        <w:rPr>
          <w:spacing w:val="-2"/>
        </w:rPr>
        <w:t>第二次确诊的“恶性肿瘤</w:t>
      </w:r>
      <w:r>
        <w:rPr>
          <w:rFonts w:ascii="Calibri" w:hAnsi="Calibri" w:eastAsia="Calibri"/>
          <w:spacing w:val="-2"/>
        </w:rPr>
        <w:t>——</w:t>
      </w:r>
      <w:r>
        <w:rPr>
          <w:spacing w:val="-3"/>
        </w:rPr>
        <w:t>重度”包括以下情况：</w:t>
      </w:r>
    </w:p>
    <w:p>
      <w:pPr>
        <w:spacing w:after="0" w:line="269" w:lineRule="exact"/>
        <w:sectPr>
          <w:pgSz w:w="11910" w:h="16840"/>
          <w:pgMar w:header="0" w:footer="1005" w:top="1460" w:bottom="1200" w:left="1680" w:right="1480"/>
        </w:sectPr>
      </w:pPr>
    </w:p>
    <w:p>
      <w:pPr>
        <w:pStyle w:val="ListParagraph"/>
        <w:numPr>
          <w:ilvl w:val="0"/>
          <w:numId w:val="3"/>
        </w:numPr>
        <w:tabs>
          <w:tab w:pos="1010" w:val="left" w:leader="none"/>
        </w:tabs>
        <w:spacing w:line="240" w:lineRule="auto" w:before="61" w:after="0"/>
        <w:ind w:left="1009" w:right="0" w:hanging="530"/>
        <w:jc w:val="left"/>
        <w:rPr>
          <w:sz w:val="21"/>
        </w:rPr>
      </w:pPr>
      <w:r>
        <w:rPr>
          <w:spacing w:val="-2"/>
          <w:sz w:val="21"/>
        </w:rPr>
        <w:t>与前一次“恶性肿瘤</w:t>
      </w:r>
      <w:r>
        <w:rPr>
          <w:rFonts w:ascii="Calibri" w:hAnsi="Calibri" w:eastAsia="Calibri"/>
          <w:spacing w:val="-2"/>
          <w:sz w:val="21"/>
        </w:rPr>
        <w:t>——</w:t>
      </w:r>
      <w:r>
        <w:rPr>
          <w:spacing w:val="-2"/>
          <w:sz w:val="21"/>
        </w:rPr>
        <w:t>重度”无关的新发“恶性肿瘤</w:t>
      </w:r>
      <w:r>
        <w:rPr>
          <w:rFonts w:ascii="Calibri" w:hAnsi="Calibri" w:eastAsia="Calibri"/>
          <w:spacing w:val="-2"/>
          <w:sz w:val="21"/>
        </w:rPr>
        <w:t>——</w:t>
      </w:r>
      <w:r>
        <w:rPr>
          <w:spacing w:val="-31"/>
          <w:sz w:val="21"/>
        </w:rPr>
        <w:t>重度”；</w:t>
      </w:r>
    </w:p>
    <w:p>
      <w:pPr>
        <w:pStyle w:val="BodyText"/>
        <w:spacing w:before="7"/>
        <w:rPr>
          <w:sz w:val="15"/>
        </w:rPr>
      </w:pPr>
    </w:p>
    <w:p>
      <w:pPr>
        <w:pStyle w:val="ListParagraph"/>
        <w:numPr>
          <w:ilvl w:val="0"/>
          <w:numId w:val="3"/>
        </w:numPr>
        <w:tabs>
          <w:tab w:pos="1010" w:val="left" w:leader="none"/>
        </w:tabs>
        <w:spacing w:line="240" w:lineRule="auto" w:before="0" w:after="0"/>
        <w:ind w:left="1009" w:right="0" w:hanging="530"/>
        <w:jc w:val="left"/>
        <w:rPr>
          <w:sz w:val="21"/>
        </w:rPr>
      </w:pPr>
      <w:r>
        <w:rPr>
          <w:spacing w:val="-2"/>
          <w:sz w:val="21"/>
        </w:rPr>
        <w:t>前一次“恶性肿瘤</w:t>
      </w:r>
      <w:r>
        <w:rPr>
          <w:rFonts w:ascii="Calibri" w:hAnsi="Calibri" w:eastAsia="Calibri"/>
          <w:spacing w:val="-2"/>
          <w:sz w:val="21"/>
        </w:rPr>
        <w:t>——</w:t>
      </w:r>
      <w:r>
        <w:rPr>
          <w:spacing w:val="-3"/>
          <w:sz w:val="21"/>
        </w:rPr>
        <w:t>重度”复发、转移；</w:t>
      </w:r>
    </w:p>
    <w:p>
      <w:pPr>
        <w:pStyle w:val="BodyText"/>
        <w:spacing w:before="7"/>
        <w:rPr>
          <w:sz w:val="15"/>
        </w:rPr>
      </w:pPr>
    </w:p>
    <w:p>
      <w:pPr>
        <w:pStyle w:val="ListParagraph"/>
        <w:numPr>
          <w:ilvl w:val="0"/>
          <w:numId w:val="3"/>
        </w:numPr>
        <w:tabs>
          <w:tab w:pos="1010" w:val="left" w:leader="none"/>
        </w:tabs>
        <w:spacing w:line="240" w:lineRule="auto" w:before="0" w:after="0"/>
        <w:ind w:left="1009" w:right="0" w:hanging="530"/>
        <w:jc w:val="left"/>
        <w:rPr>
          <w:sz w:val="21"/>
        </w:rPr>
      </w:pPr>
      <w:r>
        <w:rPr>
          <w:spacing w:val="-2"/>
          <w:sz w:val="21"/>
        </w:rPr>
        <w:t>前一次“恶性肿瘤</w:t>
      </w:r>
      <w:r>
        <w:rPr>
          <w:rFonts w:ascii="Calibri" w:hAnsi="Calibri" w:eastAsia="Calibri"/>
          <w:spacing w:val="-2"/>
          <w:sz w:val="21"/>
        </w:rPr>
        <w:t>——</w:t>
      </w:r>
      <w:r>
        <w:rPr>
          <w:spacing w:val="-4"/>
          <w:sz w:val="21"/>
        </w:rPr>
        <w:t>重度”持续。</w:t>
      </w:r>
    </w:p>
    <w:p>
      <w:pPr>
        <w:pStyle w:val="BodyText"/>
        <w:spacing w:before="6"/>
        <w:rPr>
          <w:sz w:val="15"/>
        </w:rPr>
      </w:pPr>
    </w:p>
    <w:p>
      <w:pPr>
        <w:pStyle w:val="BodyText"/>
        <w:spacing w:line="417" w:lineRule="auto" w:before="1"/>
        <w:ind w:left="120" w:right="311" w:firstLine="419"/>
        <w:jc w:val="both"/>
        <w:rPr>
          <w:rFonts w:ascii="黑体" w:hAnsi="黑体" w:eastAsia="黑体"/>
        </w:rPr>
      </w:pPr>
      <w:r>
        <w:rPr>
          <w:rFonts w:ascii="黑体" w:hAnsi="黑体" w:eastAsia="黑体"/>
          <w:spacing w:val="-2"/>
        </w:rPr>
        <w:t>若被保险人因同一疾病原因或同次医疗行为导致发生并由我们认可医院的专科医生确</w:t>
      </w:r>
      <w:r>
        <w:rPr>
          <w:rFonts w:ascii="黑体" w:hAnsi="黑体" w:eastAsia="黑体"/>
          <w:spacing w:val="-7"/>
        </w:rPr>
        <w:t>诊为本合同所定义的两种或两种以上“恶性肿瘤——重度”，我们仅按一种给付第二次“恶</w:t>
      </w:r>
      <w:r>
        <w:rPr>
          <w:rFonts w:ascii="黑体" w:hAnsi="黑体" w:eastAsia="黑体"/>
          <w:spacing w:val="-2"/>
        </w:rPr>
        <w:t>性肿瘤——重度”保险金。</w:t>
      </w:r>
    </w:p>
    <w:p>
      <w:pPr>
        <w:pStyle w:val="BodyText"/>
        <w:spacing w:line="269" w:lineRule="exact"/>
        <w:ind w:left="540"/>
        <w:rPr>
          <w:rFonts w:ascii="黑体" w:hAnsi="黑体" w:eastAsia="黑体"/>
        </w:rPr>
      </w:pPr>
      <w:r>
        <w:rPr>
          <w:rFonts w:ascii="黑体" w:hAnsi="黑体" w:eastAsia="黑体"/>
          <w:spacing w:val="-3"/>
        </w:rPr>
        <w:t>本合同第二次“恶性肿瘤——重度”保险金的累计给付次数以一次为限。</w:t>
      </w:r>
    </w:p>
    <w:p>
      <w:pPr>
        <w:pStyle w:val="BodyText"/>
        <w:spacing w:before="6"/>
        <w:rPr>
          <w:rFonts w:ascii="黑体"/>
          <w:sz w:val="15"/>
        </w:rPr>
      </w:pPr>
    </w:p>
    <w:p>
      <w:pPr>
        <w:pStyle w:val="ListParagraph"/>
        <w:numPr>
          <w:ilvl w:val="1"/>
          <w:numId w:val="2"/>
        </w:numPr>
        <w:tabs>
          <w:tab w:pos="1114" w:val="left" w:leader="none"/>
        </w:tabs>
        <w:spacing w:line="240" w:lineRule="auto" w:before="0" w:after="0"/>
        <w:ind w:left="1114" w:right="0" w:hanging="574"/>
        <w:jc w:val="left"/>
        <w:rPr>
          <w:sz w:val="21"/>
        </w:rPr>
      </w:pPr>
      <w:r>
        <w:rPr>
          <w:spacing w:val="-3"/>
          <w:sz w:val="21"/>
        </w:rPr>
        <w:t>第二次心脑血管特定疾病保险金</w:t>
      </w:r>
    </w:p>
    <w:p>
      <w:pPr>
        <w:pStyle w:val="BodyText"/>
        <w:spacing w:before="7"/>
        <w:rPr>
          <w:sz w:val="15"/>
        </w:rPr>
      </w:pPr>
    </w:p>
    <w:p>
      <w:pPr>
        <w:pStyle w:val="BodyText"/>
        <w:spacing w:line="417" w:lineRule="auto"/>
        <w:ind w:left="120" w:right="311" w:firstLine="419"/>
      </w:pPr>
      <w:r>
        <w:rPr>
          <w:spacing w:val="-6"/>
        </w:rPr>
        <w:t>本项保险责任为可选保险责任。若您投保时选择了第二次心脑血管特定疾病保险金，我</w:t>
      </w:r>
      <w:r>
        <w:rPr>
          <w:spacing w:val="-2"/>
        </w:rPr>
        <w:t>们还将承担如下责任：</w:t>
      </w:r>
    </w:p>
    <w:p>
      <w:pPr>
        <w:pStyle w:val="BodyText"/>
        <w:spacing w:line="417" w:lineRule="auto"/>
        <w:ind w:left="120" w:right="102" w:firstLine="419"/>
        <w:rPr>
          <w:rFonts w:ascii="黑体" w:eastAsia="黑体"/>
        </w:rPr>
      </w:pPr>
      <w:r>
        <w:rPr/>
        <w:t>若被保险人因意外伤害，或者被保险人于本合同生效（或最后一次复效）</w:t>
      </w:r>
      <w:r>
        <w:rPr>
          <w:spacing w:val="10"/>
        </w:rPr>
        <w:t>之日起 </w:t>
      </w:r>
      <w:r>
        <w:rPr>
          <w:rFonts w:ascii="Calibri" w:eastAsia="Calibri"/>
        </w:rPr>
        <w:t>180</w:t>
      </w:r>
      <w:r>
        <w:rPr>
          <w:rFonts w:ascii="Calibri" w:eastAsia="Calibri"/>
          <w:spacing w:val="80"/>
        </w:rPr>
        <w:t> </w:t>
      </w:r>
      <w:r>
        <w:rPr>
          <w:spacing w:val="-8"/>
        </w:rPr>
        <w:t>日后因意外伤害以外的原因导致的，首次发生并由我们认可医院的专科医生初次确诊为本合</w:t>
      </w:r>
      <w:r>
        <w:rPr>
          <w:spacing w:val="40"/>
        </w:rPr>
        <w:t> </w:t>
      </w:r>
      <w:r>
        <w:rPr>
          <w:spacing w:val="-9"/>
        </w:rPr>
        <w:t>同所定义的心脑血管特定疾病，</w:t>
      </w:r>
      <w:r>
        <w:rPr>
          <w:rFonts w:ascii="黑体" w:eastAsia="黑体"/>
          <w:spacing w:val="-2"/>
        </w:rPr>
        <w:t>且针对该疾病我们已经按本合同约定给付重大疾病保险金后，自心脑血管特定疾病确诊之日起满 </w:t>
      </w:r>
      <w:r>
        <w:rPr>
          <w:rFonts w:ascii="黑体" w:eastAsia="黑体"/>
        </w:rPr>
        <w:t>3</w:t>
      </w:r>
      <w:r>
        <w:rPr>
          <w:rFonts w:ascii="黑体" w:eastAsia="黑体"/>
          <w:spacing w:val="-12"/>
        </w:rPr>
        <w:t> 年后，发生并由我们认可医院的专科医生再次确诊为同</w:t>
      </w:r>
      <w:r>
        <w:rPr>
          <w:rFonts w:ascii="黑体" w:eastAsia="黑体"/>
        </w:rPr>
        <w:t> </w:t>
      </w:r>
      <w:r>
        <w:rPr>
          <w:rFonts w:ascii="黑体" w:eastAsia="黑体"/>
          <w:spacing w:val="-11"/>
        </w:rPr>
        <w:t>一种心脑血管特定疾病，我们按本合同约定的基本保险金额给付第二次心脑血管特定疾病保</w:t>
      </w:r>
      <w:r>
        <w:rPr>
          <w:rFonts w:ascii="黑体" w:eastAsia="黑体"/>
          <w:spacing w:val="40"/>
        </w:rPr>
        <w:t> </w:t>
      </w:r>
      <w:r>
        <w:rPr>
          <w:rFonts w:ascii="黑体" w:eastAsia="黑体"/>
          <w:spacing w:val="-2"/>
        </w:rPr>
        <w:t>险金，本项保险责任效力终止。</w:t>
      </w:r>
    </w:p>
    <w:p>
      <w:pPr>
        <w:pStyle w:val="BodyText"/>
        <w:spacing w:line="417" w:lineRule="auto"/>
        <w:ind w:left="120" w:right="314" w:firstLine="419"/>
        <w:rPr>
          <w:rFonts w:ascii="黑体" w:hAnsi="黑体" w:eastAsia="黑体"/>
        </w:rPr>
      </w:pPr>
      <w:r>
        <w:rPr>
          <w:rFonts w:ascii="黑体" w:hAnsi="黑体" w:eastAsia="黑体"/>
          <w:spacing w:val="-2"/>
        </w:rPr>
        <w:t>再次确诊的较重急性心肌梗死需提供新的心肌酶异常结果或心电图的新进典型改变而</w:t>
      </w:r>
      <w:r>
        <w:rPr>
          <w:rFonts w:ascii="黑体" w:hAnsi="黑体" w:eastAsia="黑体"/>
          <w:spacing w:val="-2"/>
        </w:rPr>
        <w:t>非陈旧异常，并符合本合同重大疾病中“较重急性心肌梗死”的定义条件。</w:t>
      </w:r>
    </w:p>
    <w:p>
      <w:pPr>
        <w:pStyle w:val="BodyText"/>
        <w:spacing w:line="417" w:lineRule="auto"/>
        <w:ind w:left="120" w:right="316" w:firstLine="419"/>
        <w:rPr>
          <w:rFonts w:ascii="黑体" w:hAnsi="黑体" w:eastAsia="黑体"/>
        </w:rPr>
      </w:pPr>
      <w:r>
        <w:rPr>
          <w:rFonts w:ascii="黑体" w:hAnsi="黑体" w:eastAsia="黑体"/>
          <w:spacing w:val="-2"/>
        </w:rPr>
        <w:t>再次确诊的严重脑中风后遗症须经颅脑显影或其他影像学检查结果证实为新一次的脑</w:t>
      </w:r>
      <w:r>
        <w:rPr>
          <w:rFonts w:ascii="黑体" w:hAnsi="黑体" w:eastAsia="黑体"/>
          <w:spacing w:val="-2"/>
        </w:rPr>
        <w:t>中风发作而非陈旧异常，并符合本合同重大疾病中“严重脑中风后遗症”的定义条件。</w:t>
      </w:r>
    </w:p>
    <w:p>
      <w:pPr>
        <w:pStyle w:val="BodyText"/>
        <w:spacing w:line="269" w:lineRule="exact"/>
        <w:ind w:left="540"/>
        <w:rPr>
          <w:rFonts w:ascii="黑体" w:eastAsia="黑体"/>
        </w:rPr>
      </w:pPr>
      <w:r>
        <w:rPr>
          <w:rFonts w:ascii="黑体" w:eastAsia="黑体"/>
          <w:spacing w:val="-3"/>
        </w:rPr>
        <w:t>本合同第二次心脑血管特定疾病保险金的累计给付次数以一次为限。</w:t>
      </w:r>
    </w:p>
    <w:p>
      <w:pPr>
        <w:pStyle w:val="BodyText"/>
        <w:rPr>
          <w:rFonts w:ascii="黑体"/>
          <w:sz w:val="20"/>
        </w:rPr>
      </w:pPr>
    </w:p>
    <w:p>
      <w:pPr>
        <w:pStyle w:val="BodyText"/>
        <w:rPr>
          <w:rFonts w:ascii="黑体"/>
          <w:sz w:val="20"/>
        </w:rPr>
      </w:pPr>
    </w:p>
    <w:p>
      <w:pPr>
        <w:pStyle w:val="Heading2"/>
        <w:numPr>
          <w:ilvl w:val="0"/>
          <w:numId w:val="2"/>
        </w:numPr>
        <w:tabs>
          <w:tab w:pos="481" w:val="left" w:leader="none"/>
        </w:tabs>
        <w:spacing w:line="240" w:lineRule="auto" w:before="154" w:after="0"/>
        <w:ind w:left="480" w:right="0" w:hanging="361"/>
        <w:jc w:val="both"/>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6"/>
        <w:rPr>
          <w:rFonts w:ascii="黑体"/>
          <w:b/>
          <w:sz w:val="15"/>
        </w:rPr>
      </w:pPr>
    </w:p>
    <w:p>
      <w:pPr>
        <w:pStyle w:val="BodyText"/>
        <w:spacing w:line="417" w:lineRule="auto" w:before="1"/>
        <w:ind w:left="120" w:right="210" w:firstLine="472"/>
        <w:jc w:val="both"/>
        <w:rPr>
          <w:rFonts w:ascii="黑体" w:hAnsi="黑体" w:eastAsia="黑体"/>
        </w:rPr>
      </w:pPr>
      <w:r>
        <w:rPr>
          <w:rFonts w:ascii="黑体" w:hAnsi="黑体" w:eastAsia="黑体"/>
          <w:w w:val="100"/>
        </w:rPr>
        <w:t>因下列第</w:t>
      </w:r>
      <w:r>
        <w:rPr>
          <w:rFonts w:ascii="黑体" w:hAnsi="黑体" w:eastAsia="黑体"/>
          <w:spacing w:val="2"/>
          <w:w w:val="100"/>
        </w:rPr>
        <w:t>（</w:t>
      </w:r>
      <w:r>
        <w:rPr>
          <w:rFonts w:ascii="黑体" w:hAnsi="黑体" w:eastAsia="黑体"/>
          <w:w w:val="100"/>
        </w:rPr>
        <w:t>1）至第</w:t>
      </w:r>
      <w:r>
        <w:rPr>
          <w:rFonts w:ascii="黑体" w:hAnsi="黑体" w:eastAsia="黑体"/>
          <w:spacing w:val="3"/>
          <w:w w:val="100"/>
        </w:rPr>
        <w:t>（</w:t>
      </w:r>
      <w:r>
        <w:rPr>
          <w:rFonts w:ascii="黑体" w:hAnsi="黑体" w:eastAsia="黑体"/>
          <w:w w:val="100"/>
        </w:rPr>
        <w:t>7）项情形之一导致被保险人身故或全残的，我们不承担给付身</w:t>
      </w:r>
      <w:r>
        <w:rPr>
          <w:rFonts w:ascii="黑体" w:hAnsi="黑体" w:eastAsia="黑体"/>
          <w:spacing w:val="-6"/>
          <w:w w:val="100"/>
        </w:rPr>
        <w:t>故保险金或全残保险金的责任；因下列第</w:t>
      </w:r>
      <w:r>
        <w:rPr>
          <w:rFonts w:ascii="黑体" w:hAnsi="黑体" w:eastAsia="黑体"/>
          <w:w w:val="100"/>
        </w:rPr>
        <w:t>（1</w:t>
      </w:r>
      <w:r>
        <w:rPr>
          <w:rFonts w:ascii="黑体" w:hAnsi="黑体" w:eastAsia="黑体"/>
          <w:spacing w:val="-22"/>
          <w:w w:val="100"/>
        </w:rPr>
        <w:t>）</w:t>
      </w:r>
      <w:r>
        <w:rPr>
          <w:rFonts w:ascii="黑体" w:hAnsi="黑体" w:eastAsia="黑体"/>
          <w:spacing w:val="-11"/>
          <w:w w:val="100"/>
        </w:rPr>
        <w:t>至第</w:t>
      </w:r>
      <w:r>
        <w:rPr>
          <w:rFonts w:ascii="黑体" w:hAnsi="黑体" w:eastAsia="黑体"/>
          <w:w w:val="100"/>
        </w:rPr>
        <w:t>（9</w:t>
      </w:r>
      <w:r>
        <w:rPr>
          <w:rFonts w:ascii="黑体" w:hAnsi="黑体" w:eastAsia="黑体"/>
          <w:spacing w:val="-20"/>
          <w:w w:val="100"/>
        </w:rPr>
        <w:t>）</w:t>
      </w:r>
      <w:r>
        <w:rPr>
          <w:rFonts w:ascii="黑体" w:hAnsi="黑体" w:eastAsia="黑体"/>
          <w:spacing w:val="-3"/>
          <w:w w:val="100"/>
        </w:rPr>
        <w:t>项情形之一导致被保险人确诊本合</w:t>
      </w:r>
      <w:r>
        <w:rPr>
          <w:rFonts w:ascii="黑体" w:hAnsi="黑体" w:eastAsia="黑体"/>
          <w:spacing w:val="-9"/>
          <w:w w:val="100"/>
        </w:rPr>
        <w:t>同所定义的重大疾病、中症疾病、轻症疾病、少儿特定疾病、“恶性肿瘤——重度”、心脑</w:t>
      </w:r>
      <w:r>
        <w:rPr>
          <w:rFonts w:ascii="黑体" w:hAnsi="黑体" w:eastAsia="黑体"/>
          <w:spacing w:val="-4"/>
          <w:w w:val="100"/>
        </w:rPr>
        <w:t>血管特定疾病、达到疾病终末期阶段的，我们不承担给付相应保险金或豁免保险费的责任：</w:t>
      </w:r>
    </w:p>
    <w:p>
      <w:pPr>
        <w:pStyle w:val="ListParagraph"/>
        <w:numPr>
          <w:ilvl w:val="0"/>
          <w:numId w:val="4"/>
        </w:numPr>
        <w:tabs>
          <w:tab w:pos="1107" w:val="left" w:leader="none"/>
        </w:tabs>
        <w:spacing w:line="417" w:lineRule="auto" w:before="0" w:after="0"/>
        <w:ind w:left="1106" w:right="311" w:hanging="567"/>
        <w:jc w:val="both"/>
        <w:rPr>
          <w:rFonts w:ascii="黑体" w:eastAsia="黑体"/>
          <w:sz w:val="21"/>
        </w:rPr>
      </w:pPr>
      <w:r>
        <w:rPr>
          <w:rFonts w:ascii="黑体" w:eastAsia="黑体"/>
          <w:spacing w:val="-5"/>
          <w:sz w:val="21"/>
        </w:rPr>
        <w:t>被保险人故意自伤、或自本合同成立或者本合同效力恢复之日起 </w:t>
      </w:r>
      <w:r>
        <w:rPr>
          <w:rFonts w:ascii="黑体" w:eastAsia="黑体"/>
          <w:spacing w:val="-4"/>
          <w:sz w:val="21"/>
        </w:rPr>
        <w:t>2</w:t>
      </w:r>
      <w:r>
        <w:rPr>
          <w:rFonts w:ascii="黑体" w:eastAsia="黑体"/>
          <w:spacing w:val="-7"/>
          <w:sz w:val="21"/>
        </w:rPr>
        <w:t> 年内自杀，但</w:t>
      </w:r>
      <w:r>
        <w:rPr>
          <w:rFonts w:ascii="黑体" w:eastAsia="黑体"/>
          <w:spacing w:val="-2"/>
          <w:sz w:val="21"/>
        </w:rPr>
        <w:t>被保险人自杀时为无民事行为能力人的除外；</w:t>
      </w:r>
    </w:p>
    <w:p>
      <w:pPr>
        <w:pStyle w:val="ListParagraph"/>
        <w:numPr>
          <w:ilvl w:val="0"/>
          <w:numId w:val="4"/>
        </w:numPr>
        <w:tabs>
          <w:tab w:pos="1107" w:val="left" w:leader="none"/>
        </w:tabs>
        <w:spacing w:line="269" w:lineRule="exact" w:before="0" w:after="0"/>
        <w:ind w:left="1106" w:right="0" w:hanging="567"/>
        <w:jc w:val="both"/>
        <w:rPr>
          <w:rFonts w:ascii="黑体" w:eastAsia="黑体"/>
          <w:sz w:val="21"/>
        </w:rPr>
      </w:pPr>
      <w:r>
        <w:rPr>
          <w:rFonts w:ascii="黑体" w:eastAsia="黑体"/>
          <w:spacing w:val="-3"/>
          <w:sz w:val="21"/>
        </w:rPr>
        <w:t>投保人对被保险人的故意杀害、故意伤害；</w:t>
      </w:r>
    </w:p>
    <w:p>
      <w:pPr>
        <w:spacing w:after="0" w:line="269" w:lineRule="exact"/>
        <w:jc w:val="both"/>
        <w:rPr>
          <w:rFonts w:ascii="黑体" w:eastAsia="黑体"/>
          <w:sz w:val="21"/>
        </w:rPr>
        <w:sectPr>
          <w:pgSz w:w="11910" w:h="16840"/>
          <w:pgMar w:header="0" w:footer="1005" w:top="1460" w:bottom="1200" w:left="1680" w:right="1480"/>
        </w:sectPr>
      </w:pPr>
    </w:p>
    <w:p>
      <w:pPr>
        <w:pStyle w:val="ListParagraph"/>
        <w:numPr>
          <w:ilvl w:val="0"/>
          <w:numId w:val="4"/>
        </w:numPr>
        <w:tabs>
          <w:tab w:pos="1107" w:val="left" w:leader="none"/>
        </w:tabs>
        <w:spacing w:line="240" w:lineRule="auto" w:before="61" w:after="0"/>
        <w:ind w:left="1106" w:right="0" w:hanging="567"/>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ListParagraph"/>
        <w:numPr>
          <w:ilvl w:val="0"/>
          <w:numId w:val="4"/>
        </w:numPr>
        <w:tabs>
          <w:tab w:pos="1107" w:val="left" w:leader="none"/>
        </w:tabs>
        <w:spacing w:line="240" w:lineRule="auto" w:before="0" w:after="0"/>
        <w:ind w:left="1106" w:right="0" w:hanging="567"/>
        <w:jc w:val="left"/>
        <w:rPr>
          <w:rFonts w:ascii="黑体" w:eastAsia="黑体"/>
          <w:sz w:val="21"/>
        </w:rPr>
      </w:pPr>
      <w:r>
        <w:rPr>
          <w:rFonts w:ascii="黑体" w:eastAsia="黑体"/>
          <w:spacing w:val="-2"/>
          <w:sz w:val="21"/>
        </w:rPr>
        <w:t>被保险人服用、吸食或注射</w:t>
      </w:r>
      <w:r>
        <w:rPr>
          <w:rFonts w:ascii="黑体" w:eastAsia="黑体" w:hint="eastAsia"/>
          <w:b/>
          <w:spacing w:val="-2"/>
          <w:sz w:val="21"/>
        </w:rPr>
        <w:t>毒品</w:t>
      </w:r>
      <w:r>
        <w:rPr>
          <w:rFonts w:ascii="黑体" w:eastAsia="黑体"/>
          <w:spacing w:val="-2"/>
          <w:sz w:val="21"/>
        </w:rPr>
        <w:t>（</w:t>
      </w:r>
      <w:r>
        <w:rPr>
          <w:rFonts w:ascii="黑体" w:eastAsia="黑体"/>
          <w:spacing w:val="-16"/>
          <w:sz w:val="21"/>
        </w:rPr>
        <w:t>释义 </w:t>
      </w:r>
      <w:r>
        <w:rPr>
          <w:rFonts w:ascii="黑体" w:eastAsia="黑体"/>
          <w:spacing w:val="-4"/>
          <w:sz w:val="21"/>
        </w:rPr>
        <w:t>13</w:t>
      </w:r>
      <w:r>
        <w:rPr>
          <w:rFonts w:ascii="黑体" w:eastAsia="黑体"/>
          <w:spacing w:val="-112"/>
          <w:sz w:val="21"/>
        </w:rPr>
        <w:t>）；</w:t>
      </w:r>
    </w:p>
    <w:p>
      <w:pPr>
        <w:pStyle w:val="BodyText"/>
        <w:spacing w:before="7"/>
        <w:rPr>
          <w:rFonts w:ascii="黑体"/>
          <w:sz w:val="15"/>
        </w:rPr>
      </w:pPr>
    </w:p>
    <w:p>
      <w:pPr>
        <w:pStyle w:val="ListParagraph"/>
        <w:numPr>
          <w:ilvl w:val="0"/>
          <w:numId w:val="4"/>
        </w:numPr>
        <w:tabs>
          <w:tab w:pos="1107" w:val="left" w:leader="none"/>
        </w:tabs>
        <w:spacing w:line="240" w:lineRule="auto" w:before="0" w:after="0"/>
        <w:ind w:left="1106" w:right="0" w:hanging="567"/>
        <w:jc w:val="left"/>
        <w:rPr>
          <w:rFonts w:ascii="黑体" w:eastAsia="黑体"/>
          <w:sz w:val="21"/>
        </w:rPr>
      </w:pPr>
      <w:r>
        <w:rPr>
          <w:rFonts w:ascii="黑体" w:eastAsia="黑体"/>
          <w:spacing w:val="-3"/>
          <w:sz w:val="21"/>
        </w:rPr>
        <w:t>战争、军事冲突、暴乱或武装叛乱；</w:t>
      </w:r>
    </w:p>
    <w:p>
      <w:pPr>
        <w:pStyle w:val="BodyText"/>
        <w:spacing w:before="6"/>
        <w:rPr>
          <w:rFonts w:ascii="黑体"/>
          <w:sz w:val="15"/>
        </w:rPr>
      </w:pPr>
    </w:p>
    <w:p>
      <w:pPr>
        <w:pStyle w:val="ListParagraph"/>
        <w:numPr>
          <w:ilvl w:val="0"/>
          <w:numId w:val="4"/>
        </w:numPr>
        <w:tabs>
          <w:tab w:pos="1107" w:val="left" w:leader="none"/>
        </w:tabs>
        <w:spacing w:line="240" w:lineRule="auto" w:before="1" w:after="0"/>
        <w:ind w:left="1106" w:right="0" w:hanging="567"/>
        <w:jc w:val="left"/>
        <w:rPr>
          <w:rFonts w:ascii="黑体" w:eastAsia="黑体"/>
          <w:sz w:val="21"/>
        </w:rPr>
      </w:pPr>
      <w:r>
        <w:rPr>
          <w:rFonts w:ascii="黑体" w:eastAsia="黑体"/>
          <w:spacing w:val="-3"/>
          <w:sz w:val="21"/>
        </w:rPr>
        <w:t>核爆炸、核辐射或核污染。</w:t>
      </w:r>
    </w:p>
    <w:p>
      <w:pPr>
        <w:pStyle w:val="BodyText"/>
        <w:spacing w:before="6"/>
        <w:rPr>
          <w:rFonts w:ascii="黑体"/>
          <w:sz w:val="15"/>
        </w:rPr>
      </w:pPr>
    </w:p>
    <w:p>
      <w:pPr>
        <w:pStyle w:val="ListParagraph"/>
        <w:numPr>
          <w:ilvl w:val="0"/>
          <w:numId w:val="4"/>
        </w:numPr>
        <w:tabs>
          <w:tab w:pos="1107" w:val="left" w:leader="none"/>
        </w:tabs>
        <w:spacing w:line="417" w:lineRule="auto" w:before="0" w:after="0"/>
        <w:ind w:left="1106" w:right="378" w:hanging="567"/>
        <w:jc w:val="left"/>
        <w:rPr>
          <w:rFonts w:ascii="黑体" w:eastAsia="黑体"/>
          <w:sz w:val="21"/>
        </w:rPr>
      </w:pPr>
      <w:r>
        <w:rPr>
          <w:rFonts w:ascii="黑体" w:eastAsia="黑体"/>
          <w:spacing w:val="-6"/>
          <w:sz w:val="21"/>
        </w:rPr>
        <w:t>被保险人</w:t>
      </w:r>
      <w:r>
        <w:rPr>
          <w:rFonts w:ascii="黑体" w:eastAsia="黑体" w:hint="eastAsia"/>
          <w:b/>
          <w:spacing w:val="-6"/>
          <w:sz w:val="21"/>
        </w:rPr>
        <w:t>酒后驾驶</w:t>
      </w:r>
      <w:r>
        <w:rPr>
          <w:rFonts w:ascii="黑体" w:eastAsia="黑体"/>
          <w:spacing w:val="-6"/>
          <w:sz w:val="21"/>
        </w:rPr>
        <w:t>（</w:t>
      </w:r>
      <w:r>
        <w:rPr>
          <w:rFonts w:ascii="黑体" w:eastAsia="黑体"/>
          <w:spacing w:val="-23"/>
          <w:sz w:val="21"/>
        </w:rPr>
        <w:t>释义 </w:t>
      </w:r>
      <w:r>
        <w:rPr>
          <w:rFonts w:ascii="黑体" w:eastAsia="黑体"/>
          <w:spacing w:val="21"/>
          <w:sz w:val="21"/>
        </w:rPr>
        <w:t>14</w:t>
      </w:r>
      <w:r>
        <w:rPr>
          <w:rFonts w:ascii="黑体" w:eastAsia="黑体"/>
          <w:spacing w:val="-85"/>
          <w:sz w:val="21"/>
        </w:rPr>
        <w:t>）</w:t>
      </w:r>
      <w:r>
        <w:rPr>
          <w:rFonts w:ascii="黑体" w:eastAsia="黑体"/>
          <w:spacing w:val="18"/>
          <w:sz w:val="21"/>
        </w:rPr>
        <w:t>，</w:t>
      </w:r>
      <w:r>
        <w:rPr>
          <w:rFonts w:ascii="黑体" w:eastAsia="黑体" w:hint="eastAsia"/>
          <w:b/>
          <w:spacing w:val="-6"/>
          <w:sz w:val="21"/>
        </w:rPr>
        <w:t>无合法有效驾驶证驾驶</w:t>
      </w:r>
      <w:r>
        <w:rPr>
          <w:rFonts w:ascii="黑体" w:eastAsia="黑体"/>
          <w:spacing w:val="-6"/>
          <w:sz w:val="21"/>
        </w:rPr>
        <w:t>（</w:t>
      </w:r>
      <w:r>
        <w:rPr>
          <w:rFonts w:ascii="黑体" w:eastAsia="黑体"/>
          <w:spacing w:val="-22"/>
          <w:sz w:val="21"/>
        </w:rPr>
        <w:t>释义 </w:t>
      </w:r>
      <w:r>
        <w:rPr>
          <w:rFonts w:ascii="黑体" w:eastAsia="黑体"/>
          <w:spacing w:val="21"/>
          <w:sz w:val="21"/>
        </w:rPr>
        <w:t>15</w:t>
      </w:r>
      <w:r>
        <w:rPr>
          <w:rFonts w:ascii="黑体" w:eastAsia="黑体"/>
          <w:spacing w:val="-87"/>
          <w:sz w:val="21"/>
        </w:rPr>
        <w:t>）</w:t>
      </w:r>
      <w:r>
        <w:rPr>
          <w:rFonts w:ascii="黑体" w:eastAsia="黑体"/>
          <w:sz w:val="21"/>
        </w:rPr>
        <w:t>，或驾驶</w:t>
      </w:r>
      <w:r>
        <w:rPr>
          <w:rFonts w:ascii="黑体" w:eastAsia="黑体" w:hint="eastAsia"/>
          <w:b/>
          <w:spacing w:val="-6"/>
          <w:sz w:val="21"/>
        </w:rPr>
        <w:t>无合</w:t>
      </w:r>
      <w:r>
        <w:rPr>
          <w:rFonts w:ascii="黑体" w:eastAsia="黑体" w:hint="eastAsia"/>
          <w:b/>
          <w:sz w:val="21"/>
        </w:rPr>
        <w:t>法有效行驶证</w:t>
      </w:r>
      <w:r>
        <w:rPr>
          <w:rFonts w:ascii="黑体" w:eastAsia="黑体"/>
          <w:sz w:val="21"/>
        </w:rPr>
        <w:t>（</w:t>
      </w:r>
      <w:r>
        <w:rPr>
          <w:rFonts w:ascii="黑体" w:eastAsia="黑体"/>
          <w:spacing w:val="-15"/>
          <w:sz w:val="21"/>
        </w:rPr>
        <w:t>释义 </w:t>
      </w:r>
      <w:r>
        <w:rPr>
          <w:rFonts w:ascii="黑体" w:eastAsia="黑体"/>
          <w:sz w:val="21"/>
        </w:rPr>
        <w:t>16）的机动车；</w:t>
      </w:r>
    </w:p>
    <w:p>
      <w:pPr>
        <w:pStyle w:val="ListParagraph"/>
        <w:numPr>
          <w:ilvl w:val="0"/>
          <w:numId w:val="4"/>
        </w:numPr>
        <w:tabs>
          <w:tab w:pos="1107" w:val="left" w:leader="none"/>
        </w:tabs>
        <w:spacing w:line="417" w:lineRule="auto" w:before="0" w:after="0"/>
        <w:ind w:left="1106" w:right="388" w:hanging="567"/>
        <w:jc w:val="left"/>
        <w:rPr>
          <w:rFonts w:ascii="黑体" w:hAnsi="黑体" w:eastAsia="黑体"/>
          <w:sz w:val="21"/>
        </w:rPr>
      </w:pPr>
      <w:r>
        <w:rPr>
          <w:rFonts w:ascii="黑体" w:hAnsi="黑体" w:eastAsia="黑体"/>
          <w:sz w:val="21"/>
        </w:rPr>
        <w:t>被保险人感染艾滋病病毒或患艾滋病（</w:t>
      </w:r>
      <w:r>
        <w:rPr>
          <w:rFonts w:ascii="黑体" w:hAnsi="黑体" w:eastAsia="黑体"/>
          <w:spacing w:val="-4"/>
          <w:sz w:val="21"/>
        </w:rPr>
        <w:t>本合同“重大疾病定义”中第 </w:t>
      </w:r>
      <w:r>
        <w:rPr>
          <w:rFonts w:ascii="黑体" w:hAnsi="黑体" w:eastAsia="黑体"/>
          <w:sz w:val="21"/>
        </w:rPr>
        <w:t>46</w:t>
      </w:r>
      <w:r>
        <w:rPr>
          <w:rFonts w:ascii="黑体" w:hAnsi="黑体" w:eastAsia="黑体"/>
          <w:spacing w:val="-14"/>
          <w:sz w:val="21"/>
        </w:rPr>
        <w:t> 种、第</w:t>
      </w:r>
      <w:r>
        <w:rPr>
          <w:rFonts w:ascii="黑体" w:hAnsi="黑体" w:eastAsia="黑体"/>
          <w:sz w:val="21"/>
        </w:rPr>
        <w:t> 82</w:t>
      </w:r>
      <w:r>
        <w:rPr>
          <w:rFonts w:ascii="黑体" w:hAnsi="黑体" w:eastAsia="黑体"/>
          <w:spacing w:val="-7"/>
          <w:sz w:val="21"/>
        </w:rPr>
        <w:t> 种及第 </w:t>
      </w:r>
      <w:r>
        <w:rPr>
          <w:rFonts w:ascii="黑体" w:hAnsi="黑体" w:eastAsia="黑体"/>
          <w:sz w:val="21"/>
        </w:rPr>
        <w:t>97</w:t>
      </w:r>
      <w:r>
        <w:rPr>
          <w:rFonts w:ascii="黑体" w:hAnsi="黑体" w:eastAsia="黑体"/>
          <w:spacing w:val="-4"/>
          <w:sz w:val="21"/>
        </w:rPr>
        <w:t> 种重大疾病除外</w:t>
      </w:r>
      <w:r>
        <w:rPr>
          <w:rFonts w:ascii="黑体" w:hAnsi="黑体" w:eastAsia="黑体"/>
          <w:spacing w:val="-108"/>
          <w:sz w:val="21"/>
        </w:rPr>
        <w:t>）</w:t>
      </w:r>
      <w:r>
        <w:rPr>
          <w:rFonts w:ascii="黑体" w:hAnsi="黑体" w:eastAsia="黑体"/>
          <w:sz w:val="21"/>
        </w:rPr>
        <w:t>；</w:t>
      </w:r>
    </w:p>
    <w:p>
      <w:pPr>
        <w:pStyle w:val="ListParagraph"/>
        <w:numPr>
          <w:ilvl w:val="0"/>
          <w:numId w:val="4"/>
        </w:numPr>
        <w:tabs>
          <w:tab w:pos="1220" w:val="left" w:leader="none"/>
        </w:tabs>
        <w:spacing w:line="269" w:lineRule="exact" w:before="0" w:after="0"/>
        <w:ind w:left="1219" w:right="0" w:hanging="680"/>
        <w:jc w:val="left"/>
        <w:rPr>
          <w:rFonts w:ascii="黑体" w:eastAsia="黑体"/>
          <w:sz w:val="21"/>
        </w:rPr>
      </w:pPr>
      <w:r>
        <w:rPr>
          <w:rFonts w:ascii="黑体" w:eastAsia="黑体" w:hint="eastAsia"/>
          <w:b/>
          <w:spacing w:val="-8"/>
          <w:sz w:val="21"/>
        </w:rPr>
        <w:t>遗传性疾病</w:t>
      </w:r>
      <w:r>
        <w:rPr>
          <w:rFonts w:ascii="黑体" w:eastAsia="黑体"/>
          <w:spacing w:val="-8"/>
          <w:sz w:val="21"/>
        </w:rPr>
        <w:t>（</w:t>
      </w:r>
      <w:r>
        <w:rPr>
          <w:rFonts w:ascii="黑体" w:eastAsia="黑体"/>
          <w:spacing w:val="-20"/>
          <w:sz w:val="21"/>
        </w:rPr>
        <w:t>释义 </w:t>
      </w:r>
      <w:r>
        <w:rPr>
          <w:rFonts w:ascii="黑体" w:eastAsia="黑体"/>
          <w:spacing w:val="19"/>
          <w:sz w:val="21"/>
        </w:rPr>
        <w:t>17</w:t>
      </w:r>
      <w:r>
        <w:rPr>
          <w:rFonts w:ascii="黑体" w:eastAsia="黑体"/>
          <w:spacing w:val="-89"/>
          <w:sz w:val="21"/>
        </w:rPr>
        <w:t>）</w:t>
      </w:r>
      <w:r>
        <w:rPr>
          <w:rFonts w:ascii="黑体" w:eastAsia="黑体"/>
          <w:spacing w:val="16"/>
          <w:sz w:val="21"/>
        </w:rPr>
        <w:t>，</w:t>
      </w:r>
      <w:r>
        <w:rPr>
          <w:rFonts w:ascii="黑体" w:eastAsia="黑体" w:hint="eastAsia"/>
          <w:b/>
          <w:spacing w:val="-8"/>
          <w:sz w:val="21"/>
        </w:rPr>
        <w:t>先天性畸形、变形或染色体异常</w:t>
      </w:r>
      <w:r>
        <w:rPr>
          <w:rFonts w:ascii="黑体" w:eastAsia="黑体"/>
          <w:spacing w:val="-8"/>
          <w:sz w:val="21"/>
        </w:rPr>
        <w:t>（</w:t>
      </w:r>
      <w:r>
        <w:rPr>
          <w:rFonts w:ascii="黑体" w:eastAsia="黑体"/>
          <w:spacing w:val="-18"/>
          <w:sz w:val="21"/>
        </w:rPr>
        <w:t>释义 </w:t>
      </w:r>
      <w:r>
        <w:rPr>
          <w:rFonts w:ascii="黑体" w:eastAsia="黑体"/>
          <w:spacing w:val="25"/>
          <w:sz w:val="21"/>
        </w:rPr>
        <w:t>1</w:t>
      </w:r>
      <w:r>
        <w:rPr>
          <w:rFonts w:ascii="黑体" w:eastAsia="黑体"/>
          <w:spacing w:val="28"/>
          <w:sz w:val="21"/>
        </w:rPr>
        <w:t>8</w:t>
      </w:r>
      <w:r>
        <w:rPr>
          <w:rFonts w:ascii="黑体" w:eastAsia="黑体"/>
          <w:spacing w:val="-78"/>
          <w:sz w:val="21"/>
        </w:rPr>
        <w:t>）</w:t>
      </w:r>
      <w:r>
        <w:rPr>
          <w:rFonts w:ascii="黑体" w:eastAsia="黑体"/>
          <w:spacing w:val="-116"/>
          <w:sz w:val="21"/>
        </w:rPr>
        <w:t>。</w:t>
      </w:r>
    </w:p>
    <w:p>
      <w:pPr>
        <w:pStyle w:val="BodyText"/>
        <w:spacing w:before="7"/>
        <w:rPr>
          <w:rFonts w:ascii="黑体"/>
          <w:sz w:val="15"/>
        </w:rPr>
      </w:pPr>
    </w:p>
    <w:p>
      <w:pPr>
        <w:pStyle w:val="BodyText"/>
        <w:spacing w:line="417" w:lineRule="auto"/>
        <w:ind w:left="120" w:right="323" w:firstLine="419"/>
        <w:rPr>
          <w:rFonts w:ascii="黑体" w:eastAsia="黑体"/>
        </w:rPr>
      </w:pPr>
      <w:r>
        <w:rPr>
          <w:rFonts w:ascii="黑体" w:eastAsia="黑体"/>
          <w:spacing w:val="-2"/>
        </w:rPr>
        <w:t>发生上述第（2）项情形导致被保险人身故的，本合同效力终止，我们向被保险人的继</w:t>
      </w:r>
      <w:r>
        <w:rPr>
          <w:rFonts w:ascii="黑体" w:eastAsia="黑体"/>
          <w:spacing w:val="-2"/>
        </w:rPr>
        <w:t>承人退还本合同终止时的保单现金价值。</w:t>
      </w:r>
    </w:p>
    <w:p>
      <w:pPr>
        <w:pStyle w:val="BodyText"/>
        <w:spacing w:line="417" w:lineRule="auto"/>
        <w:ind w:left="120" w:right="325" w:firstLine="419"/>
        <w:rPr>
          <w:rFonts w:ascii="黑体" w:eastAsia="黑体"/>
        </w:rPr>
      </w:pPr>
      <w:r>
        <w:rPr>
          <w:rFonts w:ascii="黑体" w:eastAsia="黑体"/>
          <w:spacing w:val="-2"/>
        </w:rPr>
        <w:t>发生上述第（2）项情形导致被保险人全残的，本合同效力终止，我们向被保险人本人</w:t>
      </w:r>
      <w:r>
        <w:rPr>
          <w:rFonts w:ascii="黑体" w:eastAsia="黑体"/>
          <w:spacing w:val="-2"/>
        </w:rPr>
        <w:t>退还本合同终止时的保单现金价值。</w:t>
      </w:r>
    </w:p>
    <w:p>
      <w:pPr>
        <w:pStyle w:val="BodyText"/>
        <w:spacing w:line="417" w:lineRule="auto"/>
        <w:ind w:left="120" w:right="325" w:firstLine="419"/>
        <w:rPr>
          <w:rFonts w:ascii="黑体" w:eastAsia="黑体"/>
        </w:rPr>
      </w:pPr>
      <w:r>
        <w:rPr>
          <w:rFonts w:ascii="黑体" w:eastAsia="黑体"/>
          <w:spacing w:val="-2"/>
        </w:rPr>
        <w:t>发生上述第（1）项以及第（3）至第（7）项中任一情形导致被保险人身故或全残的，</w:t>
      </w:r>
      <w:r>
        <w:rPr>
          <w:rFonts w:ascii="黑体" w:eastAsia="黑体"/>
          <w:spacing w:val="-2"/>
        </w:rPr>
        <w:t>本合同效力终止，我们向您退还本合同终止时的保单现金价值。</w:t>
      </w:r>
    </w:p>
    <w:p>
      <w:pPr>
        <w:pStyle w:val="BodyText"/>
        <w:spacing w:line="417" w:lineRule="auto"/>
        <w:ind w:left="120" w:right="210" w:firstLine="419"/>
        <w:rPr>
          <w:rFonts w:ascii="黑体" w:hAnsi="黑体" w:eastAsia="黑体"/>
        </w:rPr>
      </w:pPr>
      <w:r>
        <w:rPr>
          <w:rFonts w:ascii="黑体" w:hAnsi="黑体" w:eastAsia="黑体"/>
          <w:spacing w:val="-2"/>
        </w:rPr>
        <w:t>发生上述第（1）至第（9）项中任一情形导致被保险人确诊本合同所定义的重大疾病、</w:t>
      </w:r>
      <w:r>
        <w:rPr>
          <w:rFonts w:ascii="黑体" w:hAnsi="黑体" w:eastAsia="黑体"/>
          <w:spacing w:val="-2"/>
        </w:rPr>
        <w:t>中症疾病、轻症疾病、少儿特定疾病、“恶性肿瘤——重度”、心脑血管特定疾病或达到疾</w:t>
      </w:r>
      <w:r>
        <w:rPr>
          <w:rFonts w:ascii="黑体" w:hAnsi="黑体" w:eastAsia="黑体"/>
          <w:spacing w:val="-2"/>
        </w:rPr>
        <w:t>病终末期阶段的，本合同继续有效。</w:t>
      </w:r>
    </w:p>
    <w:p>
      <w:pPr>
        <w:pStyle w:val="BodyText"/>
        <w:rPr>
          <w:rFonts w:ascii="黑体"/>
          <w:sz w:val="20"/>
        </w:rPr>
      </w:pPr>
    </w:p>
    <w:p>
      <w:pPr>
        <w:pStyle w:val="Heading2"/>
        <w:numPr>
          <w:ilvl w:val="0"/>
          <w:numId w:val="2"/>
        </w:numPr>
        <w:tabs>
          <w:tab w:pos="481" w:val="left" w:leader="none"/>
        </w:tabs>
        <w:spacing w:line="240" w:lineRule="auto" w:before="144" w:after="0"/>
        <w:ind w:left="480" w:right="0" w:hanging="361"/>
        <w:jc w:val="left"/>
        <w:rPr>
          <w:rFonts w:ascii="Calibri" w:eastAsia="Calibri"/>
        </w:rPr>
      </w:pPr>
      <w:bookmarkStart w:name="_bookmark14" w:id="26"/>
      <w:bookmarkEnd w:id="26"/>
      <w:r>
        <w:rPr>
          <w:b w:val="0"/>
        </w:rPr>
      </w:r>
      <w:bookmarkStart w:name="_bookmark14" w:id="27"/>
      <w:bookmarkEnd w:id="27"/>
      <w:r>
        <w:rPr>
          <w:spacing w:val="-4"/>
        </w:rPr>
        <w:t>受益人</w:t>
      </w:r>
    </w:p>
    <w:p>
      <w:pPr>
        <w:pStyle w:val="ListParagraph"/>
        <w:numPr>
          <w:ilvl w:val="1"/>
          <w:numId w:val="2"/>
        </w:numPr>
        <w:tabs>
          <w:tab w:pos="961" w:val="left" w:leader="none"/>
        </w:tabs>
        <w:spacing w:line="240" w:lineRule="auto" w:before="148" w:after="0"/>
        <w:ind w:left="960" w:right="0" w:hanging="421"/>
        <w:jc w:val="both"/>
        <w:rPr>
          <w:sz w:val="21"/>
        </w:rPr>
      </w:pPr>
      <w:r>
        <w:rPr>
          <w:spacing w:val="-4"/>
          <w:sz w:val="21"/>
        </w:rPr>
        <w:t>身故保险金受益人</w:t>
      </w:r>
    </w:p>
    <w:p>
      <w:pPr>
        <w:pStyle w:val="BodyText"/>
        <w:spacing w:before="6"/>
        <w:rPr>
          <w:sz w:val="15"/>
        </w:rPr>
      </w:pPr>
    </w:p>
    <w:p>
      <w:pPr>
        <w:pStyle w:val="BodyText"/>
        <w:spacing w:line="417" w:lineRule="auto" w:before="1"/>
        <w:ind w:left="120" w:right="3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540" w:right="210"/>
      </w:pPr>
      <w:r>
        <w:rPr>
          <w:spacing w:val="-2"/>
        </w:rPr>
        <w:t>被保险人为无民事行为能力人或限制民事行为能力人的，可以由其监护人指定受益人。</w:t>
      </w:r>
      <w:r>
        <w:rPr>
          <w:spacing w:val="-6"/>
        </w:rPr>
        <w:t>您或被保险人可以变更身故保险金受益人并书面通知我们。我们收到变更受益人的书面</w:t>
      </w:r>
    </w:p>
    <w:p>
      <w:pPr>
        <w:pStyle w:val="BodyText"/>
        <w:ind w:left="120"/>
      </w:pPr>
      <w:r>
        <w:rPr>
          <w:spacing w:val="-3"/>
        </w:rPr>
        <w:t>通知后，在保单或其他保险凭证上批注或附贴批单。</w:t>
      </w:r>
    </w:p>
    <w:p>
      <w:pPr>
        <w:pStyle w:val="BodyText"/>
        <w:spacing w:before="6"/>
        <w:rPr>
          <w:sz w:val="15"/>
        </w:rPr>
      </w:pPr>
    </w:p>
    <w:p>
      <w:pPr>
        <w:pStyle w:val="BodyText"/>
        <w:ind w:left="540"/>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5"/>
        </w:numPr>
        <w:tabs>
          <w:tab w:pos="1070" w:val="left" w:leader="none"/>
        </w:tabs>
        <w:spacing w:line="240" w:lineRule="auto" w:before="1" w:after="0"/>
        <w:ind w:left="1069" w:right="0" w:hanging="530"/>
        <w:jc w:val="left"/>
        <w:rPr>
          <w:sz w:val="21"/>
        </w:rPr>
      </w:pPr>
      <w:r>
        <w:rPr>
          <w:spacing w:val="-3"/>
          <w:sz w:val="21"/>
        </w:rPr>
        <w:t>没有指定受益人，或者受益人指定不明无法确定的；</w:t>
      </w:r>
    </w:p>
    <w:p>
      <w:pPr>
        <w:spacing w:after="0" w:line="240" w:lineRule="auto"/>
        <w:jc w:val="left"/>
        <w:rPr>
          <w:sz w:val="21"/>
        </w:rPr>
        <w:sectPr>
          <w:pgSz w:w="11910" w:h="16840"/>
          <w:pgMar w:header="0" w:footer="1005" w:top="1460" w:bottom="1200" w:left="1680" w:right="1480"/>
        </w:sectPr>
      </w:pPr>
    </w:p>
    <w:p>
      <w:pPr>
        <w:pStyle w:val="ListParagraph"/>
        <w:numPr>
          <w:ilvl w:val="0"/>
          <w:numId w:val="5"/>
        </w:numPr>
        <w:tabs>
          <w:tab w:pos="1070" w:val="left" w:leader="none"/>
        </w:tabs>
        <w:spacing w:line="240" w:lineRule="auto" w:before="61" w:after="0"/>
        <w:ind w:left="1069"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5"/>
        </w:numPr>
        <w:tabs>
          <w:tab w:pos="1070" w:val="left" w:leader="none"/>
        </w:tabs>
        <w:spacing w:line="240" w:lineRule="auto" w:before="0" w:after="0"/>
        <w:ind w:left="1069"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311" w:firstLine="419"/>
      </w:pPr>
      <w:r>
        <w:rPr>
          <w:spacing w:val="-4"/>
        </w:rPr>
        <w:t>受益人与被保险人在同一事件中身故，且不能确定身故先后顺序的，推定受益人身故在</w:t>
      </w:r>
      <w:r>
        <w:rPr>
          <w:spacing w:val="-6"/>
        </w:rPr>
        <w:t>先。</w:t>
      </w:r>
    </w:p>
    <w:p>
      <w:pPr>
        <w:pStyle w:val="ListParagraph"/>
        <w:numPr>
          <w:ilvl w:val="1"/>
          <w:numId w:val="2"/>
        </w:numPr>
        <w:tabs>
          <w:tab w:pos="961" w:val="left" w:leader="none"/>
        </w:tabs>
        <w:spacing w:line="269" w:lineRule="exact" w:before="0" w:after="0"/>
        <w:ind w:left="960" w:right="0" w:hanging="421"/>
        <w:jc w:val="left"/>
        <w:rPr>
          <w:sz w:val="21"/>
        </w:rPr>
      </w:pPr>
      <w:r>
        <w:rPr>
          <w:spacing w:val="-4"/>
          <w:sz w:val="21"/>
        </w:rPr>
        <w:t>其他保险金受益人</w:t>
      </w:r>
    </w:p>
    <w:p>
      <w:pPr>
        <w:pStyle w:val="BodyText"/>
        <w:spacing w:before="6"/>
        <w:rPr>
          <w:sz w:val="15"/>
        </w:rPr>
      </w:pPr>
    </w:p>
    <w:p>
      <w:pPr>
        <w:pStyle w:val="BodyText"/>
        <w:spacing w:line="417" w:lineRule="auto" w:before="1"/>
        <w:ind w:left="120" w:right="311" w:firstLine="419"/>
      </w:pPr>
      <w:r>
        <w:rPr>
          <w:spacing w:val="-4"/>
        </w:rPr>
        <w:t>除另有约定外，重大疾病保险金、首次重大疾病额外保险金、中症疾病保险金、轻症疾</w:t>
      </w:r>
      <w:r>
        <w:rPr>
          <w:spacing w:val="-5"/>
        </w:rPr>
        <w:t>病保险金、少儿特定疾病额外保险金、全残保险金、疾病终末期保险金、第二次“恶性肿瘤</w:t>
      </w:r>
    </w:p>
    <w:p>
      <w:pPr>
        <w:pStyle w:val="BodyText"/>
        <w:spacing w:line="269" w:lineRule="exact"/>
        <w:ind w:left="120"/>
      </w:pPr>
      <w:r>
        <w:rPr>
          <w:spacing w:val="-3"/>
        </w:rPr>
        <w:t>——重度”保险金和第二次心脑血管特定疾病保险金的受益人均为被保险人本人。</w:t>
      </w:r>
    </w:p>
    <w:p>
      <w:pPr>
        <w:pStyle w:val="BodyText"/>
        <w:rPr>
          <w:sz w:val="20"/>
        </w:rPr>
      </w:pPr>
    </w:p>
    <w:p>
      <w:pPr>
        <w:pStyle w:val="BodyText"/>
        <w:rPr>
          <w:sz w:val="20"/>
        </w:rPr>
      </w:pPr>
    </w:p>
    <w:p>
      <w:pPr>
        <w:pStyle w:val="BodyText"/>
        <w:spacing w:line="417" w:lineRule="auto" w:before="155"/>
        <w:ind w:left="120" w:right="311" w:firstLine="419"/>
      </w:pPr>
      <w:r>
        <w:rPr>
          <w:spacing w:val="-4"/>
        </w:rPr>
        <w:t>受益人故意造成被保险人身故、全残、疾病的，或者故意杀害被保险人未遂的，该受益</w:t>
      </w:r>
      <w:r>
        <w:rPr>
          <w:spacing w:val="-2"/>
        </w:rPr>
        <w:t>人丧失受益权。</w:t>
      </w:r>
    </w:p>
    <w:p>
      <w:pPr>
        <w:pStyle w:val="BodyText"/>
        <w:rPr>
          <w:sz w:val="20"/>
        </w:rPr>
      </w:pPr>
    </w:p>
    <w:p>
      <w:pPr>
        <w:pStyle w:val="Heading2"/>
        <w:numPr>
          <w:ilvl w:val="0"/>
          <w:numId w:val="2"/>
        </w:numPr>
        <w:tabs>
          <w:tab w:pos="481" w:val="left" w:leader="none"/>
        </w:tabs>
        <w:spacing w:line="240" w:lineRule="auto" w:before="144" w:after="0"/>
        <w:ind w:left="480" w:right="0" w:hanging="361"/>
        <w:jc w:val="both"/>
        <w:rPr>
          <w:rFonts w:ascii="Calibri" w:eastAsia="Calibri"/>
        </w:rPr>
      </w:pPr>
      <w:bookmarkStart w:name="_bookmark15" w:id="28"/>
      <w:bookmarkEnd w:id="28"/>
      <w:r>
        <w:rPr>
          <w:b w:val="0"/>
        </w:rPr>
      </w:r>
      <w:bookmarkStart w:name="_bookmark15" w:id="29"/>
      <w:bookmarkEnd w:id="29"/>
      <w:r>
        <w:rPr>
          <w:spacing w:val="-2"/>
        </w:rPr>
        <w:t>保险事故的通知</w:t>
      </w:r>
    </w:p>
    <w:p>
      <w:pPr>
        <w:spacing w:line="290" w:lineRule="auto" w:before="81"/>
        <w:ind w:left="120" w:right="311" w:firstLine="419"/>
        <w:jc w:val="both"/>
        <w:rPr>
          <w:rFonts w:ascii="微软雅黑" w:eastAsia="微软雅黑"/>
          <w:b/>
          <w:sz w:val="21"/>
        </w:rPr>
      </w:pPr>
      <w:r>
        <w:rPr>
          <w:spacing w:val="-2"/>
          <w:sz w:val="21"/>
        </w:rPr>
        <w:t>您或受益人应于知道保险事故发生之日起 </w:t>
      </w:r>
      <w:r>
        <w:rPr>
          <w:rFonts w:ascii="Calibri" w:eastAsia="Calibri"/>
          <w:sz w:val="21"/>
        </w:rPr>
        <w:t>10</w:t>
      </w:r>
      <w:r>
        <w:rPr>
          <w:rFonts w:ascii="Calibri" w:eastAsia="Calibri"/>
          <w:spacing w:val="-12"/>
          <w:sz w:val="21"/>
        </w:rPr>
        <w:t> </w:t>
      </w:r>
      <w:r>
        <w:rPr>
          <w:sz w:val="21"/>
        </w:rPr>
        <w:t>日内通知我们。</w:t>
      </w:r>
      <w:r>
        <w:rPr>
          <w:rFonts w:ascii="微软雅黑" w:eastAsia="微软雅黑"/>
          <w:b/>
          <w:sz w:val="21"/>
        </w:rPr>
        <w:t>如因故意或者重大过失未</w:t>
      </w:r>
      <w:r>
        <w:rPr>
          <w:rFonts w:ascii="微软雅黑" w:eastAsia="微软雅黑"/>
          <w:b/>
          <w:spacing w:val="-4"/>
          <w:sz w:val="21"/>
        </w:rPr>
        <w:t>及时通知，致使保险事故的性质、原因、损失程度等难以确定的，我们对无法确定的部分，</w:t>
      </w:r>
      <w:r>
        <w:rPr>
          <w:rFonts w:ascii="微软雅黑" w:eastAsia="微软雅黑"/>
          <w:b/>
          <w:spacing w:val="-2"/>
          <w:sz w:val="21"/>
        </w:rPr>
        <w:t>不承担给付保险金的责任，但我们通过其他途径已经及时知道或者应当及时知道保险事故</w:t>
      </w:r>
      <w:r>
        <w:rPr>
          <w:rFonts w:ascii="微软雅黑" w:eastAsia="微软雅黑"/>
          <w:b/>
          <w:spacing w:val="-2"/>
          <w:sz w:val="21"/>
        </w:rPr>
        <w:t>发生或者虽未及时通知但不影响本公司确定保险事故的性质、原因、损失程度的除外。</w:t>
      </w:r>
    </w:p>
    <w:p>
      <w:pPr>
        <w:pStyle w:val="BodyText"/>
        <w:spacing w:before="6"/>
        <w:rPr>
          <w:rFonts w:ascii="微软雅黑"/>
          <w:b/>
          <w:sz w:val="25"/>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6" w:id="30"/>
      <w:bookmarkEnd w:id="30"/>
      <w:r>
        <w:rPr>
          <w:b w:val="0"/>
        </w:rPr>
      </w:r>
      <w:bookmarkStart w:name="_bookmark16" w:id="31"/>
      <w:bookmarkEnd w:id="31"/>
      <w:r>
        <w:rPr>
          <w:spacing w:val="-2"/>
        </w:rPr>
        <w:t>保险金的申请</w:t>
      </w:r>
    </w:p>
    <w:p>
      <w:pPr>
        <w:pStyle w:val="ListParagraph"/>
        <w:numPr>
          <w:ilvl w:val="1"/>
          <w:numId w:val="2"/>
        </w:numPr>
        <w:tabs>
          <w:tab w:pos="973" w:val="left" w:leader="none"/>
        </w:tabs>
        <w:spacing w:line="240" w:lineRule="auto" w:before="148" w:after="0"/>
        <w:ind w:left="972" w:right="0" w:hanging="421"/>
        <w:jc w:val="left"/>
        <w:rPr>
          <w:sz w:val="21"/>
        </w:rPr>
      </w:pPr>
      <w:r>
        <w:rPr>
          <w:spacing w:val="-4"/>
          <w:sz w:val="21"/>
        </w:rPr>
        <w:t>身故保险金</w:t>
      </w:r>
    </w:p>
    <w:p>
      <w:pPr>
        <w:pStyle w:val="BodyText"/>
        <w:spacing w:before="6"/>
        <w:rPr>
          <w:sz w:val="15"/>
        </w:rPr>
      </w:pPr>
    </w:p>
    <w:p>
      <w:pPr>
        <w:pStyle w:val="BodyText"/>
        <w:spacing w:line="417" w:lineRule="auto" w:before="1"/>
        <w:ind w:left="120" w:right="3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6"/>
        </w:numPr>
        <w:tabs>
          <w:tab w:pos="973" w:val="left" w:leader="none"/>
        </w:tabs>
        <w:spacing w:line="269" w:lineRule="exact" w:before="0" w:after="0"/>
        <w:ind w:left="972" w:right="0" w:hanging="539"/>
        <w:jc w:val="left"/>
        <w:rPr>
          <w:sz w:val="21"/>
        </w:rPr>
      </w:pPr>
      <w:r>
        <w:rPr>
          <w:spacing w:val="-4"/>
          <w:sz w:val="21"/>
        </w:rPr>
        <w:t>保险合同；</w:t>
      </w:r>
    </w:p>
    <w:p>
      <w:pPr>
        <w:pStyle w:val="ListParagraph"/>
        <w:numPr>
          <w:ilvl w:val="0"/>
          <w:numId w:val="6"/>
        </w:numPr>
        <w:tabs>
          <w:tab w:pos="973" w:val="left" w:leader="none"/>
        </w:tabs>
        <w:spacing w:line="240" w:lineRule="auto" w:before="131" w:after="0"/>
        <w:ind w:left="972" w:right="0" w:hanging="539"/>
        <w:jc w:val="left"/>
        <w:rPr>
          <w:sz w:val="21"/>
        </w:rPr>
      </w:pPr>
      <w:r>
        <w:rPr>
          <w:spacing w:val="-2"/>
          <w:sz w:val="21"/>
        </w:rPr>
        <w:t>申请人的</w:t>
      </w:r>
      <w:r>
        <w:rPr>
          <w:rFonts w:ascii="微软雅黑" w:eastAsia="微软雅黑"/>
          <w:b/>
          <w:spacing w:val="-2"/>
          <w:sz w:val="21"/>
        </w:rPr>
        <w:t>有效身份证件</w:t>
      </w:r>
      <w:r>
        <w:rPr>
          <w:spacing w:val="-2"/>
          <w:sz w:val="21"/>
        </w:rPr>
        <w:t>（</w:t>
      </w:r>
      <w:r>
        <w:rPr>
          <w:spacing w:val="-15"/>
          <w:sz w:val="21"/>
        </w:rPr>
        <w:t>释义 </w:t>
      </w:r>
      <w:r>
        <w:rPr>
          <w:rFonts w:ascii="Calibri" w:eastAsia="Calibri"/>
          <w:spacing w:val="-4"/>
          <w:sz w:val="21"/>
        </w:rPr>
        <w:t>1</w:t>
      </w:r>
      <w:r>
        <w:rPr>
          <w:rFonts w:ascii="Calibri" w:eastAsia="Calibri"/>
          <w:spacing w:val="-6"/>
          <w:sz w:val="21"/>
        </w:rPr>
        <w:t>9</w:t>
      </w:r>
      <w:r>
        <w:rPr>
          <w:spacing w:val="-110"/>
          <w:sz w:val="21"/>
        </w:rPr>
        <w:t>）；</w:t>
      </w:r>
    </w:p>
    <w:p>
      <w:pPr>
        <w:pStyle w:val="ListParagraph"/>
        <w:numPr>
          <w:ilvl w:val="0"/>
          <w:numId w:val="6"/>
        </w:numPr>
        <w:tabs>
          <w:tab w:pos="973" w:val="left" w:leader="none"/>
        </w:tabs>
        <w:spacing w:line="417" w:lineRule="auto" w:before="149" w:after="0"/>
        <w:ind w:left="972" w:right="2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6"/>
        </w:numPr>
        <w:tabs>
          <w:tab w:pos="973" w:val="left" w:leader="none"/>
        </w:tabs>
        <w:spacing w:line="240" w:lineRule="auto" w:before="0" w:after="0"/>
        <w:ind w:left="972" w:right="0" w:hanging="539"/>
        <w:jc w:val="left"/>
        <w:rPr>
          <w:sz w:val="21"/>
        </w:rPr>
      </w:pPr>
      <w:r>
        <w:rPr>
          <w:spacing w:val="-3"/>
          <w:sz w:val="21"/>
        </w:rPr>
        <w:t>被保险人的户籍注销证明；</w:t>
      </w:r>
    </w:p>
    <w:p>
      <w:pPr>
        <w:pStyle w:val="BodyText"/>
        <w:spacing w:before="6"/>
        <w:rPr>
          <w:sz w:val="15"/>
        </w:rPr>
      </w:pPr>
    </w:p>
    <w:p>
      <w:pPr>
        <w:pStyle w:val="ListParagraph"/>
        <w:numPr>
          <w:ilvl w:val="0"/>
          <w:numId w:val="6"/>
        </w:numPr>
        <w:tabs>
          <w:tab w:pos="973" w:val="left" w:leader="none"/>
        </w:tabs>
        <w:spacing w:line="240" w:lineRule="auto" w:before="1" w:after="0"/>
        <w:ind w:left="972" w:right="0" w:hanging="539"/>
        <w:jc w:val="left"/>
        <w:rPr>
          <w:sz w:val="21"/>
        </w:rPr>
      </w:pPr>
      <w:r>
        <w:rPr>
          <w:spacing w:val="-3"/>
          <w:sz w:val="21"/>
        </w:rPr>
        <w:t>所能提供的与确认保险事故的性质、原因等有关的其他证明和资料；</w:t>
      </w:r>
    </w:p>
    <w:p>
      <w:pPr>
        <w:pStyle w:val="BodyText"/>
        <w:spacing w:before="6"/>
        <w:rPr>
          <w:sz w:val="15"/>
        </w:rPr>
      </w:pPr>
    </w:p>
    <w:p>
      <w:pPr>
        <w:pStyle w:val="ListParagraph"/>
        <w:numPr>
          <w:ilvl w:val="0"/>
          <w:numId w:val="6"/>
        </w:numPr>
        <w:tabs>
          <w:tab w:pos="973" w:val="left" w:leader="none"/>
        </w:tabs>
        <w:spacing w:line="417" w:lineRule="auto" w:before="0" w:after="0"/>
        <w:ind w:left="9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spacing w:after="0" w:line="417" w:lineRule="auto"/>
        <w:jc w:val="left"/>
        <w:rPr>
          <w:sz w:val="21"/>
        </w:rPr>
        <w:sectPr>
          <w:pgSz w:w="11910" w:h="16840"/>
          <w:pgMar w:header="0" w:footer="1005" w:top="1460" w:bottom="1200" w:left="1680" w:right="1480"/>
        </w:sectPr>
      </w:pPr>
    </w:p>
    <w:p>
      <w:pPr>
        <w:pStyle w:val="BodyText"/>
        <w:spacing w:before="61"/>
        <w:ind w:left="540"/>
      </w:pPr>
      <w:r>
        <w:rPr>
          <w:spacing w:val="-3"/>
        </w:rPr>
        <w:t>保险金作为被保险人遗产时，必须提供可证明合法继承权的相关权利文件。</w:t>
      </w:r>
    </w:p>
    <w:p>
      <w:pPr>
        <w:pStyle w:val="BodyText"/>
        <w:spacing w:before="7"/>
        <w:rPr>
          <w:sz w:val="15"/>
        </w:rPr>
      </w:pPr>
    </w:p>
    <w:p>
      <w:pPr>
        <w:pStyle w:val="BodyText"/>
        <w:ind w:left="540"/>
      </w:pPr>
      <w:r>
        <w:rPr>
          <w:spacing w:val="-3"/>
        </w:rPr>
        <w:t>以上证明和资料不完整的，我们将及时一次性通知申请人补充提供有关证明和资料。</w:t>
      </w:r>
    </w:p>
    <w:p>
      <w:pPr>
        <w:pStyle w:val="BodyText"/>
        <w:spacing w:before="7"/>
        <w:rPr>
          <w:sz w:val="15"/>
        </w:rPr>
      </w:pPr>
    </w:p>
    <w:p>
      <w:pPr>
        <w:pStyle w:val="ListParagraph"/>
        <w:numPr>
          <w:ilvl w:val="1"/>
          <w:numId w:val="2"/>
        </w:numPr>
        <w:tabs>
          <w:tab w:pos="973" w:val="left" w:leader="none"/>
        </w:tabs>
        <w:spacing w:line="240" w:lineRule="auto" w:before="0" w:after="0"/>
        <w:ind w:left="972" w:right="0" w:hanging="421"/>
        <w:jc w:val="left"/>
        <w:rPr>
          <w:sz w:val="21"/>
        </w:rPr>
      </w:pPr>
      <w:r>
        <w:rPr>
          <w:spacing w:val="-4"/>
          <w:sz w:val="21"/>
        </w:rPr>
        <w:t>全残保险金</w:t>
      </w:r>
    </w:p>
    <w:p>
      <w:pPr>
        <w:pStyle w:val="BodyText"/>
        <w:spacing w:before="6"/>
        <w:rPr>
          <w:sz w:val="15"/>
        </w:rPr>
      </w:pPr>
    </w:p>
    <w:p>
      <w:pPr>
        <w:pStyle w:val="BodyText"/>
        <w:spacing w:line="417" w:lineRule="auto" w:before="1"/>
        <w:ind w:left="120" w:right="311" w:firstLine="419"/>
      </w:pPr>
      <w:r>
        <w:rPr>
          <w:spacing w:val="-4"/>
        </w:rPr>
        <w:t>由全残保险金受益人作为申请人，填写保险金给付申请书，并提供下列证明、资料向我</w:t>
      </w:r>
      <w:r>
        <w:rPr>
          <w:spacing w:val="-2"/>
        </w:rPr>
        <w:t>们申请给付全残保险金：</w:t>
      </w:r>
    </w:p>
    <w:p>
      <w:pPr>
        <w:pStyle w:val="ListParagraph"/>
        <w:numPr>
          <w:ilvl w:val="0"/>
          <w:numId w:val="7"/>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6"/>
        <w:rPr>
          <w:sz w:val="15"/>
        </w:rPr>
      </w:pPr>
    </w:p>
    <w:p>
      <w:pPr>
        <w:pStyle w:val="ListParagraph"/>
        <w:numPr>
          <w:ilvl w:val="0"/>
          <w:numId w:val="7"/>
        </w:numPr>
        <w:tabs>
          <w:tab w:pos="973" w:val="left" w:leader="none"/>
        </w:tabs>
        <w:spacing w:line="240" w:lineRule="auto" w:before="0" w:after="0"/>
        <w:ind w:left="972" w:right="0" w:hanging="539"/>
        <w:jc w:val="left"/>
        <w:rPr>
          <w:sz w:val="21"/>
        </w:rPr>
      </w:pPr>
      <w:r>
        <w:rPr>
          <w:spacing w:val="-3"/>
          <w:sz w:val="21"/>
        </w:rPr>
        <w:t>申请人的有效身份证件；</w:t>
      </w:r>
    </w:p>
    <w:p>
      <w:pPr>
        <w:pStyle w:val="BodyText"/>
        <w:spacing w:before="7"/>
        <w:rPr>
          <w:sz w:val="15"/>
        </w:rPr>
      </w:pPr>
    </w:p>
    <w:p>
      <w:pPr>
        <w:pStyle w:val="ListParagraph"/>
        <w:numPr>
          <w:ilvl w:val="0"/>
          <w:numId w:val="7"/>
        </w:numPr>
        <w:tabs>
          <w:tab w:pos="973" w:val="left" w:leader="none"/>
        </w:tabs>
        <w:spacing w:line="417" w:lineRule="auto" w:before="0" w:after="0"/>
        <w:ind w:left="972" w:right="319" w:hanging="538"/>
        <w:jc w:val="left"/>
        <w:rPr>
          <w:sz w:val="21"/>
        </w:rPr>
      </w:pPr>
      <w:r>
        <w:rPr>
          <w:spacing w:val="-2"/>
          <w:sz w:val="21"/>
        </w:rPr>
        <w:t>由认可医院或者由具备合法鉴定资格的鉴定机构出具的被保险人伤残程度的资料</w:t>
      </w:r>
      <w:r>
        <w:rPr>
          <w:spacing w:val="-2"/>
          <w:sz w:val="21"/>
        </w:rPr>
        <w:t>或身体伤残程度鉴定书；</w:t>
      </w:r>
    </w:p>
    <w:p>
      <w:pPr>
        <w:pStyle w:val="ListParagraph"/>
        <w:numPr>
          <w:ilvl w:val="0"/>
          <w:numId w:val="7"/>
        </w:numPr>
        <w:tabs>
          <w:tab w:pos="973" w:val="left" w:leader="none"/>
        </w:tabs>
        <w:spacing w:line="240" w:lineRule="auto" w:before="0"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7"/>
        </w:numPr>
        <w:tabs>
          <w:tab w:pos="973" w:val="left" w:leader="none"/>
        </w:tabs>
        <w:spacing w:line="417" w:lineRule="auto" w:before="0" w:after="0"/>
        <w:ind w:left="9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以上证明和资料不完整的，我们将及时一次性通知申请人补充提供有关证明和资料。</w:t>
      </w:r>
    </w:p>
    <w:p>
      <w:pPr>
        <w:pStyle w:val="BodyText"/>
        <w:spacing w:before="7"/>
        <w:rPr>
          <w:sz w:val="15"/>
        </w:rPr>
      </w:pPr>
    </w:p>
    <w:p>
      <w:pPr>
        <w:pStyle w:val="ListParagraph"/>
        <w:numPr>
          <w:ilvl w:val="1"/>
          <w:numId w:val="2"/>
        </w:numPr>
        <w:tabs>
          <w:tab w:pos="973" w:val="left" w:leader="none"/>
        </w:tabs>
        <w:spacing w:line="417" w:lineRule="auto" w:before="0" w:after="0"/>
        <w:ind w:left="972" w:right="205" w:hanging="420"/>
        <w:jc w:val="left"/>
        <w:rPr>
          <w:sz w:val="21"/>
        </w:rPr>
      </w:pPr>
      <w:r>
        <w:rPr>
          <w:spacing w:val="-2"/>
          <w:sz w:val="21"/>
        </w:rPr>
        <w:t>重大疾病保险金、首次重大疾病额外保险金、中症疾病保险金、轻症疾病保险金、</w:t>
      </w:r>
      <w:r>
        <w:rPr>
          <w:spacing w:val="-2"/>
          <w:sz w:val="21"/>
        </w:rPr>
        <w:t>少儿特定疾病额外保险金、疾病终末期保险金、第二次“恶性肿瘤——重度”保险</w:t>
      </w:r>
      <w:r>
        <w:rPr>
          <w:spacing w:val="-2"/>
          <w:sz w:val="21"/>
        </w:rPr>
        <w:t>金、第二次心脑血管特定疾病保险金及豁免保险费</w:t>
      </w:r>
    </w:p>
    <w:p>
      <w:pPr>
        <w:pStyle w:val="BodyText"/>
        <w:spacing w:line="417" w:lineRule="auto"/>
        <w:ind w:left="120" w:right="311" w:firstLine="419"/>
        <w:jc w:val="both"/>
      </w:pPr>
      <w:r>
        <w:rPr>
          <w:spacing w:val="-7"/>
        </w:rPr>
        <w:t>由各项保险金受益人作为保险金申请人，填写保险金给付申请书，由被保险人作为豁免</w:t>
      </w:r>
      <w:r>
        <w:rPr>
          <w:spacing w:val="-4"/>
        </w:rPr>
        <w:t>保险费申请人，填写豁免保险费申请书，并提供下列证明、资料向我们申请给付保险金或申</w:t>
      </w:r>
      <w:r>
        <w:rPr>
          <w:spacing w:val="-2"/>
        </w:rPr>
        <w:t>请豁免保险费：</w:t>
      </w:r>
    </w:p>
    <w:p>
      <w:pPr>
        <w:pStyle w:val="ListParagraph"/>
        <w:numPr>
          <w:ilvl w:val="0"/>
          <w:numId w:val="8"/>
        </w:numPr>
        <w:tabs>
          <w:tab w:pos="973" w:val="left" w:leader="none"/>
        </w:tabs>
        <w:spacing w:line="240" w:lineRule="auto" w:before="0" w:after="0"/>
        <w:ind w:left="972" w:right="0" w:hanging="570"/>
        <w:jc w:val="both"/>
        <w:rPr>
          <w:sz w:val="21"/>
        </w:rPr>
      </w:pPr>
      <w:r>
        <w:rPr>
          <w:spacing w:val="-4"/>
          <w:sz w:val="21"/>
        </w:rPr>
        <w:t>保险合同；</w:t>
      </w:r>
    </w:p>
    <w:p>
      <w:pPr>
        <w:pStyle w:val="BodyText"/>
        <w:spacing w:before="6"/>
        <w:rPr>
          <w:sz w:val="15"/>
        </w:rPr>
      </w:pPr>
    </w:p>
    <w:p>
      <w:pPr>
        <w:pStyle w:val="ListParagraph"/>
        <w:numPr>
          <w:ilvl w:val="0"/>
          <w:numId w:val="8"/>
        </w:numPr>
        <w:tabs>
          <w:tab w:pos="973" w:val="left" w:leader="none"/>
        </w:tabs>
        <w:spacing w:line="240" w:lineRule="auto" w:before="0" w:after="0"/>
        <w:ind w:left="972" w:right="0" w:hanging="539"/>
        <w:jc w:val="left"/>
        <w:rPr>
          <w:sz w:val="21"/>
        </w:rPr>
      </w:pPr>
      <w:r>
        <w:rPr>
          <w:spacing w:val="-3"/>
          <w:sz w:val="21"/>
        </w:rPr>
        <w:t>申请人的有效身份证件；</w:t>
      </w:r>
    </w:p>
    <w:p>
      <w:pPr>
        <w:pStyle w:val="BodyText"/>
        <w:spacing w:before="7"/>
        <w:rPr>
          <w:sz w:val="15"/>
        </w:rPr>
      </w:pPr>
    </w:p>
    <w:p>
      <w:pPr>
        <w:pStyle w:val="ListParagraph"/>
        <w:numPr>
          <w:ilvl w:val="0"/>
          <w:numId w:val="8"/>
        </w:numPr>
        <w:tabs>
          <w:tab w:pos="973" w:val="left" w:leader="none"/>
        </w:tabs>
        <w:spacing w:line="417" w:lineRule="auto" w:before="0" w:after="0"/>
        <w:ind w:left="972" w:right="311" w:hanging="538"/>
        <w:jc w:val="both"/>
        <w:rPr>
          <w:sz w:val="21"/>
        </w:rPr>
      </w:pPr>
      <w:r>
        <w:rPr>
          <w:spacing w:val="-7"/>
          <w:sz w:val="21"/>
        </w:rPr>
        <w:t>由认可医院的专科医生出具的附有病历、病理显微镜检查、必需的血液检验及其他</w:t>
      </w:r>
      <w:r>
        <w:rPr>
          <w:spacing w:val="-8"/>
          <w:sz w:val="21"/>
        </w:rPr>
        <w:t>科学方法检验报告的被保险人疾病诊断证明，疾病定义中所提及的索赔时需要提供</w:t>
      </w:r>
      <w:r>
        <w:rPr>
          <w:spacing w:val="-2"/>
          <w:sz w:val="21"/>
        </w:rPr>
        <w:t>的有关证明；</w:t>
      </w:r>
    </w:p>
    <w:p>
      <w:pPr>
        <w:pStyle w:val="ListParagraph"/>
        <w:numPr>
          <w:ilvl w:val="0"/>
          <w:numId w:val="8"/>
        </w:numPr>
        <w:tabs>
          <w:tab w:pos="973" w:val="left" w:leader="none"/>
        </w:tabs>
        <w:spacing w:line="269" w:lineRule="exact" w:before="0"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8"/>
        </w:numPr>
        <w:tabs>
          <w:tab w:pos="973" w:val="left" w:leader="none"/>
        </w:tabs>
        <w:spacing w:line="417" w:lineRule="auto" w:before="0" w:after="0"/>
        <w:ind w:left="9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以上证明和资料不完整的，我们将及时一次性通知申请人补充提供有关证明和资料。</w:t>
      </w:r>
    </w:p>
    <w:p>
      <w:pPr>
        <w:pStyle w:val="BodyText"/>
        <w:rPr>
          <w:sz w:val="20"/>
        </w:rPr>
      </w:pPr>
    </w:p>
    <w:p>
      <w:pPr>
        <w:pStyle w:val="BodyText"/>
        <w:spacing w:before="10"/>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spacing w:after="0" w:line="240" w:lineRule="auto"/>
        <w:jc w:val="left"/>
        <w:rPr>
          <w:rFonts w:ascii="Calibri" w:eastAsia="Calibri"/>
        </w:rPr>
        <w:sectPr>
          <w:pgSz w:w="11910" w:h="16840"/>
          <w:pgMar w:header="0" w:footer="1005" w:top="1460" w:bottom="1200" w:left="1680" w:right="1480"/>
        </w:sectPr>
      </w:pPr>
    </w:p>
    <w:p>
      <w:pPr>
        <w:pStyle w:val="BodyText"/>
        <w:spacing w:before="61"/>
        <w:ind w:left="5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7"/>
        <w:rPr>
          <w:sz w:val="15"/>
        </w:rPr>
      </w:pPr>
    </w:p>
    <w:p>
      <w:pPr>
        <w:pStyle w:val="BodyText"/>
        <w:ind w:left="120"/>
        <w:jc w:val="both"/>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120" w:right="311" w:firstLine="419"/>
        <w:jc w:val="both"/>
      </w:pPr>
      <w:r>
        <w:rPr>
          <w:spacing w:val="-1"/>
        </w:rPr>
        <w:t>对确定属于保险责任的，在与申请人达成有关给付保险金的协议后 </w:t>
      </w:r>
      <w:r>
        <w:rPr>
          <w:rFonts w:ascii="Calibri" w:eastAsia="Calibri"/>
        </w:rPr>
        <w:t>10</w:t>
      </w:r>
      <w:r>
        <w:rPr>
          <w:rFonts w:ascii="Calibri" w:eastAsia="Calibri"/>
          <w:spacing w:val="-12"/>
        </w:rPr>
        <w:t> </w:t>
      </w:r>
      <w:r>
        <w:rPr/>
        <w:t>日内，履行给付</w:t>
      </w:r>
      <w:r>
        <w:rPr>
          <w:spacing w:val="-2"/>
        </w:rPr>
        <w:t>保险金义务。</w:t>
      </w:r>
    </w:p>
    <w:p>
      <w:pPr>
        <w:pStyle w:val="BodyText"/>
        <w:spacing w:line="417" w:lineRule="auto"/>
        <w:ind w:left="120" w:right="3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120" w:right="3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481" w:val="left" w:leader="none"/>
        </w:tabs>
        <w:spacing w:line="240" w:lineRule="auto" w:before="144" w:after="0"/>
        <w:ind w:left="480" w:right="0" w:hanging="361"/>
        <w:jc w:val="left"/>
        <w:rPr>
          <w:rFonts w:ascii="Calibri" w:eastAsia="Calibri"/>
        </w:rPr>
      </w:pPr>
      <w:bookmarkStart w:name="_bookmark18" w:id="34"/>
      <w:bookmarkEnd w:id="34"/>
      <w:r>
        <w:rPr>
          <w:b w:val="0"/>
        </w:rPr>
      </w:r>
      <w:bookmarkStart w:name="_bookmark18" w:id="35"/>
      <w:bookmarkEnd w:id="35"/>
      <w:r>
        <w:rPr>
          <w:spacing w:val="-3"/>
        </w:rPr>
        <w:t>保单贷款</w:t>
      </w:r>
    </w:p>
    <w:p>
      <w:pPr>
        <w:pStyle w:val="BodyText"/>
        <w:spacing w:line="417" w:lineRule="auto" w:before="148"/>
        <w:ind w:left="120" w:right="3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spacing w:line="268" w:lineRule="exact"/>
        <w:ind w:left="540"/>
      </w:pPr>
      <w:r>
        <w:rPr>
          <w:spacing w:val="-3"/>
        </w:rPr>
        <w:t>您申请保单贷款时，必须经被保险人书面同意。</w:t>
      </w:r>
    </w:p>
    <w:p>
      <w:pPr>
        <w:spacing w:line="290" w:lineRule="auto" w:before="132"/>
        <w:ind w:left="120" w:right="312" w:firstLine="422"/>
        <w:jc w:val="left"/>
        <w:rPr>
          <w:rFonts w:ascii="微软雅黑" w:eastAsia="微软雅黑"/>
          <w:b/>
          <w:sz w:val="21"/>
        </w:rPr>
      </w:pPr>
      <w:r>
        <w:rPr>
          <w:rFonts w:ascii="微软雅黑" w:eastAsia="微软雅黑"/>
          <w:b/>
          <w:w w:val="100"/>
          <w:sz w:val="21"/>
        </w:rPr>
        <w:t>当尚未偿还贷款本金及利息加上各项欠款及利息达</w:t>
      </w:r>
      <w:r>
        <w:rPr>
          <w:rFonts w:ascii="微软雅黑" w:eastAsia="微软雅黑"/>
          <w:b/>
          <w:spacing w:val="1"/>
          <w:w w:val="104"/>
          <w:sz w:val="21"/>
        </w:rPr>
        <w:t>到本合同现金价值</w:t>
      </w:r>
      <w:r>
        <w:rPr>
          <w:rFonts w:ascii="微软雅黑" w:eastAsia="微软雅黑"/>
          <w:b/>
          <w:spacing w:val="1"/>
          <w:w w:val="100"/>
          <w:sz w:val="21"/>
        </w:rPr>
        <w:t>时，本</w:t>
      </w:r>
      <w:r>
        <w:rPr>
          <w:rFonts w:ascii="微软雅黑" w:eastAsia="微软雅黑"/>
          <w:b/>
          <w:spacing w:val="-33"/>
          <w:w w:val="108"/>
          <w:sz w:val="21"/>
        </w:rPr>
        <w:t>合同效力</w:t>
      </w:r>
      <w:r>
        <w:rPr>
          <w:rFonts w:ascii="微软雅黑" w:eastAsia="微软雅黑"/>
          <w:b/>
          <w:w w:val="100"/>
          <w:sz w:val="21"/>
        </w:rPr>
        <w:t>终止。</w:t>
      </w:r>
    </w:p>
    <w:p>
      <w:pPr>
        <w:pStyle w:val="BodyText"/>
        <w:spacing w:before="6"/>
        <w:rPr>
          <w:rFonts w:ascii="微软雅黑"/>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2"/>
        </w:rPr>
        <w:t>欠款的扣除</w:t>
      </w:r>
    </w:p>
    <w:p>
      <w:pPr>
        <w:spacing w:line="290" w:lineRule="auto" w:before="81"/>
        <w:ind w:left="120" w:right="313" w:firstLine="412"/>
        <w:jc w:val="left"/>
        <w:rPr>
          <w:rFonts w:ascii="微软雅黑" w:eastAsia="微软雅黑"/>
          <w:b/>
          <w:sz w:val="21"/>
        </w:rPr>
      </w:pPr>
      <w:r>
        <w:rPr>
          <w:rFonts w:ascii="微软雅黑" w:eastAsia="微软雅黑"/>
          <w:b/>
          <w:w w:val="100"/>
          <w:sz w:val="21"/>
        </w:rPr>
        <w:t>我们给付各项保险金或退还现金价值时，如果您有尚未偿还的保单贷款及利息、欠交</w:t>
      </w:r>
      <w:r>
        <w:rPr>
          <w:rFonts w:ascii="微软雅黑" w:eastAsia="微软雅黑"/>
          <w:b/>
          <w:spacing w:val="-3"/>
          <w:w w:val="100"/>
          <w:sz w:val="21"/>
        </w:rPr>
        <w:t>保险费，我们将先行扣除上述欠款。</w:t>
      </w:r>
    </w:p>
    <w:p>
      <w:pPr>
        <w:pStyle w:val="BodyText"/>
        <w:spacing w:before="7"/>
        <w:rPr>
          <w:rFonts w:ascii="微软雅黑"/>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0" w:id="38"/>
      <w:bookmarkEnd w:id="38"/>
      <w:r>
        <w:rPr>
          <w:b w:val="0"/>
        </w:rPr>
      </w:r>
      <w:bookmarkStart w:name="_bookmark20" w:id="39"/>
      <w:bookmarkEnd w:id="39"/>
      <w:r>
        <w:rPr>
          <w:spacing w:val="-3"/>
        </w:rPr>
        <w:t>宣告死亡</w:t>
      </w:r>
    </w:p>
    <w:p>
      <w:pPr>
        <w:pStyle w:val="BodyText"/>
        <w:spacing w:line="417" w:lineRule="auto" w:before="148"/>
        <w:ind w:left="120" w:right="3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311" w:firstLine="419"/>
      </w:pPr>
      <w:r>
        <w:rPr>
          <w:spacing w:val="-7"/>
        </w:rPr>
        <w:t>如果被保险人被宣告死亡之日在保险期间之外，但有证据证明下落不明之日在保险期间</w:t>
      </w:r>
      <w:r>
        <w:rPr>
          <w:spacing w:val="-2"/>
        </w:rPr>
        <w:t>之内，我们依本合同约定给付保险金。</w:t>
      </w:r>
    </w:p>
    <w:p>
      <w:pPr>
        <w:pStyle w:val="BodyText"/>
        <w:spacing w:line="417" w:lineRule="auto"/>
        <w:ind w:left="120" w:right="311" w:firstLine="412"/>
      </w:pPr>
      <w:r>
        <w:rPr>
          <w:spacing w:val="-4"/>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spacing w:after="0" w:line="417" w:lineRule="auto"/>
        <w:sectPr>
          <w:pgSz w:w="11910" w:h="16840"/>
          <w:pgMar w:header="0" w:footer="1005" w:top="1460" w:bottom="1200" w:left="1680" w:right="1480"/>
        </w:sectPr>
      </w:pPr>
    </w:p>
    <w:p>
      <w:pPr>
        <w:pStyle w:val="BodyText"/>
        <w:spacing w:before="9"/>
        <w:rPr>
          <w:sz w:val="29"/>
        </w:rPr>
      </w:pPr>
    </w:p>
    <w:p>
      <w:pPr>
        <w:pStyle w:val="Heading1"/>
        <w:tabs>
          <w:tab w:pos="839" w:val="left" w:leader="none"/>
        </w:tabs>
        <w:spacing w:line="489" w:lineRule="exact"/>
        <w:ind w:right="198"/>
      </w:pPr>
      <w:bookmarkStart w:name="_bookmark21" w:id="40"/>
      <w:bookmarkEnd w:id="40"/>
      <w:r>
        <w:rPr>
          <w:b w:val="0"/>
        </w:rPr>
      </w:r>
      <w:r>
        <w:rPr/>
        <w:t>四</w:t>
      </w:r>
      <w:r>
        <w:rPr>
          <w:spacing w:val="-10"/>
        </w:rPr>
        <w:t>、</w:t>
      </w:r>
      <w:r>
        <w:rPr/>
        <w:tab/>
        <w:t>其</w:t>
      </w:r>
      <w:r>
        <w:rPr>
          <w:spacing w:val="-10"/>
        </w:rPr>
        <w:t>他</w:t>
      </w:r>
    </w:p>
    <w:p>
      <w:pPr>
        <w:pStyle w:val="BodyText"/>
        <w:rPr>
          <w:rFonts w:ascii="微软雅黑"/>
          <w:b/>
          <w:sz w:val="20"/>
        </w:rPr>
      </w:pPr>
    </w:p>
    <w:p>
      <w:pPr>
        <w:pStyle w:val="BodyText"/>
        <w:spacing w:before="16"/>
        <w:rPr>
          <w:rFonts w:ascii="微软雅黑"/>
          <w:b/>
          <w:sz w:val="18"/>
        </w:rPr>
      </w:pPr>
    </w:p>
    <w:p>
      <w:pPr>
        <w:pStyle w:val="Heading2"/>
        <w:numPr>
          <w:ilvl w:val="0"/>
          <w:numId w:val="2"/>
        </w:numPr>
        <w:tabs>
          <w:tab w:pos="481" w:val="left" w:leader="none"/>
        </w:tabs>
        <w:spacing w:line="240" w:lineRule="auto" w:before="4" w:after="0"/>
        <w:ind w:left="480" w:right="0" w:hanging="361"/>
        <w:jc w:val="left"/>
        <w:rPr>
          <w:rFonts w:ascii="Calibri" w:eastAsia="Calibri"/>
        </w:rPr>
      </w:pPr>
      <w:bookmarkStart w:name="_bookmark22" w:id="41"/>
      <w:bookmarkEnd w:id="41"/>
      <w:r>
        <w:rPr>
          <w:b w:val="0"/>
        </w:rPr>
      </w:r>
      <w:bookmarkStart w:name="_bookmark22" w:id="42"/>
      <w:bookmarkEnd w:id="42"/>
      <w:r>
        <w:rPr>
          <w:spacing w:val="-2"/>
        </w:rPr>
        <w:t>明确说明与如实告知</w:t>
      </w:r>
    </w:p>
    <w:p>
      <w:pPr>
        <w:pStyle w:val="BodyText"/>
        <w:spacing w:before="148"/>
        <w:ind w:left="540"/>
      </w:pPr>
      <w:r>
        <w:rPr>
          <w:spacing w:val="-3"/>
        </w:rPr>
        <w:t>订立本合同时，我们应向您说明本合同的内容。</w:t>
      </w:r>
    </w:p>
    <w:p>
      <w:pPr>
        <w:pStyle w:val="BodyText"/>
        <w:spacing w:before="7"/>
        <w:rPr>
          <w:sz w:val="15"/>
        </w:rPr>
      </w:pPr>
    </w:p>
    <w:p>
      <w:pPr>
        <w:pStyle w:val="BodyText"/>
        <w:spacing w:line="417" w:lineRule="auto"/>
        <w:ind w:left="120" w:right="3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spacing w:line="320" w:lineRule="exact" w:before="0"/>
        <w:ind w:left="540" w:right="0" w:firstLine="0"/>
        <w:jc w:val="left"/>
        <w:rPr>
          <w:rFonts w:ascii="微软雅黑" w:eastAsia="微软雅黑"/>
          <w:b/>
          <w:sz w:val="21"/>
        </w:rPr>
      </w:pPr>
      <w:r>
        <w:rPr>
          <w:rFonts w:ascii="微软雅黑" w:eastAsia="微软雅黑"/>
          <w:b/>
          <w:sz w:val="21"/>
        </w:rPr>
        <w:t>订</w:t>
      </w:r>
      <w:r>
        <w:rPr>
          <w:rFonts w:ascii="微软雅黑" w:eastAsia="微软雅黑"/>
          <w:b/>
          <w:sz w:val="21"/>
        </w:rPr>
        <w:t>立</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pacing w:val="-1"/>
          <w:sz w:val="21"/>
        </w:rPr>
        <w:t>或复效时，我们就您和被保险人的有关情况提出询问，您应当如实告知。</w:t>
      </w:r>
    </w:p>
    <w:p>
      <w:pPr>
        <w:spacing w:line="290" w:lineRule="auto" w:before="81"/>
        <w:ind w:left="120" w:right="323" w:firstLine="419"/>
        <w:jc w:val="left"/>
        <w:rPr>
          <w:rFonts w:ascii="微软雅黑" w:eastAsia="微软雅黑"/>
          <w:b/>
          <w:sz w:val="21"/>
        </w:rPr>
      </w:pPr>
      <w:r>
        <w:rPr>
          <w:rFonts w:ascii="微软雅黑" w:eastAsia="微软雅黑"/>
          <w:b/>
          <w:spacing w:val="-2"/>
          <w:sz w:val="21"/>
        </w:rPr>
        <w:t>如果您故意或者因重大过失未履行前款规定的如实告知义务，足以影响我们决定是否</w:t>
      </w:r>
      <w:r>
        <w:rPr>
          <w:rFonts w:ascii="微软雅黑" w:eastAsia="微软雅黑"/>
          <w:b/>
          <w:spacing w:val="-2"/>
          <w:sz w:val="21"/>
        </w:rPr>
        <w:t>同意承保或者提高保险费率的，我们有权解除本合</w:t>
      </w:r>
      <w:r>
        <w:rPr>
          <w:rFonts w:ascii="微软雅黑" w:eastAsia="微软雅黑"/>
          <w:b/>
          <w:spacing w:val="-2"/>
          <w:sz w:val="21"/>
        </w:rPr>
        <w:t>同。</w:t>
      </w:r>
    </w:p>
    <w:p>
      <w:pPr>
        <w:spacing w:line="290" w:lineRule="auto" w:before="0"/>
        <w:ind w:left="120" w:right="314" w:firstLine="419"/>
        <w:jc w:val="left"/>
        <w:rPr>
          <w:rFonts w:ascii="微软雅黑" w:eastAsia="微软雅黑"/>
          <w:b/>
          <w:sz w:val="21"/>
        </w:rPr>
      </w:pPr>
      <w:r>
        <w:rPr>
          <w:rFonts w:ascii="微软雅黑" w:eastAsia="微软雅黑"/>
          <w:b/>
          <w:w w:val="100"/>
          <w:sz w:val="21"/>
        </w:rPr>
        <w:t>如果您故意不履行如实告</w:t>
      </w:r>
      <w:r>
        <w:rPr>
          <w:rFonts w:ascii="微软雅黑" w:eastAsia="微软雅黑"/>
          <w:b/>
          <w:spacing w:val="1"/>
          <w:w w:val="104"/>
          <w:sz w:val="21"/>
        </w:rPr>
        <w:t>知义务，对于本合同</w:t>
      </w:r>
      <w:r>
        <w:rPr>
          <w:rFonts w:ascii="微软雅黑" w:eastAsia="微软雅黑"/>
          <w:b/>
          <w:spacing w:val="-4"/>
          <w:w w:val="100"/>
          <w:sz w:val="21"/>
        </w:rPr>
        <w:t>解除前发生的保险事故，我们不承担给</w:t>
      </w:r>
      <w:r>
        <w:rPr>
          <w:rFonts w:ascii="微软雅黑" w:eastAsia="微软雅黑"/>
          <w:b/>
          <w:spacing w:val="-2"/>
          <w:w w:val="100"/>
          <w:sz w:val="21"/>
        </w:rPr>
        <w:t>付保险金的责任，并不退还保险费。</w:t>
      </w:r>
    </w:p>
    <w:p>
      <w:pPr>
        <w:spacing w:line="290" w:lineRule="auto" w:before="0"/>
        <w:ind w:left="120" w:right="314" w:firstLine="419"/>
        <w:jc w:val="both"/>
        <w:rPr>
          <w:rFonts w:ascii="微软雅黑" w:eastAsia="微软雅黑"/>
          <w:b/>
          <w:sz w:val="21"/>
        </w:rPr>
      </w:pPr>
      <w:r>
        <w:rPr>
          <w:rFonts w:ascii="微软雅黑" w:eastAsia="微软雅黑"/>
          <w:b/>
          <w:w w:val="100"/>
          <w:sz w:val="21"/>
        </w:rPr>
        <w:t>如果您因重大过失未履行如实告知义务，对保险事故的发生有严重影响的，</w:t>
      </w:r>
      <w:r>
        <w:rPr>
          <w:rFonts w:ascii="微软雅黑" w:eastAsia="微软雅黑"/>
          <w:b/>
          <w:spacing w:val="-17"/>
          <w:w w:val="108"/>
          <w:sz w:val="21"/>
        </w:rPr>
        <w:t>对于本合</w:t>
      </w:r>
      <w:r>
        <w:rPr>
          <w:rFonts w:ascii="微软雅黑" w:eastAsia="微软雅黑"/>
          <w:b/>
          <w:w w:val="100"/>
          <w:sz w:val="21"/>
        </w:rPr>
        <w:t>同解除前发生的保险事故，我们不承担给付保险金的责任，但应当无息退还您已缴纳的保险费。</w:t>
      </w:r>
    </w:p>
    <w:p>
      <w:pPr>
        <w:pStyle w:val="BodyText"/>
        <w:spacing w:line="417" w:lineRule="auto" w:before="65"/>
        <w:ind w:left="120" w:right="3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481" w:val="left" w:leader="none"/>
        </w:tabs>
        <w:spacing w:line="240" w:lineRule="auto" w:before="144" w:after="0"/>
        <w:ind w:left="480" w:right="0" w:hanging="361"/>
        <w:jc w:val="left"/>
        <w:rPr>
          <w:rFonts w:ascii="Calibri" w:eastAsia="Calibri"/>
        </w:rPr>
      </w:pPr>
      <w:bookmarkStart w:name="_bookmark23" w:id="43"/>
      <w:bookmarkEnd w:id="43"/>
      <w:r>
        <w:rPr>
          <w:b w:val="0"/>
        </w:rPr>
      </w:r>
      <w:bookmarkStart w:name="_bookmark23" w:id="44"/>
      <w:bookmarkEnd w:id="44"/>
      <w:r>
        <w:rPr/>
        <w:t>我</w:t>
      </w:r>
      <w:r>
        <w:rPr/>
        <w:t>们</w:t>
      </w:r>
      <w:r>
        <w:rPr/>
        <w:t>行</w:t>
      </w:r>
      <w:r>
        <w:rPr/>
        <w:t>使</w:t>
      </w:r>
      <w:r>
        <w:rPr/>
        <w:t>合</w:t>
      </w:r>
      <w:r>
        <w:rPr/>
        <w:t>同</w:t>
      </w:r>
      <w:r>
        <w:rPr/>
        <w:t>解</w:t>
      </w:r>
      <w:r>
        <w:rPr/>
        <w:t>除</w:t>
      </w:r>
      <w:r>
        <w:rPr>
          <w:spacing w:val="-3"/>
        </w:rPr>
        <w:t>权的限制</w:t>
      </w:r>
    </w:p>
    <w:p>
      <w:pPr>
        <w:pStyle w:val="BodyText"/>
        <w:spacing w:before="148"/>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120" w:right="3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481" w:val="left" w:leader="none"/>
        </w:tabs>
        <w:spacing w:line="240" w:lineRule="auto" w:before="145" w:after="0"/>
        <w:ind w:left="480" w:right="0" w:hanging="361"/>
        <w:jc w:val="left"/>
        <w:rPr>
          <w:rFonts w:ascii="Calibri" w:eastAsia="Calibri"/>
        </w:rPr>
      </w:pPr>
      <w:bookmarkStart w:name="_bookmark24" w:id="45"/>
      <w:bookmarkEnd w:id="45"/>
      <w:r>
        <w:rPr>
          <w:b w:val="0"/>
        </w:rPr>
      </w:r>
      <w:bookmarkStart w:name="_bookmark24" w:id="46"/>
      <w:bookmarkEnd w:id="46"/>
      <w:r>
        <w:rPr>
          <w:spacing w:val="-2"/>
        </w:rPr>
        <w:t>年龄性别错误处理</w:t>
      </w:r>
    </w:p>
    <w:p>
      <w:pPr>
        <w:pStyle w:val="BodyText"/>
        <w:spacing w:line="417" w:lineRule="auto" w:before="148"/>
        <w:ind w:left="120" w:right="3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9"/>
        </w:numPr>
        <w:tabs>
          <w:tab w:pos="624" w:val="left" w:leader="none"/>
        </w:tabs>
        <w:spacing w:line="320" w:lineRule="exact" w:before="0" w:after="0"/>
        <w:ind w:left="624" w:right="317" w:hanging="624"/>
        <w:jc w:val="right"/>
        <w:rPr>
          <w:rFonts w:ascii="微软雅黑" w:eastAsia="微软雅黑"/>
          <w:b/>
          <w:sz w:val="21"/>
        </w:rPr>
      </w:pPr>
      <w:r>
        <w:rPr>
          <w:rFonts w:ascii="微软雅黑" w:eastAsia="微软雅黑"/>
          <w:b/>
          <w:sz w:val="21"/>
        </w:rPr>
        <w:t>您</w:t>
      </w:r>
      <w:r>
        <w:rPr>
          <w:rFonts w:ascii="微软雅黑" w:eastAsia="微软雅黑"/>
          <w:b/>
          <w:sz w:val="21"/>
        </w:rPr>
        <w:t>申</w:t>
      </w:r>
      <w:r>
        <w:rPr>
          <w:rFonts w:ascii="微软雅黑" w:eastAsia="微软雅黑"/>
          <w:b/>
          <w:sz w:val="21"/>
        </w:rPr>
        <w:t>报</w:t>
      </w:r>
      <w:r>
        <w:rPr>
          <w:rFonts w:ascii="微软雅黑" w:eastAsia="微软雅黑"/>
          <w:b/>
          <w:sz w:val="21"/>
        </w:rPr>
        <w:t>的</w:t>
      </w:r>
      <w:r>
        <w:rPr>
          <w:rFonts w:ascii="微软雅黑" w:eastAsia="微软雅黑"/>
          <w:b/>
          <w:sz w:val="21"/>
        </w:rPr>
        <w:t>被</w:t>
      </w:r>
      <w:r>
        <w:rPr>
          <w:rFonts w:ascii="微软雅黑" w:eastAsia="微软雅黑"/>
          <w:b/>
          <w:sz w:val="21"/>
        </w:rPr>
        <w:t>保</w:t>
      </w:r>
      <w:r>
        <w:rPr>
          <w:rFonts w:ascii="微软雅黑" w:eastAsia="微软雅黑"/>
          <w:b/>
          <w:sz w:val="21"/>
        </w:rPr>
        <w:t>险</w:t>
      </w:r>
      <w:r>
        <w:rPr>
          <w:rFonts w:ascii="微软雅黑" w:eastAsia="微软雅黑"/>
          <w:b/>
          <w:sz w:val="21"/>
        </w:rPr>
        <w:t>人</w:t>
      </w:r>
      <w:r>
        <w:rPr>
          <w:rFonts w:ascii="微软雅黑" w:eastAsia="微软雅黑"/>
          <w:b/>
          <w:sz w:val="21"/>
        </w:rPr>
        <w:t>年</w:t>
      </w:r>
      <w:r>
        <w:rPr>
          <w:rFonts w:ascii="微软雅黑" w:eastAsia="微软雅黑"/>
          <w:b/>
          <w:sz w:val="21"/>
        </w:rPr>
        <w:t>龄</w:t>
      </w:r>
      <w:r>
        <w:rPr>
          <w:rFonts w:ascii="微软雅黑" w:eastAsia="微软雅黑"/>
          <w:b/>
          <w:sz w:val="21"/>
        </w:rPr>
        <w:t>不</w:t>
      </w:r>
      <w:r>
        <w:rPr>
          <w:rFonts w:ascii="微软雅黑" w:eastAsia="微软雅黑"/>
          <w:b/>
          <w:sz w:val="21"/>
        </w:rPr>
        <w:t>真</w:t>
      </w:r>
      <w:r>
        <w:rPr>
          <w:rFonts w:ascii="微软雅黑" w:eastAsia="微软雅黑"/>
          <w:b/>
          <w:sz w:val="21"/>
        </w:rPr>
        <w:t>实</w:t>
      </w:r>
      <w:r>
        <w:rPr>
          <w:rFonts w:ascii="微软雅黑" w:eastAsia="微软雅黑"/>
          <w:b/>
          <w:sz w:val="21"/>
        </w:rPr>
        <w:t>，</w:t>
      </w:r>
      <w:r>
        <w:rPr>
          <w:rFonts w:ascii="微软雅黑" w:eastAsia="微软雅黑"/>
          <w:b/>
          <w:sz w:val="21"/>
        </w:rPr>
        <w:t>并</w:t>
      </w:r>
      <w:r>
        <w:rPr>
          <w:rFonts w:ascii="微软雅黑" w:eastAsia="微软雅黑"/>
          <w:b/>
          <w:sz w:val="21"/>
        </w:rPr>
        <w:t>且</w:t>
      </w:r>
      <w:r>
        <w:rPr>
          <w:rFonts w:ascii="微软雅黑" w:eastAsia="微软雅黑"/>
          <w:b/>
          <w:sz w:val="21"/>
        </w:rPr>
        <w:t>其</w:t>
      </w:r>
      <w:r>
        <w:rPr>
          <w:rFonts w:ascii="微软雅黑" w:eastAsia="微软雅黑"/>
          <w:b/>
          <w:sz w:val="21"/>
        </w:rPr>
        <w:t>真</w:t>
      </w:r>
      <w:r>
        <w:rPr>
          <w:rFonts w:ascii="微软雅黑" w:eastAsia="微软雅黑"/>
          <w:b/>
          <w:sz w:val="21"/>
        </w:rPr>
        <w:t>实</w:t>
      </w:r>
      <w:r>
        <w:rPr>
          <w:rFonts w:ascii="微软雅黑" w:eastAsia="微软雅黑"/>
          <w:b/>
          <w:sz w:val="21"/>
        </w:rPr>
        <w:t>年</w:t>
      </w:r>
      <w:r>
        <w:rPr>
          <w:rFonts w:ascii="微软雅黑" w:eastAsia="微软雅黑"/>
          <w:b/>
          <w:sz w:val="21"/>
        </w:rPr>
        <w:t>龄</w:t>
      </w:r>
      <w:r>
        <w:rPr>
          <w:rFonts w:ascii="微软雅黑" w:eastAsia="微软雅黑"/>
          <w:b/>
          <w:sz w:val="21"/>
        </w:rPr>
        <w:t>不</w:t>
      </w:r>
      <w:r>
        <w:rPr>
          <w:rFonts w:ascii="微软雅黑" w:eastAsia="微软雅黑"/>
          <w:b/>
          <w:sz w:val="21"/>
        </w:rPr>
        <w:t>符</w:t>
      </w:r>
      <w:r>
        <w:rPr>
          <w:rFonts w:ascii="微软雅黑" w:eastAsia="微软雅黑"/>
          <w:b/>
          <w:sz w:val="21"/>
        </w:rPr>
        <w:t>合</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约</w:t>
      </w:r>
      <w:r>
        <w:rPr>
          <w:rFonts w:ascii="微软雅黑" w:eastAsia="微软雅黑"/>
          <w:b/>
          <w:sz w:val="21"/>
        </w:rPr>
        <w:t>定</w:t>
      </w:r>
      <w:r>
        <w:rPr>
          <w:rFonts w:ascii="微软雅黑" w:eastAsia="微软雅黑"/>
          <w:b/>
          <w:sz w:val="21"/>
        </w:rPr>
        <w:t>投</w:t>
      </w:r>
      <w:r>
        <w:rPr>
          <w:rFonts w:ascii="微软雅黑" w:eastAsia="微软雅黑"/>
          <w:b/>
          <w:sz w:val="21"/>
        </w:rPr>
        <w:t>保</w:t>
      </w:r>
      <w:r>
        <w:rPr>
          <w:rFonts w:ascii="微软雅黑" w:eastAsia="微软雅黑"/>
          <w:b/>
          <w:sz w:val="21"/>
        </w:rPr>
        <w:t>年</w:t>
      </w:r>
      <w:r>
        <w:rPr>
          <w:rFonts w:ascii="微软雅黑" w:eastAsia="微软雅黑"/>
          <w:b/>
          <w:sz w:val="21"/>
        </w:rPr>
        <w:t>龄</w:t>
      </w:r>
      <w:r>
        <w:rPr>
          <w:rFonts w:ascii="微软雅黑" w:eastAsia="微软雅黑"/>
          <w:b/>
          <w:spacing w:val="-10"/>
          <w:sz w:val="21"/>
        </w:rPr>
        <w:t>限</w:t>
      </w:r>
    </w:p>
    <w:p>
      <w:pPr>
        <w:spacing w:before="81"/>
        <w:ind w:left="0" w:right="317" w:firstLine="0"/>
        <w:jc w:val="right"/>
        <w:rPr>
          <w:rFonts w:ascii="微软雅黑" w:eastAsia="微软雅黑"/>
          <w:b/>
          <w:sz w:val="21"/>
        </w:rPr>
      </w:pPr>
      <w:r>
        <w:rPr>
          <w:rFonts w:ascii="微软雅黑" w:eastAsia="微软雅黑"/>
          <w:b/>
          <w:sz w:val="21"/>
        </w:rPr>
        <w:t>制</w:t>
      </w:r>
      <w:r>
        <w:rPr>
          <w:rFonts w:ascii="微软雅黑" w:eastAsia="微软雅黑"/>
          <w:b/>
          <w:sz w:val="21"/>
        </w:rPr>
        <w:t>的</w:t>
      </w:r>
      <w:r>
        <w:rPr>
          <w:rFonts w:ascii="微软雅黑" w:eastAsia="微软雅黑"/>
          <w:b/>
          <w:sz w:val="21"/>
        </w:rPr>
        <w:t>，</w:t>
      </w:r>
      <w:r>
        <w:rPr>
          <w:rFonts w:ascii="微软雅黑" w:eastAsia="微软雅黑"/>
          <w:b/>
          <w:sz w:val="21"/>
        </w:rPr>
        <w:t>我</w:t>
      </w:r>
      <w:r>
        <w:rPr>
          <w:rFonts w:ascii="微软雅黑" w:eastAsia="微软雅黑"/>
          <w:b/>
          <w:sz w:val="21"/>
        </w:rPr>
        <w:t>们</w:t>
      </w:r>
      <w:r>
        <w:rPr>
          <w:rFonts w:ascii="微软雅黑" w:eastAsia="微软雅黑"/>
          <w:b/>
          <w:sz w:val="21"/>
        </w:rPr>
        <w:t>有</w:t>
      </w:r>
      <w:r>
        <w:rPr>
          <w:rFonts w:ascii="微软雅黑" w:eastAsia="微软雅黑"/>
          <w:b/>
          <w:sz w:val="21"/>
        </w:rPr>
        <w:t>权</w:t>
      </w:r>
      <w:r>
        <w:rPr>
          <w:rFonts w:ascii="微软雅黑" w:eastAsia="微软雅黑"/>
          <w:b/>
          <w:sz w:val="21"/>
        </w:rPr>
        <w:t>解</w:t>
      </w:r>
      <w:r>
        <w:rPr>
          <w:rFonts w:ascii="微软雅黑" w:eastAsia="微软雅黑"/>
          <w:b/>
          <w:sz w:val="21"/>
        </w:rPr>
        <w:t>除</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w:t>
      </w:r>
      <w:r>
        <w:rPr>
          <w:rFonts w:ascii="微软雅黑" w:eastAsia="微软雅黑"/>
          <w:b/>
          <w:sz w:val="21"/>
        </w:rPr>
        <w:t>对</w:t>
      </w:r>
      <w:r>
        <w:rPr>
          <w:rFonts w:ascii="微软雅黑" w:eastAsia="微软雅黑"/>
          <w:b/>
          <w:sz w:val="21"/>
        </w:rPr>
        <w:t>于</w:t>
      </w:r>
      <w:r>
        <w:rPr>
          <w:rFonts w:ascii="微软雅黑" w:eastAsia="微软雅黑"/>
          <w:b/>
          <w:sz w:val="21"/>
        </w:rPr>
        <w:t>解</w:t>
      </w:r>
      <w:r>
        <w:rPr>
          <w:rFonts w:ascii="微软雅黑" w:eastAsia="微软雅黑"/>
          <w:b/>
          <w:sz w:val="21"/>
        </w:rPr>
        <w:t>除</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的</w:t>
      </w:r>
      <w:r>
        <w:rPr>
          <w:rFonts w:ascii="微软雅黑" w:eastAsia="微软雅黑"/>
          <w:b/>
          <w:sz w:val="21"/>
        </w:rPr>
        <w:t>，</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自</w:t>
      </w:r>
      <w:r>
        <w:rPr>
          <w:rFonts w:ascii="微软雅黑" w:eastAsia="微软雅黑"/>
          <w:b/>
          <w:sz w:val="21"/>
        </w:rPr>
        <w:t>解</w:t>
      </w:r>
      <w:r>
        <w:rPr>
          <w:rFonts w:ascii="微软雅黑" w:eastAsia="微软雅黑"/>
          <w:b/>
          <w:sz w:val="21"/>
        </w:rPr>
        <w:t>除</w:t>
      </w:r>
      <w:r>
        <w:rPr>
          <w:rFonts w:ascii="微软雅黑" w:eastAsia="微软雅黑"/>
          <w:b/>
          <w:sz w:val="21"/>
        </w:rPr>
        <w:t>之</w:t>
      </w:r>
      <w:r>
        <w:rPr>
          <w:rFonts w:ascii="微软雅黑" w:eastAsia="微软雅黑"/>
          <w:b/>
          <w:sz w:val="21"/>
        </w:rPr>
        <w:t>日</w:t>
      </w:r>
      <w:r>
        <w:rPr>
          <w:rFonts w:ascii="微软雅黑" w:eastAsia="微软雅黑"/>
          <w:b/>
          <w:sz w:val="21"/>
        </w:rPr>
        <w:t>起</w:t>
      </w:r>
      <w:r>
        <w:rPr>
          <w:rFonts w:ascii="微软雅黑" w:eastAsia="微软雅黑"/>
          <w:b/>
          <w:sz w:val="21"/>
        </w:rPr>
        <w:t>终</w:t>
      </w:r>
      <w:r>
        <w:rPr>
          <w:rFonts w:ascii="微软雅黑" w:eastAsia="微软雅黑"/>
          <w:b/>
          <w:sz w:val="21"/>
        </w:rPr>
        <w:t>止</w:t>
      </w:r>
      <w:r>
        <w:rPr>
          <w:rFonts w:ascii="微软雅黑" w:eastAsia="微软雅黑"/>
          <w:b/>
          <w:spacing w:val="-10"/>
          <w:sz w:val="21"/>
        </w:rPr>
        <w:t>，</w:t>
      </w:r>
    </w:p>
    <w:p>
      <w:pPr>
        <w:spacing w:after="0"/>
        <w:jc w:val="right"/>
        <w:rPr>
          <w:rFonts w:ascii="微软雅黑" w:eastAsia="微软雅黑"/>
          <w:sz w:val="21"/>
        </w:rPr>
        <w:sectPr>
          <w:pgSz w:w="11910" w:h="16840"/>
          <w:pgMar w:header="0" w:footer="1005" w:top="1580" w:bottom="1200" w:left="1680" w:right="1480"/>
        </w:sectPr>
      </w:pPr>
    </w:p>
    <w:p>
      <w:pPr>
        <w:spacing w:line="290" w:lineRule="auto" w:before="0"/>
        <w:ind w:left="1164" w:right="314" w:firstLine="0"/>
        <w:jc w:val="both"/>
        <w:rPr>
          <w:rFonts w:ascii="微软雅黑" w:hAnsi="微软雅黑" w:eastAsia="微软雅黑"/>
          <w:b/>
          <w:sz w:val="21"/>
        </w:rPr>
      </w:pPr>
      <w:r>
        <w:rPr>
          <w:rFonts w:ascii="微软雅黑" w:hAnsi="微软雅黑" w:eastAsia="微软雅黑"/>
          <w:b/>
          <w:spacing w:val="2"/>
          <w:w w:val="102"/>
          <w:sz w:val="21"/>
        </w:rPr>
        <w:t>我们向您退还本合同终止时保单的现金价值。对于本合同解除前发生的保险</w:t>
      </w:r>
      <w:r>
        <w:rPr>
          <w:rFonts w:ascii="微软雅黑" w:hAnsi="微软雅黑" w:eastAsia="微软雅黑"/>
          <w:b/>
          <w:spacing w:val="-129"/>
          <w:w w:val="102"/>
          <w:sz w:val="21"/>
        </w:rPr>
        <w:t>事</w:t>
      </w:r>
      <w:r>
        <w:rPr>
          <w:rFonts w:ascii="微软雅黑" w:hAnsi="微软雅黑" w:eastAsia="微软雅黑"/>
          <w:b/>
          <w:spacing w:val="-1"/>
          <w:w w:val="100"/>
          <w:sz w:val="21"/>
        </w:rPr>
        <w:t>故，我们不承担给付保险金的责任。</w:t>
      </w:r>
      <w:r>
        <w:rPr>
          <w:rFonts w:ascii="微软雅黑" w:hAnsi="微软雅黑" w:eastAsia="微软雅黑"/>
          <w:b/>
          <w:spacing w:val="-1"/>
          <w:w w:val="105"/>
          <w:sz w:val="21"/>
        </w:rPr>
        <w:t>我们行使合同</w:t>
      </w:r>
      <w:r>
        <w:rPr>
          <w:rFonts w:ascii="微软雅黑" w:hAnsi="微软雅黑" w:eastAsia="微软雅黑"/>
          <w:b/>
          <w:w w:val="100"/>
          <w:sz w:val="21"/>
        </w:rPr>
        <w:t>解除权适用</w:t>
      </w:r>
      <w:r>
        <w:rPr>
          <w:rFonts w:ascii="Calibri" w:hAnsi="Calibri" w:eastAsia="Calibri"/>
          <w:b/>
          <w:spacing w:val="-4"/>
          <w:w w:val="100"/>
          <w:sz w:val="21"/>
        </w:rPr>
        <w:t>“</w:t>
      </w:r>
      <w:r>
        <w:rPr>
          <w:rFonts w:ascii="微软雅黑" w:hAnsi="微软雅黑" w:eastAsia="微软雅黑"/>
          <w:b/>
          <w:spacing w:val="-1"/>
          <w:w w:val="105"/>
          <w:sz w:val="21"/>
        </w:rPr>
        <w:t>我们行使合同</w:t>
      </w:r>
      <w:r>
        <w:rPr>
          <w:rFonts w:ascii="微软雅黑" w:hAnsi="微软雅黑" w:eastAsia="微软雅黑"/>
          <w:b/>
          <w:spacing w:val="-148"/>
          <w:w w:val="100"/>
          <w:sz w:val="21"/>
        </w:rPr>
        <w:t>解</w:t>
      </w:r>
      <w:r>
        <w:rPr>
          <w:rFonts w:ascii="微软雅黑" w:hAnsi="微软雅黑" w:eastAsia="微软雅黑"/>
          <w:b/>
          <w:w w:val="100"/>
          <w:sz w:val="21"/>
        </w:rPr>
        <w:t>除权的限制</w:t>
      </w:r>
      <w:r>
        <w:rPr>
          <w:rFonts w:ascii="Calibri" w:hAnsi="Calibri" w:eastAsia="Calibri"/>
          <w:b/>
          <w:spacing w:val="-3"/>
          <w:w w:val="100"/>
          <w:sz w:val="21"/>
        </w:rPr>
        <w:t>”</w:t>
      </w:r>
      <w:r>
        <w:rPr>
          <w:rFonts w:ascii="微软雅黑" w:hAnsi="微软雅黑" w:eastAsia="微软雅黑"/>
          <w:b/>
          <w:w w:val="100"/>
          <w:sz w:val="21"/>
        </w:rPr>
        <w:t>的规定。</w:t>
      </w:r>
    </w:p>
    <w:p>
      <w:pPr>
        <w:pStyle w:val="ListParagraph"/>
        <w:numPr>
          <w:ilvl w:val="0"/>
          <w:numId w:val="9"/>
        </w:numPr>
        <w:tabs>
          <w:tab w:pos="1165" w:val="left" w:leader="none"/>
        </w:tabs>
        <w:spacing w:line="290" w:lineRule="auto" w:before="0" w:after="0"/>
        <w:ind w:left="1164" w:right="211" w:hanging="624"/>
        <w:jc w:val="left"/>
        <w:rPr>
          <w:rFonts w:ascii="微软雅黑" w:eastAsia="微软雅黑"/>
          <w:b/>
          <w:sz w:val="21"/>
        </w:rPr>
      </w:pPr>
      <w:r>
        <w:rPr>
          <w:rFonts w:ascii="微软雅黑" w:eastAsia="微软雅黑"/>
          <w:b/>
          <w:spacing w:val="-4"/>
          <w:w w:val="100"/>
          <w:sz w:val="21"/>
        </w:rPr>
        <w:t>您申报的被保险人年龄或者性别不真实，致使您实交保险费少于应交保险费的，</w:t>
      </w:r>
      <w:r>
        <w:rPr>
          <w:rFonts w:ascii="微软雅黑" w:eastAsia="微软雅黑"/>
          <w:b/>
          <w:spacing w:val="2"/>
          <w:w w:val="100"/>
          <w:sz w:val="21"/>
        </w:rPr>
        <w:t>我们有权更正并要求您补交保险费。若已经发生保险事故，在给付保险金时按</w:t>
      </w:r>
      <w:r>
        <w:rPr>
          <w:rFonts w:ascii="微软雅黑" w:eastAsia="微软雅黑"/>
          <w:b/>
          <w:spacing w:val="-2"/>
          <w:w w:val="100"/>
          <w:sz w:val="21"/>
        </w:rPr>
        <w:t>实交保险费和应交保险费的比例给付。</w:t>
      </w:r>
    </w:p>
    <w:p>
      <w:pPr>
        <w:pStyle w:val="ListParagraph"/>
        <w:numPr>
          <w:ilvl w:val="0"/>
          <w:numId w:val="9"/>
        </w:numPr>
        <w:tabs>
          <w:tab w:pos="1165" w:val="left" w:leader="none"/>
        </w:tabs>
        <w:spacing w:line="290" w:lineRule="auto" w:before="0" w:after="0"/>
        <w:ind w:left="1164" w:right="210" w:hanging="624"/>
        <w:jc w:val="left"/>
        <w:rPr>
          <w:rFonts w:ascii="微软雅黑" w:eastAsia="微软雅黑"/>
          <w:b/>
          <w:sz w:val="21"/>
        </w:rPr>
      </w:pPr>
      <w:r>
        <w:rPr>
          <w:rFonts w:ascii="微软雅黑" w:eastAsia="微软雅黑"/>
          <w:b/>
          <w:spacing w:val="-2"/>
          <w:sz w:val="21"/>
        </w:rPr>
        <w:t>您申报的被保险人年龄或者性别不真实，致使您实交保险费多于应交保险费的，</w:t>
      </w:r>
      <w:r>
        <w:rPr>
          <w:rFonts w:ascii="微软雅黑" w:eastAsia="微软雅黑"/>
          <w:b/>
          <w:spacing w:val="-2"/>
          <w:sz w:val="21"/>
        </w:rPr>
        <w:t>我们向您无息退还多收的保险费。</w:t>
      </w:r>
    </w:p>
    <w:p>
      <w:pPr>
        <w:pStyle w:val="BodyText"/>
        <w:spacing w:before="17"/>
        <w:rPr>
          <w:rFonts w:ascii="微软雅黑"/>
          <w:b/>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5" w:id="47"/>
      <w:bookmarkEnd w:id="47"/>
      <w:r>
        <w:rPr>
          <w:b w:val="0"/>
        </w:rPr>
      </w:r>
      <w:bookmarkStart w:name="_bookmark25" w:id="48"/>
      <w:bookmarkEnd w:id="48"/>
      <w:r>
        <w:rPr>
          <w:spacing w:val="-2"/>
        </w:rPr>
        <w:t>联系方式变更</w:t>
      </w:r>
    </w:p>
    <w:p>
      <w:pPr>
        <w:pStyle w:val="BodyText"/>
        <w:spacing w:line="417" w:lineRule="auto" w:before="148"/>
        <w:ind w:left="120" w:right="311" w:firstLine="419"/>
        <w:jc w:val="both"/>
      </w:pPr>
      <w:r>
        <w:rPr>
          <w:spacing w:val="-4"/>
        </w:rPr>
        <w:t>为了保障您的合法权益，您的住所、通讯地址、电话或电子邮件等联系方式变更时，请</w:t>
      </w:r>
      <w:r>
        <w:rPr>
          <w:spacing w:val="-7"/>
        </w:rPr>
        <w:t>及时以书面形式或者双方认可的其他形式通知我们。若您未以书面形式或双方认可的其他形</w:t>
      </w:r>
      <w:r>
        <w:rPr>
          <w:spacing w:val="-4"/>
        </w:rPr>
        <w:t>式通知我们，则我们按本合同载明的或我们以其他方式记录的您的最后住所、通讯地址、电</w:t>
      </w:r>
      <w:r>
        <w:rPr>
          <w:spacing w:val="-2"/>
        </w:rPr>
        <w:t>话或电子邮件等发送的有关通知，均视为已送达给您。</w:t>
      </w:r>
    </w:p>
    <w:p>
      <w:pPr>
        <w:spacing w:line="319" w:lineRule="exact" w:before="0"/>
        <w:ind w:left="542" w:right="0" w:firstLine="0"/>
        <w:jc w:val="left"/>
        <w:rPr>
          <w:rFonts w:ascii="微软雅黑" w:eastAsia="微软雅黑"/>
          <w:b/>
          <w:sz w:val="21"/>
        </w:rPr>
      </w:pPr>
      <w:r>
        <w:rPr>
          <w:rFonts w:ascii="微软雅黑" w:eastAsia="微软雅黑"/>
          <w:b/>
          <w:spacing w:val="-1"/>
          <w:sz w:val="21"/>
        </w:rPr>
        <w:t>如果因您未能及时通知，而使您未能接受我们的服务，或我们无法提供给您相应的服</w:t>
      </w:r>
    </w:p>
    <w:p>
      <w:pPr>
        <w:spacing w:before="81"/>
        <w:ind w:left="120" w:right="0" w:firstLine="0"/>
        <w:jc w:val="left"/>
        <w:rPr>
          <w:rFonts w:ascii="微软雅黑" w:eastAsia="微软雅黑"/>
          <w:b/>
          <w:sz w:val="21"/>
        </w:rPr>
      </w:pPr>
      <w:r>
        <w:rPr>
          <w:rFonts w:ascii="微软雅黑" w:eastAsia="微软雅黑"/>
          <w:b/>
          <w:spacing w:val="-3"/>
          <w:sz w:val="21"/>
        </w:rPr>
        <w:t>务，由此导致的后果和损失，由您本人承担。</w:t>
      </w:r>
    </w:p>
    <w:p>
      <w:pPr>
        <w:pStyle w:val="BodyText"/>
        <w:spacing w:before="15"/>
        <w:rPr>
          <w:rFonts w:ascii="微软雅黑"/>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6" w:id="49"/>
      <w:bookmarkEnd w:id="49"/>
      <w:r>
        <w:rPr>
          <w:b w:val="0"/>
        </w:rPr>
      </w:r>
      <w:bookmarkStart w:name="_bookmark26" w:id="50"/>
      <w:bookmarkEnd w:id="50"/>
      <w:r>
        <w:rPr>
          <w:spacing w:val="-2"/>
          <w:w w:val="105"/>
        </w:rPr>
        <w:t>本合同内容变更</w:t>
      </w:r>
    </w:p>
    <w:p>
      <w:pPr>
        <w:pStyle w:val="BodyText"/>
        <w:spacing w:line="417" w:lineRule="auto" w:before="148"/>
        <w:ind w:left="120" w:right="21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pStyle w:val="BodyText"/>
        <w:spacing w:before="7"/>
        <w:rPr>
          <w:sz w:val="15"/>
        </w:rPr>
      </w:pPr>
    </w:p>
    <w:p>
      <w:pPr>
        <w:pStyle w:val="BodyText"/>
        <w:spacing w:line="417" w:lineRule="auto"/>
        <w:ind w:left="540" w:right="2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spacing w:line="269" w:lineRule="exact"/>
        <w:ind w:left="120"/>
      </w:pPr>
      <w:r>
        <w:rPr>
          <w:spacing w:val="-3"/>
        </w:rPr>
        <w:t>亡的，我们不再变更任何合同内容。</w:t>
      </w:r>
    </w:p>
    <w:p>
      <w:pPr>
        <w:pStyle w:val="BodyText"/>
        <w:rPr>
          <w:sz w:val="20"/>
        </w:rPr>
      </w:pPr>
    </w:p>
    <w:p>
      <w:pPr>
        <w:pStyle w:val="BodyText"/>
        <w:spacing w:before="11"/>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7" w:id="51"/>
      <w:bookmarkEnd w:id="51"/>
      <w:r>
        <w:rPr>
          <w:b w:val="0"/>
        </w:rPr>
      </w:r>
      <w:bookmarkStart w:name="_bookmark27" w:id="52"/>
      <w:bookmarkEnd w:id="52"/>
      <w:r>
        <w:rPr/>
        <w:t>本</w:t>
      </w:r>
      <w:r>
        <w:rPr/>
        <w:t>合</w:t>
      </w:r>
      <w:r>
        <w:rPr/>
        <w:t>同</w:t>
      </w:r>
      <w:r>
        <w:rPr/>
        <w:t>效</w:t>
      </w:r>
      <w:r>
        <w:rPr/>
        <w:t>力</w:t>
      </w:r>
      <w:r>
        <w:rPr/>
        <w:t>的</w:t>
      </w:r>
      <w:r>
        <w:rPr/>
        <w:t>中</w:t>
      </w:r>
      <w:r>
        <w:rPr/>
        <w:t>止</w:t>
      </w:r>
      <w:r>
        <w:rPr/>
        <w:t>及</w:t>
      </w:r>
      <w:r>
        <w:rPr>
          <w:spacing w:val="-5"/>
        </w:rPr>
        <w:t>恢复</w:t>
      </w:r>
    </w:p>
    <w:p>
      <w:pPr>
        <w:spacing w:before="81"/>
        <w:ind w:left="542" w:right="0" w:firstLine="0"/>
        <w:jc w:val="left"/>
        <w:rPr>
          <w:rFonts w:ascii="微软雅黑" w:eastAsia="微软雅黑"/>
          <w:b/>
          <w:sz w:val="21"/>
        </w:rPr>
      </w:pPr>
      <w:r>
        <w:rPr>
          <w:rFonts w:ascii="微软雅黑" w:eastAsia="微软雅黑"/>
          <w:b/>
          <w:sz w:val="21"/>
        </w:rPr>
        <w:t>在</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效</w:t>
      </w:r>
      <w:r>
        <w:rPr>
          <w:rFonts w:ascii="微软雅黑" w:eastAsia="微软雅黑"/>
          <w:b/>
          <w:sz w:val="21"/>
        </w:rPr>
        <w:t>力</w:t>
      </w:r>
      <w:r>
        <w:rPr>
          <w:rFonts w:ascii="微软雅黑" w:eastAsia="微软雅黑"/>
          <w:b/>
          <w:sz w:val="21"/>
        </w:rPr>
        <w:t>中</w:t>
      </w:r>
      <w:r>
        <w:rPr>
          <w:rFonts w:ascii="微软雅黑" w:eastAsia="微软雅黑"/>
          <w:b/>
          <w:sz w:val="21"/>
        </w:rPr>
        <w:t>止</w:t>
      </w:r>
      <w:r>
        <w:rPr>
          <w:rFonts w:ascii="微软雅黑" w:eastAsia="微软雅黑"/>
          <w:b/>
          <w:spacing w:val="-1"/>
          <w:sz w:val="21"/>
        </w:rPr>
        <w:t>期间，我们不承担保险责任。</w:t>
      </w:r>
    </w:p>
    <w:p>
      <w:pPr>
        <w:pStyle w:val="BodyText"/>
        <w:spacing w:line="417" w:lineRule="auto" w:before="148"/>
        <w:ind w:left="120" w:right="316"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年内，您可以申请恢复合同效力。您提出恢复效力申请的，除被保</w:t>
      </w:r>
      <w:r>
        <w:rPr>
          <w:spacing w:val="-2"/>
        </w:rPr>
        <w:t>险人的危险程度在中止期间显著增加外，本合同自您补交保险费之日恢复效力。</w:t>
      </w:r>
    </w:p>
    <w:p>
      <w:pPr>
        <w:spacing w:line="320" w:lineRule="exact" w:before="0"/>
        <w:ind w:left="542" w:right="0" w:firstLine="0"/>
        <w:jc w:val="left"/>
        <w:rPr>
          <w:rFonts w:ascii="微软雅黑" w:eastAsia="微软雅黑"/>
          <w:b/>
          <w:sz w:val="21"/>
        </w:rPr>
      </w:pPr>
      <w:r>
        <w:rPr>
          <w:rFonts w:ascii="微软雅黑" w:eastAsia="微软雅黑"/>
          <w:b/>
          <w:sz w:val="21"/>
        </w:rPr>
        <w:t>自</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效</w:t>
      </w:r>
      <w:r>
        <w:rPr>
          <w:rFonts w:ascii="微软雅黑" w:eastAsia="微软雅黑"/>
          <w:b/>
          <w:sz w:val="21"/>
        </w:rPr>
        <w:t>力</w:t>
      </w:r>
      <w:r>
        <w:rPr>
          <w:rFonts w:ascii="微软雅黑" w:eastAsia="微软雅黑"/>
          <w:b/>
          <w:sz w:val="21"/>
        </w:rPr>
        <w:t>中</w:t>
      </w:r>
      <w:r>
        <w:rPr>
          <w:rFonts w:ascii="微软雅黑" w:eastAsia="微软雅黑"/>
          <w:b/>
          <w:sz w:val="21"/>
        </w:rPr>
        <w:t>止</w:t>
      </w:r>
      <w:r>
        <w:rPr>
          <w:rFonts w:ascii="微软雅黑" w:eastAsia="微软雅黑"/>
          <w:b/>
          <w:sz w:val="21"/>
        </w:rPr>
        <w:t>之日起满</w:t>
      </w:r>
      <w:r>
        <w:rPr>
          <w:rFonts w:ascii="微软雅黑" w:eastAsia="微软雅黑"/>
          <w:b/>
          <w:spacing w:val="69"/>
          <w:w w:val="150"/>
          <w:sz w:val="21"/>
        </w:rPr>
        <w:t> </w:t>
      </w:r>
      <w:r>
        <w:rPr>
          <w:rFonts w:ascii="Calibri" w:eastAsia="Calibri"/>
          <w:b/>
          <w:sz w:val="21"/>
        </w:rPr>
        <w:t>2</w:t>
      </w:r>
      <w:r>
        <w:rPr>
          <w:rFonts w:ascii="Calibri" w:eastAsia="Calibri"/>
          <w:b/>
          <w:spacing w:val="31"/>
          <w:sz w:val="21"/>
        </w:rPr>
        <w:t>  </w:t>
      </w:r>
      <w:r>
        <w:rPr>
          <w:rFonts w:ascii="微软雅黑" w:eastAsia="微软雅黑"/>
          <w:b/>
          <w:sz w:val="21"/>
        </w:rPr>
        <w:t>年您和我们未达成协议的，我们有权解除合同</w:t>
      </w:r>
      <w:r>
        <w:rPr>
          <w:rFonts w:ascii="微软雅黑" w:eastAsia="微软雅黑"/>
          <w:b/>
          <w:spacing w:val="-3"/>
          <w:sz w:val="21"/>
        </w:rPr>
        <w:t>。我们解</w:t>
      </w:r>
    </w:p>
    <w:p>
      <w:pPr>
        <w:spacing w:after="0" w:line="320" w:lineRule="exact"/>
        <w:jc w:val="left"/>
        <w:rPr>
          <w:rFonts w:ascii="微软雅黑" w:eastAsia="微软雅黑"/>
          <w:sz w:val="21"/>
        </w:rPr>
        <w:sectPr>
          <w:pgSz w:w="11910" w:h="16840"/>
          <w:pgMar w:header="0" w:footer="1005" w:top="1460" w:bottom="1200" w:left="1680" w:right="1480"/>
        </w:sectPr>
      </w:pPr>
    </w:p>
    <w:p>
      <w:pPr>
        <w:spacing w:line="381" w:lineRule="exact" w:before="0"/>
        <w:ind w:left="120" w:right="0" w:firstLine="0"/>
        <w:jc w:val="left"/>
        <w:rPr>
          <w:rFonts w:ascii="微软雅黑" w:eastAsia="微软雅黑"/>
          <w:b/>
          <w:sz w:val="21"/>
        </w:rPr>
      </w:pPr>
      <w:r>
        <w:rPr>
          <w:rFonts w:ascii="微软雅黑" w:eastAsia="微软雅黑"/>
          <w:b/>
          <w:sz w:val="21"/>
        </w:rPr>
        <w:t>除</w:t>
      </w:r>
      <w:r>
        <w:rPr>
          <w:rFonts w:ascii="微软雅黑" w:eastAsia="微软雅黑"/>
          <w:b/>
          <w:sz w:val="21"/>
        </w:rPr>
        <w:t>合</w:t>
      </w:r>
      <w:r>
        <w:rPr>
          <w:rFonts w:ascii="微软雅黑" w:eastAsia="微软雅黑"/>
          <w:b/>
          <w:sz w:val="21"/>
        </w:rPr>
        <w:t>同</w:t>
      </w:r>
      <w:r>
        <w:rPr>
          <w:rFonts w:ascii="微软雅黑" w:eastAsia="微软雅黑"/>
          <w:b/>
          <w:sz w:val="21"/>
        </w:rPr>
        <w:t>的</w:t>
      </w:r>
      <w:r>
        <w:rPr>
          <w:rFonts w:ascii="微软雅黑" w:eastAsia="微软雅黑"/>
          <w:b/>
          <w:sz w:val="21"/>
        </w:rPr>
        <w:t>，</w:t>
      </w:r>
      <w:r>
        <w:rPr>
          <w:rFonts w:ascii="微软雅黑" w:eastAsia="微软雅黑"/>
          <w:b/>
          <w:sz w:val="21"/>
        </w:rPr>
        <w:t>向</w:t>
      </w:r>
      <w:r>
        <w:rPr>
          <w:rFonts w:ascii="微软雅黑" w:eastAsia="微软雅黑"/>
          <w:b/>
          <w:sz w:val="21"/>
        </w:rPr>
        <w:t>您无息退还本</w:t>
      </w:r>
      <w:r>
        <w:rPr>
          <w:rFonts w:ascii="微软雅黑" w:eastAsia="微软雅黑"/>
          <w:b/>
          <w:sz w:val="21"/>
        </w:rPr>
        <w:t>合</w:t>
      </w:r>
      <w:r>
        <w:rPr>
          <w:rFonts w:ascii="微软雅黑" w:eastAsia="微软雅黑"/>
          <w:b/>
          <w:sz w:val="21"/>
        </w:rPr>
        <w:t>同</w:t>
      </w:r>
      <w:r>
        <w:rPr>
          <w:rFonts w:ascii="微软雅黑" w:eastAsia="微软雅黑"/>
          <w:b/>
          <w:sz w:val="21"/>
        </w:rPr>
        <w:t>效</w:t>
      </w:r>
      <w:r>
        <w:rPr>
          <w:rFonts w:ascii="微软雅黑" w:eastAsia="微软雅黑"/>
          <w:b/>
          <w:sz w:val="21"/>
        </w:rPr>
        <w:t>力</w:t>
      </w:r>
      <w:r>
        <w:rPr>
          <w:rFonts w:ascii="微软雅黑" w:eastAsia="微软雅黑"/>
          <w:b/>
          <w:sz w:val="21"/>
        </w:rPr>
        <w:t>中</w:t>
      </w:r>
      <w:r>
        <w:rPr>
          <w:rFonts w:ascii="微软雅黑" w:eastAsia="微软雅黑"/>
          <w:b/>
          <w:sz w:val="21"/>
        </w:rPr>
        <w:t>止</w:t>
      </w:r>
      <w:r>
        <w:rPr>
          <w:rFonts w:ascii="微软雅黑" w:eastAsia="微软雅黑"/>
          <w:b/>
          <w:sz w:val="21"/>
        </w:rPr>
        <w:t>时</w:t>
      </w:r>
      <w:r>
        <w:rPr>
          <w:rFonts w:ascii="微软雅黑" w:eastAsia="微软雅黑"/>
          <w:b/>
          <w:spacing w:val="-2"/>
          <w:sz w:val="21"/>
        </w:rPr>
        <w:t>保单的现金价值。</w:t>
      </w:r>
    </w:p>
    <w:p>
      <w:pPr>
        <w:pStyle w:val="BodyText"/>
        <w:spacing w:before="14"/>
        <w:rPr>
          <w:rFonts w:ascii="微软雅黑"/>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8" w:id="53"/>
      <w:bookmarkEnd w:id="53"/>
      <w:r>
        <w:rPr>
          <w:b w:val="0"/>
        </w:rPr>
      </w:r>
      <w:bookmarkStart w:name="_bookmark28" w:id="54"/>
      <w:bookmarkEnd w:id="54"/>
      <w:r>
        <w:rPr>
          <w:spacing w:val="-2"/>
          <w:w w:val="105"/>
        </w:rPr>
        <w:t>本合同的解除</w:t>
      </w:r>
    </w:p>
    <w:p>
      <w:pPr>
        <w:pStyle w:val="ListParagraph"/>
        <w:numPr>
          <w:ilvl w:val="1"/>
          <w:numId w:val="2"/>
        </w:numPr>
        <w:tabs>
          <w:tab w:pos="1113" w:val="left" w:leader="none"/>
          <w:tab w:pos="1114" w:val="left" w:leader="none"/>
        </w:tabs>
        <w:spacing w:line="357" w:lineRule="auto" w:before="149" w:after="0"/>
        <w:ind w:left="120" w:right="311" w:firstLine="419"/>
        <w:jc w:val="left"/>
        <w:rPr>
          <w:rFonts w:ascii="微软雅黑" w:eastAsia="微软雅黑"/>
          <w:b/>
          <w:sz w:val="21"/>
        </w:rPr>
      </w:pPr>
      <w:r>
        <w:rPr>
          <w:spacing w:val="-2"/>
          <w:sz w:val="21"/>
        </w:rPr>
        <w:t>在本合同规定的犹豫期后，您可以书面形式或我们认可的其他方式通知我们要求</w:t>
      </w:r>
      <w:r>
        <w:rPr>
          <w:spacing w:val="-2"/>
          <w:sz w:val="21"/>
        </w:rPr>
        <w:t>解除本合同并向我们退还相关合同文件，即退保。</w:t>
      </w:r>
      <w:r>
        <w:rPr>
          <w:rFonts w:ascii="微软雅黑" w:eastAsia="微软雅黑"/>
          <w:b/>
          <w:spacing w:val="-2"/>
          <w:sz w:val="21"/>
        </w:rPr>
        <w:t>我们收到您以书面形式或我们认可的其</w:t>
      </w:r>
    </w:p>
    <w:p>
      <w:pPr>
        <w:pStyle w:val="Heading2"/>
        <w:spacing w:line="278" w:lineRule="exact"/>
      </w:pPr>
      <w:r>
        <w:rPr/>
        <w:t>他方式提出解</w:t>
      </w:r>
      <w:r>
        <w:rPr/>
        <w:t>除</w:t>
      </w:r>
      <w:r>
        <w:rPr/>
        <w:t>本</w:t>
      </w:r>
      <w:r>
        <w:rPr/>
        <w:t>合同申请通</w:t>
      </w:r>
      <w:r>
        <w:rPr/>
        <w:t>知</w:t>
      </w:r>
      <w:r>
        <w:rPr/>
        <w:t>当</w:t>
      </w:r>
      <w:r>
        <w:rPr/>
        <w:t>日</w:t>
      </w:r>
      <w:r>
        <w:rPr/>
        <w:t>，</w:t>
      </w:r>
      <w:r>
        <w:rPr/>
        <w:t>本</w:t>
      </w:r>
      <w:r>
        <w:rPr/>
        <w:t>合</w:t>
      </w:r>
      <w:r>
        <w:rPr>
          <w:spacing w:val="-1"/>
        </w:rPr>
        <w:t>同解除，保险责任终止。</w:t>
      </w:r>
    </w:p>
    <w:p>
      <w:pPr>
        <w:pStyle w:val="ListParagraph"/>
        <w:numPr>
          <w:ilvl w:val="1"/>
          <w:numId w:val="2"/>
        </w:numPr>
        <w:tabs>
          <w:tab w:pos="1113" w:val="left" w:leader="none"/>
          <w:tab w:pos="1114" w:val="left" w:leader="none"/>
        </w:tabs>
        <w:spacing w:line="240" w:lineRule="auto" w:before="148" w:after="0"/>
        <w:ind w:left="1114" w:right="0" w:hanging="574"/>
        <w:jc w:val="left"/>
        <w:rPr>
          <w:sz w:val="21"/>
        </w:rPr>
      </w:pPr>
      <w:r>
        <w:rPr>
          <w:spacing w:val="-3"/>
          <w:sz w:val="21"/>
        </w:rPr>
        <w:t>您要求退保时，应向我们提供下列证明和资料：</w:t>
      </w:r>
    </w:p>
    <w:p>
      <w:pPr>
        <w:pStyle w:val="BodyText"/>
        <w:spacing w:before="6"/>
        <w:rPr>
          <w:sz w:val="15"/>
        </w:rPr>
      </w:pPr>
    </w:p>
    <w:p>
      <w:pPr>
        <w:pStyle w:val="ListParagraph"/>
        <w:numPr>
          <w:ilvl w:val="0"/>
          <w:numId w:val="10"/>
        </w:numPr>
        <w:tabs>
          <w:tab w:pos="1273" w:val="left" w:leader="none"/>
        </w:tabs>
        <w:spacing w:line="240" w:lineRule="auto" w:before="0" w:after="0"/>
        <w:ind w:left="1272" w:right="0" w:hanging="625"/>
        <w:jc w:val="left"/>
        <w:rPr>
          <w:sz w:val="21"/>
        </w:rPr>
      </w:pPr>
      <w:r>
        <w:rPr>
          <w:spacing w:val="-4"/>
          <w:sz w:val="21"/>
        </w:rPr>
        <w:t>保险合同；</w:t>
      </w:r>
    </w:p>
    <w:p>
      <w:pPr>
        <w:pStyle w:val="BodyText"/>
        <w:spacing w:before="7"/>
        <w:rPr>
          <w:sz w:val="15"/>
        </w:rPr>
      </w:pPr>
    </w:p>
    <w:p>
      <w:pPr>
        <w:pStyle w:val="ListParagraph"/>
        <w:numPr>
          <w:ilvl w:val="0"/>
          <w:numId w:val="10"/>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7"/>
        <w:rPr>
          <w:sz w:val="15"/>
        </w:rPr>
      </w:pPr>
    </w:p>
    <w:p>
      <w:pPr>
        <w:pStyle w:val="ListParagraph"/>
        <w:numPr>
          <w:ilvl w:val="0"/>
          <w:numId w:val="10"/>
        </w:numPr>
        <w:tabs>
          <w:tab w:pos="1273" w:val="left" w:leader="none"/>
        </w:tabs>
        <w:spacing w:line="240" w:lineRule="auto" w:before="0" w:after="0"/>
        <w:ind w:left="1272" w:right="0" w:hanging="625"/>
        <w:jc w:val="left"/>
        <w:rPr>
          <w:sz w:val="21"/>
        </w:rPr>
      </w:pPr>
      <w:r>
        <w:rPr>
          <w:spacing w:val="-3"/>
          <w:sz w:val="21"/>
        </w:rPr>
        <w:t>您的有效身份证件；</w:t>
      </w:r>
    </w:p>
    <w:p>
      <w:pPr>
        <w:pStyle w:val="BodyText"/>
        <w:spacing w:before="7"/>
        <w:rPr>
          <w:sz w:val="15"/>
        </w:rPr>
      </w:pPr>
    </w:p>
    <w:p>
      <w:pPr>
        <w:pStyle w:val="ListParagraph"/>
        <w:numPr>
          <w:ilvl w:val="0"/>
          <w:numId w:val="10"/>
        </w:numPr>
        <w:tabs>
          <w:tab w:pos="1273" w:val="left" w:leader="none"/>
        </w:tabs>
        <w:spacing w:line="417" w:lineRule="auto" w:before="0" w:after="0"/>
        <w:ind w:left="1272" w:right="316" w:hanging="624"/>
        <w:jc w:val="left"/>
        <w:rPr>
          <w:sz w:val="21"/>
        </w:rPr>
      </w:pPr>
      <w:r>
        <w:rPr>
          <w:spacing w:val="-2"/>
          <w:sz w:val="21"/>
        </w:rPr>
        <w:t>如果您委托他人代为申请时，还应提供授权委托书、受托人有效身份证件等相</w:t>
      </w:r>
      <w:r>
        <w:rPr>
          <w:spacing w:val="-2"/>
          <w:sz w:val="21"/>
        </w:rPr>
        <w:t>关证明文件；</w:t>
      </w:r>
    </w:p>
    <w:p>
      <w:pPr>
        <w:pStyle w:val="ListParagraph"/>
        <w:numPr>
          <w:ilvl w:val="0"/>
          <w:numId w:val="10"/>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Heading2"/>
        <w:spacing w:line="290" w:lineRule="auto" w:before="132"/>
        <w:ind w:left="542" w:right="1243"/>
      </w:pPr>
      <w:r>
        <w:rPr>
          <w:spacing w:val="-2"/>
        </w:rPr>
        <w:t>我们在收到上述证明资料后将向您无息退还本合同</w:t>
      </w:r>
      <w:r>
        <w:rPr>
          <w:spacing w:val="-10"/>
        </w:rPr>
        <w:t>解除时的保单现金价值。</w:t>
      </w:r>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合同会遭受一定损失。</w:t>
      </w:r>
    </w:p>
    <w:p>
      <w:pPr>
        <w:pStyle w:val="BodyText"/>
        <w:spacing w:before="6"/>
        <w:rPr>
          <w:rFonts w:ascii="微软雅黑"/>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9" w:id="55"/>
      <w:bookmarkEnd w:id="55"/>
      <w:r>
        <w:rPr>
          <w:b w:val="0"/>
        </w:rPr>
      </w:r>
      <w:bookmarkStart w:name="_bookmark29" w:id="56"/>
      <w:bookmarkEnd w:id="56"/>
      <w:r>
        <w:rPr>
          <w:spacing w:val="-2"/>
          <w:w w:val="105"/>
        </w:rPr>
        <w:t>本合同的终止</w:t>
      </w:r>
    </w:p>
    <w:p>
      <w:pPr>
        <w:pStyle w:val="BodyText"/>
        <w:spacing w:before="149"/>
        <w:ind w:left="540"/>
      </w:pPr>
      <w:r>
        <w:rPr>
          <w:spacing w:val="-3"/>
        </w:rPr>
        <w:t>发生下列情况之一时，本合同终止：</w:t>
      </w:r>
    </w:p>
    <w:p>
      <w:pPr>
        <w:pStyle w:val="BodyText"/>
        <w:spacing w:before="6"/>
        <w:rPr>
          <w:sz w:val="15"/>
        </w:rPr>
      </w:pPr>
    </w:p>
    <w:p>
      <w:pPr>
        <w:pStyle w:val="ListParagraph"/>
        <w:numPr>
          <w:ilvl w:val="0"/>
          <w:numId w:val="11"/>
        </w:numPr>
        <w:tabs>
          <w:tab w:pos="961" w:val="left" w:leader="none"/>
        </w:tabs>
        <w:spacing w:line="240" w:lineRule="auto" w:before="1" w:after="0"/>
        <w:ind w:left="960" w:right="0" w:hanging="558"/>
        <w:jc w:val="left"/>
        <w:rPr>
          <w:sz w:val="21"/>
        </w:rPr>
      </w:pPr>
      <w:r>
        <w:rPr>
          <w:spacing w:val="-3"/>
          <w:sz w:val="21"/>
        </w:rPr>
        <w:t>您于本合同有效期内向我们申请解除本合同的；</w:t>
      </w:r>
    </w:p>
    <w:p>
      <w:pPr>
        <w:pStyle w:val="BodyText"/>
        <w:spacing w:before="6"/>
        <w:rPr>
          <w:sz w:val="15"/>
        </w:rPr>
      </w:pPr>
    </w:p>
    <w:p>
      <w:pPr>
        <w:pStyle w:val="ListParagraph"/>
        <w:numPr>
          <w:ilvl w:val="0"/>
          <w:numId w:val="11"/>
        </w:numPr>
        <w:tabs>
          <w:tab w:pos="961" w:val="left" w:leader="none"/>
        </w:tabs>
        <w:spacing w:line="240" w:lineRule="auto" w:before="0" w:after="0"/>
        <w:ind w:left="960" w:right="0" w:hanging="558"/>
        <w:jc w:val="left"/>
        <w:rPr>
          <w:sz w:val="21"/>
        </w:rPr>
      </w:pPr>
      <w:r>
        <w:rPr>
          <w:spacing w:val="-3"/>
          <w:sz w:val="21"/>
        </w:rPr>
        <w:t>本合同约定的其他效力终止的情况。</w:t>
      </w:r>
    </w:p>
    <w:p>
      <w:pPr>
        <w:pStyle w:val="BodyText"/>
        <w:rPr>
          <w:sz w:val="22"/>
        </w:rPr>
      </w:pPr>
    </w:p>
    <w:p>
      <w:pPr>
        <w:pStyle w:val="BodyText"/>
        <w:spacing w:before="11"/>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0" w:id="57"/>
      <w:bookmarkEnd w:id="57"/>
      <w:r>
        <w:rPr>
          <w:b w:val="0"/>
        </w:rPr>
      </w:r>
      <w:bookmarkStart w:name="_bookmark30" w:id="58"/>
      <w:bookmarkEnd w:id="58"/>
      <w:r>
        <w:rPr>
          <w:spacing w:val="-3"/>
        </w:rPr>
        <w:t>诉讼时效</w:t>
      </w:r>
    </w:p>
    <w:p>
      <w:pPr>
        <w:pStyle w:val="BodyText"/>
        <w:spacing w:line="417" w:lineRule="auto" w:before="148"/>
        <w:ind w:left="120" w:right="313" w:firstLine="419"/>
      </w:pPr>
      <w:r>
        <w:rPr>
          <w:spacing w:val="-3"/>
        </w:rPr>
        <w:t>受益人向我们请求给付保险金的诉讼时效期间为 </w:t>
      </w:r>
      <w:r>
        <w:rPr>
          <w:rFonts w:ascii="Calibri" w:eastAsia="Calibri"/>
        </w:rPr>
        <w:t>2</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Heading2"/>
        <w:numPr>
          <w:ilvl w:val="0"/>
          <w:numId w:val="2"/>
        </w:numPr>
        <w:tabs>
          <w:tab w:pos="481" w:val="left" w:leader="none"/>
        </w:tabs>
        <w:spacing w:line="240" w:lineRule="auto" w:before="145" w:after="0"/>
        <w:ind w:left="480" w:right="0" w:hanging="361"/>
        <w:jc w:val="left"/>
        <w:rPr>
          <w:rFonts w:ascii="Calibri" w:eastAsia="Calibri"/>
        </w:rPr>
      </w:pPr>
      <w:bookmarkStart w:name="_bookmark31" w:id="59"/>
      <w:bookmarkEnd w:id="59"/>
      <w:r>
        <w:rPr>
          <w:b w:val="0"/>
        </w:rPr>
      </w:r>
      <w:bookmarkStart w:name="_bookmark31" w:id="60"/>
      <w:bookmarkEnd w:id="60"/>
      <w:r>
        <w:rPr>
          <w:spacing w:val="-3"/>
        </w:rPr>
        <w:t>伤残鉴定</w:t>
      </w:r>
    </w:p>
    <w:p>
      <w:pPr>
        <w:pStyle w:val="BodyText"/>
        <w:spacing w:line="417" w:lineRule="auto" w:before="148"/>
        <w:ind w:left="120" w:right="211" w:firstLine="419"/>
        <w:rPr>
          <w:rFonts w:ascii="黑体" w:eastAsia="黑体"/>
        </w:rPr>
      </w:pPr>
      <w:r>
        <w:rPr>
          <w:spacing w:val="-2"/>
        </w:rPr>
        <w:t>若被保险人身体全残，应在治疗结束之后，由具备合法鉴定资格的鉴定机构进行鉴定。</w:t>
      </w:r>
      <w:r>
        <w:rPr>
          <w:spacing w:val="-13"/>
        </w:rPr>
        <w:t>治疗尚未结束的，</w:t>
      </w:r>
      <w:r>
        <w:rPr>
          <w:rFonts w:ascii="黑体" w:eastAsia="黑体"/>
          <w:spacing w:val="-1"/>
        </w:rPr>
        <w:t>鉴定结果应以自被保险人发生意外伤害事故或疾病确诊之日起第 </w:t>
      </w:r>
      <w:r>
        <w:rPr>
          <w:rFonts w:ascii="黑体" w:eastAsia="黑体"/>
        </w:rPr>
        <w:t>180</w:t>
      </w:r>
      <w:r>
        <w:rPr>
          <w:rFonts w:ascii="黑体" w:eastAsia="黑体"/>
          <w:spacing w:val="-8"/>
        </w:rPr>
        <w:t> 日的</w:t>
      </w:r>
      <w:r>
        <w:rPr>
          <w:rFonts w:ascii="黑体" w:eastAsia="黑体"/>
          <w:spacing w:val="-2"/>
        </w:rPr>
        <w:t>身体情况为准。</w:t>
      </w:r>
    </w:p>
    <w:p>
      <w:pPr>
        <w:spacing w:after="0" w:line="417" w:lineRule="auto"/>
        <w:rPr>
          <w:rFonts w:ascii="黑体" w:eastAsia="黑体"/>
        </w:rPr>
        <w:sectPr>
          <w:pgSz w:w="11910" w:h="16840"/>
          <w:pgMar w:header="0" w:footer="1005" w:top="1460" w:bottom="1200" w:left="1680" w:right="1480"/>
        </w:sectPr>
      </w:pPr>
    </w:p>
    <w:p>
      <w:pPr>
        <w:pStyle w:val="Heading2"/>
        <w:numPr>
          <w:ilvl w:val="0"/>
          <w:numId w:val="2"/>
        </w:numPr>
        <w:tabs>
          <w:tab w:pos="481" w:val="left" w:leader="none"/>
        </w:tabs>
        <w:spacing w:line="381" w:lineRule="exact" w:before="0" w:after="0"/>
        <w:ind w:left="480" w:right="0" w:hanging="361"/>
        <w:jc w:val="left"/>
        <w:rPr>
          <w:rFonts w:ascii="Calibri" w:eastAsia="Calibri"/>
        </w:rPr>
      </w:pPr>
      <w:bookmarkStart w:name="_bookmark32" w:id="61"/>
      <w:bookmarkEnd w:id="61"/>
      <w:r>
        <w:rPr>
          <w:b w:val="0"/>
        </w:rPr>
      </w:r>
      <w:bookmarkStart w:name="_bookmark32" w:id="62"/>
      <w:bookmarkEnd w:id="62"/>
      <w:r>
        <w:rPr>
          <w:spacing w:val="-3"/>
        </w:rPr>
        <w:t>司法鉴定</w:t>
      </w:r>
    </w:p>
    <w:p>
      <w:pPr>
        <w:pStyle w:val="BodyText"/>
        <w:spacing w:line="417" w:lineRule="auto" w:before="148"/>
        <w:ind w:left="120" w:right="208" w:firstLine="419"/>
      </w:pPr>
      <w:r>
        <w:rPr>
          <w:spacing w:val="-2"/>
        </w:rPr>
        <w:t>若被保险人发生身故或全残，在必要时我们可要求司法鉴定机构对被保险人进行鉴定，</w:t>
      </w:r>
      <w:r>
        <w:rPr>
          <w:spacing w:val="-2"/>
        </w:rPr>
        <w:t>以确定被保险人发生身故或全残的原因。</w:t>
      </w:r>
    </w:p>
    <w:p>
      <w:pPr>
        <w:pStyle w:val="BodyText"/>
        <w:rPr>
          <w:sz w:val="20"/>
        </w:rPr>
      </w:pPr>
    </w:p>
    <w:p>
      <w:pPr>
        <w:pStyle w:val="Heading2"/>
        <w:numPr>
          <w:ilvl w:val="0"/>
          <w:numId w:val="2"/>
        </w:numPr>
        <w:tabs>
          <w:tab w:pos="481" w:val="left" w:leader="none"/>
        </w:tabs>
        <w:spacing w:line="240" w:lineRule="auto" w:before="144" w:after="0"/>
        <w:ind w:left="480" w:right="0" w:hanging="361"/>
        <w:jc w:val="left"/>
        <w:rPr>
          <w:rFonts w:ascii="Calibri" w:eastAsia="Calibri"/>
        </w:rPr>
      </w:pPr>
      <w:bookmarkStart w:name="_bookmark33" w:id="63"/>
      <w:bookmarkEnd w:id="63"/>
      <w:r>
        <w:rPr>
          <w:b w:val="0"/>
        </w:rPr>
      </w:r>
      <w:bookmarkStart w:name="_bookmark33" w:id="64"/>
      <w:bookmarkEnd w:id="64"/>
      <w:r>
        <w:rPr>
          <w:spacing w:val="-2"/>
        </w:rPr>
        <w:t>客户信息保密</w:t>
      </w:r>
    </w:p>
    <w:p>
      <w:pPr>
        <w:pStyle w:val="BodyText"/>
        <w:spacing w:line="417" w:lineRule="auto" w:before="149"/>
        <w:ind w:left="120" w:right="213"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2"/>
        </w:numPr>
        <w:tabs>
          <w:tab w:pos="1072" w:val="left" w:leader="none"/>
        </w:tabs>
        <w:spacing w:line="417" w:lineRule="auto" w:before="0" w:after="0"/>
        <w:ind w:left="120" w:right="313" w:firstLine="419"/>
        <w:jc w:val="left"/>
        <w:rPr>
          <w:sz w:val="21"/>
        </w:rPr>
      </w:pPr>
      <w:r>
        <w:rPr>
          <w:spacing w:val="-2"/>
          <w:sz w:val="21"/>
        </w:rPr>
        <w:t>侦查机关、国家安全机关、检察机关、监察机关、人民法院、仲裁机构等司法部</w:t>
      </w:r>
      <w:r>
        <w:rPr>
          <w:spacing w:val="-2"/>
          <w:sz w:val="21"/>
        </w:rPr>
        <w:t>门依法要求我们提供；</w:t>
      </w:r>
    </w:p>
    <w:p>
      <w:pPr>
        <w:pStyle w:val="ListParagraph"/>
        <w:numPr>
          <w:ilvl w:val="0"/>
          <w:numId w:val="12"/>
        </w:numPr>
        <w:tabs>
          <w:tab w:pos="1072" w:val="left" w:leader="none"/>
        </w:tabs>
        <w:spacing w:line="240" w:lineRule="auto" w:before="0" w:after="0"/>
        <w:ind w:left="1071" w:right="0" w:hanging="532"/>
        <w:jc w:val="left"/>
        <w:rPr>
          <w:sz w:val="21"/>
        </w:rPr>
      </w:pPr>
      <w:r>
        <w:rPr>
          <w:spacing w:val="-13"/>
          <w:sz w:val="21"/>
        </w:rPr>
        <w:t>中国人民银行、中国银行保险监管部门等政府部门依法或依职权要求我们报告的。</w:t>
      </w:r>
    </w:p>
    <w:p>
      <w:pPr>
        <w:pStyle w:val="BodyText"/>
        <w:rPr>
          <w:sz w:val="22"/>
        </w:rPr>
      </w:pPr>
    </w:p>
    <w:p>
      <w:pPr>
        <w:pStyle w:val="BodyText"/>
        <w:spacing w:before="10"/>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4" w:id="65"/>
      <w:bookmarkEnd w:id="65"/>
      <w:r>
        <w:rPr>
          <w:b w:val="0"/>
        </w:rPr>
      </w:r>
      <w:bookmarkStart w:name="_bookmark34" w:id="66"/>
      <w:bookmarkEnd w:id="66"/>
      <w:r>
        <w:rPr>
          <w:spacing w:val="-2"/>
        </w:rPr>
        <w:t>争议的处理</w:t>
      </w:r>
    </w:p>
    <w:p>
      <w:pPr>
        <w:pStyle w:val="BodyText"/>
        <w:spacing w:line="417" w:lineRule="auto" w:before="148"/>
        <w:ind w:left="120" w:right="3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3"/>
        </w:numPr>
        <w:tabs>
          <w:tab w:pos="961" w:val="left" w:leader="none"/>
        </w:tabs>
        <w:spacing w:line="269" w:lineRule="exact" w:before="0" w:after="0"/>
        <w:ind w:left="960" w:right="0" w:hanging="558"/>
        <w:jc w:val="left"/>
        <w:rPr>
          <w:sz w:val="21"/>
        </w:rPr>
      </w:pPr>
      <w:r>
        <w:rPr>
          <w:spacing w:val="-3"/>
          <w:sz w:val="21"/>
        </w:rPr>
        <w:t>提交双方共同选择的仲裁委员会仲裁；</w:t>
      </w:r>
    </w:p>
    <w:p>
      <w:pPr>
        <w:pStyle w:val="BodyText"/>
        <w:spacing w:before="6"/>
        <w:rPr>
          <w:sz w:val="15"/>
        </w:rPr>
      </w:pPr>
    </w:p>
    <w:p>
      <w:pPr>
        <w:pStyle w:val="ListParagraph"/>
        <w:numPr>
          <w:ilvl w:val="0"/>
          <w:numId w:val="13"/>
        </w:numPr>
        <w:tabs>
          <w:tab w:pos="961" w:val="left" w:leader="none"/>
        </w:tabs>
        <w:spacing w:line="240" w:lineRule="auto" w:before="1" w:after="0"/>
        <w:ind w:left="960" w:right="0" w:hanging="553"/>
        <w:jc w:val="left"/>
        <w:rPr>
          <w:sz w:val="21"/>
        </w:rPr>
      </w:pPr>
      <w:r>
        <w:rPr>
          <w:spacing w:val="-3"/>
          <w:sz w:val="21"/>
        </w:rPr>
        <w:t>依法向人民法院提起诉讼。</w:t>
      </w:r>
    </w:p>
    <w:p>
      <w:pPr>
        <w:pStyle w:val="BodyText"/>
        <w:spacing w:before="6"/>
        <w:rPr>
          <w:sz w:val="15"/>
        </w:rPr>
      </w:pPr>
    </w:p>
    <w:p>
      <w:pPr>
        <w:pStyle w:val="BodyText"/>
        <w:spacing w:line="417" w:lineRule="auto"/>
        <w:ind w:left="120" w:right="3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Heading1"/>
        <w:tabs>
          <w:tab w:pos="4131" w:val="left" w:leader="none"/>
        </w:tabs>
        <w:spacing w:before="156"/>
        <w:ind w:left="3291" w:right="0"/>
        <w:jc w:val="left"/>
      </w:pPr>
      <w:bookmarkStart w:name="_bookmark35" w:id="67"/>
      <w:bookmarkEnd w:id="67"/>
      <w:r>
        <w:rPr>
          <w:b w:val="0"/>
        </w:rPr>
      </w:r>
      <w:r>
        <w:rPr/>
        <w:t>五</w:t>
      </w:r>
      <w:r>
        <w:rPr>
          <w:spacing w:val="-10"/>
        </w:rPr>
        <w:t>、</w:t>
      </w:r>
      <w:r>
        <w:rPr/>
        <w:tab/>
        <w:t>疾病定</w:t>
      </w:r>
      <w:r>
        <w:rPr>
          <w:spacing w:val="-10"/>
        </w:rPr>
        <w:t>义</w:t>
      </w:r>
    </w:p>
    <w:p>
      <w:pPr>
        <w:pStyle w:val="Heading2"/>
        <w:numPr>
          <w:ilvl w:val="0"/>
          <w:numId w:val="2"/>
        </w:numPr>
        <w:tabs>
          <w:tab w:pos="481" w:val="left" w:leader="none"/>
        </w:tabs>
        <w:spacing w:line="240" w:lineRule="auto" w:before="97" w:after="0"/>
        <w:ind w:left="480" w:right="0" w:hanging="361"/>
        <w:jc w:val="left"/>
        <w:rPr>
          <w:rFonts w:ascii="Calibri" w:eastAsia="Calibri"/>
        </w:rPr>
      </w:pPr>
      <w:bookmarkStart w:name="_bookmark36" w:id="68"/>
      <w:bookmarkEnd w:id="68"/>
      <w:r>
        <w:rPr>
          <w:b w:val="0"/>
        </w:rPr>
      </w:r>
      <w:bookmarkStart w:name="_bookmark36" w:id="69"/>
      <w:bookmarkEnd w:id="69"/>
      <w:r>
        <w:rPr>
          <w:spacing w:val="-2"/>
        </w:rPr>
        <w:t>重大疾病定义</w:t>
      </w:r>
    </w:p>
    <w:p>
      <w:pPr>
        <w:spacing w:line="357" w:lineRule="auto" w:before="148"/>
        <w:ind w:left="120" w:right="3009" w:firstLine="357"/>
        <w:jc w:val="left"/>
        <w:rPr>
          <w:rFonts w:ascii="微软雅黑" w:hAnsi="微软雅黑" w:eastAsia="微软雅黑"/>
          <w:b/>
          <w:sz w:val="21"/>
        </w:rPr>
      </w:pPr>
      <w:r>
        <w:rPr>
          <w:spacing w:val="-2"/>
          <w:sz w:val="21"/>
        </w:rPr>
        <w:t>本合同所称重大疾病，包括以下疾病、疾病状态或手术： </w:t>
      </w:r>
      <w:r>
        <w:rPr>
          <w:rFonts w:ascii="微软雅黑" w:hAnsi="微软雅黑" w:eastAsia="微软雅黑"/>
          <w:b/>
          <w:w w:val="110"/>
          <w:sz w:val="21"/>
        </w:rPr>
        <w:t>(</w:t>
      </w:r>
      <w:r>
        <w:rPr>
          <w:rFonts w:ascii="微软雅黑" w:hAnsi="微软雅黑" w:eastAsia="微软雅黑"/>
          <w:b/>
          <w:sz w:val="21"/>
        </w:rPr>
        <w:t>一</w:t>
      </w:r>
      <w:r>
        <w:rPr>
          <w:rFonts w:ascii="微软雅黑" w:hAnsi="微软雅黑" w:eastAsia="微软雅黑"/>
          <w:b/>
          <w:w w:val="110"/>
          <w:sz w:val="21"/>
        </w:rPr>
        <w:t>) </w:t>
      </w:r>
      <w:r>
        <w:rPr>
          <w:rFonts w:ascii="微软雅黑" w:hAnsi="微软雅黑" w:eastAsia="微软雅黑"/>
          <w:b/>
          <w:sz w:val="21"/>
        </w:rPr>
        <w:t>恶性肿瘤——</w:t>
      </w:r>
      <w:r>
        <w:rPr>
          <w:rFonts w:ascii="微软雅黑" w:hAnsi="微软雅黑" w:eastAsia="微软雅黑"/>
          <w:b/>
          <w:sz w:val="21"/>
        </w:rPr>
        <w:t>重度</w:t>
      </w:r>
    </w:p>
    <w:p>
      <w:pPr>
        <w:pStyle w:val="BodyText"/>
        <w:spacing w:line="227" w:lineRule="exact"/>
        <w:ind w:left="547"/>
      </w:pPr>
      <w:r>
        <w:rPr>
          <w:spacing w:val="-7"/>
        </w:rPr>
        <w:t>指恶性细胞不受控制的进行性增长和扩散，浸润和破坏周围正常组织，可以经血管、淋</w:t>
      </w:r>
    </w:p>
    <w:p>
      <w:pPr>
        <w:pStyle w:val="BodyText"/>
        <w:spacing w:before="7"/>
        <w:rPr>
          <w:sz w:val="15"/>
        </w:rPr>
      </w:pPr>
    </w:p>
    <w:p>
      <w:pPr>
        <w:pStyle w:val="BodyText"/>
        <w:spacing w:line="417" w:lineRule="auto"/>
        <w:ind w:left="120" w:right="311"/>
        <w:jc w:val="both"/>
      </w:pPr>
      <w:r>
        <w:rPr>
          <w:spacing w:val="-4"/>
        </w:rPr>
        <w:t>巴管和体腔扩散转移到身体其他部位，病灶经组织病理学检查（涵盖骨髓病理学检查）结果</w:t>
      </w:r>
      <w:r>
        <w:rPr>
          <w:spacing w:val="-2"/>
        </w:rPr>
        <w:t>明确诊断，临床诊断属于世界卫生组织（WHO，World</w:t>
      </w:r>
      <w:r>
        <w:rPr>
          <w:spacing w:val="-9"/>
        </w:rPr>
        <w:t> </w:t>
      </w:r>
      <w:r>
        <w:rPr>
          <w:spacing w:val="-2"/>
        </w:rPr>
        <w:t>Health</w:t>
      </w:r>
      <w:r>
        <w:rPr>
          <w:spacing w:val="-9"/>
        </w:rPr>
        <w:t> </w:t>
      </w:r>
      <w:r>
        <w:rPr>
          <w:spacing w:val="7"/>
        </w:rPr>
        <w:t>O</w:t>
      </w:r>
      <w:r>
        <w:rPr>
          <w:spacing w:val="4"/>
        </w:rPr>
        <w:t>r</w:t>
      </w:r>
      <w:r>
        <w:rPr>
          <w:spacing w:val="7"/>
        </w:rPr>
        <w:t>gan</w:t>
      </w:r>
      <w:r>
        <w:rPr>
          <w:spacing w:val="4"/>
        </w:rPr>
        <w:t>i</w:t>
      </w:r>
      <w:r>
        <w:rPr>
          <w:spacing w:val="7"/>
        </w:rPr>
        <w:t>zat</w:t>
      </w:r>
      <w:r>
        <w:rPr>
          <w:spacing w:val="4"/>
        </w:rPr>
        <w:t>i</w:t>
      </w:r>
      <w:r>
        <w:rPr>
          <w:spacing w:val="7"/>
        </w:rPr>
        <w:t>o</w:t>
      </w:r>
      <w:r>
        <w:rPr>
          <w:spacing w:val="6"/>
        </w:rPr>
        <w:t>n</w:t>
      </w:r>
      <w:r>
        <w:rPr>
          <w:spacing w:val="-101"/>
        </w:rPr>
        <w:t>）</w:t>
      </w:r>
      <w:r>
        <w:rPr>
          <w:spacing w:val="-2"/>
        </w:rPr>
        <w:t>《疾病和有关</w:t>
      </w:r>
      <w:r>
        <w:rPr>
          <w:spacing w:val="-4"/>
        </w:rPr>
        <w:t>健康问题的国际统计分类》第十次修订版（ICD-10）的恶性肿瘤类别及《国际疾病分类肿瘤</w:t>
      </w:r>
      <w:r>
        <w:rPr/>
        <w:t>学专辑》第三版（ICD-O-3）</w:t>
      </w:r>
      <w:r>
        <w:rPr>
          <w:spacing w:val="-5"/>
        </w:rPr>
        <w:t>的肿瘤形态学编码属于 </w:t>
      </w:r>
      <w:r>
        <w:rPr/>
        <w:t>3、6、9（恶性肿瘤）范畴的疾病。</w:t>
      </w:r>
    </w:p>
    <w:p>
      <w:pPr>
        <w:spacing w:line="319" w:lineRule="exact" w:before="0"/>
        <w:ind w:left="547"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after="0" w:line="319" w:lineRule="exact"/>
        <w:jc w:val="left"/>
        <w:rPr>
          <w:rFonts w:ascii="微软雅黑" w:hAnsi="微软雅黑" w:eastAsia="微软雅黑"/>
          <w:sz w:val="21"/>
        </w:rPr>
        <w:sectPr>
          <w:pgSz w:w="11910" w:h="16840"/>
          <w:pgMar w:header="0" w:footer="1005" w:top="1460" w:bottom="1200" w:left="1680" w:right="1480"/>
        </w:sectPr>
      </w:pPr>
    </w:p>
    <w:p>
      <w:pPr>
        <w:pStyle w:val="ListParagraph"/>
        <w:numPr>
          <w:ilvl w:val="0"/>
          <w:numId w:val="14"/>
        </w:numPr>
        <w:tabs>
          <w:tab w:pos="1179" w:val="left" w:leader="none"/>
        </w:tabs>
        <w:spacing w:line="290" w:lineRule="auto" w:before="0" w:after="0"/>
        <w:ind w:left="120" w:right="313" w:firstLine="424"/>
        <w:jc w:val="left"/>
        <w:rPr>
          <w:rFonts w:ascii="微软雅黑" w:eastAsia="微软雅黑"/>
          <w:b/>
          <w:sz w:val="21"/>
        </w:rPr>
      </w:pPr>
      <w:r>
        <w:rPr>
          <w:rFonts w:ascii="微软雅黑" w:eastAsia="微软雅黑"/>
          <w:b/>
          <w:w w:val="95"/>
          <w:sz w:val="21"/>
        </w:rPr>
        <w:t>ICD-O-3 </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形</w:t>
      </w:r>
      <w:r>
        <w:rPr>
          <w:rFonts w:ascii="微软雅黑" w:eastAsia="微软雅黑"/>
          <w:b/>
          <w:w w:val="95"/>
          <w:sz w:val="21"/>
        </w:rPr>
        <w:t>态</w:t>
      </w:r>
      <w:r>
        <w:rPr>
          <w:rFonts w:ascii="微软雅黑" w:eastAsia="微软雅黑"/>
          <w:b/>
          <w:w w:val="95"/>
          <w:sz w:val="21"/>
        </w:rPr>
        <w:t>学</w:t>
      </w:r>
      <w:r>
        <w:rPr>
          <w:rFonts w:ascii="微软雅黑" w:eastAsia="微软雅黑"/>
          <w:b/>
          <w:w w:val="95"/>
          <w:sz w:val="21"/>
        </w:rPr>
        <w:t>编</w:t>
      </w:r>
      <w:r>
        <w:rPr>
          <w:rFonts w:ascii="微软雅黑" w:eastAsia="微软雅黑"/>
          <w:b/>
          <w:w w:val="95"/>
          <w:sz w:val="21"/>
        </w:rPr>
        <w:t>码</w:t>
      </w:r>
      <w:r>
        <w:rPr>
          <w:rFonts w:ascii="微软雅黑" w:eastAsia="微软雅黑"/>
          <w:b/>
          <w:w w:val="95"/>
          <w:sz w:val="21"/>
        </w:rPr>
        <w:t>属</w:t>
      </w:r>
      <w:r>
        <w:rPr>
          <w:rFonts w:ascii="微软雅黑" w:eastAsia="微软雅黑"/>
          <w:b/>
          <w:w w:val="95"/>
          <w:sz w:val="21"/>
        </w:rPr>
        <w:t>于</w:t>
      </w:r>
      <w:r>
        <w:rPr>
          <w:rFonts w:ascii="微软雅黑" w:eastAsia="微软雅黑"/>
          <w:b/>
          <w:w w:val="95"/>
          <w:sz w:val="21"/>
        </w:rPr>
        <w:t> 0（</w:t>
      </w:r>
      <w:r>
        <w:rPr>
          <w:rFonts w:ascii="微软雅黑" w:eastAsia="微软雅黑"/>
          <w:b/>
          <w:w w:val="95"/>
          <w:sz w:val="21"/>
        </w:rPr>
        <w:t>良</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）、1（</w:t>
      </w:r>
      <w:r>
        <w:rPr>
          <w:rFonts w:ascii="微软雅黑" w:eastAsia="微软雅黑"/>
          <w:b/>
          <w:w w:val="95"/>
          <w:sz w:val="21"/>
        </w:rPr>
        <w:t>动</w:t>
      </w:r>
      <w:r>
        <w:rPr>
          <w:rFonts w:ascii="微软雅黑" w:eastAsia="微软雅黑"/>
          <w:b/>
          <w:w w:val="95"/>
          <w:sz w:val="21"/>
        </w:rPr>
        <w:t>态</w:t>
      </w:r>
      <w:r>
        <w:rPr>
          <w:rFonts w:ascii="微软雅黑" w:eastAsia="微软雅黑"/>
          <w:b/>
          <w:w w:val="95"/>
          <w:sz w:val="21"/>
        </w:rPr>
        <w:t>未</w:t>
      </w:r>
      <w:r>
        <w:rPr>
          <w:rFonts w:ascii="微软雅黑" w:eastAsia="微软雅黑"/>
          <w:b/>
          <w:w w:val="95"/>
          <w:sz w:val="21"/>
        </w:rPr>
        <w:t>定</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）、2（原</w:t>
      </w:r>
      <w:r>
        <w:rPr>
          <w:rFonts w:ascii="微软雅黑" w:eastAsia="微软雅黑"/>
          <w:b/>
          <w:w w:val="95"/>
          <w:sz w:val="21"/>
        </w:rPr>
        <w:t>位</w:t>
      </w:r>
      <w:r>
        <w:rPr>
          <w:rFonts w:ascii="微软雅黑" w:eastAsia="微软雅黑"/>
          <w:b/>
          <w:spacing w:val="-2"/>
          <w:sz w:val="21"/>
        </w:rPr>
        <w:t>癌和非侵袭性癌）范畴的疾病，如：</w:t>
      </w:r>
    </w:p>
    <w:p>
      <w:pPr>
        <w:pStyle w:val="ListParagraph"/>
        <w:numPr>
          <w:ilvl w:val="0"/>
          <w:numId w:val="15"/>
        </w:numPr>
        <w:tabs>
          <w:tab w:pos="817" w:val="left" w:leader="none"/>
        </w:tabs>
        <w:spacing w:line="290" w:lineRule="auto" w:before="0" w:after="0"/>
        <w:ind w:left="120" w:right="338" w:firstLine="424"/>
        <w:jc w:val="left"/>
        <w:rPr>
          <w:rFonts w:ascii="微软雅黑" w:eastAsia="微软雅黑"/>
          <w:b/>
          <w:sz w:val="21"/>
        </w:rPr>
      </w:pPr>
      <w:r>
        <w:rPr>
          <w:rFonts w:ascii="微软雅黑" w:eastAsia="微软雅黑"/>
          <w:b/>
          <w:spacing w:val="-2"/>
          <w:sz w:val="21"/>
        </w:rPr>
        <w:t>原位癌，癌前病变，非浸润性癌，非侵袭性癌，肿瘤细胞未侵犯基底层，上皮内瘤</w:t>
      </w:r>
      <w:r>
        <w:rPr>
          <w:rFonts w:ascii="微软雅黑" w:eastAsia="微软雅黑"/>
          <w:b/>
          <w:spacing w:val="-2"/>
          <w:sz w:val="21"/>
        </w:rPr>
        <w:t>变，细胞不典型性增生等；</w:t>
      </w:r>
    </w:p>
    <w:p>
      <w:pPr>
        <w:pStyle w:val="ListParagraph"/>
        <w:numPr>
          <w:ilvl w:val="0"/>
          <w:numId w:val="15"/>
        </w:numPr>
        <w:tabs>
          <w:tab w:pos="817" w:val="left" w:leader="none"/>
        </w:tabs>
        <w:spacing w:line="386" w:lineRule="exact" w:before="0" w:after="0"/>
        <w:ind w:left="816" w:right="0" w:hanging="272"/>
        <w:jc w:val="left"/>
        <w:rPr>
          <w:rFonts w:ascii="微软雅黑" w:eastAsia="微软雅黑"/>
          <w:b/>
          <w:sz w:val="21"/>
        </w:rPr>
      </w:pPr>
      <w:r>
        <w:rPr>
          <w:rFonts w:ascii="微软雅黑" w:eastAsia="微软雅黑"/>
          <w:b/>
          <w:spacing w:val="-3"/>
          <w:sz w:val="21"/>
        </w:rPr>
        <w:t>交界性肿瘤，交界恶性肿瘤，肿瘤低度恶性潜能，潜在低度恶性肿瘤等；</w:t>
      </w:r>
    </w:p>
    <w:p>
      <w:pPr>
        <w:pStyle w:val="ListParagraph"/>
        <w:numPr>
          <w:ilvl w:val="0"/>
          <w:numId w:val="14"/>
        </w:numPr>
        <w:tabs>
          <w:tab w:pos="1179" w:val="left" w:leader="none"/>
        </w:tabs>
        <w:spacing w:line="240" w:lineRule="auto" w:before="74" w:after="0"/>
        <w:ind w:left="1178" w:right="0" w:hanging="634"/>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spacing w:val="-7"/>
          <w:w w:val="90"/>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为</w:t>
      </w:r>
      <w:r>
        <w:rPr>
          <w:b/>
          <w:w w:val="95"/>
          <w:sz w:val="21"/>
        </w:rPr>
        <w:t>Ⅰ</w:t>
      </w:r>
      <w:r>
        <w:rPr>
          <w:rFonts w:ascii="微软雅黑" w:hAnsi="微软雅黑" w:eastAsia="微软雅黑"/>
          <w:b/>
          <w:w w:val="95"/>
          <w:sz w:val="21"/>
        </w:rPr>
        <w:t>期</w:t>
      </w:r>
      <w:r>
        <w:rPr>
          <w:rFonts w:ascii="微软雅黑" w:hAnsi="微软雅黑" w:eastAsia="微软雅黑"/>
          <w:b/>
          <w:w w:val="95"/>
          <w:sz w:val="21"/>
        </w:rPr>
        <w:t>或</w:t>
      </w:r>
      <w:r>
        <w:rPr>
          <w:rFonts w:ascii="微软雅黑" w:hAnsi="微软雅黑" w:eastAsia="微软雅黑"/>
          <w:b/>
          <w:w w:val="95"/>
          <w:sz w:val="21"/>
        </w:rPr>
        <w:t>更</w:t>
      </w:r>
      <w:r>
        <w:rPr>
          <w:rFonts w:ascii="微软雅黑" w:hAnsi="微软雅黑" w:eastAsia="微软雅黑"/>
          <w:b/>
          <w:w w:val="95"/>
          <w:sz w:val="21"/>
        </w:rPr>
        <w:t>轻</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的</w:t>
      </w:r>
      <w:r>
        <w:rPr>
          <w:rFonts w:ascii="微软雅黑" w:hAnsi="微软雅黑" w:eastAsia="微软雅黑"/>
          <w:b/>
          <w:w w:val="95"/>
          <w:sz w:val="21"/>
        </w:rPr>
        <w:t>甲</w:t>
      </w:r>
      <w:r>
        <w:rPr>
          <w:rFonts w:ascii="微软雅黑" w:hAnsi="微软雅黑" w:eastAsia="微软雅黑"/>
          <w:b/>
          <w:w w:val="95"/>
          <w:sz w:val="21"/>
        </w:rPr>
        <w:t>状</w:t>
      </w:r>
      <w:r>
        <w:rPr>
          <w:rFonts w:ascii="微软雅黑" w:hAnsi="微软雅黑" w:eastAsia="微软雅黑"/>
          <w:b/>
          <w:w w:val="95"/>
          <w:sz w:val="21"/>
        </w:rPr>
        <w:t>腺</w:t>
      </w:r>
      <w:r>
        <w:rPr>
          <w:rFonts w:ascii="微软雅黑" w:hAnsi="微软雅黑" w:eastAsia="微软雅黑"/>
          <w:b/>
          <w:w w:val="95"/>
          <w:sz w:val="21"/>
        </w:rPr>
        <w:t>癌</w:t>
      </w:r>
      <w:r>
        <w:rPr>
          <w:rFonts w:ascii="微软雅黑" w:hAnsi="微软雅黑" w:eastAsia="微软雅黑"/>
          <w:b/>
          <w:spacing w:val="-10"/>
          <w:w w:val="95"/>
          <w:sz w:val="21"/>
        </w:rPr>
        <w:t>；</w:t>
      </w:r>
    </w:p>
    <w:p>
      <w:pPr>
        <w:pStyle w:val="ListParagraph"/>
        <w:numPr>
          <w:ilvl w:val="0"/>
          <w:numId w:val="14"/>
        </w:numPr>
        <w:tabs>
          <w:tab w:pos="1179" w:val="left" w:leader="none"/>
        </w:tabs>
        <w:spacing w:line="240" w:lineRule="auto" w:before="81" w:after="0"/>
        <w:ind w:left="1178" w:right="0" w:hanging="634"/>
        <w:jc w:val="left"/>
        <w:rPr>
          <w:rFonts w:ascii="微软雅黑" w:eastAsia="微软雅黑"/>
          <w:b/>
          <w:sz w:val="21"/>
        </w:rPr>
      </w:pPr>
      <w:r>
        <w:rPr>
          <w:rFonts w:ascii="微软雅黑" w:eastAsia="微软雅黑"/>
          <w:b/>
          <w:w w:val="85"/>
          <w:position w:val="1"/>
          <w:sz w:val="21"/>
        </w:rPr>
        <w:t>TNM</w:t>
      </w:r>
      <w:r>
        <w:rPr>
          <w:rFonts w:ascii="微软雅黑" w:eastAsia="微软雅黑"/>
          <w:b/>
          <w:spacing w:val="55"/>
          <w:position w:val="1"/>
          <w:sz w:val="21"/>
        </w:rPr>
        <w:t> </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spacing w:val="55"/>
          <w:position w:val="1"/>
          <w:sz w:val="21"/>
        </w:rPr>
        <w:t> </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spacing w:val="31"/>
          <w:sz w:val="11"/>
        </w:rPr>
        <w:t> </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w w:val="85"/>
          <w:position w:val="1"/>
          <w:sz w:val="21"/>
        </w:rPr>
        <w:t>癌</w:t>
      </w:r>
      <w:r>
        <w:rPr>
          <w:rFonts w:ascii="微软雅黑" w:eastAsia="微软雅黑"/>
          <w:b/>
          <w:spacing w:val="-10"/>
          <w:w w:val="85"/>
          <w:position w:val="1"/>
          <w:sz w:val="21"/>
        </w:rPr>
        <w:t>；</w:t>
      </w:r>
    </w:p>
    <w:p>
      <w:pPr>
        <w:pStyle w:val="ListParagraph"/>
        <w:numPr>
          <w:ilvl w:val="0"/>
          <w:numId w:val="14"/>
        </w:numPr>
        <w:tabs>
          <w:tab w:pos="1179" w:val="left" w:leader="none"/>
        </w:tabs>
        <w:spacing w:line="240" w:lineRule="auto" w:before="81" w:after="0"/>
        <w:ind w:left="1178" w:right="0" w:hanging="634"/>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14"/>
        </w:numPr>
        <w:tabs>
          <w:tab w:pos="1179" w:val="left" w:leader="none"/>
        </w:tabs>
        <w:spacing w:line="240" w:lineRule="auto" w:before="81" w:after="0"/>
        <w:ind w:left="1178" w:right="0" w:hanging="634"/>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spacing w:val="30"/>
          <w:sz w:val="21"/>
        </w:rPr>
        <w:t> </w:t>
      </w:r>
      <w:r>
        <w:rPr>
          <w:rFonts w:ascii="微软雅黑" w:eastAsia="微软雅黑"/>
          <w:b/>
          <w:w w:val="95"/>
          <w:sz w:val="21"/>
        </w:rPr>
        <w:t>Binet</w:t>
      </w:r>
      <w:r>
        <w:rPr>
          <w:rFonts w:ascii="微软雅黑" w:eastAsia="微软雅黑"/>
          <w:b/>
          <w:spacing w:val="3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方</w:t>
      </w:r>
      <w:r>
        <w:rPr>
          <w:rFonts w:ascii="微软雅黑" w:eastAsia="微软雅黑"/>
          <w:b/>
          <w:w w:val="95"/>
          <w:sz w:val="21"/>
        </w:rPr>
        <w:t>案</w:t>
      </w:r>
      <w:r>
        <w:rPr>
          <w:rFonts w:ascii="微软雅黑" w:eastAsia="微软雅黑"/>
          <w:b/>
          <w:spacing w:val="30"/>
          <w:sz w:val="21"/>
        </w:rPr>
        <w:t> </w:t>
      </w:r>
      <w:r>
        <w:rPr>
          <w:rFonts w:ascii="微软雅黑" w:eastAsia="微软雅黑"/>
          <w:b/>
          <w:w w:val="95"/>
          <w:sz w:val="21"/>
        </w:rPr>
        <w:t>A</w:t>
      </w:r>
      <w:r>
        <w:rPr>
          <w:rFonts w:ascii="微软雅黑" w:eastAsia="微软雅黑"/>
          <w:b/>
          <w:spacing w:val="25"/>
          <w:sz w:val="21"/>
        </w:rPr>
        <w:t> </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细胞白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14"/>
        </w:numPr>
        <w:tabs>
          <w:tab w:pos="1179" w:val="left" w:leader="none"/>
        </w:tabs>
        <w:spacing w:line="240" w:lineRule="auto" w:before="82" w:after="0"/>
        <w:ind w:left="1178" w:right="0" w:hanging="634"/>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spacing w:val="-2"/>
          <w:w w:val="95"/>
          <w:sz w:val="21"/>
        </w:rPr>
        <w:t> </w:t>
      </w:r>
      <w:r>
        <w:rPr>
          <w:rFonts w:ascii="微软雅黑" w:hAnsi="微软雅黑" w:eastAsia="微软雅黑"/>
          <w:b/>
          <w:w w:val="95"/>
          <w:sz w:val="21"/>
        </w:rPr>
        <w:t>Ann</w:t>
      </w:r>
      <w:r>
        <w:rPr>
          <w:rFonts w:ascii="微软雅黑" w:hAnsi="微软雅黑" w:eastAsia="微软雅黑"/>
          <w:b/>
          <w:spacing w:val="54"/>
          <w:sz w:val="21"/>
        </w:rPr>
        <w:t> </w:t>
      </w:r>
      <w:r>
        <w:rPr>
          <w:rFonts w:ascii="微软雅黑" w:hAnsi="微软雅黑" w:eastAsia="微软雅黑"/>
          <w:b/>
          <w:w w:val="95"/>
          <w:sz w:val="21"/>
        </w:rPr>
        <w:t>Arbor</w:t>
      </w:r>
      <w:r>
        <w:rPr>
          <w:rFonts w:ascii="微软雅黑" w:hAnsi="微软雅黑" w:eastAsia="微软雅黑"/>
          <w:b/>
          <w:spacing w:val="-2"/>
          <w:w w:val="95"/>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w:t>
      </w:r>
      <w:r>
        <w:rPr>
          <w:rFonts w:ascii="微软雅黑" w:hAnsi="微软雅黑" w:eastAsia="微软雅黑"/>
          <w:b/>
          <w:w w:val="95"/>
          <w:sz w:val="21"/>
        </w:rPr>
        <w:t>杰</w:t>
      </w:r>
      <w:r>
        <w:rPr>
          <w:rFonts w:ascii="微软雅黑" w:hAnsi="微软雅黑" w:eastAsia="微软雅黑"/>
          <w:b/>
          <w:spacing w:val="-3"/>
          <w:w w:val="95"/>
          <w:sz w:val="21"/>
        </w:rPr>
        <w:t>金氏病；</w:t>
      </w:r>
    </w:p>
    <w:p>
      <w:pPr>
        <w:pStyle w:val="ListParagraph"/>
        <w:numPr>
          <w:ilvl w:val="0"/>
          <w:numId w:val="14"/>
        </w:numPr>
        <w:tabs>
          <w:tab w:pos="1179" w:val="left" w:leader="none"/>
        </w:tabs>
        <w:spacing w:line="290" w:lineRule="auto" w:before="80" w:after="0"/>
        <w:ind w:left="120" w:right="865" w:firstLine="424"/>
        <w:jc w:val="left"/>
        <w:rPr>
          <w:rFonts w:ascii="微软雅黑" w:hAnsi="微软雅黑" w:eastAsia="微软雅黑"/>
          <w:b/>
          <w:sz w:val="21"/>
        </w:rPr>
      </w:pPr>
      <w:r>
        <w:rPr>
          <w:rFonts w:ascii="微软雅黑" w:hAnsi="微软雅黑" w:eastAsia="微软雅黑"/>
          <w:b/>
          <w:w w:val="90"/>
          <w:sz w:val="21"/>
        </w:rPr>
        <w:t>未</w:t>
      </w:r>
      <w:r>
        <w:rPr>
          <w:rFonts w:ascii="微软雅黑" w:hAnsi="微软雅黑" w:eastAsia="微软雅黑"/>
          <w:b/>
          <w:w w:val="90"/>
          <w:sz w:val="21"/>
        </w:rPr>
        <w:t>发</w:t>
      </w:r>
      <w:r>
        <w:rPr>
          <w:rFonts w:ascii="微软雅黑" w:hAnsi="微软雅黑" w:eastAsia="微软雅黑"/>
          <w:b/>
          <w:w w:val="90"/>
          <w:sz w:val="21"/>
        </w:rPr>
        <w:t>生</w:t>
      </w:r>
      <w:r>
        <w:rPr>
          <w:rFonts w:ascii="微软雅黑" w:hAnsi="微软雅黑" w:eastAsia="微软雅黑"/>
          <w:b/>
          <w:w w:val="90"/>
          <w:sz w:val="21"/>
        </w:rPr>
        <w:t>淋</w:t>
      </w:r>
      <w:r>
        <w:rPr>
          <w:rFonts w:ascii="微软雅黑" w:hAnsi="微软雅黑" w:eastAsia="微软雅黑"/>
          <w:b/>
          <w:w w:val="90"/>
          <w:sz w:val="21"/>
        </w:rPr>
        <w:t>巴</w:t>
      </w:r>
      <w:r>
        <w:rPr>
          <w:rFonts w:ascii="微软雅黑" w:hAnsi="微软雅黑" w:eastAsia="微软雅黑"/>
          <w:b/>
          <w:w w:val="90"/>
          <w:sz w:val="21"/>
        </w:rPr>
        <w:t>结</w:t>
      </w:r>
      <w:r>
        <w:rPr>
          <w:rFonts w:ascii="微软雅黑" w:hAnsi="微软雅黑" w:eastAsia="微软雅黑"/>
          <w:b/>
          <w:w w:val="90"/>
          <w:sz w:val="21"/>
        </w:rPr>
        <w:t>和</w:t>
      </w:r>
      <w:r>
        <w:rPr>
          <w:rFonts w:ascii="微软雅黑" w:hAnsi="微软雅黑" w:eastAsia="微软雅黑"/>
          <w:b/>
          <w:w w:val="90"/>
          <w:sz w:val="21"/>
        </w:rPr>
        <w:t>远</w:t>
      </w:r>
      <w:r>
        <w:rPr>
          <w:rFonts w:ascii="微软雅黑" w:hAnsi="微软雅黑" w:eastAsia="微软雅黑"/>
          <w:b/>
          <w:w w:val="90"/>
          <w:sz w:val="21"/>
        </w:rPr>
        <w:t>处转移且 </w:t>
      </w:r>
      <w:r>
        <w:rPr>
          <w:rFonts w:ascii="微软雅黑" w:hAnsi="微软雅黑" w:eastAsia="微软雅黑"/>
          <w:b/>
          <w:w w:val="85"/>
          <w:sz w:val="21"/>
        </w:rPr>
        <w:t>WHO </w:t>
      </w:r>
      <w:r>
        <w:rPr>
          <w:rFonts w:ascii="微软雅黑" w:hAnsi="微软雅黑" w:eastAsia="微软雅黑"/>
          <w:b/>
          <w:w w:val="90"/>
          <w:sz w:val="21"/>
        </w:rPr>
        <w:t>分</w:t>
      </w:r>
      <w:r>
        <w:rPr>
          <w:rFonts w:ascii="微软雅黑" w:hAnsi="微软雅黑" w:eastAsia="微软雅黑"/>
          <w:b/>
          <w:w w:val="90"/>
          <w:sz w:val="21"/>
        </w:rPr>
        <w:t>级</w:t>
      </w:r>
      <w:r>
        <w:rPr>
          <w:rFonts w:ascii="微软雅黑" w:hAnsi="微软雅黑" w:eastAsia="微软雅黑"/>
          <w:b/>
          <w:w w:val="90"/>
          <w:sz w:val="21"/>
        </w:rPr>
        <w:t>为</w:t>
      </w:r>
      <w:r>
        <w:rPr>
          <w:rFonts w:ascii="微软雅黑" w:hAnsi="微软雅黑" w:eastAsia="微软雅黑"/>
          <w:b/>
          <w:w w:val="90"/>
          <w:sz w:val="21"/>
        </w:rPr>
        <w:t> G1 </w:t>
      </w:r>
      <w:r>
        <w:rPr>
          <w:rFonts w:ascii="微软雅黑" w:hAnsi="微软雅黑" w:eastAsia="微软雅黑"/>
          <w:b/>
          <w:w w:val="90"/>
          <w:sz w:val="21"/>
        </w:rPr>
        <w:t>级</w:t>
      </w:r>
      <w:r>
        <w:rPr>
          <w:rFonts w:ascii="微软雅黑" w:hAnsi="微软雅黑" w:eastAsia="微软雅黑"/>
          <w:b/>
          <w:w w:val="90"/>
          <w:sz w:val="21"/>
        </w:rPr>
        <w:t>别</w:t>
      </w:r>
      <w:r>
        <w:rPr>
          <w:rFonts w:ascii="微软雅黑" w:hAnsi="微软雅黑" w:eastAsia="微软雅黑"/>
          <w:b/>
          <w:w w:val="90"/>
          <w:sz w:val="21"/>
        </w:rPr>
        <w:t>（核</w:t>
      </w:r>
      <w:r>
        <w:rPr>
          <w:rFonts w:ascii="微软雅黑" w:hAnsi="微软雅黑" w:eastAsia="微软雅黑"/>
          <w:b/>
          <w:w w:val="90"/>
          <w:sz w:val="21"/>
        </w:rPr>
        <w:t>分</w:t>
      </w:r>
      <w:r>
        <w:rPr>
          <w:rFonts w:ascii="微软雅黑" w:hAnsi="微软雅黑" w:eastAsia="微软雅黑"/>
          <w:b/>
          <w:w w:val="90"/>
          <w:sz w:val="21"/>
        </w:rPr>
        <w:t>裂</w:t>
      </w:r>
      <w:r>
        <w:rPr>
          <w:rFonts w:ascii="微软雅黑" w:hAnsi="微软雅黑" w:eastAsia="微软雅黑"/>
          <w:b/>
          <w:w w:val="90"/>
          <w:sz w:val="21"/>
        </w:rPr>
        <w:t>像&lt;10/50</w:t>
      </w:r>
      <w:r>
        <w:rPr>
          <w:rFonts w:ascii="微软雅黑" w:hAnsi="微软雅黑" w:eastAsia="微软雅黑"/>
          <w:b/>
          <w:spacing w:val="40"/>
          <w:sz w:val="21"/>
        </w:rPr>
        <w:t> </w:t>
      </w:r>
      <w:r>
        <w:rPr>
          <w:rFonts w:ascii="微软雅黑" w:hAnsi="微软雅黑" w:eastAsia="微软雅黑"/>
          <w:b/>
          <w:w w:val="90"/>
          <w:sz w:val="21"/>
        </w:rPr>
        <w:t>HPF 和 </w:t>
      </w:r>
      <w:r>
        <w:rPr>
          <w:rFonts w:ascii="微软雅黑" w:hAnsi="微软雅黑" w:eastAsia="微软雅黑"/>
          <w:b/>
          <w:spacing w:val="-2"/>
          <w:sz w:val="21"/>
        </w:rPr>
        <w:t>ki-67</w:t>
      </w:r>
      <w:r>
        <w:rPr>
          <w:b/>
          <w:spacing w:val="-2"/>
          <w:sz w:val="21"/>
        </w:rPr>
        <w:t>≤</w:t>
      </w:r>
      <w:r>
        <w:rPr>
          <w:rFonts w:ascii="微软雅黑" w:hAnsi="微软雅黑" w:eastAsia="微软雅黑"/>
          <w:b/>
          <w:spacing w:val="-2"/>
          <w:sz w:val="21"/>
        </w:rPr>
        <w:t>2%）或更轻分级的神经内分泌肿瘤。</w:t>
      </w:r>
    </w:p>
    <w:p>
      <w:pPr>
        <w:spacing w:line="386" w:lineRule="exact" w:before="0"/>
        <w:ind w:left="120" w:right="0" w:firstLine="0"/>
        <w:jc w:val="left"/>
        <w:rPr>
          <w:rFonts w:ascii="微软雅黑" w:eastAsia="微软雅黑"/>
          <w:b/>
          <w:sz w:val="21"/>
        </w:rPr>
      </w:pPr>
      <w:r>
        <w:rPr>
          <w:rFonts w:ascii="微软雅黑" w:eastAsia="微软雅黑"/>
          <w:b/>
          <w:sz w:val="21"/>
        </w:rPr>
        <w:t>(二) 较重急性心肌梗死</w:t>
      </w:r>
    </w:p>
    <w:p>
      <w:pPr>
        <w:pStyle w:val="BodyText"/>
        <w:spacing w:line="417" w:lineRule="auto" w:before="149"/>
        <w:ind w:left="120" w:right="311" w:firstLine="427"/>
        <w:jc w:val="both"/>
      </w:pPr>
      <w:r>
        <w:rPr>
          <w:spacing w:val="-2"/>
        </w:rPr>
        <w:t>急性心肌梗死指由于冠状动脉闭塞或梗阻引起部分心肌严重的持久性缺血造成急性心</w:t>
      </w:r>
      <w:r>
        <w:rPr>
          <w:spacing w:val="-2"/>
        </w:rPr>
        <w:t>肌坏死。急性心肌梗死的诊断必须依据国际国内诊断标准，符合（1）检测到肌酸激酶同工</w:t>
      </w:r>
      <w:r>
        <w:rPr>
          <w:spacing w:val="-2"/>
        </w:rPr>
        <w:t>酶（CK-MB）或肌钙蛋白（cTn）升高和/或降低的动态变化，至少一次达到或超过心肌梗死</w:t>
      </w:r>
      <w:r>
        <w:rPr>
          <w:spacing w:val="-18"/>
        </w:rPr>
        <w:t>的临床诊断标准；</w:t>
      </w:r>
      <w:r>
        <w:rPr>
          <w:spacing w:val="30"/>
        </w:rPr>
        <w:t>（</w:t>
      </w:r>
      <w:r>
        <w:rPr>
          <w:spacing w:val="28"/>
        </w:rPr>
        <w:t>2</w:t>
      </w:r>
      <w:r>
        <w:rPr>
          <w:spacing w:val="11"/>
        </w:rPr>
        <w:t>）</w:t>
      </w:r>
      <w:r>
        <w:rPr>
          <w:spacing w:val="-6"/>
        </w:rPr>
        <w:t>同时存在下列之一的证据，包括：缺血性胸痛症状、新发生的缺血性</w:t>
      </w:r>
      <w:r>
        <w:rPr>
          <w:spacing w:val="-5"/>
        </w:rPr>
        <w:t>心电图改变、新生成的病理性 </w:t>
      </w:r>
      <w:r>
        <w:rPr>
          <w:spacing w:val="-4"/>
        </w:rPr>
        <w:t>Q</w:t>
      </w:r>
      <w:r>
        <w:rPr>
          <w:spacing w:val="-12"/>
        </w:rPr>
        <w:t> 波、影像学证据显示有新出现的心肌活性丧失或新出现局部</w:t>
      </w:r>
      <w:r>
        <w:rPr>
          <w:spacing w:val="-2"/>
        </w:rPr>
        <w:t>室壁运动异常、冠脉造影证实存在冠状动脉血栓。</w:t>
      </w:r>
    </w:p>
    <w:p>
      <w:pPr>
        <w:pStyle w:val="BodyText"/>
        <w:spacing w:line="417" w:lineRule="auto"/>
        <w:ind w:left="120" w:right="311" w:firstLine="427"/>
      </w:pPr>
      <w:r>
        <w:rPr>
          <w:spacing w:val="-6"/>
        </w:rPr>
        <w:t>较重急性心肌梗死指依照上述标准被明确诊断为急性心肌梗死，并且必须同时满足下列</w:t>
      </w:r>
      <w:r>
        <w:rPr>
          <w:spacing w:val="-2"/>
        </w:rPr>
        <w:t>至少一项条件：</w:t>
      </w:r>
    </w:p>
    <w:p>
      <w:pPr>
        <w:pStyle w:val="ListParagraph"/>
        <w:numPr>
          <w:ilvl w:val="0"/>
          <w:numId w:val="16"/>
        </w:numPr>
        <w:tabs>
          <w:tab w:pos="1177" w:val="left" w:leader="none"/>
        </w:tabs>
        <w:spacing w:line="417" w:lineRule="auto" w:before="0" w:after="0"/>
        <w:ind w:left="120" w:right="318" w:firstLine="424"/>
        <w:jc w:val="left"/>
        <w:rPr>
          <w:sz w:val="21"/>
        </w:rPr>
      </w:pPr>
      <w:r>
        <w:rPr>
          <w:spacing w:val="-2"/>
          <w:sz w:val="21"/>
        </w:rPr>
        <w:t>心肌损伤标志物肌钙蛋白（cTn）升高，至少一次检测结果达到该检验正常参考</w:t>
      </w:r>
      <w:r>
        <w:rPr>
          <w:spacing w:val="-5"/>
          <w:sz w:val="21"/>
        </w:rPr>
        <w:t>值上限的 </w:t>
      </w:r>
      <w:r>
        <w:rPr>
          <w:sz w:val="21"/>
        </w:rPr>
        <w:t>15</w:t>
      </w:r>
      <w:r>
        <w:rPr>
          <w:spacing w:val="-11"/>
          <w:sz w:val="21"/>
        </w:rPr>
        <w:t> 倍</w:t>
      </w:r>
      <w:r>
        <w:rPr>
          <w:sz w:val="21"/>
        </w:rPr>
        <w:t>（含）以上；</w:t>
      </w:r>
    </w:p>
    <w:p>
      <w:pPr>
        <w:pStyle w:val="ListParagraph"/>
        <w:numPr>
          <w:ilvl w:val="0"/>
          <w:numId w:val="16"/>
        </w:numPr>
        <w:tabs>
          <w:tab w:pos="1177" w:val="left" w:leader="none"/>
        </w:tabs>
        <w:spacing w:line="417" w:lineRule="auto" w:before="0" w:after="0"/>
        <w:ind w:left="120" w:right="318" w:firstLine="424"/>
        <w:jc w:val="left"/>
        <w:rPr>
          <w:sz w:val="21"/>
        </w:rPr>
      </w:pPr>
      <w:r>
        <w:rPr>
          <w:spacing w:val="-2"/>
          <w:sz w:val="21"/>
        </w:rPr>
        <w:t>肌酸激酶同工酶（CK-MB）升高，至少一次检测结果达到该检验正常参考值上限</w:t>
      </w:r>
      <w:r>
        <w:rPr>
          <w:spacing w:val="-11"/>
          <w:sz w:val="21"/>
        </w:rPr>
        <w:t>的 </w:t>
      </w:r>
      <w:r>
        <w:rPr>
          <w:sz w:val="21"/>
        </w:rPr>
        <w:t>2</w:t>
      </w:r>
      <w:r>
        <w:rPr>
          <w:spacing w:val="-11"/>
          <w:sz w:val="21"/>
        </w:rPr>
        <w:t> 倍</w:t>
      </w:r>
      <w:r>
        <w:rPr>
          <w:sz w:val="21"/>
        </w:rPr>
        <w:t>（含）以上；</w:t>
      </w:r>
    </w:p>
    <w:p>
      <w:pPr>
        <w:pStyle w:val="ListParagraph"/>
        <w:numPr>
          <w:ilvl w:val="0"/>
          <w:numId w:val="16"/>
        </w:numPr>
        <w:tabs>
          <w:tab w:pos="1177" w:val="left" w:leader="none"/>
        </w:tabs>
        <w:spacing w:line="417" w:lineRule="auto" w:before="0" w:after="0"/>
        <w:ind w:left="120" w:right="421" w:firstLine="424"/>
        <w:jc w:val="left"/>
        <w:rPr>
          <w:sz w:val="21"/>
        </w:rPr>
      </w:pPr>
      <w:r>
        <w:rPr>
          <w:spacing w:val="-4"/>
          <w:sz w:val="21"/>
        </w:rPr>
        <w:t>出现左心室收缩功能下降，在确诊 </w:t>
      </w:r>
      <w:r>
        <w:rPr>
          <w:sz w:val="21"/>
        </w:rPr>
        <w:t>6</w:t>
      </w:r>
      <w:r>
        <w:rPr>
          <w:spacing w:val="-8"/>
          <w:sz w:val="21"/>
        </w:rPr>
        <w:t> 周以后，检测左室射血分数</w:t>
      </w:r>
      <w:r>
        <w:rPr>
          <w:sz w:val="21"/>
        </w:rPr>
        <w:t>（LVEF）低于 </w:t>
      </w:r>
      <w:r>
        <w:rPr>
          <w:spacing w:val="-2"/>
          <w:sz w:val="21"/>
        </w:rPr>
        <w:t>50%（不含）；</w:t>
      </w:r>
    </w:p>
    <w:p>
      <w:pPr>
        <w:pStyle w:val="ListParagraph"/>
        <w:numPr>
          <w:ilvl w:val="0"/>
          <w:numId w:val="16"/>
        </w:numPr>
        <w:tabs>
          <w:tab w:pos="1177" w:val="left" w:leader="none"/>
        </w:tabs>
        <w:spacing w:line="417" w:lineRule="auto" w:before="0" w:after="0"/>
        <w:ind w:left="120" w:right="314" w:firstLine="424"/>
        <w:jc w:val="left"/>
        <w:rPr>
          <w:sz w:val="21"/>
        </w:rPr>
      </w:pPr>
      <w:r>
        <w:rPr>
          <w:spacing w:val="-4"/>
          <w:sz w:val="21"/>
        </w:rPr>
        <w:t>影像学检查证实存在新发的乳头肌功能失调或断裂引起的中度</w:t>
      </w:r>
      <w:r>
        <w:rPr>
          <w:spacing w:val="-2"/>
          <w:sz w:val="21"/>
        </w:rPr>
        <w:t>（含</w:t>
      </w:r>
      <w:r>
        <w:rPr>
          <w:spacing w:val="-53"/>
          <w:sz w:val="21"/>
        </w:rPr>
        <w:t>）</w:t>
      </w:r>
      <w:r>
        <w:rPr>
          <w:spacing w:val="-2"/>
          <w:sz w:val="21"/>
        </w:rPr>
        <w:t>以上的二尖</w:t>
      </w:r>
      <w:r>
        <w:rPr>
          <w:spacing w:val="-4"/>
          <w:sz w:val="21"/>
        </w:rPr>
        <w:t>瓣反流；</w:t>
      </w:r>
    </w:p>
    <w:p>
      <w:pPr>
        <w:pStyle w:val="ListParagraph"/>
        <w:numPr>
          <w:ilvl w:val="0"/>
          <w:numId w:val="16"/>
        </w:numPr>
        <w:tabs>
          <w:tab w:pos="1177" w:val="left" w:leader="none"/>
        </w:tabs>
        <w:spacing w:line="269" w:lineRule="exact" w:before="0" w:after="0"/>
        <w:ind w:left="1176" w:right="0" w:hanging="632"/>
        <w:jc w:val="left"/>
        <w:rPr>
          <w:sz w:val="21"/>
        </w:rPr>
      </w:pPr>
      <w:r>
        <w:rPr>
          <w:spacing w:val="-3"/>
          <w:sz w:val="21"/>
        </w:rPr>
        <w:t>影像学检查证实存在新出现的室壁瘤；</w:t>
      </w:r>
    </w:p>
    <w:p>
      <w:pPr>
        <w:spacing w:after="0" w:line="269" w:lineRule="exact"/>
        <w:jc w:val="left"/>
        <w:rPr>
          <w:sz w:val="21"/>
        </w:rPr>
        <w:sectPr>
          <w:pgSz w:w="11910" w:h="16840"/>
          <w:pgMar w:header="0" w:footer="1005" w:top="1460" w:bottom="1200" w:left="1680" w:right="1480"/>
        </w:sectPr>
      </w:pPr>
    </w:p>
    <w:p>
      <w:pPr>
        <w:pStyle w:val="ListParagraph"/>
        <w:numPr>
          <w:ilvl w:val="0"/>
          <w:numId w:val="16"/>
        </w:numPr>
        <w:tabs>
          <w:tab w:pos="1177" w:val="left" w:leader="none"/>
        </w:tabs>
        <w:spacing w:line="240" w:lineRule="auto" w:before="61" w:after="0"/>
        <w:ind w:left="1176" w:right="0" w:hanging="632"/>
        <w:jc w:val="left"/>
        <w:rPr>
          <w:sz w:val="21"/>
        </w:rPr>
      </w:pPr>
      <w:r>
        <w:rPr>
          <w:spacing w:val="-3"/>
          <w:sz w:val="21"/>
        </w:rPr>
        <w:t>出现室性心动过速、心室颤动或心源性休克。</w:t>
      </w:r>
    </w:p>
    <w:p>
      <w:pPr>
        <w:pStyle w:val="BodyText"/>
        <w:spacing w:before="7"/>
        <w:rPr>
          <w:sz w:val="15"/>
        </w:rPr>
      </w:pPr>
    </w:p>
    <w:p>
      <w:pPr>
        <w:spacing w:line="357" w:lineRule="auto" w:before="0"/>
        <w:ind w:left="120" w:right="1156" w:firstLine="427"/>
        <w:jc w:val="left"/>
        <w:rPr>
          <w:rFonts w:ascii="微软雅黑" w:eastAsia="微软雅黑"/>
          <w:b/>
          <w:sz w:val="21"/>
        </w:rPr>
      </w:pPr>
      <w:r>
        <w:rPr>
          <w:spacing w:val="-2"/>
          <w:sz w:val="21"/>
        </w:rPr>
        <w:t>其他非冠状动脉阻塞性疾病所引起的肌钙蛋白（cTn）升高不在保障范围内。</w:t>
      </w:r>
      <w:r>
        <w:rPr>
          <w:spacing w:val="-2"/>
          <w:sz w:val="21"/>
        </w:rPr>
        <w:t> </w:t>
      </w:r>
      <w:r>
        <w:rPr>
          <w:rFonts w:ascii="微软雅黑" w:eastAsia="微软雅黑"/>
          <w:b/>
          <w:sz w:val="21"/>
        </w:rPr>
        <w:t>(三) 严重脑中风后遗症</w:t>
      </w:r>
    </w:p>
    <w:p>
      <w:pPr>
        <w:pStyle w:val="BodyText"/>
        <w:spacing w:line="227" w:lineRule="exact"/>
        <w:ind w:left="547"/>
      </w:pPr>
      <w:r>
        <w:rPr>
          <w:spacing w:val="-6"/>
        </w:rPr>
        <w:t>指因脑血管的突发病变引起脑血管出血、栓塞或梗塞，须由头颅断层扫描</w:t>
      </w:r>
      <w:r>
        <w:rPr>
          <w:spacing w:val="20"/>
        </w:rPr>
        <w:t>（</w:t>
      </w:r>
      <w:r>
        <w:rPr>
          <w:spacing w:val="18"/>
        </w:rPr>
        <w:t>C</w:t>
      </w:r>
      <w:r>
        <w:rPr>
          <w:spacing w:val="21"/>
        </w:rPr>
        <w:t>T</w:t>
      </w:r>
      <w:r>
        <w:rPr>
          <w:spacing w:val="-85"/>
        </w:rPr>
        <w:t>）</w:t>
      </w:r>
      <w:r>
        <w:rPr>
          <w:spacing w:val="-8"/>
        </w:rPr>
        <w:t>、核磁</w:t>
      </w:r>
    </w:p>
    <w:p>
      <w:pPr>
        <w:pStyle w:val="BodyText"/>
        <w:spacing w:before="7"/>
        <w:rPr>
          <w:sz w:val="15"/>
        </w:rPr>
      </w:pPr>
    </w:p>
    <w:p>
      <w:pPr>
        <w:pStyle w:val="BodyText"/>
        <w:spacing w:line="417" w:lineRule="auto"/>
        <w:ind w:left="120" w:right="311"/>
      </w:pPr>
      <w:r>
        <w:rPr>
          <w:spacing w:val="-2"/>
        </w:rPr>
        <w:t>共振检查（MRI）等影像学检查证实，并导致神经系统永久性的功能障碍。神经系统永久性</w:t>
      </w:r>
      <w:r>
        <w:rPr>
          <w:spacing w:val="-3"/>
        </w:rPr>
        <w:t>的功能障碍，指疾病确诊 </w:t>
      </w:r>
      <w:r>
        <w:rPr/>
        <w:t>180</w:t>
      </w:r>
      <w:r>
        <w:rPr>
          <w:spacing w:val="-5"/>
        </w:rPr>
        <w:t> 天后，仍遗留下列至少一种障碍：</w:t>
      </w:r>
    </w:p>
    <w:p>
      <w:pPr>
        <w:pStyle w:val="ListParagraph"/>
        <w:numPr>
          <w:ilvl w:val="0"/>
          <w:numId w:val="17"/>
        </w:numPr>
        <w:tabs>
          <w:tab w:pos="1177" w:val="left" w:leader="none"/>
        </w:tabs>
        <w:spacing w:line="269" w:lineRule="exact" w:before="0" w:after="0"/>
        <w:ind w:left="1176" w:right="0" w:hanging="632"/>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6"/>
        <w:rPr>
          <w:sz w:val="15"/>
        </w:rPr>
      </w:pPr>
    </w:p>
    <w:p>
      <w:pPr>
        <w:pStyle w:val="ListParagraph"/>
        <w:numPr>
          <w:ilvl w:val="0"/>
          <w:numId w:val="17"/>
        </w:numPr>
        <w:tabs>
          <w:tab w:pos="1177" w:val="left" w:leader="none"/>
        </w:tabs>
        <w:spacing w:line="240" w:lineRule="auto" w:before="1" w:after="0"/>
        <w:ind w:left="1176" w:right="0" w:hanging="632"/>
        <w:jc w:val="left"/>
        <w:rPr>
          <w:sz w:val="21"/>
        </w:rPr>
      </w:pPr>
      <w:r>
        <w:rPr>
          <w:spacing w:val="-3"/>
          <w:sz w:val="21"/>
        </w:rPr>
        <w:t>语言能力完全丧失，或严重咀嚼吞咽功能障碍；</w:t>
      </w:r>
    </w:p>
    <w:p>
      <w:pPr>
        <w:pStyle w:val="BodyText"/>
        <w:spacing w:before="6"/>
        <w:rPr>
          <w:sz w:val="15"/>
        </w:rPr>
      </w:pPr>
    </w:p>
    <w:p>
      <w:pPr>
        <w:pStyle w:val="ListParagraph"/>
        <w:numPr>
          <w:ilvl w:val="0"/>
          <w:numId w:val="17"/>
        </w:numPr>
        <w:tabs>
          <w:tab w:pos="1177" w:val="left" w:leader="none"/>
        </w:tabs>
        <w:spacing w:line="240" w:lineRule="auto"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7"/>
        <w:rPr>
          <w:sz w:val="15"/>
        </w:rPr>
      </w:pPr>
    </w:p>
    <w:p>
      <w:pPr>
        <w:pStyle w:val="BodyText"/>
        <w:spacing w:before="1"/>
        <w:ind w:left="120"/>
      </w:pPr>
      <w:r>
        <w:rPr>
          <w:spacing w:val="-5"/>
        </w:rPr>
        <w:t>上。</w:t>
      </w:r>
    </w:p>
    <w:p>
      <w:pPr>
        <w:pStyle w:val="Heading2"/>
        <w:spacing w:before="131"/>
      </w:pPr>
      <w:r>
        <w:rPr>
          <w:spacing w:val="-1"/>
        </w:rPr>
        <w:t>(四) 重大器官移植术或造血干细胞移植术</w:t>
      </w:r>
    </w:p>
    <w:p>
      <w:pPr>
        <w:pStyle w:val="BodyText"/>
        <w:spacing w:line="417" w:lineRule="auto" w:before="149"/>
        <w:ind w:left="120" w:right="311" w:firstLine="427"/>
      </w:pPr>
      <w:r>
        <w:rPr>
          <w:spacing w:val="-4"/>
        </w:rPr>
        <w:t>重大器官移植术，指因相应器官功能衰竭，已经实施了肾脏、肝脏、心脏、肺脏或小肠</w:t>
      </w:r>
      <w:r>
        <w:rPr>
          <w:spacing w:val="-2"/>
        </w:rPr>
        <w:t>的异体移植手术。</w:t>
      </w:r>
    </w:p>
    <w:p>
      <w:pPr>
        <w:pStyle w:val="BodyText"/>
        <w:spacing w:line="417" w:lineRule="auto"/>
        <w:ind w:left="120" w:right="311" w:firstLine="427"/>
      </w:pPr>
      <w:r>
        <w:rPr>
          <w:spacing w:val="-19"/>
        </w:rPr>
        <w:t>造血干细胞移植术，指因造血功能损害或造血系统恶性肿瘤，已经实施了造血干细胞</w:t>
      </w:r>
      <w:r>
        <w:rPr>
          <w:spacing w:val="-2"/>
        </w:rPr>
        <w:t>（包</w:t>
      </w:r>
      <w:r>
        <w:rPr>
          <w:spacing w:val="-2"/>
        </w:rPr>
        <w:t>括骨髓造血干细胞、外周血造血干细胞和脐血造血干细胞）的移植手术。</w:t>
      </w:r>
    </w:p>
    <w:p>
      <w:pPr>
        <w:pStyle w:val="Heading2"/>
        <w:spacing w:line="320" w:lineRule="exact"/>
      </w:pPr>
      <w:r>
        <w:rPr/>
        <w:t>(五) 冠状动脉搭桥术（或称冠状动脉旁路移植术</w:t>
      </w:r>
      <w:r>
        <w:rPr>
          <w:spacing w:val="-10"/>
        </w:rPr>
        <w:t>）</w:t>
      </w:r>
    </w:p>
    <w:p>
      <w:pPr>
        <w:spacing w:line="357" w:lineRule="auto" w:before="147"/>
        <w:ind w:left="547" w:right="419" w:firstLine="0"/>
        <w:jc w:val="left"/>
        <w:rPr>
          <w:rFonts w:ascii="微软雅黑" w:eastAsia="微软雅黑"/>
          <w:b/>
          <w:sz w:val="21"/>
        </w:rPr>
      </w:pPr>
      <w:r>
        <w:rPr>
          <w:spacing w:val="-2"/>
          <w:sz w:val="21"/>
        </w:rPr>
        <w:t>指为治疗严重的冠心病，已经实施了切开心包进行的冠状动脉血管旁路移植的手术。</w:t>
      </w:r>
      <w:r>
        <w:rPr>
          <w:rFonts w:ascii="微软雅黑" w:eastAsia="微软雅黑"/>
          <w:b/>
          <w:spacing w:val="-2"/>
          <w:sz w:val="21"/>
        </w:rPr>
        <w:t>所有未切开心包的冠状动脉介入治疗不在保障范围内。</w:t>
      </w:r>
    </w:p>
    <w:p>
      <w:pPr>
        <w:pStyle w:val="Heading2"/>
        <w:spacing w:line="279" w:lineRule="exact"/>
      </w:pPr>
      <w:r>
        <w:rPr/>
        <w:t>(六) 严重慢性肾衰竭</w:t>
      </w:r>
    </w:p>
    <w:p>
      <w:pPr>
        <w:pStyle w:val="BodyText"/>
        <w:spacing w:line="417" w:lineRule="auto" w:before="148"/>
        <w:ind w:left="120" w:right="311" w:firstLine="427"/>
        <w:jc w:val="both"/>
      </w:pPr>
      <w:r>
        <w:rPr>
          <w:spacing w:val="-4"/>
        </w:rPr>
        <w:t>指双肾功能慢性不可逆性衰竭，依据肾脏病预后质量倡议（K/DOQI）制定的指南，分期</w:t>
      </w:r>
      <w:r>
        <w:rPr>
          <w:w w:val="95"/>
        </w:rPr>
        <w:t>达</w:t>
      </w:r>
      <w:r>
        <w:rPr>
          <w:w w:val="95"/>
        </w:rPr>
        <w:t>到</w:t>
      </w:r>
      <w:r>
        <w:rPr>
          <w:w w:val="95"/>
        </w:rPr>
        <w:t>慢性肾</w:t>
      </w:r>
      <w:r>
        <w:rPr>
          <w:w w:val="95"/>
        </w:rPr>
        <w:t>脏</w:t>
      </w:r>
      <w:r>
        <w:rPr>
          <w:w w:val="95"/>
        </w:rPr>
        <w:t>病</w:t>
      </w:r>
      <w:r>
        <w:rPr/>
        <w:t> </w:t>
      </w:r>
      <w:r>
        <w:rPr>
          <w:w w:val="95"/>
        </w:rPr>
        <w:t>5</w:t>
      </w:r>
      <w:r>
        <w:rPr>
          <w:spacing w:val="40"/>
        </w:rPr>
        <w:t> </w:t>
      </w:r>
      <w:r>
        <w:rPr>
          <w:w w:val="95"/>
        </w:rPr>
        <w:t>期，且</w:t>
      </w:r>
      <w:r>
        <w:rPr>
          <w:w w:val="95"/>
        </w:rPr>
        <w:t>经</w:t>
      </w:r>
      <w:r>
        <w:rPr>
          <w:w w:val="95"/>
        </w:rPr>
        <w:t>诊</w:t>
      </w:r>
      <w:r>
        <w:rPr>
          <w:w w:val="95"/>
        </w:rPr>
        <w:t>断后已经进行了</w:t>
      </w:r>
      <w:r>
        <w:rPr>
          <w:w w:val="95"/>
        </w:rPr>
        <w:t>至</w:t>
      </w:r>
      <w:r>
        <w:rPr>
          <w:w w:val="95"/>
        </w:rPr>
        <w:t>少</w:t>
      </w:r>
      <w:r>
        <w:rPr/>
        <w:t> </w:t>
      </w:r>
      <w:r>
        <w:rPr>
          <w:w w:val="95"/>
        </w:rPr>
        <w:t>90</w:t>
      </w:r>
      <w:r>
        <w:rPr>
          <w:spacing w:val="40"/>
        </w:rPr>
        <w:t> </w:t>
      </w:r>
      <w:r>
        <w:rPr>
          <w:w w:val="95"/>
        </w:rPr>
        <w:t>天的规律性透析治疗。</w:t>
      </w:r>
      <w:r>
        <w:rPr>
          <w:w w:val="95"/>
        </w:rPr>
        <w:t>规</w:t>
      </w:r>
      <w:r>
        <w:rPr>
          <w:w w:val="95"/>
        </w:rPr>
        <w:t>律</w:t>
      </w:r>
      <w:r>
        <w:rPr>
          <w:w w:val="95"/>
        </w:rPr>
        <w:t>性透析</w:t>
      </w:r>
      <w:r>
        <w:rPr>
          <w:w w:val="95"/>
        </w:rPr>
        <w:t>是</w:t>
      </w:r>
      <w:r>
        <w:rPr>
          <w:spacing w:val="-2"/>
        </w:rPr>
        <w:t>指每周进行血液透析或每天进行腹膜透析。</w:t>
      </w:r>
    </w:p>
    <w:p>
      <w:pPr>
        <w:pStyle w:val="Heading2"/>
        <w:spacing w:line="319" w:lineRule="exact"/>
      </w:pPr>
      <w:r>
        <w:rPr>
          <w:spacing w:val="1"/>
        </w:rPr>
        <w:t>(七) 多个肢体缺失</w:t>
      </w:r>
    </w:p>
    <w:p>
      <w:pPr>
        <w:pStyle w:val="BodyText"/>
        <w:spacing w:line="417" w:lineRule="auto" w:before="148"/>
        <w:ind w:left="120" w:right="311" w:firstLine="427"/>
      </w:pPr>
      <w:r>
        <w:rPr>
          <w:spacing w:val="-4"/>
        </w:rPr>
        <w:t>指因疾病或意外伤害导致两个或两个以上肢体自腕关节或踝关节近端</w:t>
      </w:r>
      <w:r>
        <w:rPr>
          <w:spacing w:val="-2"/>
        </w:rPr>
        <w:t>（靠近躯干端</w:t>
      </w:r>
      <w:r>
        <w:rPr>
          <w:spacing w:val="-53"/>
        </w:rPr>
        <w:t>）</w:t>
      </w:r>
      <w:r>
        <w:rPr>
          <w:spacing w:val="-2"/>
        </w:rPr>
        <w:t>以</w:t>
      </w:r>
      <w:r>
        <w:rPr>
          <w:spacing w:val="-2"/>
        </w:rPr>
        <w:t>上完全性断离。</w:t>
      </w:r>
    </w:p>
    <w:p>
      <w:pPr>
        <w:pStyle w:val="Heading2"/>
        <w:spacing w:line="320" w:lineRule="exact"/>
      </w:pPr>
      <w:r>
        <w:rPr>
          <w:spacing w:val="-1"/>
        </w:rPr>
        <w:t>(八) 急性重症肝炎或亚急性重症肝炎</w:t>
      </w:r>
    </w:p>
    <w:p>
      <w:pPr>
        <w:pStyle w:val="BodyText"/>
        <w:spacing w:line="417" w:lineRule="auto" w:before="148"/>
        <w:ind w:left="120" w:right="311" w:firstLine="427"/>
      </w:pPr>
      <w:r>
        <w:rPr>
          <w:spacing w:val="-7"/>
        </w:rPr>
        <w:t>指因肝炎病毒感染引起肝脏组织弥漫性坏死，导致急性肝功能衰竭，且经血清学或病毒</w:t>
      </w:r>
      <w:r>
        <w:rPr>
          <w:spacing w:val="-2"/>
        </w:rPr>
        <w:t>学检查证实，并须满足下列全部条件：</w:t>
      </w:r>
    </w:p>
    <w:p>
      <w:pPr>
        <w:pStyle w:val="ListParagraph"/>
        <w:numPr>
          <w:ilvl w:val="0"/>
          <w:numId w:val="18"/>
        </w:numPr>
        <w:tabs>
          <w:tab w:pos="1177" w:val="left" w:leader="none"/>
        </w:tabs>
        <w:spacing w:line="269" w:lineRule="exact" w:before="0" w:after="0"/>
        <w:ind w:left="1176" w:right="0" w:hanging="632"/>
        <w:jc w:val="left"/>
        <w:rPr>
          <w:sz w:val="21"/>
        </w:rPr>
      </w:pPr>
      <w:r>
        <w:rPr>
          <w:spacing w:val="-3"/>
          <w:sz w:val="21"/>
        </w:rPr>
        <w:t>重度黄疸或黄疸迅速加重；</w:t>
      </w:r>
    </w:p>
    <w:p>
      <w:pPr>
        <w:pStyle w:val="BodyText"/>
        <w:spacing w:before="7"/>
        <w:rPr>
          <w:sz w:val="15"/>
        </w:rPr>
      </w:pPr>
    </w:p>
    <w:p>
      <w:pPr>
        <w:pStyle w:val="ListParagraph"/>
        <w:numPr>
          <w:ilvl w:val="0"/>
          <w:numId w:val="18"/>
        </w:numPr>
        <w:tabs>
          <w:tab w:pos="1177" w:val="left" w:leader="none"/>
        </w:tabs>
        <w:spacing w:line="240" w:lineRule="auto" w:before="0" w:after="0"/>
        <w:ind w:left="1176" w:right="0" w:hanging="632"/>
        <w:jc w:val="left"/>
        <w:rPr>
          <w:sz w:val="21"/>
        </w:rPr>
      </w:pPr>
      <w:r>
        <w:rPr>
          <w:spacing w:val="-4"/>
          <w:sz w:val="21"/>
        </w:rPr>
        <w:t>肝性脑病；</w:t>
      </w:r>
    </w:p>
    <w:p>
      <w:pPr>
        <w:spacing w:after="0" w:line="240" w:lineRule="auto"/>
        <w:jc w:val="left"/>
        <w:rPr>
          <w:sz w:val="21"/>
        </w:rPr>
        <w:sectPr>
          <w:pgSz w:w="11910" w:h="16840"/>
          <w:pgMar w:header="0" w:footer="1005" w:top="1460" w:bottom="1200" w:left="1680" w:right="1480"/>
        </w:sectPr>
      </w:pPr>
    </w:p>
    <w:p>
      <w:pPr>
        <w:pStyle w:val="ListParagraph"/>
        <w:numPr>
          <w:ilvl w:val="0"/>
          <w:numId w:val="18"/>
        </w:numPr>
        <w:tabs>
          <w:tab w:pos="1177" w:val="left" w:leader="none"/>
        </w:tabs>
        <w:spacing w:line="240" w:lineRule="auto" w:before="61" w:after="0"/>
        <w:ind w:left="1176" w:right="0" w:hanging="632"/>
        <w:jc w:val="left"/>
        <w:rPr>
          <w:sz w:val="21"/>
        </w:rPr>
      </w:pPr>
      <w:r>
        <w:rPr>
          <w:spacing w:val="-2"/>
          <w:sz w:val="21"/>
        </w:rPr>
        <w:t>B</w:t>
      </w:r>
      <w:r>
        <w:rPr>
          <w:spacing w:val="-10"/>
          <w:sz w:val="21"/>
        </w:rPr>
        <w:t> 超或其他影像学检查显示肝脏体积急速萎缩；</w:t>
      </w:r>
    </w:p>
    <w:p>
      <w:pPr>
        <w:pStyle w:val="BodyText"/>
        <w:spacing w:before="7"/>
        <w:rPr>
          <w:sz w:val="15"/>
        </w:rPr>
      </w:pPr>
    </w:p>
    <w:p>
      <w:pPr>
        <w:pStyle w:val="ListParagraph"/>
        <w:numPr>
          <w:ilvl w:val="0"/>
          <w:numId w:val="18"/>
        </w:numPr>
        <w:tabs>
          <w:tab w:pos="1177" w:val="left" w:leader="none"/>
        </w:tabs>
        <w:spacing w:line="357" w:lineRule="auto" w:before="0" w:after="0"/>
        <w:ind w:left="120" w:right="5254" w:firstLine="424"/>
        <w:jc w:val="left"/>
        <w:rPr>
          <w:rFonts w:ascii="微软雅黑" w:eastAsia="微软雅黑"/>
          <w:b/>
          <w:sz w:val="21"/>
        </w:rPr>
      </w:pPr>
      <w:r>
        <w:rPr>
          <w:spacing w:val="-2"/>
          <w:sz w:val="21"/>
        </w:rPr>
        <w:t>肝功能指标进行性恶化。</w:t>
      </w:r>
      <w:r>
        <w:rPr>
          <w:spacing w:val="-2"/>
          <w:sz w:val="21"/>
        </w:rPr>
        <w:t> </w:t>
      </w:r>
      <w:r>
        <w:rPr>
          <w:rFonts w:ascii="微软雅黑" w:eastAsia="微软雅黑"/>
          <w:b/>
          <w:spacing w:val="-5"/>
          <w:w w:val="110"/>
          <w:sz w:val="21"/>
        </w:rPr>
        <w:t>(九) </w:t>
      </w:r>
      <w:r>
        <w:rPr>
          <w:rFonts w:ascii="微软雅黑" w:eastAsia="微软雅黑"/>
          <w:b/>
          <w:w w:val="110"/>
          <w:sz w:val="21"/>
        </w:rPr>
        <w:t>严</w:t>
      </w:r>
      <w:r>
        <w:rPr>
          <w:rFonts w:ascii="微软雅黑" w:eastAsia="微软雅黑"/>
          <w:b/>
          <w:w w:val="110"/>
          <w:sz w:val="21"/>
        </w:rPr>
        <w:t>重</w:t>
      </w:r>
      <w:r>
        <w:rPr>
          <w:rFonts w:ascii="微软雅黑" w:eastAsia="微软雅黑"/>
          <w:b/>
          <w:w w:val="110"/>
          <w:sz w:val="21"/>
        </w:rPr>
        <w:t>非</w:t>
      </w:r>
      <w:r>
        <w:rPr>
          <w:rFonts w:ascii="微软雅黑" w:eastAsia="微软雅黑"/>
          <w:b/>
          <w:w w:val="110"/>
          <w:sz w:val="21"/>
        </w:rPr>
        <w:t>恶</w:t>
      </w:r>
      <w:r>
        <w:rPr>
          <w:rFonts w:ascii="微软雅黑" w:eastAsia="微软雅黑"/>
          <w:b/>
          <w:w w:val="110"/>
          <w:sz w:val="21"/>
        </w:rPr>
        <w:t>性</w:t>
      </w:r>
      <w:r>
        <w:rPr>
          <w:rFonts w:ascii="微软雅黑" w:eastAsia="微软雅黑"/>
          <w:b/>
          <w:w w:val="110"/>
          <w:sz w:val="21"/>
        </w:rPr>
        <w:t>颅</w:t>
      </w:r>
      <w:r>
        <w:rPr>
          <w:rFonts w:ascii="微软雅黑" w:eastAsia="微软雅黑"/>
          <w:b/>
          <w:w w:val="110"/>
          <w:sz w:val="21"/>
        </w:rPr>
        <w:t>内</w:t>
      </w:r>
      <w:r>
        <w:rPr>
          <w:rFonts w:ascii="微软雅黑" w:eastAsia="微软雅黑"/>
          <w:b/>
          <w:w w:val="110"/>
          <w:sz w:val="21"/>
        </w:rPr>
        <w:t>肿</w:t>
      </w:r>
      <w:r>
        <w:rPr>
          <w:rFonts w:ascii="微软雅黑" w:eastAsia="微软雅黑"/>
          <w:b/>
          <w:w w:val="110"/>
          <w:sz w:val="21"/>
        </w:rPr>
        <w:t>瘤</w:t>
      </w:r>
    </w:p>
    <w:p>
      <w:pPr>
        <w:pStyle w:val="BodyText"/>
        <w:spacing w:line="227" w:lineRule="exact"/>
        <w:ind w:left="547"/>
        <w:jc w:val="both"/>
      </w:pPr>
      <w:r>
        <w:rPr>
          <w:spacing w:val="-2"/>
        </w:rPr>
        <w:t>指起源于脑、脑神经、脑被膜的非恶性肿瘤，ICD-O-3</w:t>
      </w:r>
      <w:r>
        <w:rPr>
          <w:spacing w:val="-11"/>
        </w:rPr>
        <w:t> 肿瘤形态学编码属于 </w:t>
      </w:r>
      <w:r>
        <w:rPr>
          <w:spacing w:val="-2"/>
        </w:rPr>
        <w:t>0（</w:t>
      </w:r>
      <w:r>
        <w:rPr>
          <w:spacing w:val="-5"/>
        </w:rPr>
        <w:t>良性肿</w:t>
      </w:r>
    </w:p>
    <w:p>
      <w:pPr>
        <w:pStyle w:val="BodyText"/>
        <w:spacing w:before="7"/>
        <w:rPr>
          <w:sz w:val="15"/>
        </w:rPr>
      </w:pPr>
    </w:p>
    <w:p>
      <w:pPr>
        <w:pStyle w:val="BodyText"/>
        <w:spacing w:line="417" w:lineRule="auto"/>
        <w:ind w:left="120" w:right="311"/>
        <w:jc w:val="both"/>
      </w:pPr>
      <w:r>
        <w:rPr>
          <w:spacing w:val="-4"/>
        </w:rPr>
        <w:t>瘤</w:t>
      </w:r>
      <w:r>
        <w:rPr>
          <w:spacing w:val="-106"/>
        </w:rPr>
        <w:t>）</w:t>
      </w:r>
      <w:r>
        <w:rPr>
          <w:spacing w:val="-4"/>
        </w:rPr>
        <w:t>、1（动态未定性肿瘤）范畴，并已经引起颅内压升高或神经系统功能损害，出现视乳头</w:t>
      </w:r>
      <w:r>
        <w:rPr>
          <w:spacing w:val="-4"/>
        </w:rPr>
        <w:t>水肿或视觉受损、听觉受损、面部或肢体瘫痪、癫痫等，须由头颅断层扫描</w:t>
      </w:r>
      <w:r>
        <w:rPr>
          <w:spacing w:val="22"/>
        </w:rPr>
        <w:t>（CT</w:t>
      </w:r>
      <w:r>
        <w:rPr>
          <w:spacing w:val="-84"/>
        </w:rPr>
        <w:t>）</w:t>
      </w:r>
      <w:r>
        <w:rPr>
          <w:spacing w:val="-4"/>
        </w:rPr>
        <w:t>、核磁共</w:t>
      </w:r>
      <w:r>
        <w:rPr>
          <w:spacing w:val="-4"/>
        </w:rPr>
        <w:t>振检查（MRI）或正电子发射断层扫描（PET）等影像学检查证实，且须满足下列至少一项条</w:t>
      </w:r>
      <w:r>
        <w:rPr>
          <w:spacing w:val="-6"/>
        </w:rPr>
        <w:t>件：</w:t>
      </w:r>
    </w:p>
    <w:p>
      <w:pPr>
        <w:pStyle w:val="ListParagraph"/>
        <w:numPr>
          <w:ilvl w:val="0"/>
          <w:numId w:val="19"/>
        </w:numPr>
        <w:tabs>
          <w:tab w:pos="1177" w:val="left" w:leader="none"/>
        </w:tabs>
        <w:spacing w:line="268" w:lineRule="exact" w:before="0" w:after="0"/>
        <w:ind w:left="1176" w:right="0" w:hanging="632"/>
        <w:jc w:val="both"/>
        <w:rPr>
          <w:sz w:val="21"/>
        </w:rPr>
      </w:pPr>
      <w:r>
        <w:rPr>
          <w:spacing w:val="-3"/>
          <w:sz w:val="21"/>
        </w:rPr>
        <w:t>已经实施了开颅进行的颅内肿瘤完全或部分切除手术；</w:t>
      </w:r>
    </w:p>
    <w:p>
      <w:pPr>
        <w:pStyle w:val="BodyText"/>
        <w:spacing w:before="7"/>
        <w:rPr>
          <w:sz w:val="15"/>
        </w:rPr>
      </w:pPr>
    </w:p>
    <w:p>
      <w:pPr>
        <w:pStyle w:val="ListParagraph"/>
        <w:numPr>
          <w:ilvl w:val="0"/>
          <w:numId w:val="19"/>
        </w:numPr>
        <w:tabs>
          <w:tab w:pos="1177" w:val="left" w:leader="none"/>
        </w:tabs>
        <w:spacing w:line="357" w:lineRule="auto" w:before="0" w:after="0"/>
        <w:ind w:left="547" w:right="1262" w:hanging="3"/>
        <w:jc w:val="both"/>
        <w:rPr>
          <w:rFonts w:ascii="微软雅黑" w:hAnsi="微软雅黑" w:eastAsia="微软雅黑"/>
          <w:b/>
          <w:sz w:val="21"/>
        </w:rPr>
      </w:pPr>
      <w:r>
        <w:rPr>
          <w:spacing w:val="-2"/>
          <w:sz w:val="21"/>
        </w:rPr>
        <w:t>已经实施了针对颅内肿瘤的放射治疗，如γ刀、质子重离子治疗等。</w:t>
      </w:r>
      <w:r>
        <w:rPr>
          <w:rFonts w:ascii="微软雅黑" w:hAnsi="微软雅黑" w:eastAsia="微软雅黑"/>
          <w:b/>
          <w:spacing w:val="-2"/>
          <w:sz w:val="21"/>
        </w:rPr>
        <w:t>下列疾病不在保障范围内：</w:t>
      </w:r>
    </w:p>
    <w:p>
      <w:pPr>
        <w:pStyle w:val="ListParagraph"/>
        <w:numPr>
          <w:ilvl w:val="0"/>
          <w:numId w:val="20"/>
        </w:numPr>
        <w:tabs>
          <w:tab w:pos="1179" w:val="left" w:leader="none"/>
        </w:tabs>
        <w:spacing w:line="278" w:lineRule="exact" w:before="0" w:after="0"/>
        <w:ind w:left="1178" w:right="0" w:hanging="634"/>
        <w:jc w:val="left"/>
        <w:rPr>
          <w:rFonts w:ascii="微软雅黑" w:eastAsia="微软雅黑"/>
          <w:b/>
          <w:sz w:val="21"/>
        </w:rPr>
      </w:pPr>
      <w:r>
        <w:rPr>
          <w:rFonts w:ascii="微软雅黑" w:eastAsia="微软雅黑"/>
          <w:b/>
          <w:spacing w:val="-2"/>
          <w:sz w:val="21"/>
        </w:rPr>
        <w:t>脑垂体瘤；</w:t>
      </w:r>
    </w:p>
    <w:p>
      <w:pPr>
        <w:pStyle w:val="ListParagraph"/>
        <w:numPr>
          <w:ilvl w:val="0"/>
          <w:numId w:val="20"/>
        </w:numPr>
        <w:tabs>
          <w:tab w:pos="1179" w:val="left" w:leader="none"/>
        </w:tabs>
        <w:spacing w:line="240" w:lineRule="auto" w:before="81" w:after="0"/>
        <w:ind w:left="1178" w:right="0" w:hanging="634"/>
        <w:jc w:val="left"/>
        <w:rPr>
          <w:rFonts w:ascii="微软雅黑" w:eastAsia="微软雅黑"/>
          <w:b/>
          <w:sz w:val="21"/>
        </w:rPr>
      </w:pPr>
      <w:r>
        <w:rPr>
          <w:rFonts w:ascii="微软雅黑" w:eastAsia="微软雅黑"/>
          <w:b/>
          <w:spacing w:val="-3"/>
          <w:sz w:val="21"/>
        </w:rPr>
        <w:t>脑囊肿；</w:t>
      </w:r>
    </w:p>
    <w:p>
      <w:pPr>
        <w:pStyle w:val="ListParagraph"/>
        <w:numPr>
          <w:ilvl w:val="0"/>
          <w:numId w:val="20"/>
        </w:numPr>
        <w:tabs>
          <w:tab w:pos="1179" w:val="left" w:leader="none"/>
        </w:tabs>
        <w:spacing w:line="290" w:lineRule="auto" w:before="81" w:after="0"/>
        <w:ind w:left="120" w:right="398" w:firstLine="424"/>
        <w:jc w:val="left"/>
        <w:rPr>
          <w:rFonts w:ascii="微软雅黑" w:eastAsia="微软雅黑"/>
          <w:b/>
          <w:sz w:val="21"/>
        </w:rPr>
      </w:pPr>
      <w:r>
        <w:rPr>
          <w:rFonts w:ascii="微软雅黑" w:eastAsia="微软雅黑"/>
          <w:b/>
          <w:spacing w:val="-2"/>
          <w:sz w:val="21"/>
        </w:rPr>
        <w:t>颅内血管性疾病（如脑动脉瘤、脑动静脉畸形、海绵状血管瘤、毛细血管扩张</w:t>
      </w:r>
      <w:r>
        <w:rPr>
          <w:rFonts w:ascii="微软雅黑" w:eastAsia="微软雅黑"/>
          <w:b/>
          <w:spacing w:val="-4"/>
          <w:sz w:val="21"/>
        </w:rPr>
        <w:t>症等）。</w:t>
      </w:r>
    </w:p>
    <w:p>
      <w:pPr>
        <w:spacing w:line="386" w:lineRule="exact" w:before="0"/>
        <w:ind w:left="120" w:right="0" w:firstLine="0"/>
        <w:jc w:val="left"/>
        <w:rPr>
          <w:rFonts w:ascii="微软雅黑" w:eastAsia="微软雅黑"/>
          <w:b/>
          <w:sz w:val="21"/>
        </w:rPr>
      </w:pPr>
      <w:r>
        <w:rPr>
          <w:rFonts w:ascii="微软雅黑" w:eastAsia="微软雅黑"/>
          <w:b/>
          <w:sz w:val="21"/>
        </w:rPr>
        <w:t>(十) 严重慢性肝衰竭</w:t>
      </w:r>
    </w:p>
    <w:p>
      <w:pPr>
        <w:pStyle w:val="BodyText"/>
        <w:spacing w:before="148"/>
        <w:ind w:left="547"/>
      </w:pPr>
      <w:r>
        <w:rPr>
          <w:spacing w:val="-3"/>
        </w:rPr>
        <w:t>指因慢性肝脏疾病导致的肝衰竭。且须满足下列全部条件：</w:t>
      </w:r>
    </w:p>
    <w:p>
      <w:pPr>
        <w:pStyle w:val="BodyText"/>
        <w:spacing w:before="7"/>
        <w:rPr>
          <w:sz w:val="15"/>
        </w:rPr>
      </w:pPr>
    </w:p>
    <w:p>
      <w:pPr>
        <w:pStyle w:val="ListParagraph"/>
        <w:numPr>
          <w:ilvl w:val="0"/>
          <w:numId w:val="21"/>
        </w:numPr>
        <w:tabs>
          <w:tab w:pos="1177" w:val="left" w:leader="none"/>
        </w:tabs>
        <w:spacing w:line="240" w:lineRule="auto" w:before="0" w:after="0"/>
        <w:ind w:left="1176" w:right="0" w:hanging="632"/>
        <w:jc w:val="left"/>
        <w:rPr>
          <w:sz w:val="21"/>
        </w:rPr>
      </w:pPr>
      <w:r>
        <w:rPr>
          <w:spacing w:val="-4"/>
          <w:sz w:val="21"/>
        </w:rPr>
        <w:t>持续性黄疸；</w:t>
      </w:r>
    </w:p>
    <w:p>
      <w:pPr>
        <w:pStyle w:val="BodyText"/>
        <w:spacing w:before="7"/>
        <w:rPr>
          <w:sz w:val="15"/>
        </w:rPr>
      </w:pPr>
    </w:p>
    <w:p>
      <w:pPr>
        <w:pStyle w:val="ListParagraph"/>
        <w:numPr>
          <w:ilvl w:val="0"/>
          <w:numId w:val="21"/>
        </w:numPr>
        <w:tabs>
          <w:tab w:pos="1177" w:val="left" w:leader="none"/>
        </w:tabs>
        <w:spacing w:line="240" w:lineRule="auto" w:before="0" w:after="0"/>
        <w:ind w:left="1176" w:right="0" w:hanging="632"/>
        <w:jc w:val="left"/>
        <w:rPr>
          <w:sz w:val="21"/>
        </w:rPr>
      </w:pPr>
      <w:r>
        <w:rPr>
          <w:spacing w:val="-4"/>
          <w:sz w:val="21"/>
        </w:rPr>
        <w:t>腹水；</w:t>
      </w:r>
    </w:p>
    <w:p>
      <w:pPr>
        <w:pStyle w:val="BodyText"/>
        <w:spacing w:before="7"/>
        <w:rPr>
          <w:sz w:val="15"/>
        </w:rPr>
      </w:pPr>
    </w:p>
    <w:p>
      <w:pPr>
        <w:pStyle w:val="ListParagraph"/>
        <w:numPr>
          <w:ilvl w:val="0"/>
          <w:numId w:val="21"/>
        </w:numPr>
        <w:tabs>
          <w:tab w:pos="1177" w:val="left" w:leader="none"/>
        </w:tabs>
        <w:spacing w:line="240" w:lineRule="auto" w:before="0" w:after="0"/>
        <w:ind w:left="1176" w:right="0" w:hanging="632"/>
        <w:jc w:val="left"/>
        <w:rPr>
          <w:sz w:val="21"/>
        </w:rPr>
      </w:pPr>
      <w:r>
        <w:rPr>
          <w:spacing w:val="-4"/>
          <w:sz w:val="21"/>
        </w:rPr>
        <w:t>肝性脑病；</w:t>
      </w:r>
    </w:p>
    <w:p>
      <w:pPr>
        <w:pStyle w:val="BodyText"/>
        <w:spacing w:before="6"/>
        <w:rPr>
          <w:sz w:val="15"/>
        </w:rPr>
      </w:pPr>
    </w:p>
    <w:p>
      <w:pPr>
        <w:pStyle w:val="ListParagraph"/>
        <w:numPr>
          <w:ilvl w:val="0"/>
          <w:numId w:val="21"/>
        </w:numPr>
        <w:tabs>
          <w:tab w:pos="1177" w:val="left" w:leader="none"/>
        </w:tabs>
        <w:spacing w:line="357" w:lineRule="auto" w:before="0" w:after="0"/>
        <w:ind w:left="547" w:right="2942" w:hanging="3"/>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p>
      <w:pPr>
        <w:pStyle w:val="Heading2"/>
        <w:spacing w:line="278" w:lineRule="exact"/>
      </w:pPr>
      <w:r>
        <w:rPr>
          <w:spacing w:val="-1"/>
        </w:rPr>
        <w:t>(十一) 严重脑炎后遗症或严重脑膜炎后遗症</w:t>
      </w:r>
    </w:p>
    <w:p>
      <w:pPr>
        <w:pStyle w:val="BodyText"/>
        <w:spacing w:line="417" w:lineRule="auto" w:before="149"/>
        <w:ind w:left="120" w:right="208" w:firstLine="427"/>
      </w:pPr>
      <w:r>
        <w:rPr>
          <w:spacing w:val="-2"/>
        </w:rPr>
        <w:t>指因患脑炎或脑膜炎导致的神经系统永久性的功能障碍。神经系统永久性的功能障碍，</w:t>
      </w:r>
      <w:r>
        <w:rPr>
          <w:spacing w:val="-2"/>
        </w:rPr>
        <w:t>指经相关专科医生确诊疾病 </w:t>
      </w:r>
      <w:r>
        <w:rPr/>
        <w:t>180</w:t>
      </w:r>
      <w:r>
        <w:rPr>
          <w:spacing w:val="-5"/>
        </w:rPr>
        <w:t> 天后，仍遗留下列至少一种障碍：</w:t>
      </w:r>
    </w:p>
    <w:p>
      <w:pPr>
        <w:pStyle w:val="ListParagraph"/>
        <w:numPr>
          <w:ilvl w:val="0"/>
          <w:numId w:val="22"/>
        </w:numPr>
        <w:tabs>
          <w:tab w:pos="1177" w:val="left" w:leader="none"/>
        </w:tabs>
        <w:spacing w:line="240" w:lineRule="auto" w:before="0" w:after="0"/>
        <w:ind w:left="1176" w:right="0" w:hanging="632"/>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6"/>
        <w:rPr>
          <w:sz w:val="15"/>
        </w:rPr>
      </w:pPr>
    </w:p>
    <w:p>
      <w:pPr>
        <w:pStyle w:val="ListParagraph"/>
        <w:numPr>
          <w:ilvl w:val="0"/>
          <w:numId w:val="22"/>
        </w:numPr>
        <w:tabs>
          <w:tab w:pos="1177" w:val="left" w:leader="none"/>
        </w:tabs>
        <w:spacing w:line="240" w:lineRule="auto" w:before="1" w:after="0"/>
        <w:ind w:left="1176" w:right="0" w:hanging="632"/>
        <w:jc w:val="left"/>
        <w:rPr>
          <w:sz w:val="21"/>
        </w:rPr>
      </w:pPr>
      <w:r>
        <w:rPr>
          <w:spacing w:val="-3"/>
          <w:sz w:val="21"/>
        </w:rPr>
        <w:t>语言能力完全丧失，或严重咀嚼吞咽功能障碍；</w:t>
      </w:r>
    </w:p>
    <w:p>
      <w:pPr>
        <w:pStyle w:val="BodyText"/>
        <w:spacing w:before="6"/>
        <w:rPr>
          <w:sz w:val="15"/>
        </w:rPr>
      </w:pPr>
    </w:p>
    <w:p>
      <w:pPr>
        <w:pStyle w:val="ListParagraph"/>
        <w:numPr>
          <w:ilvl w:val="0"/>
          <w:numId w:val="22"/>
        </w:numPr>
        <w:tabs>
          <w:tab w:pos="1177" w:val="left" w:leader="none"/>
        </w:tabs>
        <w:spacing w:line="417" w:lineRule="auto" w:before="0" w:after="0"/>
        <w:ind w:left="120" w:right="424" w:firstLine="424"/>
        <w:jc w:val="left"/>
        <w:rPr>
          <w:sz w:val="21"/>
        </w:rPr>
      </w:pPr>
      <w:r>
        <w:rPr>
          <w:sz w:val="21"/>
        </w:rPr>
        <w:t>由具有评估资格的专科医生根据临床痴呆评定量表（CDR，Clinical</w:t>
      </w:r>
      <w:r>
        <w:rPr>
          <w:spacing w:val="-27"/>
          <w:sz w:val="21"/>
        </w:rPr>
        <w:t> </w:t>
      </w:r>
      <w:r>
        <w:rPr>
          <w:sz w:val="21"/>
        </w:rPr>
        <w:t>Dementia Rating）</w:t>
      </w:r>
      <w:r>
        <w:rPr>
          <w:spacing w:val="-4"/>
          <w:sz w:val="21"/>
        </w:rPr>
        <w:t>评估结果为 </w:t>
      </w:r>
      <w:r>
        <w:rPr>
          <w:sz w:val="21"/>
        </w:rPr>
        <w:t>3</w:t>
      </w:r>
      <w:r>
        <w:rPr>
          <w:spacing w:val="-8"/>
          <w:sz w:val="21"/>
        </w:rPr>
        <w:t> 分；</w:t>
      </w:r>
    </w:p>
    <w:p>
      <w:pPr>
        <w:spacing w:after="0" w:line="417" w:lineRule="auto"/>
        <w:jc w:val="left"/>
        <w:rPr>
          <w:sz w:val="21"/>
        </w:rPr>
        <w:sectPr>
          <w:pgSz w:w="11910" w:h="16840"/>
          <w:pgMar w:header="0" w:footer="1005" w:top="1460" w:bottom="1200" w:left="1680" w:right="1480"/>
        </w:sectPr>
      </w:pPr>
    </w:p>
    <w:p>
      <w:pPr>
        <w:pStyle w:val="ListParagraph"/>
        <w:numPr>
          <w:ilvl w:val="0"/>
          <w:numId w:val="22"/>
        </w:numPr>
        <w:tabs>
          <w:tab w:pos="1177" w:val="left" w:leader="none"/>
        </w:tabs>
        <w:spacing w:line="240" w:lineRule="auto" w:before="61"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12"/>
        <w:rPr>
          <w:sz w:val="9"/>
        </w:rPr>
      </w:pPr>
    </w:p>
    <w:p>
      <w:pPr>
        <w:pStyle w:val="BodyText"/>
        <w:spacing w:before="72"/>
        <w:ind w:left="120"/>
      </w:pPr>
      <w:r>
        <w:rPr>
          <w:spacing w:val="-5"/>
        </w:rPr>
        <w:t>上。</w:t>
      </w:r>
    </w:p>
    <w:p>
      <w:pPr>
        <w:pStyle w:val="Heading2"/>
        <w:spacing w:before="132"/>
      </w:pPr>
      <w:r>
        <w:rPr>
          <w:spacing w:val="2"/>
        </w:rPr>
        <w:t>(十二) 深度昏迷</w:t>
      </w:r>
    </w:p>
    <w:p>
      <w:pPr>
        <w:pStyle w:val="BodyText"/>
        <w:spacing w:line="417" w:lineRule="auto" w:before="148"/>
        <w:ind w:left="120" w:right="311" w:firstLine="427"/>
        <w:jc w:val="both"/>
      </w:pPr>
      <w:r>
        <w:rPr>
          <w:spacing w:val="-8"/>
        </w:rPr>
        <w:t>指因疾病或意外伤害导致意识丧失，对外界刺激和体内需求均无反应，昏迷程度按照格</w:t>
      </w:r>
      <w:r>
        <w:rPr>
          <w:spacing w:val="-2"/>
        </w:rPr>
        <w:t>拉斯哥昏迷分级（GCS，Glasgow</w:t>
      </w:r>
      <w:r>
        <w:rPr>
          <w:spacing w:val="-25"/>
        </w:rPr>
        <w:t> </w:t>
      </w:r>
      <w:r>
        <w:rPr>
          <w:spacing w:val="-2"/>
        </w:rPr>
        <w:t>Coma</w:t>
      </w:r>
      <w:r>
        <w:rPr>
          <w:spacing w:val="-9"/>
        </w:rPr>
        <w:t> </w:t>
      </w:r>
      <w:r>
        <w:rPr>
          <w:spacing w:val="-2"/>
        </w:rPr>
        <w:t>Scale）</w:t>
      </w:r>
      <w:r>
        <w:rPr>
          <w:spacing w:val="-8"/>
        </w:rPr>
        <w:t>结果为 </w:t>
      </w:r>
      <w:r>
        <w:rPr>
          <w:spacing w:val="-2"/>
        </w:rPr>
        <w:t>5</w:t>
      </w:r>
      <w:r>
        <w:rPr>
          <w:spacing w:val="-14"/>
        </w:rPr>
        <w:t> 分或 </w:t>
      </w:r>
      <w:r>
        <w:rPr>
          <w:spacing w:val="-2"/>
        </w:rPr>
        <w:t>5</w:t>
      </w:r>
      <w:r>
        <w:rPr>
          <w:spacing w:val="-7"/>
        </w:rPr>
        <w:t> 分以下，且已经持续使用呼</w:t>
      </w:r>
      <w:r>
        <w:rPr>
          <w:spacing w:val="-3"/>
        </w:rPr>
        <w:t>吸机及其他生命维持系统 </w:t>
      </w:r>
      <w:r>
        <w:rPr/>
        <w:t>96</w:t>
      </w:r>
      <w:r>
        <w:rPr>
          <w:spacing w:val="-5"/>
        </w:rPr>
        <w:t> 小时以上。</w:t>
      </w:r>
    </w:p>
    <w:p>
      <w:pPr>
        <w:pStyle w:val="Heading2"/>
        <w:spacing w:line="319" w:lineRule="exact"/>
        <w:ind w:left="547"/>
      </w:pPr>
      <w:r>
        <w:rPr>
          <w:spacing w:val="-3"/>
        </w:rPr>
        <w:t>因酗酒或药物滥用导致的深度昏迷不在保障范围内。</w:t>
      </w:r>
    </w:p>
    <w:p>
      <w:pPr>
        <w:spacing w:before="81"/>
        <w:ind w:left="120" w:right="0" w:firstLine="0"/>
        <w:jc w:val="left"/>
        <w:rPr>
          <w:rFonts w:ascii="微软雅黑" w:eastAsia="微软雅黑"/>
          <w:b/>
          <w:sz w:val="21"/>
        </w:rPr>
      </w:pPr>
      <w:r>
        <w:rPr>
          <w:rFonts w:ascii="微软雅黑" w:eastAsia="微软雅黑"/>
          <w:b/>
          <w:spacing w:val="2"/>
          <w:sz w:val="21"/>
        </w:rPr>
        <w:t>(十三) 双耳失聪</w:t>
      </w:r>
    </w:p>
    <w:p>
      <w:pPr>
        <w:pStyle w:val="BodyText"/>
        <w:spacing w:before="148"/>
        <w:ind w:left="547"/>
      </w:pPr>
      <w:r>
        <w:rPr>
          <w:spacing w:val="-4"/>
        </w:rPr>
        <w:t>指因疾病或意外伤害导致双耳听力永久不可逆性丧失，在 </w:t>
      </w:r>
      <w:r>
        <w:rPr>
          <w:spacing w:val="-2"/>
        </w:rPr>
        <w:t>500</w:t>
      </w:r>
      <w:r>
        <w:rPr>
          <w:spacing w:val="-14"/>
        </w:rPr>
        <w:t> 赫兹、</w:t>
      </w:r>
      <w:r>
        <w:rPr>
          <w:spacing w:val="-2"/>
        </w:rPr>
        <w:t>1000</w:t>
      </w:r>
      <w:r>
        <w:rPr>
          <w:spacing w:val="-20"/>
        </w:rPr>
        <w:t> 赫兹和 </w:t>
      </w:r>
      <w:r>
        <w:rPr>
          <w:spacing w:val="-4"/>
        </w:rPr>
        <w:t>2000</w:t>
      </w:r>
    </w:p>
    <w:p>
      <w:pPr>
        <w:pStyle w:val="BodyText"/>
        <w:spacing w:before="7"/>
        <w:rPr>
          <w:sz w:val="15"/>
        </w:rPr>
      </w:pPr>
    </w:p>
    <w:p>
      <w:pPr>
        <w:pStyle w:val="BodyText"/>
        <w:spacing w:line="417" w:lineRule="auto"/>
        <w:ind w:left="120" w:right="311"/>
      </w:pPr>
      <w:r>
        <w:rPr>
          <w:spacing w:val="-3"/>
        </w:rPr>
        <w:t>赫兹语音频率下，平均听阈大于等于 </w:t>
      </w:r>
      <w:r>
        <w:rPr/>
        <w:t>91</w:t>
      </w:r>
      <w:r>
        <w:rPr>
          <w:spacing w:val="-7"/>
        </w:rPr>
        <w:t> 分贝，且经纯音听力测试、声导抗检测或听觉诱发</w:t>
      </w:r>
      <w:r>
        <w:rPr>
          <w:spacing w:val="-2"/>
        </w:rPr>
        <w:t>电位检测等证实。</w:t>
      </w:r>
    </w:p>
    <w:p>
      <w:pPr>
        <w:pStyle w:val="Heading2"/>
        <w:spacing w:line="320" w:lineRule="exact"/>
        <w:ind w:left="547"/>
      </w:pPr>
      <w:r>
        <w:rPr>
          <w:spacing w:val="-3"/>
        </w:rPr>
        <w:t>被保险人在三周岁之前因疾病导致的双耳失聪不在保障范围内。</w:t>
      </w:r>
    </w:p>
    <w:p>
      <w:pPr>
        <w:spacing w:before="81"/>
        <w:ind w:left="120" w:right="0" w:firstLine="0"/>
        <w:jc w:val="left"/>
        <w:rPr>
          <w:rFonts w:ascii="微软雅黑" w:eastAsia="微软雅黑"/>
          <w:b/>
          <w:sz w:val="21"/>
        </w:rPr>
      </w:pPr>
      <w:r>
        <w:rPr>
          <w:rFonts w:ascii="微软雅黑" w:eastAsia="微软雅黑"/>
          <w:b/>
          <w:spacing w:val="2"/>
          <w:sz w:val="21"/>
        </w:rPr>
        <w:t>(十四) 双目失明</w:t>
      </w:r>
    </w:p>
    <w:p>
      <w:pPr>
        <w:pStyle w:val="BodyText"/>
        <w:spacing w:line="417" w:lineRule="auto" w:before="148"/>
        <w:ind w:left="120" w:right="311" w:firstLine="427"/>
      </w:pPr>
      <w:r>
        <w:rPr>
          <w:spacing w:val="-7"/>
        </w:rPr>
        <w:t>指因疾病或意外伤害导致双眼视力永久不可逆性丧失，双眼中较好眼须满足下列至少一</w:t>
      </w:r>
      <w:r>
        <w:rPr>
          <w:spacing w:val="-4"/>
        </w:rPr>
        <w:t>项条件：</w:t>
      </w:r>
    </w:p>
    <w:p>
      <w:pPr>
        <w:pStyle w:val="ListParagraph"/>
        <w:numPr>
          <w:ilvl w:val="0"/>
          <w:numId w:val="23"/>
        </w:numPr>
        <w:tabs>
          <w:tab w:pos="1177" w:val="left" w:leader="none"/>
        </w:tabs>
        <w:spacing w:line="269" w:lineRule="exact" w:before="0" w:after="0"/>
        <w:ind w:left="1176" w:right="0" w:hanging="632"/>
        <w:jc w:val="left"/>
        <w:rPr>
          <w:sz w:val="21"/>
        </w:rPr>
      </w:pPr>
      <w:r>
        <w:rPr>
          <w:spacing w:val="-4"/>
          <w:sz w:val="21"/>
        </w:rPr>
        <w:t>眼球缺失或摘除；</w:t>
      </w:r>
    </w:p>
    <w:p>
      <w:pPr>
        <w:pStyle w:val="BodyText"/>
        <w:spacing w:before="7"/>
        <w:rPr>
          <w:sz w:val="15"/>
        </w:rPr>
      </w:pPr>
    </w:p>
    <w:p>
      <w:pPr>
        <w:pStyle w:val="ListParagraph"/>
        <w:numPr>
          <w:ilvl w:val="0"/>
          <w:numId w:val="23"/>
        </w:numPr>
        <w:tabs>
          <w:tab w:pos="1177" w:val="left" w:leader="none"/>
        </w:tabs>
        <w:spacing w:line="240" w:lineRule="auto" w:before="0" w:after="0"/>
        <w:ind w:left="1176" w:right="0" w:hanging="632"/>
        <w:jc w:val="left"/>
        <w:rPr>
          <w:sz w:val="21"/>
        </w:rPr>
      </w:pPr>
      <w:r>
        <w:rPr>
          <w:spacing w:val="-6"/>
          <w:sz w:val="21"/>
        </w:rPr>
        <w:t>矫正视力低于 </w:t>
      </w:r>
      <w:r>
        <w:rPr>
          <w:spacing w:val="-4"/>
          <w:sz w:val="21"/>
        </w:rPr>
        <w:t>0.02（</w:t>
      </w:r>
      <w:r>
        <w:rPr>
          <w:spacing w:val="-9"/>
          <w:sz w:val="21"/>
        </w:rPr>
        <w:t>采用国际标准视力表，如果使用其他视力表应进行换算</w:t>
      </w:r>
      <w:r>
        <w:rPr>
          <w:spacing w:val="-5"/>
          <w:sz w:val="21"/>
        </w:rPr>
        <w:t>）；</w:t>
      </w:r>
    </w:p>
    <w:p>
      <w:pPr>
        <w:pStyle w:val="BodyText"/>
        <w:spacing w:before="7"/>
        <w:rPr>
          <w:sz w:val="15"/>
        </w:rPr>
      </w:pPr>
    </w:p>
    <w:p>
      <w:pPr>
        <w:pStyle w:val="ListParagraph"/>
        <w:numPr>
          <w:ilvl w:val="0"/>
          <w:numId w:val="23"/>
        </w:numPr>
        <w:tabs>
          <w:tab w:pos="1177" w:val="left" w:leader="none"/>
        </w:tabs>
        <w:spacing w:line="240" w:lineRule="auto" w:before="0" w:after="0"/>
        <w:ind w:left="1176" w:right="0" w:hanging="632"/>
        <w:jc w:val="left"/>
        <w:rPr>
          <w:sz w:val="21"/>
        </w:rPr>
      </w:pPr>
      <w:r>
        <w:rPr>
          <w:spacing w:val="-9"/>
          <w:sz w:val="21"/>
        </w:rPr>
        <w:t>视野半径小于 </w:t>
      </w:r>
      <w:r>
        <w:rPr>
          <w:spacing w:val="-2"/>
          <w:sz w:val="21"/>
        </w:rPr>
        <w:t>5</w:t>
      </w:r>
      <w:r>
        <w:rPr>
          <w:spacing w:val="-21"/>
          <w:sz w:val="21"/>
        </w:rPr>
        <w:t> 度。</w:t>
      </w:r>
    </w:p>
    <w:p>
      <w:pPr>
        <w:pStyle w:val="Heading2"/>
        <w:spacing w:line="290" w:lineRule="auto" w:before="132"/>
        <w:ind w:right="2291" w:firstLine="427"/>
      </w:pPr>
      <w:r>
        <w:rPr>
          <w:spacing w:val="-2"/>
        </w:rPr>
        <w:t>被保险人在三周岁之前因疾病导致的双目失明不在保障范围内。 </w:t>
      </w:r>
      <w:r>
        <w:rPr>
          <w:w w:val="110"/>
        </w:rPr>
        <w:t>(十五) </w:t>
      </w:r>
      <w:r>
        <w:rPr>
          <w:w w:val="110"/>
        </w:rPr>
        <w:t>瘫</w:t>
      </w:r>
      <w:r>
        <w:rPr>
          <w:w w:val="110"/>
        </w:rPr>
        <w:t>痪</w:t>
      </w:r>
    </w:p>
    <w:p>
      <w:pPr>
        <w:pStyle w:val="BodyText"/>
        <w:spacing w:line="417" w:lineRule="auto" w:before="66"/>
        <w:ind w:left="120" w:right="311" w:firstLine="427"/>
      </w:pPr>
      <w:r>
        <w:rPr>
          <w:spacing w:val="-6"/>
        </w:rPr>
        <w:t>指因疾病或意外伤害导致两肢或两肢以上肢体随意运动功能永久完全丧失。肢体随意运</w:t>
      </w:r>
      <w:r>
        <w:rPr>
          <w:spacing w:val="-7"/>
        </w:rPr>
        <w:t>动功能永久完全丧失，指疾病确诊 </w:t>
      </w:r>
      <w:r>
        <w:rPr>
          <w:spacing w:val="-4"/>
        </w:rPr>
        <w:t>180</w:t>
      </w:r>
      <w:r>
        <w:rPr>
          <w:spacing w:val="-13"/>
        </w:rPr>
        <w:t> 天后或意外伤害发生 </w:t>
      </w:r>
      <w:r>
        <w:rPr>
          <w:spacing w:val="-4"/>
        </w:rPr>
        <w:t>180</w:t>
      </w:r>
      <w:r>
        <w:rPr>
          <w:spacing w:val="-14"/>
        </w:rPr>
        <w:t> 天后，每肢三大关节中的两</w:t>
      </w:r>
    </w:p>
    <w:p>
      <w:pPr>
        <w:spacing w:line="357" w:lineRule="auto" w:before="0"/>
        <w:ind w:left="120" w:right="3578" w:firstLine="0"/>
        <w:jc w:val="left"/>
        <w:rPr>
          <w:rFonts w:ascii="微软雅黑" w:eastAsia="微软雅黑"/>
          <w:b/>
          <w:sz w:val="21"/>
        </w:rPr>
      </w:pPr>
      <w:r>
        <w:rPr>
          <w:spacing w:val="-4"/>
          <w:sz w:val="21"/>
        </w:rPr>
        <w:t>大关节仍然完全僵硬，或肢体肌力在 </w:t>
      </w:r>
      <w:r>
        <w:rPr>
          <w:sz w:val="21"/>
        </w:rPr>
        <w:t>2</w:t>
      </w:r>
      <w:r>
        <w:rPr>
          <w:spacing w:val="-27"/>
          <w:sz w:val="21"/>
        </w:rPr>
        <w:t> 级</w:t>
      </w:r>
      <w:r>
        <w:rPr>
          <w:sz w:val="21"/>
        </w:rPr>
        <w:t>（含）以下。 </w:t>
      </w:r>
      <w:r>
        <w:rPr>
          <w:rFonts w:ascii="微软雅黑" w:eastAsia="微软雅黑"/>
          <w:b/>
          <w:w w:val="110"/>
          <w:sz w:val="21"/>
        </w:rPr>
        <w:t>(十六) </w:t>
      </w:r>
      <w:r>
        <w:rPr>
          <w:rFonts w:ascii="微软雅黑" w:eastAsia="微软雅黑"/>
          <w:b/>
          <w:w w:val="110"/>
          <w:sz w:val="21"/>
        </w:rPr>
        <w:t>心</w:t>
      </w:r>
      <w:r>
        <w:rPr>
          <w:rFonts w:ascii="微软雅黑" w:eastAsia="微软雅黑"/>
          <w:b/>
          <w:w w:val="110"/>
          <w:sz w:val="21"/>
        </w:rPr>
        <w:t>脏</w:t>
      </w:r>
      <w:r>
        <w:rPr>
          <w:rFonts w:ascii="微软雅黑" w:eastAsia="微软雅黑"/>
          <w:b/>
          <w:w w:val="110"/>
          <w:sz w:val="21"/>
        </w:rPr>
        <w:t>瓣</w:t>
      </w:r>
      <w:r>
        <w:rPr>
          <w:rFonts w:ascii="微软雅黑" w:eastAsia="微软雅黑"/>
          <w:b/>
          <w:w w:val="110"/>
          <w:sz w:val="21"/>
        </w:rPr>
        <w:t>膜</w:t>
      </w:r>
      <w:r>
        <w:rPr>
          <w:rFonts w:ascii="微软雅黑" w:eastAsia="微软雅黑"/>
          <w:b/>
          <w:w w:val="110"/>
          <w:sz w:val="21"/>
        </w:rPr>
        <w:t>手</w:t>
      </w:r>
      <w:r>
        <w:rPr>
          <w:rFonts w:ascii="微软雅黑" w:eastAsia="微软雅黑"/>
          <w:b/>
          <w:w w:val="110"/>
          <w:sz w:val="21"/>
        </w:rPr>
        <w:t>术</w:t>
      </w:r>
    </w:p>
    <w:p>
      <w:pPr>
        <w:pStyle w:val="BodyText"/>
        <w:spacing w:line="227" w:lineRule="exact"/>
        <w:ind w:left="547"/>
      </w:pPr>
      <w:r>
        <w:rPr>
          <w:spacing w:val="-3"/>
        </w:rPr>
        <w:t>指为治疗心脏瓣膜疾病，已经实施了切开心脏进行的心脏瓣膜置换或修复的手术。</w:t>
      </w:r>
    </w:p>
    <w:p>
      <w:pPr>
        <w:pStyle w:val="Heading2"/>
        <w:spacing w:line="290" w:lineRule="auto" w:before="132"/>
        <w:ind w:right="3137" w:firstLine="427"/>
      </w:pPr>
      <w:r>
        <w:rPr>
          <w:spacing w:val="-2"/>
        </w:rPr>
        <w:t>所有未切开心脏的心脏瓣膜介入手术不在保障范围内。 </w:t>
      </w:r>
      <w:r>
        <w:rPr>
          <w:spacing w:val="-4"/>
          <w:w w:val="110"/>
        </w:rPr>
        <w:t>(十七) </w:t>
      </w:r>
      <w:r>
        <w:rPr>
          <w:w w:val="110"/>
        </w:rPr>
        <w:t>严</w:t>
      </w:r>
      <w:r>
        <w:rPr>
          <w:w w:val="110"/>
        </w:rPr>
        <w:t>重</w:t>
      </w:r>
      <w:r>
        <w:rPr>
          <w:w w:val="110"/>
        </w:rPr>
        <w:t>阿</w:t>
      </w:r>
      <w:r>
        <w:rPr>
          <w:w w:val="110"/>
        </w:rPr>
        <w:t>尔</w:t>
      </w:r>
      <w:r>
        <w:rPr>
          <w:w w:val="110"/>
        </w:rPr>
        <w:t>茨</w:t>
      </w:r>
      <w:r>
        <w:rPr>
          <w:w w:val="110"/>
        </w:rPr>
        <w:t>海</w:t>
      </w:r>
      <w:r>
        <w:rPr>
          <w:w w:val="110"/>
        </w:rPr>
        <w:t>默</w:t>
      </w:r>
      <w:r>
        <w:rPr>
          <w:w w:val="110"/>
        </w:rPr>
        <w:t>病</w:t>
      </w:r>
    </w:p>
    <w:p>
      <w:pPr>
        <w:pStyle w:val="BodyText"/>
        <w:spacing w:line="417" w:lineRule="auto" w:before="67"/>
        <w:ind w:left="120" w:right="311" w:firstLine="427"/>
        <w:jc w:val="both"/>
      </w:pPr>
      <w:r>
        <w:rPr>
          <w:spacing w:val="-11"/>
        </w:rPr>
        <w:t>指因大脑进行性、不可逆性改变导致智能严重衰退或丧失，临床表现为严重的认知功能</w:t>
      </w:r>
      <w:r>
        <w:rPr>
          <w:spacing w:val="-4"/>
        </w:rPr>
        <w:t>障碍、精神行为异常和社交能力减退等，其日常生活必须持续受到他人监护。须由头颅断层</w:t>
      </w:r>
      <w:r>
        <w:rPr>
          <w:spacing w:val="-4"/>
        </w:rPr>
        <w:t>扫描</w:t>
      </w:r>
      <w:r>
        <w:rPr>
          <w:spacing w:val="22"/>
        </w:rPr>
        <w:t>（</w:t>
      </w:r>
      <w:r>
        <w:rPr>
          <w:spacing w:val="23"/>
        </w:rPr>
        <w:t>C</w:t>
      </w:r>
      <w:r>
        <w:rPr>
          <w:spacing w:val="20"/>
        </w:rPr>
        <w:t>T</w:t>
      </w:r>
      <w:r>
        <w:rPr>
          <w:spacing w:val="-83"/>
        </w:rPr>
        <w:t>）</w:t>
      </w:r>
      <w:r>
        <w:rPr>
          <w:spacing w:val="-4"/>
        </w:rPr>
        <w:t>、核磁共振检查（MRI）或正电子发射断层扫描（PET）</w:t>
      </w:r>
      <w:r>
        <w:rPr>
          <w:spacing w:val="-5"/>
        </w:rPr>
        <w:t>等影像学检查证实，并经</w:t>
      </w:r>
    </w:p>
    <w:p>
      <w:pPr>
        <w:spacing w:after="0" w:line="417" w:lineRule="auto"/>
        <w:jc w:val="both"/>
        <w:sectPr>
          <w:pgSz w:w="11910" w:h="16840"/>
          <w:pgMar w:header="0" w:footer="1005" w:top="1460" w:bottom="1200" w:left="1680" w:right="1480"/>
        </w:sectPr>
      </w:pPr>
    </w:p>
    <w:p>
      <w:pPr>
        <w:pStyle w:val="BodyText"/>
        <w:spacing w:before="61"/>
        <w:ind w:left="120"/>
      </w:pPr>
      <w:r>
        <w:rPr>
          <w:spacing w:val="-3"/>
        </w:rPr>
        <w:t>相关专科医生确诊，且须满足下列至少一项条件：</w:t>
      </w:r>
    </w:p>
    <w:p>
      <w:pPr>
        <w:pStyle w:val="BodyText"/>
        <w:spacing w:before="7"/>
        <w:rPr>
          <w:sz w:val="15"/>
        </w:rPr>
      </w:pPr>
    </w:p>
    <w:p>
      <w:pPr>
        <w:pStyle w:val="ListParagraph"/>
        <w:numPr>
          <w:ilvl w:val="0"/>
          <w:numId w:val="24"/>
        </w:numPr>
        <w:tabs>
          <w:tab w:pos="1177" w:val="left" w:leader="none"/>
        </w:tabs>
        <w:spacing w:line="417" w:lineRule="auto" w:before="0" w:after="0"/>
        <w:ind w:left="120" w:right="424" w:firstLine="424"/>
        <w:jc w:val="left"/>
        <w:rPr>
          <w:sz w:val="21"/>
        </w:rPr>
      </w:pPr>
      <w:r>
        <w:rPr>
          <w:sz w:val="21"/>
        </w:rPr>
        <w:t>由具有评估资格的专科医生根据临床痴呆评定量表（CDR，Clinical</w:t>
      </w:r>
      <w:r>
        <w:rPr>
          <w:spacing w:val="-27"/>
          <w:sz w:val="21"/>
        </w:rPr>
        <w:t> </w:t>
      </w:r>
      <w:r>
        <w:rPr>
          <w:sz w:val="21"/>
        </w:rPr>
        <w:t>Dementia Rating）</w:t>
      </w:r>
      <w:r>
        <w:rPr>
          <w:spacing w:val="-4"/>
          <w:sz w:val="21"/>
        </w:rPr>
        <w:t>评估结果为 </w:t>
      </w:r>
      <w:r>
        <w:rPr>
          <w:sz w:val="21"/>
        </w:rPr>
        <w:t>3</w:t>
      </w:r>
      <w:r>
        <w:rPr>
          <w:spacing w:val="-8"/>
          <w:sz w:val="21"/>
        </w:rPr>
        <w:t> 分；</w:t>
      </w:r>
    </w:p>
    <w:p>
      <w:pPr>
        <w:pStyle w:val="ListParagraph"/>
        <w:numPr>
          <w:ilvl w:val="0"/>
          <w:numId w:val="24"/>
        </w:numPr>
        <w:tabs>
          <w:tab w:pos="1177" w:val="left" w:leader="none"/>
        </w:tabs>
        <w:spacing w:line="269" w:lineRule="exact"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7"/>
        <w:rPr>
          <w:sz w:val="15"/>
        </w:rPr>
      </w:pPr>
    </w:p>
    <w:p>
      <w:pPr>
        <w:pStyle w:val="BodyText"/>
        <w:ind w:left="120"/>
      </w:pPr>
      <w:r>
        <w:rPr>
          <w:spacing w:val="-5"/>
        </w:rPr>
        <w:t>上。</w:t>
      </w:r>
    </w:p>
    <w:p>
      <w:pPr>
        <w:pStyle w:val="Heading2"/>
        <w:spacing w:line="290" w:lineRule="auto" w:before="132"/>
        <w:ind w:right="3348" w:firstLine="427"/>
      </w:pPr>
      <w:r>
        <w:rPr>
          <w:spacing w:val="-2"/>
        </w:rPr>
        <w:t>阿尔茨海默病之外的其他类型痴呆不在保障范围内。 </w:t>
      </w:r>
      <w:r>
        <w:rPr>
          <w:w w:val="110"/>
        </w:rPr>
        <w:t>(十八) </w:t>
      </w:r>
      <w:r>
        <w:rPr>
          <w:w w:val="110"/>
        </w:rPr>
        <w:t>严</w:t>
      </w:r>
      <w:r>
        <w:rPr>
          <w:w w:val="110"/>
        </w:rPr>
        <w:t>重</w:t>
      </w:r>
      <w:r>
        <w:rPr>
          <w:w w:val="110"/>
        </w:rPr>
        <w:t>脑</w:t>
      </w:r>
      <w:r>
        <w:rPr>
          <w:w w:val="110"/>
        </w:rPr>
        <w:t>损</w:t>
      </w:r>
      <w:r>
        <w:rPr>
          <w:w w:val="110"/>
        </w:rPr>
        <w:t>伤</w:t>
      </w:r>
    </w:p>
    <w:p>
      <w:pPr>
        <w:pStyle w:val="BodyText"/>
        <w:spacing w:line="417" w:lineRule="auto" w:before="66"/>
        <w:ind w:left="120" w:right="311" w:firstLine="427"/>
        <w:jc w:val="both"/>
      </w:pPr>
      <w:r>
        <w:rPr>
          <w:spacing w:val="-4"/>
        </w:rPr>
        <w:t>指因头部遭受机械性外力，引起脑重要部位损伤，导致神经系统永久性的功能障碍。须</w:t>
      </w:r>
      <w:r>
        <w:rPr>
          <w:spacing w:val="-4"/>
        </w:rPr>
        <w:t>由头颅断层扫描</w:t>
      </w:r>
      <w:r>
        <w:rPr>
          <w:spacing w:val="22"/>
        </w:rPr>
        <w:t>（</w:t>
      </w:r>
      <w:r>
        <w:rPr>
          <w:spacing w:val="23"/>
        </w:rPr>
        <w:t>CT</w:t>
      </w:r>
      <w:r>
        <w:rPr>
          <w:spacing w:val="-85"/>
        </w:rPr>
        <w:t>）</w:t>
      </w:r>
      <w:r>
        <w:rPr>
          <w:spacing w:val="-4"/>
        </w:rPr>
        <w:t>、核磁共振检查（MRI）或正电子发射断层扫描（PET）等影像学检查</w:t>
      </w:r>
      <w:r>
        <w:rPr>
          <w:spacing w:val="-2"/>
        </w:rPr>
        <w:t>证实。神经系统永久性的功能障碍，指脑损伤 </w:t>
      </w:r>
      <w:r>
        <w:rPr/>
        <w:t>180</w:t>
      </w:r>
      <w:r>
        <w:rPr>
          <w:spacing w:val="-5"/>
        </w:rPr>
        <w:t> 天后，仍遗留下列至少一种障碍：</w:t>
      </w:r>
    </w:p>
    <w:p>
      <w:pPr>
        <w:pStyle w:val="ListParagraph"/>
        <w:numPr>
          <w:ilvl w:val="0"/>
          <w:numId w:val="25"/>
        </w:numPr>
        <w:tabs>
          <w:tab w:pos="1177" w:val="left" w:leader="none"/>
        </w:tabs>
        <w:spacing w:line="240" w:lineRule="auto" w:before="0" w:after="0"/>
        <w:ind w:left="1176" w:right="0" w:hanging="632"/>
        <w:jc w:val="both"/>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7"/>
        <w:rPr>
          <w:sz w:val="15"/>
        </w:rPr>
      </w:pPr>
    </w:p>
    <w:p>
      <w:pPr>
        <w:pStyle w:val="ListParagraph"/>
        <w:numPr>
          <w:ilvl w:val="0"/>
          <w:numId w:val="25"/>
        </w:numPr>
        <w:tabs>
          <w:tab w:pos="1177" w:val="left" w:leader="none"/>
        </w:tabs>
        <w:spacing w:line="240" w:lineRule="auto" w:before="0" w:after="0"/>
        <w:ind w:left="1176" w:right="0" w:hanging="632"/>
        <w:jc w:val="both"/>
        <w:rPr>
          <w:sz w:val="21"/>
        </w:rPr>
      </w:pPr>
      <w:r>
        <w:rPr>
          <w:spacing w:val="-3"/>
          <w:sz w:val="21"/>
        </w:rPr>
        <w:t>语言能力完全丧失，或严重咀嚼吞咽功能障碍；</w:t>
      </w:r>
    </w:p>
    <w:p>
      <w:pPr>
        <w:pStyle w:val="BodyText"/>
        <w:spacing w:before="6"/>
        <w:rPr>
          <w:sz w:val="15"/>
        </w:rPr>
      </w:pPr>
    </w:p>
    <w:p>
      <w:pPr>
        <w:pStyle w:val="ListParagraph"/>
        <w:numPr>
          <w:ilvl w:val="0"/>
          <w:numId w:val="25"/>
        </w:numPr>
        <w:tabs>
          <w:tab w:pos="1177" w:val="left" w:leader="none"/>
        </w:tabs>
        <w:spacing w:line="240" w:lineRule="auto" w:before="1"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6"/>
        <w:rPr>
          <w:sz w:val="15"/>
        </w:rPr>
      </w:pPr>
    </w:p>
    <w:p>
      <w:pPr>
        <w:pStyle w:val="BodyText"/>
        <w:ind w:left="120"/>
      </w:pPr>
      <w:r>
        <w:rPr>
          <w:spacing w:val="-5"/>
        </w:rPr>
        <w:t>上。</w:t>
      </w:r>
    </w:p>
    <w:p>
      <w:pPr>
        <w:pStyle w:val="Heading2"/>
        <w:spacing w:before="132"/>
      </w:pPr>
      <w:r>
        <w:rPr>
          <w:spacing w:val="-1"/>
        </w:rPr>
        <w:t>(十九) 严重原发性帕金森病</w:t>
      </w:r>
    </w:p>
    <w:p>
      <w:pPr>
        <w:pStyle w:val="BodyText"/>
        <w:spacing w:line="417" w:lineRule="auto" w:before="148"/>
        <w:ind w:left="120" w:right="311" w:firstLine="427"/>
        <w:jc w:val="both"/>
      </w:pPr>
      <w:r>
        <w:rPr>
          <w:spacing w:val="-4"/>
        </w:rPr>
        <w:t>是一种中枢神经系统的退行性疾病，临床表现为运动迟缓、静止性震颤或肌强直等，经</w:t>
      </w:r>
      <w:r>
        <w:rPr>
          <w:spacing w:val="-8"/>
        </w:rPr>
        <w:t>相关专科医生确诊，且须满足自主生活能力完全丧失，无法独立完成六项基本日常生活活动</w:t>
      </w:r>
      <w:r>
        <w:rPr>
          <w:spacing w:val="-2"/>
        </w:rPr>
        <w:t>中的三项或三项以上。</w:t>
      </w:r>
    </w:p>
    <w:p>
      <w:pPr>
        <w:pStyle w:val="Heading2"/>
        <w:spacing w:line="320" w:lineRule="exact"/>
        <w:ind w:left="547"/>
      </w:pPr>
      <w:r>
        <w:rPr/>
        <w:t>继</w:t>
      </w:r>
      <w:r>
        <w:rPr/>
        <w:t>发</w:t>
      </w:r>
      <w:r>
        <w:rPr/>
        <w:t>性</w:t>
      </w:r>
      <w:r>
        <w:rPr/>
        <w:t>帕</w:t>
      </w:r>
      <w:r>
        <w:rPr/>
        <w:t>金</w:t>
      </w:r>
      <w:r>
        <w:rPr/>
        <w:t>森</w:t>
      </w:r>
      <w:r>
        <w:rPr/>
        <w:t>综</w:t>
      </w:r>
      <w:r>
        <w:rPr/>
        <w:t>合</w:t>
      </w:r>
      <w:r>
        <w:rPr/>
        <w:t>征、帕金</w:t>
      </w:r>
      <w:r>
        <w:rPr/>
        <w:t>森</w:t>
      </w:r>
      <w:r>
        <w:rPr/>
        <w:t>叠</w:t>
      </w:r>
      <w:r>
        <w:rPr/>
        <w:t>加</w:t>
      </w:r>
      <w:r>
        <w:rPr/>
        <w:t>综</w:t>
      </w:r>
      <w:r>
        <w:rPr/>
        <w:t>合</w:t>
      </w:r>
      <w:r>
        <w:rPr/>
        <w:t>征</w:t>
      </w:r>
      <w:r>
        <w:rPr/>
        <w:t>不</w:t>
      </w:r>
      <w:r>
        <w:rPr>
          <w:spacing w:val="-2"/>
        </w:rPr>
        <w:t>在保障范围内。</w:t>
      </w:r>
    </w:p>
    <w:p>
      <w:pPr>
        <w:spacing w:before="81"/>
        <w:ind w:left="120" w:right="0" w:firstLine="0"/>
        <w:jc w:val="left"/>
        <w:rPr>
          <w:rFonts w:ascii="微软雅黑" w:hAnsi="微软雅黑" w:eastAsia="微软雅黑"/>
          <w:b/>
          <w:sz w:val="21"/>
        </w:rPr>
      </w:pPr>
      <w:r>
        <w:rPr>
          <w:rFonts w:ascii="微软雅黑" w:hAnsi="微软雅黑" w:eastAsia="微软雅黑"/>
          <w:b/>
          <w:sz w:val="21"/>
        </w:rPr>
        <w:t>(二十) 严重Ⅲ度烧伤</w:t>
      </w:r>
    </w:p>
    <w:p>
      <w:pPr>
        <w:pStyle w:val="BodyText"/>
        <w:spacing w:line="417" w:lineRule="auto" w:before="148"/>
        <w:ind w:left="120" w:right="311" w:firstLine="427"/>
        <w:jc w:val="both"/>
      </w:pPr>
      <w:r>
        <w:rPr>
          <w:spacing w:val="-3"/>
        </w:rPr>
        <w:t>指烧伤程度为Ⅲ度，且Ⅲ度烧伤的面积达到全身体表面积的 </w:t>
      </w:r>
      <w:r>
        <w:rPr>
          <w:spacing w:val="-2"/>
        </w:rPr>
        <w:t>20</w:t>
      </w:r>
      <w:r>
        <w:rPr>
          <w:spacing w:val="-10"/>
        </w:rPr>
        <w:t>％或 </w:t>
      </w:r>
      <w:r>
        <w:rPr>
          <w:spacing w:val="-2"/>
        </w:rPr>
        <w:t>20％以上。体表面</w:t>
      </w:r>
      <w:r>
        <w:rPr>
          <w:spacing w:val="-2"/>
        </w:rPr>
        <w:t>积根据《中国新九分法》计算。</w:t>
      </w:r>
    </w:p>
    <w:p>
      <w:pPr>
        <w:pStyle w:val="Heading2"/>
        <w:spacing w:line="320" w:lineRule="exact"/>
      </w:pPr>
      <w:r>
        <w:rPr/>
        <w:t>(</w:t>
      </w:r>
      <w:r>
        <w:rPr>
          <w:spacing w:val="-1"/>
        </w:rPr>
        <w:t>二十一) 严重特发性肺动脉高压</w:t>
      </w:r>
    </w:p>
    <w:p>
      <w:pPr>
        <w:pStyle w:val="BodyText"/>
        <w:spacing w:line="417" w:lineRule="auto" w:before="148"/>
        <w:ind w:left="120" w:right="208" w:firstLine="427"/>
      </w:pPr>
      <w:r>
        <w:rPr>
          <w:spacing w:val="-7"/>
        </w:rPr>
        <w:t>指不明原因的肺动脉压力持续性增高，进行性发展而导致的慢性疾病，已经造成永久不</w:t>
      </w:r>
      <w:r>
        <w:rPr>
          <w:spacing w:val="-13"/>
        </w:rPr>
        <w:t>可逆性的体力活动能力受限，达到美国纽约心脏病学会</w:t>
      </w:r>
      <w:r>
        <w:rPr>
          <w:spacing w:val="-2"/>
        </w:rPr>
        <w:t>（New</w:t>
      </w:r>
      <w:r>
        <w:rPr>
          <w:spacing w:val="-53"/>
        </w:rPr>
        <w:t> </w:t>
      </w:r>
      <w:r>
        <w:rPr>
          <w:spacing w:val="-2"/>
        </w:rPr>
        <w:t>York</w:t>
      </w:r>
      <w:r>
        <w:rPr>
          <w:spacing w:val="-53"/>
        </w:rPr>
        <w:t> </w:t>
      </w:r>
      <w:r>
        <w:rPr>
          <w:spacing w:val="-2"/>
        </w:rPr>
        <w:t>Heart</w:t>
      </w:r>
      <w:r>
        <w:rPr>
          <w:spacing w:val="-53"/>
        </w:rPr>
        <w:t> </w:t>
      </w:r>
      <w:r>
        <w:rPr>
          <w:spacing w:val="-2"/>
        </w:rPr>
        <w:t>Association，NYHA）</w:t>
      </w:r>
      <w:r>
        <w:rPr>
          <w:spacing w:val="-2"/>
        </w:rPr>
        <w:t>心功能状态分级 </w:t>
      </w:r>
      <w:r>
        <w:rPr/>
        <w:t>IV</w:t>
      </w:r>
      <w:r>
        <w:rPr>
          <w:spacing w:val="-5"/>
        </w:rPr>
        <w:t> 级，且静息状态下肺动脉平均压在 </w:t>
      </w:r>
      <w:r>
        <w:rPr/>
        <w:t>36mmHg（含）以上。</w:t>
      </w:r>
    </w:p>
    <w:p>
      <w:pPr>
        <w:pStyle w:val="Heading2"/>
        <w:spacing w:line="320" w:lineRule="exact"/>
      </w:pPr>
      <w:r>
        <w:rPr/>
        <w:t>(</w:t>
      </w:r>
      <w:r>
        <w:rPr>
          <w:spacing w:val="-1"/>
        </w:rPr>
        <w:t>二十二) 严重运动神经元病</w:t>
      </w:r>
    </w:p>
    <w:p>
      <w:pPr>
        <w:pStyle w:val="BodyText"/>
        <w:spacing w:line="417" w:lineRule="auto" w:before="148"/>
        <w:ind w:left="120" w:right="311" w:firstLine="427"/>
        <w:jc w:val="both"/>
      </w:pPr>
      <w:r>
        <w:rPr>
          <w:spacing w:val="-7"/>
        </w:rPr>
        <w:t>是一组中枢神经系统运动神经元的进行性变性疾病，包括进行性脊肌萎缩症、进行性延</w:t>
      </w:r>
      <w:r>
        <w:rPr>
          <w:spacing w:val="-4"/>
        </w:rPr>
        <w:t>髓麻痹症、原发性侧索硬化症、肌萎缩性侧索硬化症，经相关专科医生确诊，且须满足下列</w:t>
      </w:r>
      <w:r>
        <w:rPr>
          <w:spacing w:val="-2"/>
        </w:rPr>
        <w:t>至少一项条件：</w:t>
      </w:r>
    </w:p>
    <w:p>
      <w:pPr>
        <w:spacing w:after="0" w:line="417" w:lineRule="auto"/>
        <w:jc w:val="both"/>
        <w:sectPr>
          <w:pgSz w:w="11910" w:h="16840"/>
          <w:pgMar w:header="0" w:footer="1005" w:top="1460" w:bottom="1200" w:left="1680" w:right="1480"/>
        </w:sectPr>
      </w:pPr>
    </w:p>
    <w:p>
      <w:pPr>
        <w:pStyle w:val="ListParagraph"/>
        <w:numPr>
          <w:ilvl w:val="0"/>
          <w:numId w:val="26"/>
        </w:numPr>
        <w:tabs>
          <w:tab w:pos="1177" w:val="left" w:leader="none"/>
        </w:tabs>
        <w:spacing w:line="240" w:lineRule="auto" w:before="61" w:after="0"/>
        <w:ind w:left="1176" w:right="0" w:hanging="632"/>
        <w:jc w:val="left"/>
        <w:rPr>
          <w:sz w:val="21"/>
        </w:rPr>
      </w:pPr>
      <w:r>
        <w:rPr>
          <w:spacing w:val="-3"/>
          <w:sz w:val="21"/>
        </w:rPr>
        <w:t>严重咀嚼吞咽功能障碍；</w:t>
      </w:r>
    </w:p>
    <w:p>
      <w:pPr>
        <w:pStyle w:val="BodyText"/>
        <w:spacing w:before="7"/>
        <w:rPr>
          <w:sz w:val="15"/>
        </w:rPr>
      </w:pPr>
    </w:p>
    <w:p>
      <w:pPr>
        <w:pStyle w:val="ListParagraph"/>
        <w:numPr>
          <w:ilvl w:val="0"/>
          <w:numId w:val="26"/>
        </w:numPr>
        <w:tabs>
          <w:tab w:pos="1177" w:val="left" w:leader="none"/>
        </w:tabs>
        <w:spacing w:line="240" w:lineRule="auto" w:before="0" w:after="0"/>
        <w:ind w:left="1176" w:right="0" w:hanging="632"/>
        <w:jc w:val="left"/>
        <w:rPr>
          <w:sz w:val="21"/>
        </w:rPr>
      </w:pP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5"/>
          <w:sz w:val="21"/>
        </w:rPr>
        <w:t>以上；</w:t>
      </w:r>
    </w:p>
    <w:p>
      <w:pPr>
        <w:pStyle w:val="BodyText"/>
        <w:spacing w:before="7"/>
        <w:rPr>
          <w:sz w:val="15"/>
        </w:rPr>
      </w:pPr>
    </w:p>
    <w:p>
      <w:pPr>
        <w:pStyle w:val="ListParagraph"/>
        <w:numPr>
          <w:ilvl w:val="0"/>
          <w:numId w:val="26"/>
        </w:numPr>
        <w:tabs>
          <w:tab w:pos="1177" w:val="left" w:leader="none"/>
        </w:tabs>
        <w:spacing w:line="240" w:lineRule="auto"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12"/>
        <w:rPr>
          <w:sz w:val="9"/>
        </w:rPr>
      </w:pPr>
    </w:p>
    <w:p>
      <w:pPr>
        <w:pStyle w:val="BodyText"/>
        <w:spacing w:before="71"/>
        <w:ind w:left="120"/>
      </w:pPr>
      <w:r>
        <w:rPr>
          <w:spacing w:val="-5"/>
        </w:rPr>
        <w:t>上。</w:t>
      </w:r>
    </w:p>
    <w:p>
      <w:pPr>
        <w:pStyle w:val="Heading2"/>
        <w:spacing w:before="132"/>
      </w:pPr>
      <w:r>
        <w:rPr/>
        <w:t>(</w:t>
      </w:r>
      <w:r>
        <w:rPr/>
        <w:t>二十三) 语言能力丧失</w:t>
      </w:r>
    </w:p>
    <w:p>
      <w:pPr>
        <w:pStyle w:val="BodyText"/>
        <w:spacing w:line="417" w:lineRule="auto" w:before="148"/>
        <w:ind w:left="120" w:right="311" w:firstLine="427"/>
      </w:pPr>
      <w:r>
        <w:rPr>
          <w:spacing w:val="-2"/>
        </w:rPr>
        <w:t>指因疾病或意外伤害导致语言能力完全丧失，经过积极治疗至少 </w:t>
      </w:r>
      <w:r>
        <w:rPr/>
        <w:t>12</w:t>
      </w:r>
      <w:r>
        <w:rPr>
          <w:spacing w:val="-17"/>
        </w:rPr>
        <w:t> 个月</w:t>
      </w:r>
      <w:r>
        <w:rPr/>
        <w:t>（声带完全切</w:t>
      </w:r>
      <w:r>
        <w:rPr>
          <w:spacing w:val="-2"/>
        </w:rPr>
        <w:t>除不受此时间限制</w:t>
      </w:r>
      <w:r>
        <w:rPr>
          <w:spacing w:val="-108"/>
        </w:rPr>
        <w:t>）</w:t>
      </w:r>
      <w:r>
        <w:rPr>
          <w:spacing w:val="-2"/>
        </w:rPr>
        <w:t>，仍无法通过现有医疗手段恢复。</w:t>
      </w:r>
    </w:p>
    <w:p>
      <w:pPr>
        <w:pStyle w:val="Heading2"/>
        <w:spacing w:line="320" w:lineRule="exact"/>
        <w:ind w:left="547"/>
      </w:pPr>
      <w:r>
        <w:rPr>
          <w:spacing w:val="-3"/>
        </w:rPr>
        <w:t>精神心理因素所致的语言能力丧失不在保障范围内。</w:t>
      </w:r>
    </w:p>
    <w:p>
      <w:pPr>
        <w:spacing w:line="290" w:lineRule="auto" w:before="81"/>
        <w:ind w:left="120" w:right="1870" w:firstLine="427"/>
        <w:jc w:val="left"/>
        <w:rPr>
          <w:rFonts w:ascii="微软雅黑" w:eastAsia="微软雅黑"/>
          <w:b/>
          <w:sz w:val="21"/>
        </w:rPr>
      </w:pPr>
      <w:r>
        <w:rPr>
          <w:rFonts w:ascii="微软雅黑" w:eastAsia="微软雅黑"/>
          <w:b/>
          <w:spacing w:val="-2"/>
          <w:sz w:val="21"/>
        </w:rPr>
        <w:t>被保险人在三周岁之前因疾病导致的语言能力丧失不在保障范围内。 </w:t>
      </w:r>
      <w:r>
        <w:rPr>
          <w:rFonts w:ascii="微软雅黑" w:eastAsia="微软雅黑"/>
          <w:b/>
          <w:w w:val="105"/>
          <w:sz w:val="21"/>
        </w:rPr>
        <w:t>(</w:t>
      </w:r>
      <w:r>
        <w:rPr>
          <w:rFonts w:ascii="微软雅黑" w:eastAsia="微软雅黑"/>
          <w:b/>
          <w:w w:val="105"/>
          <w:sz w:val="21"/>
        </w:rPr>
        <w:t>二</w:t>
      </w:r>
      <w:r>
        <w:rPr>
          <w:rFonts w:ascii="微软雅黑" w:eastAsia="微软雅黑"/>
          <w:b/>
          <w:w w:val="105"/>
          <w:sz w:val="21"/>
        </w:rPr>
        <w:t>十</w:t>
      </w:r>
      <w:r>
        <w:rPr>
          <w:rFonts w:ascii="微软雅黑" w:eastAsia="微软雅黑"/>
          <w:b/>
          <w:w w:val="105"/>
          <w:sz w:val="21"/>
        </w:rPr>
        <w:t>四) </w:t>
      </w:r>
      <w:r>
        <w:rPr>
          <w:rFonts w:ascii="微软雅黑" w:eastAsia="微软雅黑"/>
          <w:b/>
          <w:w w:val="105"/>
          <w:sz w:val="21"/>
        </w:rPr>
        <w:t>重</w:t>
      </w:r>
      <w:r>
        <w:rPr>
          <w:rFonts w:ascii="微软雅黑" w:eastAsia="微软雅黑"/>
          <w:b/>
          <w:w w:val="105"/>
          <w:sz w:val="21"/>
        </w:rPr>
        <w:t>型</w:t>
      </w:r>
      <w:r>
        <w:rPr>
          <w:rFonts w:ascii="微软雅黑" w:eastAsia="微软雅黑"/>
          <w:b/>
          <w:w w:val="105"/>
          <w:sz w:val="21"/>
        </w:rPr>
        <w:t>再</w:t>
      </w:r>
      <w:r>
        <w:rPr>
          <w:rFonts w:ascii="微软雅黑" w:eastAsia="微软雅黑"/>
          <w:b/>
          <w:w w:val="105"/>
          <w:sz w:val="21"/>
        </w:rPr>
        <w:t>生</w:t>
      </w:r>
      <w:r>
        <w:rPr>
          <w:rFonts w:ascii="微软雅黑" w:eastAsia="微软雅黑"/>
          <w:b/>
          <w:w w:val="105"/>
          <w:sz w:val="21"/>
        </w:rPr>
        <w:t>障</w:t>
      </w:r>
      <w:r>
        <w:rPr>
          <w:rFonts w:ascii="微软雅黑" w:eastAsia="微软雅黑"/>
          <w:b/>
          <w:w w:val="105"/>
          <w:sz w:val="21"/>
        </w:rPr>
        <w:t>碍</w:t>
      </w:r>
      <w:r>
        <w:rPr>
          <w:rFonts w:ascii="微软雅黑" w:eastAsia="微软雅黑"/>
          <w:b/>
          <w:w w:val="105"/>
          <w:sz w:val="21"/>
        </w:rPr>
        <w:t>性</w:t>
      </w:r>
      <w:r>
        <w:rPr>
          <w:rFonts w:ascii="微软雅黑" w:eastAsia="微软雅黑"/>
          <w:b/>
          <w:w w:val="105"/>
          <w:sz w:val="21"/>
        </w:rPr>
        <w:t>贫</w:t>
      </w:r>
      <w:r>
        <w:rPr>
          <w:rFonts w:ascii="微软雅黑" w:eastAsia="微软雅黑"/>
          <w:b/>
          <w:w w:val="105"/>
          <w:sz w:val="21"/>
        </w:rPr>
        <w:t>血</w:t>
      </w:r>
    </w:p>
    <w:p>
      <w:pPr>
        <w:pStyle w:val="BodyText"/>
        <w:spacing w:line="417" w:lineRule="auto" w:before="67"/>
        <w:ind w:left="120" w:right="311" w:firstLine="427"/>
      </w:pPr>
      <w:r>
        <w:rPr>
          <w:spacing w:val="-7"/>
        </w:rPr>
        <w:t>指因骨髓造血功能慢性持续性衰竭导致的贫血、中性粒细胞减少及血小板减少，且须满</w:t>
      </w:r>
      <w:r>
        <w:rPr>
          <w:spacing w:val="-2"/>
        </w:rPr>
        <w:t>足下列全部条件：</w:t>
      </w:r>
    </w:p>
    <w:p>
      <w:pPr>
        <w:pStyle w:val="ListParagraph"/>
        <w:numPr>
          <w:ilvl w:val="0"/>
          <w:numId w:val="27"/>
        </w:numPr>
        <w:tabs>
          <w:tab w:pos="1177" w:val="left" w:leader="none"/>
        </w:tabs>
        <w:spacing w:line="417" w:lineRule="auto" w:before="0" w:after="0"/>
        <w:ind w:left="120" w:right="371" w:firstLine="424"/>
        <w:jc w:val="left"/>
        <w:rPr>
          <w:sz w:val="21"/>
        </w:rPr>
      </w:pPr>
      <w:r>
        <w:rPr>
          <w:spacing w:val="-4"/>
          <w:sz w:val="21"/>
        </w:rPr>
        <w:t>骨髓穿刺检查或骨髓活检结果支持诊断：骨髓细胞增生程度&lt;正常的 </w:t>
      </w:r>
      <w:r>
        <w:rPr>
          <w:spacing w:val="-2"/>
          <w:sz w:val="21"/>
        </w:rPr>
        <w:t>25%；如≥</w:t>
      </w:r>
      <w:r>
        <w:rPr>
          <w:spacing w:val="-11"/>
          <w:sz w:val="21"/>
        </w:rPr>
        <w:t>正常的 </w:t>
      </w:r>
      <w:r>
        <w:rPr>
          <w:sz w:val="21"/>
        </w:rPr>
        <w:t>25%但&lt;50%，则残存的造血细胞应&lt;30%；</w:t>
      </w:r>
    </w:p>
    <w:p>
      <w:pPr>
        <w:pStyle w:val="ListParagraph"/>
        <w:numPr>
          <w:ilvl w:val="0"/>
          <w:numId w:val="27"/>
        </w:numPr>
        <w:tabs>
          <w:tab w:pos="1177" w:val="left" w:leader="none"/>
        </w:tabs>
        <w:spacing w:line="269" w:lineRule="exact" w:before="0" w:after="0"/>
        <w:ind w:left="1176" w:right="0" w:hanging="632"/>
        <w:jc w:val="left"/>
        <w:rPr>
          <w:sz w:val="21"/>
        </w:rPr>
      </w:pPr>
      <w:r>
        <w:rPr>
          <w:spacing w:val="-3"/>
          <w:sz w:val="21"/>
        </w:rPr>
        <w:t>外周血象须具备以下三项条件中的两项：</w:t>
      </w:r>
    </w:p>
    <w:p>
      <w:pPr>
        <w:pStyle w:val="BodyText"/>
        <w:spacing w:before="9"/>
        <w:rPr>
          <w:sz w:val="14"/>
        </w:rPr>
      </w:pPr>
    </w:p>
    <w:p>
      <w:pPr>
        <w:pStyle w:val="BodyText"/>
        <w:ind w:left="828"/>
      </w:pPr>
      <w:r>
        <w:rPr/>
        <w:t>① 中性粒细胞绝对值&lt;</w:t>
      </w:r>
      <w:r>
        <w:rPr>
          <w:spacing w:val="-2"/>
        </w:rPr>
        <w:t>0.5×10</w:t>
      </w:r>
      <w:r>
        <w:rPr>
          <w:spacing w:val="-2"/>
          <w:position w:val="11"/>
          <w:sz w:val="11"/>
        </w:rPr>
        <w:t>9</w:t>
      </w:r>
      <w:r>
        <w:rPr>
          <w:spacing w:val="-2"/>
        </w:rPr>
        <w:t>/L；</w:t>
      </w:r>
    </w:p>
    <w:p>
      <w:pPr>
        <w:pStyle w:val="BodyText"/>
        <w:spacing w:before="189"/>
        <w:ind w:left="828"/>
      </w:pPr>
      <w:r>
        <w:rPr>
          <w:spacing w:val="2"/>
        </w:rPr>
        <w:t>② 网织红细胞计数</w:t>
      </w:r>
      <w:r>
        <w:rPr>
          <w:spacing w:val="-2"/>
        </w:rPr>
        <w:t>&lt;20×10</w:t>
      </w:r>
      <w:r>
        <w:rPr>
          <w:spacing w:val="-2"/>
          <w:position w:val="11"/>
          <w:sz w:val="11"/>
        </w:rPr>
        <w:t>9</w:t>
      </w:r>
      <w:r>
        <w:rPr>
          <w:spacing w:val="-2"/>
        </w:rPr>
        <w:t>/L；</w:t>
      </w:r>
    </w:p>
    <w:p>
      <w:pPr>
        <w:spacing w:line="357" w:lineRule="auto" w:before="190"/>
        <w:ind w:left="120" w:right="5083" w:firstLine="707"/>
        <w:jc w:val="left"/>
        <w:rPr>
          <w:rFonts w:ascii="微软雅黑" w:hAnsi="微软雅黑" w:eastAsia="微软雅黑"/>
          <w:b/>
          <w:sz w:val="21"/>
        </w:rPr>
      </w:pPr>
      <w:r>
        <w:rPr>
          <w:sz w:val="21"/>
        </w:rPr>
        <w:t>③ 血小板绝对值&lt;20×10</w:t>
      </w:r>
      <w:r>
        <w:rPr>
          <w:position w:val="11"/>
          <w:sz w:val="11"/>
        </w:rPr>
        <w:t>9</w:t>
      </w:r>
      <w:r>
        <w:rPr>
          <w:sz w:val="21"/>
        </w:rPr>
        <w:t>/L</w:t>
      </w:r>
      <w:r>
        <w:rPr>
          <w:sz w:val="21"/>
        </w:rPr>
        <w:t>。 </w:t>
      </w:r>
      <w:r>
        <w:rPr>
          <w:rFonts w:ascii="微软雅黑" w:hAnsi="微软雅黑" w:eastAsia="微软雅黑"/>
          <w:b/>
          <w:sz w:val="21"/>
        </w:rPr>
        <w:t>(</w:t>
      </w:r>
      <w:r>
        <w:rPr>
          <w:rFonts w:ascii="微软雅黑" w:hAnsi="微软雅黑" w:eastAsia="微软雅黑"/>
          <w:b/>
          <w:sz w:val="21"/>
        </w:rPr>
        <w:t>二十五) 主动脉手术</w:t>
      </w:r>
    </w:p>
    <w:p>
      <w:pPr>
        <w:pStyle w:val="BodyText"/>
        <w:spacing w:line="227" w:lineRule="exact"/>
        <w:ind w:left="547"/>
      </w:pPr>
      <w:r>
        <w:rPr>
          <w:spacing w:val="-6"/>
        </w:rPr>
        <w:t>指为治疗主动脉疾病或主动脉创伤，已经实施了开胸（含胸腔镜下）或开腹（</w:t>
      </w:r>
      <w:r>
        <w:rPr>
          <w:spacing w:val="-7"/>
        </w:rPr>
        <w:t>含腹腔镜</w:t>
      </w:r>
    </w:p>
    <w:p>
      <w:pPr>
        <w:pStyle w:val="BodyText"/>
        <w:spacing w:before="6"/>
        <w:rPr>
          <w:sz w:val="15"/>
        </w:rPr>
      </w:pPr>
    </w:p>
    <w:p>
      <w:pPr>
        <w:pStyle w:val="BodyText"/>
        <w:spacing w:line="417" w:lineRule="auto"/>
        <w:ind w:left="120" w:right="311"/>
        <w:jc w:val="both"/>
      </w:pPr>
      <w:r>
        <w:rPr>
          <w:spacing w:val="-4"/>
        </w:rPr>
        <w:t>下）进行的切除、置换、修补病损主动脉血管、主动脉创伤后修复的手术。主动脉指升主动</w:t>
      </w:r>
      <w:r>
        <w:rPr>
          <w:spacing w:val="-2"/>
        </w:rPr>
        <w:t>脉、主动脉弓和降主动脉（含胸主动脉和腹主动脉</w:t>
      </w:r>
      <w:r>
        <w:rPr>
          <w:spacing w:val="-108"/>
        </w:rPr>
        <w:t>）</w:t>
      </w:r>
      <w:r>
        <w:rPr>
          <w:spacing w:val="-2"/>
        </w:rPr>
        <w:t>，不包括升主动脉、主动脉弓和降主动</w:t>
      </w:r>
      <w:r>
        <w:rPr>
          <w:spacing w:val="-2"/>
        </w:rPr>
        <w:t>脉的分支血管。</w:t>
      </w:r>
    </w:p>
    <w:p>
      <w:pPr>
        <w:pStyle w:val="Heading2"/>
        <w:spacing w:line="319" w:lineRule="exact"/>
        <w:ind w:left="547"/>
      </w:pPr>
      <w:r>
        <w:rPr>
          <w:spacing w:val="-3"/>
        </w:rPr>
        <w:t>所有未实施开胸或开腹的动脉内介入治疗不在保障范围内。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二十六) 严重慢性呼吸衰竭</w:t>
      </w:r>
    </w:p>
    <w:p>
      <w:pPr>
        <w:pStyle w:val="BodyText"/>
        <w:spacing w:line="417" w:lineRule="auto" w:before="149"/>
        <w:ind w:left="120" w:right="311" w:firstLine="427"/>
      </w:pPr>
      <w:r>
        <w:rPr>
          <w:spacing w:val="-7"/>
        </w:rPr>
        <w:t>指因慢性呼吸系统疾病导致永久不可逆性的呼吸衰竭，经过积极治疗 </w:t>
      </w:r>
      <w:r>
        <w:rPr/>
        <w:t>180</w:t>
      </w:r>
      <w:r>
        <w:rPr>
          <w:spacing w:val="-9"/>
        </w:rPr>
        <w:t> 天后满足以下</w:t>
      </w:r>
      <w:r>
        <w:rPr>
          <w:spacing w:val="-2"/>
        </w:rPr>
        <w:t>所有条件：</w:t>
      </w:r>
    </w:p>
    <w:p>
      <w:pPr>
        <w:pStyle w:val="ListParagraph"/>
        <w:numPr>
          <w:ilvl w:val="0"/>
          <w:numId w:val="28"/>
        </w:numPr>
        <w:tabs>
          <w:tab w:pos="1177" w:val="left" w:leader="none"/>
        </w:tabs>
        <w:spacing w:line="269" w:lineRule="exact" w:before="0" w:after="0"/>
        <w:ind w:left="1176" w:right="0" w:hanging="632"/>
        <w:jc w:val="left"/>
        <w:rPr>
          <w:sz w:val="21"/>
        </w:rPr>
      </w:pPr>
      <w:r>
        <w:rPr>
          <w:spacing w:val="-3"/>
          <w:sz w:val="21"/>
        </w:rPr>
        <w:t>静息时出现呼吸困难；</w:t>
      </w:r>
    </w:p>
    <w:p>
      <w:pPr>
        <w:pStyle w:val="BodyText"/>
        <w:spacing w:before="6"/>
        <w:rPr>
          <w:sz w:val="15"/>
        </w:rPr>
      </w:pPr>
    </w:p>
    <w:p>
      <w:pPr>
        <w:pStyle w:val="ListParagraph"/>
        <w:numPr>
          <w:ilvl w:val="0"/>
          <w:numId w:val="28"/>
        </w:numPr>
        <w:tabs>
          <w:tab w:pos="1177" w:val="left" w:leader="none"/>
        </w:tabs>
        <w:spacing w:line="240" w:lineRule="auto" w:before="0" w:after="0"/>
        <w:ind w:left="1176" w:right="0" w:hanging="632"/>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BodyText"/>
        <w:spacing w:before="7"/>
        <w:rPr>
          <w:sz w:val="15"/>
        </w:rPr>
      </w:pPr>
    </w:p>
    <w:p>
      <w:pPr>
        <w:pStyle w:val="ListParagraph"/>
        <w:numPr>
          <w:ilvl w:val="0"/>
          <w:numId w:val="28"/>
        </w:numPr>
        <w:tabs>
          <w:tab w:pos="1177" w:val="left" w:leader="none"/>
        </w:tabs>
        <w:spacing w:line="240" w:lineRule="auto" w:before="0" w:after="0"/>
        <w:ind w:left="1176" w:right="0" w:hanging="632"/>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pgSz w:w="11910" w:h="16840"/>
          <w:pgMar w:header="0" w:footer="1005" w:top="1460" w:bottom="1200" w:left="1680" w:right="1480"/>
        </w:sectPr>
      </w:pPr>
    </w:p>
    <w:p>
      <w:pPr>
        <w:pStyle w:val="Heading2"/>
        <w:spacing w:line="381" w:lineRule="exact"/>
      </w:pPr>
      <w:r>
        <w:rPr/>
        <w:t>(</w:t>
      </w:r>
      <w:r>
        <w:rPr/>
        <w:t>二十七) 严重克罗恩病</w:t>
      </w:r>
    </w:p>
    <w:p>
      <w:pPr>
        <w:pStyle w:val="BodyText"/>
        <w:spacing w:line="417" w:lineRule="auto" w:before="148"/>
        <w:ind w:left="120" w:right="311" w:firstLine="427"/>
        <w:jc w:val="both"/>
      </w:pPr>
      <w:r>
        <w:rPr>
          <w:spacing w:val="-2"/>
        </w:rPr>
        <w:t>指一种慢性肉芽肿性肠炎，具有特征性的克罗恩病（Crohn</w:t>
      </w:r>
      <w:r>
        <w:rPr>
          <w:spacing w:val="-14"/>
        </w:rPr>
        <w:t> 病</w:t>
      </w:r>
      <w:r>
        <w:rPr>
          <w:spacing w:val="-2"/>
        </w:rPr>
        <w:t>）病理组织学变化，须根</w:t>
      </w:r>
      <w:r>
        <w:rPr>
          <w:spacing w:val="-2"/>
        </w:rPr>
        <w:t>据组织病理学特点诊断，且已经造成瘘管形成并伴有肠梗阻或肠穿孔。</w:t>
      </w:r>
    </w:p>
    <w:p>
      <w:pPr>
        <w:pStyle w:val="Heading2"/>
        <w:spacing w:line="320" w:lineRule="exact"/>
      </w:pPr>
      <w:r>
        <w:rPr/>
        <w:t>(</w:t>
      </w:r>
      <w:r>
        <w:rPr>
          <w:spacing w:val="-1"/>
        </w:rPr>
        <w:t>二十八) 严重溃疡性结肠炎</w:t>
      </w:r>
    </w:p>
    <w:p>
      <w:pPr>
        <w:pStyle w:val="BodyText"/>
        <w:spacing w:line="417" w:lineRule="auto" w:before="148"/>
        <w:ind w:left="120" w:right="311" w:firstLine="427"/>
        <w:jc w:val="both"/>
      </w:pPr>
      <w:r>
        <w:rPr>
          <w:spacing w:val="-7"/>
        </w:rPr>
        <w:t>指伴有致命性电解质紊乱的急性暴发性溃疡性结肠炎，病变已经累及全结肠，表现为严</w:t>
      </w:r>
      <w:r>
        <w:rPr>
          <w:spacing w:val="-4"/>
        </w:rPr>
        <w:t>重的血便和系统性症状体征，须根据组织病理学特点诊断，且已经实施了结肠切除或回肠造</w:t>
      </w:r>
      <w:r>
        <w:rPr>
          <w:spacing w:val="-4"/>
        </w:rPr>
        <w:t>瘘术。</w:t>
      </w:r>
    </w:p>
    <w:p>
      <w:pPr>
        <w:pStyle w:val="Heading2"/>
        <w:spacing w:line="319" w:lineRule="exact"/>
      </w:pPr>
      <w:r>
        <w:rPr/>
        <w:t>(</w:t>
      </w:r>
      <w:r>
        <w:rPr>
          <w:spacing w:val="1"/>
        </w:rPr>
        <w:t>二十九) 植物人状态</w:t>
      </w:r>
    </w:p>
    <w:p>
      <w:pPr>
        <w:pStyle w:val="BodyText"/>
        <w:spacing w:line="417" w:lineRule="auto" w:before="148"/>
        <w:ind w:left="120" w:right="311" w:firstLine="427"/>
        <w:jc w:val="both"/>
      </w:pPr>
      <w:r>
        <w:rPr>
          <w:spacing w:val="-2"/>
        </w:rPr>
        <w:t>指脑皮质广泛性坏死而导致对自身及周边的认知能力完全丧失,但脑干功能依然存在，</w:t>
      </w:r>
      <w:r>
        <w:rPr>
          <w:spacing w:val="-4"/>
        </w:rPr>
        <w:t>必须经神经科专科医生明确诊断,并有头颅断层扫描</w:t>
      </w:r>
      <w:r>
        <w:rPr>
          <w:spacing w:val="17"/>
        </w:rPr>
        <w:t>（CT</w:t>
      </w:r>
      <w:r>
        <w:rPr>
          <w:spacing w:val="-89"/>
        </w:rPr>
        <w:t>）</w:t>
      </w:r>
      <w:r>
        <w:rPr>
          <w:spacing w:val="-4"/>
        </w:rPr>
        <w:t>，核磁共振检查（MRI）或正电子</w:t>
      </w:r>
      <w:r>
        <w:rPr>
          <w:spacing w:val="-15"/>
        </w:rPr>
        <w:t>发射断层扫描</w:t>
      </w:r>
      <w:r>
        <w:rPr>
          <w:spacing w:val="-4"/>
        </w:rPr>
        <w:t>（PET）</w:t>
      </w:r>
      <w:r>
        <w:rPr>
          <w:spacing w:val="-12"/>
        </w:rPr>
        <w:t>等影像学检查证实。上述情况必须有至少一个月的病历记录加以证实。</w:t>
      </w:r>
    </w:p>
    <w:p>
      <w:pPr>
        <w:pStyle w:val="Heading2"/>
        <w:spacing w:line="320" w:lineRule="exact"/>
        <w:ind w:left="547"/>
      </w:pPr>
      <w:r>
        <w:rPr>
          <w:spacing w:val="-3"/>
        </w:rPr>
        <w:t>由于酗酒或滥用药物所致的植物人状态不在保障范围内。</w:t>
      </w:r>
    </w:p>
    <w:p>
      <w:pPr>
        <w:spacing w:before="81"/>
        <w:ind w:left="120" w:right="0" w:firstLine="0"/>
        <w:jc w:val="left"/>
        <w:rPr>
          <w:rFonts w:ascii="微软雅黑" w:eastAsia="微软雅黑"/>
          <w:b/>
          <w:sz w:val="21"/>
        </w:rPr>
      </w:pPr>
      <w:r>
        <w:rPr>
          <w:rFonts w:ascii="微软雅黑" w:eastAsia="微软雅黑"/>
          <w:b/>
          <w:spacing w:val="-1"/>
          <w:sz w:val="21"/>
        </w:rPr>
        <w:t>(三十) 进行性核上性麻痹</w:t>
      </w:r>
    </w:p>
    <w:p>
      <w:pPr>
        <w:pStyle w:val="BodyText"/>
        <w:spacing w:line="417" w:lineRule="auto" w:before="148"/>
        <w:ind w:left="120" w:right="311" w:firstLine="427"/>
      </w:pPr>
      <w:r>
        <w:rPr>
          <w:spacing w:val="-11"/>
        </w:rPr>
        <w:t>一种隐袭起病、逐渐加重的神经系统变性疾病。本疾病必须由认可医院的神经科专科医</w:t>
      </w:r>
      <w:r>
        <w:rPr>
          <w:spacing w:val="-2"/>
        </w:rPr>
        <w:t>生确诊，并满足以下全部临床特征：</w:t>
      </w:r>
    </w:p>
    <w:p>
      <w:pPr>
        <w:pStyle w:val="ListParagraph"/>
        <w:numPr>
          <w:ilvl w:val="0"/>
          <w:numId w:val="29"/>
        </w:numPr>
        <w:tabs>
          <w:tab w:pos="1177" w:val="left" w:leader="none"/>
        </w:tabs>
        <w:spacing w:line="269" w:lineRule="exact" w:before="0" w:after="0"/>
        <w:ind w:left="1176" w:right="0" w:hanging="632"/>
        <w:jc w:val="left"/>
        <w:rPr>
          <w:sz w:val="21"/>
        </w:rPr>
      </w:pPr>
      <w:r>
        <w:rPr>
          <w:spacing w:val="-4"/>
          <w:sz w:val="21"/>
        </w:rPr>
        <w:t>步态共济失调；</w:t>
      </w:r>
    </w:p>
    <w:p>
      <w:pPr>
        <w:pStyle w:val="BodyText"/>
        <w:spacing w:before="7"/>
        <w:rPr>
          <w:sz w:val="15"/>
        </w:rPr>
      </w:pPr>
    </w:p>
    <w:p>
      <w:pPr>
        <w:pStyle w:val="ListParagraph"/>
        <w:numPr>
          <w:ilvl w:val="0"/>
          <w:numId w:val="29"/>
        </w:numPr>
        <w:tabs>
          <w:tab w:pos="1177" w:val="left" w:leader="none"/>
        </w:tabs>
        <w:spacing w:line="240" w:lineRule="auto" w:before="0" w:after="0"/>
        <w:ind w:left="1176" w:right="0" w:hanging="632"/>
        <w:jc w:val="left"/>
        <w:rPr>
          <w:sz w:val="21"/>
        </w:rPr>
      </w:pPr>
      <w:r>
        <w:rPr>
          <w:spacing w:val="-3"/>
          <w:sz w:val="21"/>
        </w:rPr>
        <w:t>对称性眼球垂直运动障碍；</w:t>
      </w:r>
    </w:p>
    <w:p>
      <w:pPr>
        <w:pStyle w:val="BodyText"/>
        <w:spacing w:before="7"/>
        <w:rPr>
          <w:sz w:val="15"/>
        </w:rPr>
      </w:pPr>
    </w:p>
    <w:p>
      <w:pPr>
        <w:pStyle w:val="ListParagraph"/>
        <w:numPr>
          <w:ilvl w:val="0"/>
          <w:numId w:val="29"/>
        </w:numPr>
        <w:tabs>
          <w:tab w:pos="1177" w:val="left" w:leader="none"/>
        </w:tabs>
        <w:spacing w:line="357" w:lineRule="auto" w:before="0" w:after="0"/>
        <w:ind w:left="120" w:right="3993" w:firstLine="424"/>
        <w:jc w:val="left"/>
        <w:rPr>
          <w:rFonts w:ascii="微软雅黑" w:eastAsia="微软雅黑"/>
          <w:b/>
          <w:sz w:val="21"/>
        </w:rPr>
      </w:pPr>
      <w:r>
        <w:rPr>
          <w:spacing w:val="-2"/>
          <w:sz w:val="21"/>
        </w:rPr>
        <w:t>假性球麻痹（构音障碍和吞咽困难）</w:t>
      </w:r>
      <w:r>
        <w:rPr>
          <w:spacing w:val="-2"/>
          <w:sz w:val="21"/>
        </w:rPr>
        <w:t>。</w:t>
      </w:r>
      <w:r>
        <w:rPr>
          <w:spacing w:val="-2"/>
          <w:sz w:val="21"/>
        </w:rPr>
        <w:t> </w:t>
      </w:r>
      <w:r>
        <w:rPr>
          <w:rFonts w:ascii="微软雅黑" w:eastAsia="微软雅黑"/>
          <w:b/>
          <w:w w:val="105"/>
          <w:sz w:val="21"/>
        </w:rPr>
        <w:t>(</w:t>
      </w:r>
      <w:r>
        <w:rPr>
          <w:rFonts w:ascii="微软雅黑" w:eastAsia="微软雅黑"/>
          <w:b/>
          <w:w w:val="105"/>
          <w:sz w:val="21"/>
        </w:rPr>
        <w:t>三</w:t>
      </w:r>
      <w:r>
        <w:rPr>
          <w:rFonts w:ascii="微软雅黑" w:eastAsia="微软雅黑"/>
          <w:b/>
          <w:w w:val="105"/>
          <w:sz w:val="21"/>
        </w:rPr>
        <w:t>十</w:t>
      </w:r>
      <w:r>
        <w:rPr>
          <w:rFonts w:ascii="微软雅黑" w:eastAsia="微软雅黑"/>
          <w:b/>
          <w:w w:val="105"/>
          <w:sz w:val="21"/>
        </w:rPr>
        <w:t>一) </w:t>
      </w:r>
      <w:r>
        <w:rPr>
          <w:rFonts w:ascii="微软雅黑" w:eastAsia="微软雅黑"/>
          <w:b/>
          <w:w w:val="105"/>
          <w:sz w:val="21"/>
        </w:rPr>
        <w:t>原</w:t>
      </w:r>
      <w:r>
        <w:rPr>
          <w:rFonts w:ascii="微软雅黑" w:eastAsia="微软雅黑"/>
          <w:b/>
          <w:w w:val="105"/>
          <w:sz w:val="21"/>
        </w:rPr>
        <w:t>发</w:t>
      </w:r>
      <w:r>
        <w:rPr>
          <w:rFonts w:ascii="微软雅黑" w:eastAsia="微软雅黑"/>
          <w:b/>
          <w:w w:val="105"/>
          <w:sz w:val="21"/>
        </w:rPr>
        <w:t>性</w:t>
      </w:r>
      <w:r>
        <w:rPr>
          <w:rFonts w:ascii="微软雅黑" w:eastAsia="微软雅黑"/>
          <w:b/>
          <w:w w:val="105"/>
          <w:sz w:val="21"/>
        </w:rPr>
        <w:t>硬</w:t>
      </w:r>
      <w:r>
        <w:rPr>
          <w:rFonts w:ascii="微软雅黑" w:eastAsia="微软雅黑"/>
          <w:b/>
          <w:w w:val="105"/>
          <w:sz w:val="21"/>
        </w:rPr>
        <w:t>化</w:t>
      </w:r>
      <w:r>
        <w:rPr>
          <w:rFonts w:ascii="微软雅黑" w:eastAsia="微软雅黑"/>
          <w:b/>
          <w:w w:val="105"/>
          <w:sz w:val="21"/>
        </w:rPr>
        <w:t>性</w:t>
      </w:r>
      <w:r>
        <w:rPr>
          <w:rFonts w:ascii="微软雅黑" w:eastAsia="微软雅黑"/>
          <w:b/>
          <w:w w:val="105"/>
          <w:sz w:val="21"/>
        </w:rPr>
        <w:t>胆</w:t>
      </w:r>
      <w:r>
        <w:rPr>
          <w:rFonts w:ascii="微软雅黑" w:eastAsia="微软雅黑"/>
          <w:b/>
          <w:w w:val="105"/>
          <w:sz w:val="21"/>
        </w:rPr>
        <w:t>管</w:t>
      </w:r>
      <w:r>
        <w:rPr>
          <w:rFonts w:ascii="微软雅黑" w:eastAsia="微软雅黑"/>
          <w:b/>
          <w:w w:val="105"/>
          <w:sz w:val="21"/>
        </w:rPr>
        <w:t>炎</w:t>
      </w:r>
    </w:p>
    <w:p>
      <w:pPr>
        <w:pStyle w:val="BodyText"/>
        <w:spacing w:line="227" w:lineRule="exact"/>
        <w:ind w:left="547"/>
      </w:pPr>
      <w:r>
        <w:rPr>
          <w:spacing w:val="-7"/>
        </w:rPr>
        <w:t>指一种胆汁淤积综合征，其特征是肝内、肝外胆道因纤维化性炎症逐渐狭窄，并最终导</w:t>
      </w:r>
    </w:p>
    <w:p>
      <w:pPr>
        <w:pStyle w:val="BodyText"/>
        <w:spacing w:before="7"/>
        <w:rPr>
          <w:sz w:val="15"/>
        </w:rPr>
      </w:pPr>
    </w:p>
    <w:p>
      <w:pPr>
        <w:pStyle w:val="BodyText"/>
        <w:spacing w:line="417" w:lineRule="auto"/>
        <w:ind w:left="120" w:right="311"/>
      </w:pPr>
      <w:r>
        <w:rPr>
          <w:spacing w:val="-4"/>
        </w:rPr>
        <w:t>致完全阻塞而发展为肝硬化。本病须经内镜逆行胰胆管造影等影像学检查证实，并须满足下</w:t>
      </w:r>
      <w:r>
        <w:rPr>
          <w:spacing w:val="-2"/>
        </w:rPr>
        <w:t>列全部条件：</w:t>
      </w:r>
    </w:p>
    <w:p>
      <w:pPr>
        <w:pStyle w:val="ListParagraph"/>
        <w:numPr>
          <w:ilvl w:val="0"/>
          <w:numId w:val="30"/>
        </w:numPr>
        <w:tabs>
          <w:tab w:pos="1177" w:val="left" w:leader="none"/>
        </w:tabs>
        <w:spacing w:line="269" w:lineRule="exact" w:before="0" w:after="0"/>
        <w:ind w:left="1176" w:right="0" w:hanging="632"/>
        <w:jc w:val="left"/>
        <w:rPr>
          <w:sz w:val="21"/>
        </w:rPr>
      </w:pPr>
      <w:r>
        <w:rPr>
          <w:spacing w:val="-5"/>
          <w:sz w:val="21"/>
        </w:rPr>
        <w:t>总胆红素和直接胆红素同时升高，血清 </w:t>
      </w:r>
      <w:r>
        <w:rPr>
          <w:spacing w:val="-2"/>
          <w:sz w:val="21"/>
        </w:rPr>
        <w:t>ALP&gt;200U/L；</w:t>
      </w:r>
    </w:p>
    <w:p>
      <w:pPr>
        <w:pStyle w:val="BodyText"/>
        <w:spacing w:before="7"/>
        <w:rPr>
          <w:sz w:val="15"/>
        </w:rPr>
      </w:pPr>
    </w:p>
    <w:p>
      <w:pPr>
        <w:pStyle w:val="ListParagraph"/>
        <w:numPr>
          <w:ilvl w:val="0"/>
          <w:numId w:val="30"/>
        </w:numPr>
        <w:tabs>
          <w:tab w:pos="1177" w:val="left" w:leader="none"/>
        </w:tabs>
        <w:spacing w:line="240" w:lineRule="auto" w:before="0" w:after="0"/>
        <w:ind w:left="1176" w:right="0" w:hanging="632"/>
        <w:jc w:val="left"/>
        <w:rPr>
          <w:sz w:val="21"/>
        </w:rPr>
      </w:pPr>
      <w:r>
        <w:rPr>
          <w:spacing w:val="-4"/>
          <w:sz w:val="21"/>
        </w:rPr>
        <w:t>持续性黄疸病史；</w:t>
      </w:r>
    </w:p>
    <w:p>
      <w:pPr>
        <w:pStyle w:val="BodyText"/>
        <w:spacing w:before="6"/>
        <w:rPr>
          <w:sz w:val="15"/>
        </w:rPr>
      </w:pPr>
    </w:p>
    <w:p>
      <w:pPr>
        <w:pStyle w:val="ListParagraph"/>
        <w:numPr>
          <w:ilvl w:val="0"/>
          <w:numId w:val="30"/>
        </w:numPr>
        <w:tabs>
          <w:tab w:pos="1177" w:val="left" w:leader="none"/>
        </w:tabs>
        <w:spacing w:line="240" w:lineRule="auto" w:before="0" w:after="0"/>
        <w:ind w:left="1176" w:right="0" w:hanging="632"/>
        <w:jc w:val="left"/>
        <w:rPr>
          <w:sz w:val="21"/>
        </w:rPr>
      </w:pPr>
      <w:r>
        <w:rPr>
          <w:spacing w:val="-3"/>
          <w:sz w:val="21"/>
        </w:rPr>
        <w:t>出现胆汁性肝硬化或门脉高压。</w:t>
      </w:r>
    </w:p>
    <w:p>
      <w:pPr>
        <w:pStyle w:val="Heading2"/>
        <w:spacing w:line="290" w:lineRule="auto" w:before="133"/>
        <w:ind w:right="2503" w:firstLine="427"/>
      </w:pPr>
      <w:r>
        <w:rPr>
          <w:spacing w:val="-2"/>
        </w:rPr>
        <w:t>因肿瘤或胆管损伤等继发性的硬化性胆管炎不在保障范围内。 </w:t>
      </w:r>
      <w:r>
        <w:rPr>
          <w:w w:val="110"/>
        </w:rPr>
        <w:t>(</w:t>
      </w:r>
      <w:r>
        <w:rPr>
          <w:w w:val="110"/>
        </w:rPr>
        <w:t>三</w:t>
      </w:r>
      <w:r>
        <w:rPr>
          <w:w w:val="110"/>
        </w:rPr>
        <w:t>十</w:t>
      </w:r>
      <w:r>
        <w:rPr>
          <w:spacing w:val="-7"/>
          <w:w w:val="110"/>
        </w:rPr>
        <w:t>二) </w:t>
      </w:r>
      <w:r>
        <w:rPr>
          <w:w w:val="110"/>
        </w:rPr>
        <w:t>原</w:t>
      </w:r>
      <w:r>
        <w:rPr>
          <w:w w:val="110"/>
        </w:rPr>
        <w:t>发</w:t>
      </w:r>
      <w:r>
        <w:rPr>
          <w:w w:val="110"/>
        </w:rPr>
        <w:t>性</w:t>
      </w:r>
      <w:r>
        <w:rPr>
          <w:w w:val="110"/>
        </w:rPr>
        <w:t>骨</w:t>
      </w:r>
      <w:r>
        <w:rPr>
          <w:w w:val="110"/>
        </w:rPr>
        <w:t>髓</w:t>
      </w:r>
      <w:r>
        <w:rPr>
          <w:w w:val="110"/>
        </w:rPr>
        <w:t>纤</w:t>
      </w:r>
      <w:r>
        <w:rPr>
          <w:w w:val="110"/>
        </w:rPr>
        <w:t>维</w:t>
      </w:r>
      <w:r>
        <w:rPr>
          <w:w w:val="110"/>
        </w:rPr>
        <w:t>化</w:t>
      </w:r>
    </w:p>
    <w:p>
      <w:pPr>
        <w:pStyle w:val="BodyText"/>
        <w:spacing w:line="417" w:lineRule="auto" w:before="66"/>
        <w:ind w:left="120" w:right="311" w:firstLine="427"/>
        <w:jc w:val="both"/>
      </w:pPr>
      <w:r>
        <w:rPr>
          <w:spacing w:val="-7"/>
        </w:rPr>
        <w:t>原发性骨髓纤维化为原因不明的骨髓中成纤维细胞增殖，伴有髓外造血，表现为进行性</w:t>
      </w:r>
      <w:r>
        <w:rPr>
          <w:spacing w:val="-13"/>
        </w:rPr>
        <w:t>贫血、脾肿大等症状。本疾病须根据骨髓的活组织检查和周围血象检查由我们认可的医院血</w:t>
      </w:r>
      <w:r>
        <w:rPr>
          <w:spacing w:val="-10"/>
        </w:rPr>
        <w:t>液科专科医生明确诊断，并至少符合下列条件中的三项，且符合条件的状态持续 </w:t>
      </w:r>
      <w:r>
        <w:rPr>
          <w:spacing w:val="-2"/>
        </w:rPr>
        <w:t>180</w:t>
      </w:r>
      <w:r>
        <w:rPr>
          <w:spacing w:val="-13"/>
        </w:rPr>
        <w:t> 天及以</w:t>
      </w:r>
    </w:p>
    <w:p>
      <w:pPr>
        <w:spacing w:after="0" w:line="417" w:lineRule="auto"/>
        <w:jc w:val="both"/>
        <w:sectPr>
          <w:pgSz w:w="11910" w:h="16840"/>
          <w:pgMar w:header="0" w:footer="1005" w:top="1460" w:bottom="1200" w:left="1680" w:right="1480"/>
        </w:sectPr>
      </w:pPr>
    </w:p>
    <w:p>
      <w:pPr>
        <w:pStyle w:val="BodyText"/>
        <w:spacing w:before="61"/>
        <w:ind w:left="120"/>
      </w:pPr>
      <w:r>
        <w:rPr>
          <w:spacing w:val="-3"/>
        </w:rPr>
        <w:t>上，并已经实际实施了针对此症的治疗：</w:t>
      </w:r>
    </w:p>
    <w:p>
      <w:pPr>
        <w:pStyle w:val="BodyText"/>
        <w:spacing w:before="7"/>
        <w:rPr>
          <w:sz w:val="15"/>
        </w:rPr>
      </w:pPr>
    </w:p>
    <w:p>
      <w:pPr>
        <w:pStyle w:val="BodyText"/>
        <w:ind w:left="545"/>
      </w:pPr>
      <w:r>
        <w:rPr/>
        <w:t>（1）</w:t>
      </w:r>
      <w:r>
        <w:rPr>
          <w:spacing w:val="-2"/>
        </w:rPr>
        <w:t> 血红蛋白＜100g/L；</w:t>
      </w:r>
    </w:p>
    <w:p>
      <w:pPr>
        <w:pStyle w:val="BodyText"/>
        <w:spacing w:before="9"/>
        <w:rPr>
          <w:sz w:val="14"/>
        </w:rPr>
      </w:pPr>
    </w:p>
    <w:p>
      <w:pPr>
        <w:pStyle w:val="BodyText"/>
        <w:spacing w:before="1"/>
        <w:ind w:left="545"/>
      </w:pPr>
      <w:r>
        <w:rPr/>
        <w:t>（2）</w:t>
      </w:r>
      <w:r>
        <w:rPr>
          <w:spacing w:val="-3"/>
        </w:rPr>
        <w:t> 白细胞计数</w:t>
      </w:r>
      <w:r>
        <w:rPr>
          <w:spacing w:val="-2"/>
        </w:rPr>
        <w:t>＞25×10</w:t>
      </w:r>
      <w:r>
        <w:rPr>
          <w:spacing w:val="-2"/>
          <w:position w:val="11"/>
          <w:sz w:val="11"/>
        </w:rPr>
        <w:t>9</w:t>
      </w:r>
      <w:r>
        <w:rPr>
          <w:spacing w:val="-2"/>
        </w:rPr>
        <w:t>/L；</w:t>
      </w:r>
    </w:p>
    <w:p>
      <w:pPr>
        <w:pStyle w:val="BodyText"/>
        <w:spacing w:before="6"/>
        <w:rPr>
          <w:sz w:val="15"/>
        </w:rPr>
      </w:pPr>
    </w:p>
    <w:p>
      <w:pPr>
        <w:pStyle w:val="BodyText"/>
        <w:ind w:left="545"/>
      </w:pPr>
      <w:r>
        <w:rPr/>
        <w:t>（3）</w:t>
      </w:r>
      <w:r>
        <w:rPr>
          <w:spacing w:val="-4"/>
        </w:rPr>
        <w:t> 外周血原始细胞≥1%；</w:t>
      </w:r>
    </w:p>
    <w:p>
      <w:pPr>
        <w:pStyle w:val="BodyText"/>
        <w:spacing w:before="10"/>
        <w:rPr>
          <w:sz w:val="14"/>
        </w:rPr>
      </w:pPr>
    </w:p>
    <w:p>
      <w:pPr>
        <w:pStyle w:val="BodyText"/>
        <w:ind w:left="545"/>
      </w:pPr>
      <w:r>
        <w:rPr/>
        <w:t>（4）</w:t>
      </w:r>
      <w:r>
        <w:rPr>
          <w:spacing w:val="-5"/>
        </w:rPr>
        <w:t> 血小板计数</w:t>
      </w:r>
      <w:r>
        <w:rPr/>
        <w:t>＜100×10</w:t>
      </w:r>
      <w:r>
        <w:rPr>
          <w:position w:val="11"/>
          <w:sz w:val="11"/>
        </w:rPr>
        <w:t>9</w:t>
      </w:r>
      <w:r>
        <w:rPr/>
        <w:t>/L</w:t>
      </w:r>
      <w:r>
        <w:rPr>
          <w:spacing w:val="-10"/>
        </w:rPr>
        <w:t>。</w:t>
      </w:r>
    </w:p>
    <w:p>
      <w:pPr>
        <w:pStyle w:val="Heading2"/>
        <w:spacing w:line="290" w:lineRule="auto" w:before="132"/>
        <w:ind w:right="2292" w:firstLine="427"/>
      </w:pPr>
      <w:r>
        <w:rPr>
          <w:spacing w:val="-2"/>
        </w:rPr>
        <w:t>任何其他病因导致的继发性骨髓纤维化不在本合同</w:t>
      </w:r>
      <w:r>
        <w:rPr>
          <w:spacing w:val="-17"/>
        </w:rPr>
        <w:t>保障范围内。</w:t>
      </w:r>
      <w:r>
        <w:rPr>
          <w:spacing w:val="80"/>
          <w:w w:val="105"/>
        </w:rPr>
        <w:t> </w:t>
      </w:r>
      <w:r>
        <w:rPr>
          <w:w w:val="105"/>
        </w:rPr>
        <w:t>(</w:t>
      </w:r>
      <w:r>
        <w:rPr>
          <w:w w:val="105"/>
        </w:rPr>
        <w:t>三</w:t>
      </w:r>
      <w:r>
        <w:rPr>
          <w:w w:val="105"/>
        </w:rPr>
        <w:t>十</w:t>
      </w:r>
      <w:r>
        <w:rPr>
          <w:spacing w:val="-1"/>
          <w:w w:val="105"/>
        </w:rPr>
        <w:t>三) </w:t>
      </w:r>
      <w:r>
        <w:rPr>
          <w:w w:val="105"/>
        </w:rPr>
        <w:t>严</w:t>
      </w:r>
      <w:r>
        <w:rPr>
          <w:w w:val="105"/>
        </w:rPr>
        <w:t>重</w:t>
      </w:r>
      <w:r>
        <w:rPr>
          <w:w w:val="105"/>
        </w:rPr>
        <w:t>获</w:t>
      </w:r>
      <w:r>
        <w:rPr>
          <w:w w:val="105"/>
        </w:rPr>
        <w:t>得</w:t>
      </w:r>
      <w:r>
        <w:rPr>
          <w:w w:val="105"/>
        </w:rPr>
        <w:t>性</w:t>
      </w:r>
      <w:r>
        <w:rPr>
          <w:w w:val="105"/>
        </w:rPr>
        <w:t>或</w:t>
      </w:r>
      <w:r>
        <w:rPr>
          <w:w w:val="105"/>
        </w:rPr>
        <w:t>继</w:t>
      </w:r>
      <w:r>
        <w:rPr>
          <w:w w:val="105"/>
        </w:rPr>
        <w:t>发</w:t>
      </w:r>
      <w:r>
        <w:rPr>
          <w:w w:val="105"/>
        </w:rPr>
        <w:t>性肺泡</w:t>
      </w:r>
      <w:r>
        <w:rPr>
          <w:w w:val="105"/>
        </w:rPr>
        <w:t>蛋</w:t>
      </w:r>
      <w:r>
        <w:rPr>
          <w:w w:val="105"/>
        </w:rPr>
        <w:t>白</w:t>
      </w:r>
      <w:r>
        <w:rPr>
          <w:w w:val="105"/>
        </w:rPr>
        <w:t>质</w:t>
      </w:r>
      <w:r>
        <w:rPr>
          <w:w w:val="105"/>
        </w:rPr>
        <w:t>沉</w:t>
      </w:r>
      <w:r>
        <w:rPr>
          <w:w w:val="105"/>
        </w:rPr>
        <w:t>积</w:t>
      </w:r>
      <w:r>
        <w:rPr>
          <w:w w:val="105"/>
        </w:rPr>
        <w:t>症</w:t>
      </w:r>
    </w:p>
    <w:p>
      <w:pPr>
        <w:pStyle w:val="BodyText"/>
        <w:spacing w:line="417" w:lineRule="auto" w:before="66"/>
        <w:ind w:left="120" w:right="321" w:firstLine="427"/>
      </w:pPr>
      <w:r>
        <w:rPr>
          <w:spacing w:val="-2"/>
        </w:rPr>
        <w:t>因获得性或继发性原因或导致双肺肺泡和细支气管腔内充满不可溶性富磷脂蛋白的疾</w:t>
      </w:r>
      <w:r>
        <w:rPr>
          <w:spacing w:val="-2"/>
        </w:rPr>
        <w:t>病。理赔时须满足下列所有条件：</w:t>
      </w:r>
    </w:p>
    <w:p>
      <w:pPr>
        <w:pStyle w:val="ListParagraph"/>
        <w:numPr>
          <w:ilvl w:val="0"/>
          <w:numId w:val="31"/>
        </w:numPr>
        <w:tabs>
          <w:tab w:pos="1177" w:val="left" w:leader="none"/>
        </w:tabs>
        <w:spacing w:line="417" w:lineRule="auto" w:before="0" w:after="0"/>
        <w:ind w:left="120" w:right="320" w:firstLine="424"/>
        <w:jc w:val="left"/>
        <w:rPr>
          <w:sz w:val="21"/>
        </w:rPr>
      </w:pPr>
      <w:r>
        <w:rPr>
          <w:spacing w:val="-2"/>
          <w:sz w:val="21"/>
        </w:rPr>
        <w:t>支气管镜活检或开胸肺活检病理检查证实肺泡内充满有过碘酸雪夫（PAS）染色</w:t>
      </w:r>
      <w:r>
        <w:rPr>
          <w:spacing w:val="-2"/>
          <w:sz w:val="21"/>
        </w:rPr>
        <w:t>阳性的蛋白样物质；</w:t>
      </w:r>
    </w:p>
    <w:p>
      <w:pPr>
        <w:pStyle w:val="ListParagraph"/>
        <w:numPr>
          <w:ilvl w:val="0"/>
          <w:numId w:val="31"/>
        </w:numPr>
        <w:tabs>
          <w:tab w:pos="1177" w:val="left" w:leader="none"/>
        </w:tabs>
        <w:spacing w:line="357" w:lineRule="auto" w:before="0" w:after="0"/>
        <w:ind w:left="120" w:right="422" w:firstLine="424"/>
        <w:jc w:val="left"/>
        <w:rPr>
          <w:rFonts w:ascii="微软雅黑" w:eastAsia="微软雅黑"/>
          <w:b/>
          <w:sz w:val="21"/>
        </w:rPr>
      </w:pPr>
      <w:r>
        <w:rPr>
          <w:spacing w:val="-2"/>
          <w:sz w:val="21"/>
        </w:rPr>
        <w:t>被保人因中重度呼吸困难或低氧血症而实际已行全身麻醉下的全肺灌洗治疗。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spacing w:val="-7"/>
          <w:w w:val="110"/>
          <w:sz w:val="21"/>
        </w:rPr>
        <w:t>四) </w:t>
      </w:r>
      <w:r>
        <w:rPr>
          <w:rFonts w:ascii="微软雅黑" w:eastAsia="微软雅黑"/>
          <w:b/>
          <w:w w:val="110"/>
          <w:sz w:val="21"/>
        </w:rPr>
        <w:t>肺</w:t>
      </w:r>
      <w:r>
        <w:rPr>
          <w:rFonts w:ascii="微软雅黑" w:eastAsia="微软雅黑"/>
          <w:b/>
          <w:w w:val="110"/>
          <w:sz w:val="21"/>
        </w:rPr>
        <w:t>淋</w:t>
      </w:r>
      <w:r>
        <w:rPr>
          <w:rFonts w:ascii="微软雅黑" w:eastAsia="微软雅黑"/>
          <w:b/>
          <w:w w:val="110"/>
          <w:sz w:val="21"/>
        </w:rPr>
        <w:t>巴</w:t>
      </w:r>
      <w:r>
        <w:rPr>
          <w:rFonts w:ascii="微软雅黑" w:eastAsia="微软雅黑"/>
          <w:b/>
          <w:w w:val="110"/>
          <w:sz w:val="21"/>
        </w:rPr>
        <w:t>管</w:t>
      </w:r>
      <w:r>
        <w:rPr>
          <w:rFonts w:ascii="微软雅黑" w:eastAsia="微软雅黑"/>
          <w:b/>
          <w:w w:val="110"/>
          <w:sz w:val="21"/>
        </w:rPr>
        <w:t>肌</w:t>
      </w:r>
      <w:r>
        <w:rPr>
          <w:rFonts w:ascii="微软雅黑" w:eastAsia="微软雅黑"/>
          <w:b/>
          <w:w w:val="110"/>
          <w:sz w:val="21"/>
        </w:rPr>
        <w:t>瘤</w:t>
      </w:r>
      <w:r>
        <w:rPr>
          <w:rFonts w:ascii="微软雅黑" w:eastAsia="微软雅黑"/>
          <w:b/>
          <w:w w:val="110"/>
          <w:sz w:val="21"/>
        </w:rPr>
        <w:t>病</w:t>
      </w:r>
    </w:p>
    <w:p>
      <w:pPr>
        <w:pStyle w:val="BodyText"/>
        <w:spacing w:line="227" w:lineRule="exact"/>
        <w:ind w:left="547"/>
      </w:pPr>
      <w:r>
        <w:rPr>
          <w:spacing w:val="-7"/>
        </w:rPr>
        <w:t>是一种弥漫性肺部疾病，主要病理改变为肺间质、支气管、血管和淋巴管内出现未成熟</w:t>
      </w:r>
    </w:p>
    <w:p>
      <w:pPr>
        <w:pStyle w:val="BodyText"/>
        <w:spacing w:before="7"/>
        <w:rPr>
          <w:sz w:val="15"/>
        </w:rPr>
      </w:pPr>
    </w:p>
    <w:p>
      <w:pPr>
        <w:pStyle w:val="BodyText"/>
        <w:ind w:left="120"/>
      </w:pPr>
      <w:r>
        <w:rPr>
          <w:spacing w:val="-3"/>
        </w:rPr>
        <w:t>的平滑肌异常增生，同时需满足下列全部条件：</w:t>
      </w:r>
    </w:p>
    <w:p>
      <w:pPr>
        <w:pStyle w:val="BodyText"/>
        <w:spacing w:before="6"/>
        <w:rPr>
          <w:sz w:val="15"/>
        </w:rPr>
      </w:pPr>
    </w:p>
    <w:p>
      <w:pPr>
        <w:pStyle w:val="ListParagraph"/>
        <w:numPr>
          <w:ilvl w:val="0"/>
          <w:numId w:val="32"/>
        </w:numPr>
        <w:tabs>
          <w:tab w:pos="1177" w:val="left" w:leader="none"/>
        </w:tabs>
        <w:spacing w:line="240" w:lineRule="auto" w:before="1" w:after="0"/>
        <w:ind w:left="1176" w:right="0" w:hanging="632"/>
        <w:jc w:val="left"/>
        <w:rPr>
          <w:sz w:val="21"/>
        </w:rPr>
      </w:pPr>
      <w:r>
        <w:rPr>
          <w:spacing w:val="-3"/>
          <w:sz w:val="21"/>
        </w:rPr>
        <w:t>经组织病理学诊断；</w:t>
      </w:r>
    </w:p>
    <w:p>
      <w:pPr>
        <w:pStyle w:val="BodyText"/>
        <w:spacing w:before="6"/>
        <w:rPr>
          <w:sz w:val="15"/>
        </w:rPr>
      </w:pPr>
    </w:p>
    <w:p>
      <w:pPr>
        <w:pStyle w:val="ListParagraph"/>
        <w:numPr>
          <w:ilvl w:val="0"/>
          <w:numId w:val="32"/>
        </w:numPr>
        <w:tabs>
          <w:tab w:pos="1177" w:val="left" w:leader="none"/>
        </w:tabs>
        <w:spacing w:line="240" w:lineRule="auto" w:before="0" w:after="0"/>
        <w:ind w:left="1176" w:right="0" w:hanging="632"/>
        <w:jc w:val="left"/>
        <w:rPr>
          <w:sz w:val="21"/>
        </w:rPr>
      </w:pPr>
      <w:r>
        <w:rPr>
          <w:spacing w:val="-2"/>
          <w:sz w:val="21"/>
        </w:rPr>
        <w:t>CT</w:t>
      </w:r>
      <w:r>
        <w:rPr>
          <w:spacing w:val="-10"/>
          <w:sz w:val="21"/>
        </w:rPr>
        <w:t> 显示双肺弥漫性囊性改变；</w:t>
      </w:r>
    </w:p>
    <w:p>
      <w:pPr>
        <w:pStyle w:val="BodyText"/>
        <w:spacing w:before="7"/>
        <w:rPr>
          <w:sz w:val="15"/>
        </w:rPr>
      </w:pPr>
    </w:p>
    <w:p>
      <w:pPr>
        <w:pStyle w:val="ListParagraph"/>
        <w:numPr>
          <w:ilvl w:val="0"/>
          <w:numId w:val="32"/>
        </w:numPr>
        <w:tabs>
          <w:tab w:pos="1177" w:val="left" w:leader="none"/>
        </w:tabs>
        <w:spacing w:line="240" w:lineRule="auto" w:before="0" w:after="0"/>
        <w:ind w:left="1176" w:right="0" w:hanging="632"/>
        <w:jc w:val="left"/>
        <w:rPr>
          <w:sz w:val="21"/>
        </w:rPr>
      </w:pPr>
      <w:r>
        <w:rPr>
          <w:spacing w:val="-3"/>
          <w:sz w:val="21"/>
        </w:rPr>
        <w:t>休息时出现呼吸困难；</w:t>
      </w:r>
    </w:p>
    <w:p>
      <w:pPr>
        <w:pStyle w:val="BodyText"/>
        <w:spacing w:before="7"/>
        <w:rPr>
          <w:sz w:val="15"/>
        </w:rPr>
      </w:pPr>
    </w:p>
    <w:p>
      <w:pPr>
        <w:pStyle w:val="ListParagraph"/>
        <w:numPr>
          <w:ilvl w:val="0"/>
          <w:numId w:val="32"/>
        </w:numPr>
        <w:tabs>
          <w:tab w:pos="1177" w:val="left" w:leader="none"/>
        </w:tabs>
        <w:spacing w:line="357" w:lineRule="auto" w:before="0" w:after="0"/>
        <w:ind w:left="120" w:right="2311" w:firstLine="424"/>
        <w:jc w:val="left"/>
        <w:rPr>
          <w:rFonts w:ascii="微软雅黑" w:eastAsia="微软雅黑"/>
          <w:b/>
          <w:sz w:val="21"/>
        </w:rPr>
      </w:pPr>
      <w:r>
        <w:rPr>
          <w:spacing w:val="-2"/>
          <w:sz w:val="21"/>
        </w:rPr>
        <w:t>经我们认可医院的专科医生认可有必要进行肺移植手术。</w:t>
      </w:r>
      <w:r>
        <w:rPr>
          <w:spacing w:val="-2"/>
          <w:sz w:val="21"/>
        </w:rPr>
        <w:t> </w:t>
      </w:r>
      <w:r>
        <w:rPr>
          <w:rFonts w:ascii="微软雅黑" w:eastAsia="微软雅黑"/>
          <w:b/>
          <w:w w:val="105"/>
          <w:sz w:val="21"/>
        </w:rPr>
        <w:t>(</w:t>
      </w:r>
      <w:r>
        <w:rPr>
          <w:rFonts w:ascii="微软雅黑" w:eastAsia="微软雅黑"/>
          <w:b/>
          <w:w w:val="105"/>
          <w:sz w:val="21"/>
        </w:rPr>
        <w:t>三</w:t>
      </w:r>
      <w:r>
        <w:rPr>
          <w:rFonts w:ascii="微软雅黑" w:eastAsia="微软雅黑"/>
          <w:b/>
          <w:w w:val="105"/>
          <w:sz w:val="21"/>
        </w:rPr>
        <w:t>十</w:t>
      </w:r>
      <w:r>
        <w:rPr>
          <w:rFonts w:ascii="微软雅黑" w:eastAsia="微软雅黑"/>
          <w:b/>
          <w:w w:val="105"/>
          <w:sz w:val="21"/>
        </w:rPr>
        <w:t>五) </w:t>
      </w:r>
      <w:r>
        <w:rPr>
          <w:rFonts w:ascii="微软雅黑" w:eastAsia="微软雅黑"/>
          <w:b/>
          <w:w w:val="105"/>
          <w:sz w:val="21"/>
        </w:rPr>
        <w:t>严</w:t>
      </w:r>
      <w:r>
        <w:rPr>
          <w:rFonts w:ascii="微软雅黑" w:eastAsia="微软雅黑"/>
          <w:b/>
          <w:w w:val="105"/>
          <w:sz w:val="21"/>
        </w:rPr>
        <w:t>重</w:t>
      </w:r>
      <w:r>
        <w:rPr>
          <w:rFonts w:ascii="微软雅黑" w:eastAsia="微软雅黑"/>
          <w:b/>
          <w:w w:val="105"/>
          <w:sz w:val="21"/>
        </w:rPr>
        <w:t>自</w:t>
      </w:r>
      <w:r>
        <w:rPr>
          <w:rFonts w:ascii="微软雅黑" w:eastAsia="微软雅黑"/>
          <w:b/>
          <w:w w:val="105"/>
          <w:sz w:val="21"/>
        </w:rPr>
        <w:t>身</w:t>
      </w:r>
      <w:r>
        <w:rPr>
          <w:rFonts w:ascii="微软雅黑" w:eastAsia="微软雅黑"/>
          <w:b/>
          <w:w w:val="105"/>
          <w:sz w:val="21"/>
        </w:rPr>
        <w:t>免</w:t>
      </w:r>
      <w:r>
        <w:rPr>
          <w:rFonts w:ascii="微软雅黑" w:eastAsia="微软雅黑"/>
          <w:b/>
          <w:w w:val="105"/>
          <w:sz w:val="21"/>
        </w:rPr>
        <w:t>疫</w:t>
      </w:r>
      <w:r>
        <w:rPr>
          <w:rFonts w:ascii="微软雅黑" w:eastAsia="微软雅黑"/>
          <w:b/>
          <w:w w:val="105"/>
          <w:sz w:val="21"/>
        </w:rPr>
        <w:t>性</w:t>
      </w:r>
      <w:r>
        <w:rPr>
          <w:rFonts w:ascii="微软雅黑" w:eastAsia="微软雅黑"/>
          <w:b/>
          <w:w w:val="105"/>
          <w:sz w:val="21"/>
        </w:rPr>
        <w:t>肝</w:t>
      </w:r>
      <w:r>
        <w:rPr>
          <w:rFonts w:ascii="微软雅黑" w:eastAsia="微软雅黑"/>
          <w:b/>
          <w:w w:val="105"/>
          <w:sz w:val="21"/>
        </w:rPr>
        <w:t>炎</w:t>
      </w:r>
    </w:p>
    <w:p>
      <w:pPr>
        <w:pStyle w:val="BodyText"/>
        <w:spacing w:line="227" w:lineRule="exact"/>
        <w:ind w:left="547"/>
      </w:pPr>
      <w:r>
        <w:rPr>
          <w:spacing w:val="-3"/>
        </w:rPr>
        <w:t>自身免疫性肝炎是一种原因不明的慢性肝脏的坏死性炎性疾病，机体免疫机制被破坏，</w:t>
      </w:r>
    </w:p>
    <w:p>
      <w:pPr>
        <w:pStyle w:val="BodyText"/>
        <w:spacing w:before="7"/>
        <w:rPr>
          <w:sz w:val="15"/>
        </w:rPr>
      </w:pPr>
    </w:p>
    <w:p>
      <w:pPr>
        <w:pStyle w:val="BodyText"/>
        <w:spacing w:line="417" w:lineRule="auto"/>
        <w:ind w:left="120" w:right="311"/>
      </w:pPr>
      <w:r>
        <w:rPr>
          <w:spacing w:val="-7"/>
        </w:rPr>
        <w:t>产生针对肝脏自身抗原的抗体导致自身免疫反应，从而破坏肝细胞造成肝脏炎症坏死，进而</w:t>
      </w:r>
      <w:r>
        <w:rPr>
          <w:spacing w:val="-2"/>
        </w:rPr>
        <w:t>发展为肝硬化。必须满足所有以下条件：</w:t>
      </w:r>
    </w:p>
    <w:p>
      <w:pPr>
        <w:pStyle w:val="ListParagraph"/>
        <w:numPr>
          <w:ilvl w:val="0"/>
          <w:numId w:val="33"/>
        </w:numPr>
        <w:tabs>
          <w:tab w:pos="1177" w:val="left" w:leader="none"/>
        </w:tabs>
        <w:spacing w:line="269" w:lineRule="exact" w:before="0" w:after="0"/>
        <w:ind w:left="1176" w:right="0" w:hanging="632"/>
        <w:jc w:val="left"/>
        <w:rPr>
          <w:sz w:val="21"/>
        </w:rPr>
      </w:pPr>
      <w:r>
        <w:rPr>
          <w:spacing w:val="-2"/>
          <w:sz w:val="21"/>
        </w:rPr>
        <w:t>高γ</w:t>
      </w:r>
      <w:r>
        <w:rPr>
          <w:spacing w:val="-4"/>
          <w:sz w:val="21"/>
        </w:rPr>
        <w:t>球蛋白血症；</w:t>
      </w:r>
    </w:p>
    <w:p>
      <w:pPr>
        <w:pStyle w:val="BodyText"/>
        <w:spacing w:before="7"/>
        <w:rPr>
          <w:sz w:val="15"/>
        </w:rPr>
      </w:pPr>
    </w:p>
    <w:p>
      <w:pPr>
        <w:pStyle w:val="ListParagraph"/>
        <w:numPr>
          <w:ilvl w:val="0"/>
          <w:numId w:val="33"/>
        </w:numPr>
        <w:tabs>
          <w:tab w:pos="1177" w:val="left" w:leader="none"/>
        </w:tabs>
        <w:spacing w:line="417" w:lineRule="auto" w:before="0" w:after="0"/>
        <w:ind w:left="120" w:right="313" w:firstLine="424"/>
        <w:jc w:val="left"/>
        <w:rPr>
          <w:sz w:val="21"/>
        </w:rPr>
      </w:pPr>
      <w:r>
        <w:rPr>
          <w:spacing w:val="-10"/>
          <w:sz w:val="21"/>
        </w:rPr>
        <w:t>血液中存在高水平的自身免疫抗体，如 </w:t>
      </w:r>
      <w:r>
        <w:rPr>
          <w:spacing w:val="-4"/>
          <w:sz w:val="21"/>
        </w:rPr>
        <w:t>ANA（抗核抗体</w:t>
      </w:r>
      <w:r>
        <w:rPr>
          <w:spacing w:val="-70"/>
          <w:sz w:val="21"/>
        </w:rPr>
        <w:t>）、</w:t>
      </w:r>
      <w:r>
        <w:rPr>
          <w:spacing w:val="-4"/>
          <w:sz w:val="21"/>
        </w:rPr>
        <w:t>SMA（抗平滑肌抗体</w:t>
      </w:r>
      <w:r>
        <w:rPr>
          <w:spacing w:val="-73"/>
          <w:sz w:val="21"/>
        </w:rPr>
        <w:t>）</w:t>
      </w:r>
      <w:r>
        <w:rPr>
          <w:spacing w:val="-4"/>
          <w:sz w:val="21"/>
        </w:rPr>
        <w:t>、</w:t>
      </w:r>
      <w:r>
        <w:rPr>
          <w:sz w:val="21"/>
        </w:rPr>
        <w:t>抗 LKM1 抗体或抗-SLA/LP 抗体；</w:t>
      </w:r>
    </w:p>
    <w:p>
      <w:pPr>
        <w:pStyle w:val="ListParagraph"/>
        <w:numPr>
          <w:ilvl w:val="0"/>
          <w:numId w:val="33"/>
        </w:numPr>
        <w:tabs>
          <w:tab w:pos="1177" w:val="left" w:leader="none"/>
        </w:tabs>
        <w:spacing w:line="240" w:lineRule="auto" w:before="0" w:after="0"/>
        <w:ind w:left="1176" w:right="0" w:hanging="632"/>
        <w:jc w:val="left"/>
        <w:rPr>
          <w:sz w:val="21"/>
        </w:rPr>
      </w:pPr>
      <w:r>
        <w:rPr>
          <w:spacing w:val="-3"/>
          <w:sz w:val="21"/>
        </w:rPr>
        <w:t>肝脏活检证实免疫性肝炎；</w:t>
      </w:r>
    </w:p>
    <w:p>
      <w:pPr>
        <w:pStyle w:val="BodyText"/>
        <w:spacing w:before="7"/>
        <w:rPr>
          <w:sz w:val="15"/>
        </w:rPr>
      </w:pPr>
    </w:p>
    <w:p>
      <w:pPr>
        <w:pStyle w:val="ListParagraph"/>
        <w:numPr>
          <w:ilvl w:val="0"/>
          <w:numId w:val="33"/>
        </w:numPr>
        <w:tabs>
          <w:tab w:pos="1177" w:val="left" w:leader="none"/>
        </w:tabs>
        <w:spacing w:line="357" w:lineRule="auto" w:before="0" w:after="0"/>
        <w:ind w:left="120" w:right="2102" w:firstLine="424"/>
        <w:jc w:val="left"/>
        <w:rPr>
          <w:rFonts w:ascii="微软雅黑" w:eastAsia="微软雅黑"/>
          <w:b/>
          <w:sz w:val="21"/>
        </w:rPr>
      </w:pPr>
      <w:r>
        <w:rPr>
          <w:spacing w:val="-2"/>
          <w:sz w:val="21"/>
        </w:rPr>
        <w:t>临床已经出现腹水、食道静脉曲张和脾肿大等肝硬化表现。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w w:val="110"/>
          <w:sz w:val="21"/>
        </w:rPr>
        <w:t>六) </w:t>
      </w:r>
      <w:r>
        <w:rPr>
          <w:rFonts w:ascii="微软雅黑" w:eastAsia="微软雅黑"/>
          <w:b/>
          <w:w w:val="110"/>
          <w:sz w:val="21"/>
        </w:rPr>
        <w:t>范</w:t>
      </w:r>
      <w:r>
        <w:rPr>
          <w:rFonts w:ascii="微软雅黑" w:eastAsia="微软雅黑"/>
          <w:b/>
          <w:w w:val="110"/>
          <w:sz w:val="21"/>
        </w:rPr>
        <w:t>可</w:t>
      </w:r>
      <w:r>
        <w:rPr>
          <w:rFonts w:ascii="微软雅黑" w:eastAsia="微软雅黑"/>
          <w:b/>
          <w:w w:val="110"/>
          <w:sz w:val="21"/>
        </w:rPr>
        <w:t>尼</w:t>
      </w:r>
      <w:r>
        <w:rPr>
          <w:rFonts w:ascii="微软雅黑" w:eastAsia="微软雅黑"/>
          <w:b/>
          <w:w w:val="110"/>
          <w:sz w:val="21"/>
        </w:rPr>
        <w:t>综</w:t>
      </w:r>
      <w:r>
        <w:rPr>
          <w:rFonts w:ascii="微软雅黑" w:eastAsia="微软雅黑"/>
          <w:b/>
          <w:w w:val="110"/>
          <w:sz w:val="21"/>
        </w:rPr>
        <w:t>合</w:t>
      </w:r>
      <w:r>
        <w:rPr>
          <w:rFonts w:ascii="微软雅黑" w:eastAsia="微软雅黑"/>
          <w:b/>
          <w:w w:val="110"/>
          <w:sz w:val="21"/>
        </w:rPr>
        <w:t>征</w:t>
      </w:r>
    </w:p>
    <w:p>
      <w:pPr>
        <w:pStyle w:val="BodyText"/>
        <w:spacing w:line="227" w:lineRule="exact"/>
        <w:ind w:left="547"/>
      </w:pPr>
      <w:r>
        <w:rPr>
          <w:spacing w:val="-3"/>
        </w:rPr>
        <w:t>指近端肾小管的功能异常引起的一组症候群。须满足下列至少两个条件：</w:t>
      </w:r>
    </w:p>
    <w:p>
      <w:pPr>
        <w:spacing w:after="0" w:line="227" w:lineRule="exact"/>
        <w:sectPr>
          <w:pgSz w:w="11910" w:h="16840"/>
          <w:pgMar w:header="0" w:footer="1005" w:top="1460" w:bottom="1200" w:left="1680" w:right="1480"/>
        </w:sectPr>
      </w:pPr>
    </w:p>
    <w:p>
      <w:pPr>
        <w:pStyle w:val="ListParagraph"/>
        <w:numPr>
          <w:ilvl w:val="0"/>
          <w:numId w:val="34"/>
        </w:numPr>
        <w:tabs>
          <w:tab w:pos="1177" w:val="left" w:leader="none"/>
        </w:tabs>
        <w:spacing w:line="240" w:lineRule="auto" w:before="61" w:after="0"/>
        <w:ind w:left="1176" w:right="0" w:hanging="632"/>
        <w:jc w:val="left"/>
        <w:rPr>
          <w:sz w:val="21"/>
        </w:rPr>
      </w:pPr>
      <w:r>
        <w:rPr>
          <w:spacing w:val="-3"/>
          <w:sz w:val="21"/>
        </w:rPr>
        <w:t>尿液检查出现肾性糖尿、全氨基酸糖尿或磷酸盐尿；</w:t>
      </w:r>
    </w:p>
    <w:p>
      <w:pPr>
        <w:pStyle w:val="BodyText"/>
        <w:spacing w:before="7"/>
        <w:rPr>
          <w:sz w:val="15"/>
        </w:rPr>
      </w:pPr>
    </w:p>
    <w:p>
      <w:pPr>
        <w:pStyle w:val="ListParagraph"/>
        <w:numPr>
          <w:ilvl w:val="0"/>
          <w:numId w:val="34"/>
        </w:numPr>
        <w:tabs>
          <w:tab w:pos="1177" w:val="left" w:leader="none"/>
        </w:tabs>
        <w:spacing w:line="240" w:lineRule="auto" w:before="0" w:after="0"/>
        <w:ind w:left="1176" w:right="0" w:hanging="632"/>
        <w:jc w:val="left"/>
        <w:rPr>
          <w:sz w:val="21"/>
        </w:rPr>
      </w:pPr>
      <w:r>
        <w:rPr>
          <w:spacing w:val="-3"/>
          <w:sz w:val="21"/>
        </w:rPr>
        <w:t>血液检查出现低磷血症、低尿酸血症或近端肾小管酸中毒；</w:t>
      </w:r>
    </w:p>
    <w:p>
      <w:pPr>
        <w:pStyle w:val="BodyText"/>
        <w:spacing w:before="7"/>
        <w:rPr>
          <w:sz w:val="15"/>
        </w:rPr>
      </w:pPr>
    </w:p>
    <w:p>
      <w:pPr>
        <w:pStyle w:val="ListParagraph"/>
        <w:numPr>
          <w:ilvl w:val="0"/>
          <w:numId w:val="34"/>
        </w:numPr>
        <w:tabs>
          <w:tab w:pos="1177" w:val="left" w:leader="none"/>
        </w:tabs>
        <w:spacing w:line="240" w:lineRule="auto" w:before="0" w:after="0"/>
        <w:ind w:left="1176" w:right="0" w:hanging="632"/>
        <w:jc w:val="left"/>
        <w:rPr>
          <w:sz w:val="21"/>
        </w:rPr>
      </w:pPr>
      <w:r>
        <w:rPr>
          <w:spacing w:val="-3"/>
          <w:sz w:val="21"/>
        </w:rPr>
        <w:t>出现骨质疏松、骨骼畸形或尿路结石；</w:t>
      </w:r>
    </w:p>
    <w:p>
      <w:pPr>
        <w:pStyle w:val="BodyText"/>
        <w:spacing w:before="6"/>
        <w:rPr>
          <w:sz w:val="15"/>
        </w:rPr>
      </w:pPr>
    </w:p>
    <w:p>
      <w:pPr>
        <w:pStyle w:val="ListParagraph"/>
        <w:numPr>
          <w:ilvl w:val="0"/>
          <w:numId w:val="34"/>
        </w:numPr>
        <w:tabs>
          <w:tab w:pos="1177" w:val="left" w:leader="none"/>
        </w:tabs>
        <w:spacing w:line="357" w:lineRule="auto" w:before="1" w:after="0"/>
        <w:ind w:left="120" w:right="210" w:firstLine="424"/>
        <w:jc w:val="left"/>
        <w:rPr>
          <w:rFonts w:ascii="微软雅黑" w:eastAsia="微软雅黑"/>
          <w:b/>
          <w:sz w:val="21"/>
        </w:rPr>
      </w:pPr>
      <w:r>
        <w:rPr>
          <w:spacing w:val="-2"/>
          <w:sz w:val="21"/>
        </w:rPr>
        <w:t>通过骨髓片、白细胞、直肠黏膜中的结晶分析或裂隙灯检查角膜有胱氨酸结晶。</w:t>
      </w:r>
      <w:r>
        <w:rPr>
          <w:spacing w:val="-2"/>
          <w:sz w:val="21"/>
        </w:rPr>
        <w:t>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spacing w:val="-7"/>
          <w:w w:val="110"/>
          <w:sz w:val="21"/>
        </w:rPr>
        <w:t>七) </w:t>
      </w:r>
      <w:r>
        <w:rPr>
          <w:rFonts w:ascii="微软雅黑" w:eastAsia="微软雅黑"/>
          <w:b/>
          <w:w w:val="110"/>
          <w:sz w:val="21"/>
        </w:rPr>
        <w:t>严</w:t>
      </w:r>
      <w:r>
        <w:rPr>
          <w:rFonts w:ascii="微软雅黑" w:eastAsia="微软雅黑"/>
          <w:b/>
          <w:w w:val="110"/>
          <w:sz w:val="21"/>
        </w:rPr>
        <w:t>重</w:t>
      </w:r>
      <w:r>
        <w:rPr>
          <w:rFonts w:ascii="微软雅黑" w:eastAsia="微软雅黑"/>
          <w:b/>
          <w:w w:val="110"/>
          <w:sz w:val="21"/>
        </w:rPr>
        <w:t>骨</w:t>
      </w:r>
      <w:r>
        <w:rPr>
          <w:rFonts w:ascii="微软雅黑" w:eastAsia="微软雅黑"/>
          <w:b/>
          <w:w w:val="110"/>
          <w:sz w:val="21"/>
        </w:rPr>
        <w:t>髓</w:t>
      </w:r>
      <w:r>
        <w:rPr>
          <w:rFonts w:ascii="微软雅黑" w:eastAsia="微软雅黑"/>
          <w:b/>
          <w:w w:val="110"/>
          <w:sz w:val="21"/>
        </w:rPr>
        <w:t>异</w:t>
      </w:r>
      <w:r>
        <w:rPr>
          <w:rFonts w:ascii="微软雅黑" w:eastAsia="微软雅黑"/>
          <w:b/>
          <w:w w:val="110"/>
          <w:sz w:val="21"/>
        </w:rPr>
        <w:t>常</w:t>
      </w:r>
      <w:r>
        <w:rPr>
          <w:rFonts w:ascii="微软雅黑" w:eastAsia="微软雅黑"/>
          <w:b/>
          <w:w w:val="110"/>
          <w:sz w:val="21"/>
        </w:rPr>
        <w:t>增</w:t>
      </w:r>
      <w:r>
        <w:rPr>
          <w:rFonts w:ascii="微软雅黑" w:eastAsia="微软雅黑"/>
          <w:b/>
          <w:w w:val="110"/>
          <w:sz w:val="21"/>
        </w:rPr>
        <w:t>生</w:t>
      </w:r>
      <w:r>
        <w:rPr>
          <w:rFonts w:ascii="微软雅黑" w:eastAsia="微软雅黑"/>
          <w:b/>
          <w:w w:val="110"/>
          <w:sz w:val="21"/>
        </w:rPr>
        <w:t>综</w:t>
      </w:r>
      <w:r>
        <w:rPr>
          <w:rFonts w:ascii="微软雅黑" w:eastAsia="微软雅黑"/>
          <w:b/>
          <w:w w:val="110"/>
          <w:sz w:val="21"/>
        </w:rPr>
        <w:t>合</w:t>
      </w:r>
      <w:r>
        <w:rPr>
          <w:rFonts w:ascii="微软雅黑" w:eastAsia="微软雅黑"/>
          <w:b/>
          <w:w w:val="110"/>
          <w:sz w:val="21"/>
        </w:rPr>
        <w:t>征</w:t>
      </w:r>
    </w:p>
    <w:p>
      <w:pPr>
        <w:pStyle w:val="BodyText"/>
        <w:spacing w:line="227" w:lineRule="exact"/>
        <w:ind w:left="547"/>
      </w:pPr>
      <w:r>
        <w:rPr>
          <w:spacing w:val="-7"/>
        </w:rPr>
        <w:t>严重骨髓异常增生综合征是指符合世界卫生组织</w:t>
      </w:r>
      <w:r>
        <w:rPr>
          <w:spacing w:val="-4"/>
        </w:rPr>
        <w:t>（WHO）2008</w:t>
      </w:r>
      <w:r>
        <w:rPr>
          <w:spacing w:val="-3"/>
        </w:rPr>
        <w:t> 年分型方案中的难治性贫</w:t>
      </w:r>
    </w:p>
    <w:p>
      <w:pPr>
        <w:pStyle w:val="BodyText"/>
        <w:spacing w:before="6"/>
        <w:rPr>
          <w:sz w:val="15"/>
        </w:rPr>
      </w:pPr>
    </w:p>
    <w:p>
      <w:pPr>
        <w:pStyle w:val="BodyText"/>
        <w:spacing w:line="417" w:lineRule="auto"/>
        <w:ind w:left="120" w:right="419"/>
      </w:pPr>
      <w:r>
        <w:rPr>
          <w:spacing w:val="-6"/>
        </w:rPr>
        <w:t>血细胞减少伴原始细胞增多-</w:t>
      </w:r>
      <w:r>
        <w:rPr>
          <w:spacing w:val="-95"/>
        </w:rPr>
        <w:t>1</w:t>
      </w:r>
      <w:r>
        <w:rPr>
          <w:spacing w:val="9"/>
        </w:rPr>
        <w:t>（RA</w:t>
      </w:r>
      <w:r>
        <w:rPr>
          <w:spacing w:val="6"/>
        </w:rPr>
        <w:t>E</w:t>
      </w:r>
      <w:r>
        <w:rPr>
          <w:spacing w:val="8"/>
        </w:rPr>
        <w:t>B</w:t>
      </w:r>
      <w:r>
        <w:rPr>
          <w:spacing w:val="9"/>
        </w:rPr>
        <w:t>-</w:t>
      </w:r>
      <w:r>
        <w:rPr/>
        <w:t>1</w:t>
      </w:r>
      <w:r>
        <w:rPr>
          <w:spacing w:val="-108"/>
        </w:rPr>
        <w:t>）</w:t>
      </w:r>
      <w:r>
        <w:rPr>
          <w:spacing w:val="-17"/>
        </w:rPr>
        <w:t>、难治性贫血细胞减少伴原始细胞增多-</w:t>
      </w:r>
      <w:r>
        <w:rPr>
          <w:spacing w:val="-93"/>
        </w:rPr>
        <w:t>2</w:t>
      </w:r>
      <w:r>
        <w:rPr>
          <w:spacing w:val="8"/>
        </w:rPr>
        <w:t>（R</w:t>
      </w:r>
      <w:r>
        <w:rPr>
          <w:spacing w:val="5"/>
        </w:rPr>
        <w:t>A</w:t>
      </w:r>
      <w:r>
        <w:rPr>
          <w:spacing w:val="8"/>
        </w:rPr>
        <w:t>EB-</w:t>
      </w:r>
      <w:r>
        <w:rPr>
          <w:spacing w:val="-3"/>
        </w:rPr>
        <w:t>2</w:t>
      </w:r>
      <w:r>
        <w:rPr>
          <w:spacing w:val="-106"/>
        </w:rPr>
        <w:t>）、</w:t>
      </w:r>
      <w:r>
        <w:rPr/>
        <w:t> MDS-未分类（MDS-U</w:t>
      </w:r>
      <w:r>
        <w:rPr>
          <w:spacing w:val="-108"/>
        </w:rPr>
        <w:t>）</w:t>
      </w:r>
      <w:r>
        <w:rPr/>
        <w:t>、MDS 伴单纯 5q-，且需满足下列所有条件：</w:t>
      </w:r>
    </w:p>
    <w:p>
      <w:pPr>
        <w:pStyle w:val="ListParagraph"/>
        <w:numPr>
          <w:ilvl w:val="0"/>
          <w:numId w:val="35"/>
        </w:numPr>
        <w:tabs>
          <w:tab w:pos="1177" w:val="left" w:leader="none"/>
        </w:tabs>
        <w:spacing w:line="417" w:lineRule="auto" w:before="0" w:after="0"/>
        <w:ind w:left="120" w:right="313" w:firstLine="424"/>
        <w:jc w:val="left"/>
        <w:rPr>
          <w:sz w:val="21"/>
        </w:rPr>
      </w:pPr>
      <w:r>
        <w:rPr>
          <w:spacing w:val="-6"/>
          <w:sz w:val="21"/>
        </w:rPr>
        <w:t>由我们认可的医院中设有专门血液病专科的公立三级甲等医院，血液病专科的主</w:t>
      </w:r>
      <w:r>
        <w:rPr>
          <w:spacing w:val="-2"/>
          <w:sz w:val="21"/>
        </w:rPr>
        <w:t>治级别以上的医师确诊；</w:t>
      </w:r>
    </w:p>
    <w:p>
      <w:pPr>
        <w:pStyle w:val="ListParagraph"/>
        <w:numPr>
          <w:ilvl w:val="0"/>
          <w:numId w:val="35"/>
        </w:numPr>
        <w:tabs>
          <w:tab w:pos="1177" w:val="left" w:leader="none"/>
        </w:tabs>
        <w:spacing w:line="240" w:lineRule="auto" w:before="0" w:after="0"/>
        <w:ind w:left="1176" w:right="0" w:hanging="632"/>
        <w:jc w:val="left"/>
        <w:rPr>
          <w:sz w:val="21"/>
        </w:rPr>
      </w:pPr>
      <w:r>
        <w:rPr>
          <w:spacing w:val="-3"/>
          <w:sz w:val="21"/>
        </w:rPr>
        <w:t>骨髓穿刺或骨髓活检结果支持诊断；</w:t>
      </w:r>
    </w:p>
    <w:p>
      <w:pPr>
        <w:pStyle w:val="BodyText"/>
        <w:spacing w:before="7"/>
        <w:rPr>
          <w:sz w:val="15"/>
        </w:rPr>
      </w:pPr>
    </w:p>
    <w:p>
      <w:pPr>
        <w:pStyle w:val="ListParagraph"/>
        <w:numPr>
          <w:ilvl w:val="0"/>
          <w:numId w:val="35"/>
        </w:numPr>
        <w:tabs>
          <w:tab w:pos="1177" w:val="left" w:leader="none"/>
        </w:tabs>
        <w:spacing w:line="357" w:lineRule="auto" w:before="0" w:after="0"/>
        <w:ind w:left="120" w:right="1682" w:firstLine="424"/>
        <w:jc w:val="left"/>
        <w:rPr>
          <w:rFonts w:ascii="微软雅黑" w:eastAsia="微软雅黑"/>
          <w:b/>
          <w:sz w:val="21"/>
        </w:rPr>
      </w:pPr>
      <w:r>
        <w:rPr>
          <w:spacing w:val="-2"/>
          <w:sz w:val="21"/>
        </w:rPr>
        <w:t>被保险人已持续接受一个月以上的化疗或已接受骨髓移植治疗。 </w:t>
      </w:r>
      <w:r>
        <w:rPr>
          <w:rFonts w:ascii="微软雅黑" w:eastAsia="微软雅黑"/>
          <w:b/>
          <w:w w:val="105"/>
          <w:sz w:val="21"/>
        </w:rPr>
        <w:t>(</w:t>
      </w:r>
      <w:r>
        <w:rPr>
          <w:rFonts w:ascii="微软雅黑" w:eastAsia="微软雅黑"/>
          <w:b/>
          <w:w w:val="105"/>
          <w:sz w:val="21"/>
        </w:rPr>
        <w:t>三</w:t>
      </w:r>
      <w:r>
        <w:rPr>
          <w:rFonts w:ascii="微软雅黑" w:eastAsia="微软雅黑"/>
          <w:b/>
          <w:w w:val="105"/>
          <w:sz w:val="21"/>
        </w:rPr>
        <w:t>十</w:t>
      </w:r>
      <w:r>
        <w:rPr>
          <w:rFonts w:ascii="微软雅黑" w:eastAsia="微软雅黑"/>
          <w:b/>
          <w:w w:val="105"/>
          <w:sz w:val="21"/>
        </w:rPr>
        <w:t>八) </w:t>
      </w:r>
      <w:r>
        <w:rPr>
          <w:rFonts w:ascii="微软雅黑" w:eastAsia="微软雅黑"/>
          <w:b/>
          <w:w w:val="105"/>
          <w:sz w:val="21"/>
        </w:rPr>
        <w:t>严</w:t>
      </w:r>
      <w:r>
        <w:rPr>
          <w:rFonts w:ascii="微软雅黑" w:eastAsia="微软雅黑"/>
          <w:b/>
          <w:w w:val="105"/>
          <w:sz w:val="21"/>
        </w:rPr>
        <w:t>重</w:t>
      </w:r>
      <w:r>
        <w:rPr>
          <w:rFonts w:ascii="微软雅黑" w:eastAsia="微软雅黑"/>
          <w:b/>
          <w:w w:val="105"/>
          <w:sz w:val="21"/>
        </w:rPr>
        <w:t>肠</w:t>
      </w:r>
      <w:r>
        <w:rPr>
          <w:rFonts w:ascii="微软雅黑" w:eastAsia="微软雅黑"/>
          <w:b/>
          <w:w w:val="105"/>
          <w:sz w:val="21"/>
        </w:rPr>
        <w:t>道</w:t>
      </w:r>
      <w:r>
        <w:rPr>
          <w:rFonts w:ascii="微软雅黑" w:eastAsia="微软雅黑"/>
          <w:b/>
          <w:w w:val="105"/>
          <w:sz w:val="21"/>
        </w:rPr>
        <w:t>疾</w:t>
      </w:r>
      <w:r>
        <w:rPr>
          <w:rFonts w:ascii="微软雅黑" w:eastAsia="微软雅黑"/>
          <w:b/>
          <w:w w:val="105"/>
          <w:sz w:val="21"/>
        </w:rPr>
        <w:t>病</w:t>
      </w:r>
      <w:r>
        <w:rPr>
          <w:rFonts w:ascii="微软雅黑" w:eastAsia="微软雅黑"/>
          <w:b/>
          <w:w w:val="105"/>
          <w:sz w:val="21"/>
        </w:rPr>
        <w:t>并</w:t>
      </w:r>
      <w:r>
        <w:rPr>
          <w:rFonts w:ascii="微软雅黑" w:eastAsia="微软雅黑"/>
          <w:b/>
          <w:w w:val="105"/>
          <w:sz w:val="21"/>
        </w:rPr>
        <w:t>发</w:t>
      </w:r>
      <w:r>
        <w:rPr>
          <w:rFonts w:ascii="微软雅黑" w:eastAsia="微软雅黑"/>
          <w:b/>
          <w:w w:val="105"/>
          <w:sz w:val="21"/>
        </w:rPr>
        <w:t>症</w:t>
      </w:r>
    </w:p>
    <w:p>
      <w:pPr>
        <w:pStyle w:val="BodyText"/>
        <w:spacing w:line="227" w:lineRule="exact"/>
        <w:ind w:left="547"/>
      </w:pPr>
      <w:r>
        <w:rPr>
          <w:spacing w:val="-3"/>
        </w:rPr>
        <w:t>严重肠道疾病或外伤导致小肠损害并发症，本疾病须满足以下所有条件：</w:t>
      </w:r>
    </w:p>
    <w:p>
      <w:pPr>
        <w:pStyle w:val="BodyText"/>
        <w:spacing w:before="7"/>
        <w:rPr>
          <w:sz w:val="15"/>
        </w:rPr>
      </w:pPr>
    </w:p>
    <w:p>
      <w:pPr>
        <w:pStyle w:val="ListParagraph"/>
        <w:numPr>
          <w:ilvl w:val="0"/>
          <w:numId w:val="36"/>
        </w:numPr>
        <w:tabs>
          <w:tab w:pos="1177" w:val="left" w:leader="none"/>
        </w:tabs>
        <w:spacing w:line="240" w:lineRule="auto" w:before="0" w:after="0"/>
        <w:ind w:left="1176" w:right="0" w:hanging="632"/>
        <w:jc w:val="left"/>
        <w:rPr>
          <w:sz w:val="21"/>
        </w:rPr>
      </w:pPr>
      <w:r>
        <w:rPr>
          <w:spacing w:val="-3"/>
          <w:sz w:val="21"/>
        </w:rPr>
        <w:t>至少切除了三分之二小肠；</w:t>
      </w:r>
    </w:p>
    <w:p>
      <w:pPr>
        <w:pStyle w:val="BodyText"/>
        <w:spacing w:before="6"/>
        <w:rPr>
          <w:sz w:val="15"/>
        </w:rPr>
      </w:pPr>
    </w:p>
    <w:p>
      <w:pPr>
        <w:pStyle w:val="ListParagraph"/>
        <w:numPr>
          <w:ilvl w:val="0"/>
          <w:numId w:val="36"/>
        </w:numPr>
        <w:tabs>
          <w:tab w:pos="1177" w:val="left" w:leader="none"/>
        </w:tabs>
        <w:spacing w:line="357" w:lineRule="auto" w:before="0" w:after="0"/>
        <w:ind w:left="120" w:right="4622" w:firstLine="424"/>
        <w:jc w:val="left"/>
        <w:rPr>
          <w:rFonts w:ascii="微软雅黑" w:eastAsia="微软雅黑"/>
          <w:b/>
          <w:sz w:val="21"/>
        </w:rPr>
      </w:pPr>
      <w:r>
        <w:rPr>
          <w:spacing w:val="-2"/>
          <w:sz w:val="21"/>
        </w:rPr>
        <w:t>完全肠外营养支持三个月以上。</w:t>
      </w:r>
      <w:r>
        <w:rPr>
          <w:spacing w:val="-2"/>
          <w:sz w:val="21"/>
        </w:rPr>
        <w:t>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w w:val="110"/>
          <w:sz w:val="21"/>
        </w:rPr>
        <w:t>九) </w:t>
      </w:r>
      <w:r>
        <w:rPr>
          <w:rFonts w:ascii="微软雅黑" w:eastAsia="微软雅黑"/>
          <w:b/>
          <w:w w:val="110"/>
          <w:sz w:val="21"/>
        </w:rPr>
        <w:t>重</w:t>
      </w:r>
      <w:r>
        <w:rPr>
          <w:rFonts w:ascii="微软雅黑" w:eastAsia="微软雅黑"/>
          <w:b/>
          <w:w w:val="110"/>
          <w:sz w:val="21"/>
        </w:rPr>
        <w:t>症</w:t>
      </w:r>
      <w:r>
        <w:rPr>
          <w:rFonts w:ascii="微软雅黑" w:eastAsia="微软雅黑"/>
          <w:b/>
          <w:w w:val="110"/>
          <w:sz w:val="21"/>
        </w:rPr>
        <w:t>手</w:t>
      </w:r>
      <w:r>
        <w:rPr>
          <w:rFonts w:ascii="微软雅黑" w:eastAsia="微软雅黑"/>
          <w:b/>
          <w:w w:val="110"/>
          <w:sz w:val="21"/>
        </w:rPr>
        <w:t>足</w:t>
      </w:r>
      <w:r>
        <w:rPr>
          <w:rFonts w:ascii="微软雅黑" w:eastAsia="微软雅黑"/>
          <w:b/>
          <w:w w:val="110"/>
          <w:sz w:val="21"/>
        </w:rPr>
        <w:t>口</w:t>
      </w:r>
      <w:r>
        <w:rPr>
          <w:rFonts w:ascii="微软雅黑" w:eastAsia="微软雅黑"/>
          <w:b/>
          <w:w w:val="110"/>
          <w:sz w:val="21"/>
        </w:rPr>
        <w:t>病</w:t>
      </w:r>
    </w:p>
    <w:p>
      <w:pPr>
        <w:pStyle w:val="BodyText"/>
        <w:spacing w:line="228" w:lineRule="exact"/>
        <w:ind w:left="547"/>
      </w:pPr>
      <w:r>
        <w:rPr>
          <w:spacing w:val="-3"/>
        </w:rPr>
        <w:t>由肠道病毒引起的急性传染病，主要症状表现为手、足、口腔等部位的斑丘疹、疱疹。</w:t>
      </w:r>
    </w:p>
    <w:p>
      <w:pPr>
        <w:pStyle w:val="BodyText"/>
        <w:spacing w:before="7"/>
        <w:rPr>
          <w:sz w:val="15"/>
        </w:rPr>
      </w:pPr>
    </w:p>
    <w:p>
      <w:pPr>
        <w:pStyle w:val="BodyText"/>
        <w:spacing w:line="417" w:lineRule="auto"/>
        <w:ind w:left="120" w:right="311"/>
      </w:pPr>
      <w:r>
        <w:rPr>
          <w:spacing w:val="-6"/>
        </w:rPr>
        <w:t>经我们认可的医疗机构的专科医生确诊为患有手足口病，并伴有下列三项中的任意一项并发</w:t>
      </w:r>
      <w:r>
        <w:rPr>
          <w:spacing w:val="-6"/>
        </w:rPr>
        <w:t>症：</w:t>
      </w:r>
    </w:p>
    <w:p>
      <w:pPr>
        <w:pStyle w:val="ListParagraph"/>
        <w:numPr>
          <w:ilvl w:val="0"/>
          <w:numId w:val="37"/>
        </w:numPr>
        <w:tabs>
          <w:tab w:pos="1177" w:val="left" w:leader="none"/>
        </w:tabs>
        <w:spacing w:line="269" w:lineRule="exact" w:before="0" w:after="0"/>
        <w:ind w:left="1176" w:right="0" w:hanging="632"/>
        <w:jc w:val="left"/>
        <w:rPr>
          <w:sz w:val="21"/>
        </w:rPr>
      </w:pPr>
      <w:r>
        <w:rPr>
          <w:spacing w:val="-3"/>
          <w:sz w:val="21"/>
        </w:rPr>
        <w:t>有脑膜炎或脑炎并发症，且导致意识障碍或瘫痪的临床表现及实验室检查证据；</w:t>
      </w:r>
    </w:p>
    <w:p>
      <w:pPr>
        <w:pStyle w:val="BodyText"/>
        <w:spacing w:before="7"/>
        <w:rPr>
          <w:sz w:val="15"/>
        </w:rPr>
      </w:pPr>
    </w:p>
    <w:p>
      <w:pPr>
        <w:pStyle w:val="ListParagraph"/>
        <w:numPr>
          <w:ilvl w:val="0"/>
          <w:numId w:val="37"/>
        </w:numPr>
        <w:tabs>
          <w:tab w:pos="1177" w:val="left" w:leader="none"/>
        </w:tabs>
        <w:spacing w:line="240" w:lineRule="auto" w:before="0" w:after="0"/>
        <w:ind w:left="1176" w:right="0" w:hanging="632"/>
        <w:jc w:val="left"/>
        <w:rPr>
          <w:sz w:val="21"/>
        </w:rPr>
      </w:pPr>
      <w:r>
        <w:rPr>
          <w:spacing w:val="-3"/>
          <w:sz w:val="21"/>
        </w:rPr>
        <w:t>有肺炎或肺水肿并发症，且导致呼吸衰竭的临床表现及实验室检查证据；</w:t>
      </w:r>
    </w:p>
    <w:p>
      <w:pPr>
        <w:pStyle w:val="BodyText"/>
        <w:spacing w:before="7"/>
        <w:rPr>
          <w:sz w:val="15"/>
        </w:rPr>
      </w:pPr>
    </w:p>
    <w:p>
      <w:pPr>
        <w:pStyle w:val="ListParagraph"/>
        <w:numPr>
          <w:ilvl w:val="0"/>
          <w:numId w:val="37"/>
        </w:numPr>
        <w:tabs>
          <w:tab w:pos="1177" w:val="left" w:leader="none"/>
        </w:tabs>
        <w:spacing w:line="357" w:lineRule="auto" w:before="0" w:after="0"/>
        <w:ind w:left="120" w:right="630" w:firstLine="424"/>
        <w:jc w:val="left"/>
        <w:rPr>
          <w:rFonts w:ascii="微软雅黑" w:eastAsia="微软雅黑"/>
          <w:b/>
          <w:sz w:val="21"/>
        </w:rPr>
      </w:pPr>
      <w:r>
        <w:rPr>
          <w:spacing w:val="-2"/>
          <w:sz w:val="21"/>
        </w:rPr>
        <w:t>有心肌炎并发症，且导致心脏扩大或心力衰竭的临床表现及实验室检查证。</w:t>
      </w:r>
      <w:r>
        <w:rPr>
          <w:spacing w:val="-2"/>
          <w:sz w:val="21"/>
        </w:rPr>
        <w:t> </w:t>
      </w:r>
      <w:r>
        <w:rPr>
          <w:rFonts w:ascii="微软雅黑" w:eastAsia="微软雅黑"/>
          <w:b/>
          <w:w w:val="110"/>
          <w:sz w:val="21"/>
        </w:rPr>
        <w:t>(四十) </w:t>
      </w:r>
      <w:r>
        <w:rPr>
          <w:rFonts w:ascii="微软雅黑" w:eastAsia="微软雅黑"/>
          <w:b/>
          <w:w w:val="110"/>
          <w:sz w:val="21"/>
        </w:rPr>
        <w:t>肝</w:t>
      </w:r>
      <w:r>
        <w:rPr>
          <w:rFonts w:ascii="微软雅黑" w:eastAsia="微软雅黑"/>
          <w:b/>
          <w:w w:val="110"/>
          <w:sz w:val="21"/>
        </w:rPr>
        <w:t>豆</w:t>
      </w:r>
      <w:r>
        <w:rPr>
          <w:rFonts w:ascii="微软雅黑" w:eastAsia="微软雅黑"/>
          <w:b/>
          <w:w w:val="110"/>
          <w:sz w:val="21"/>
        </w:rPr>
        <w:t>状</w:t>
      </w:r>
      <w:r>
        <w:rPr>
          <w:rFonts w:ascii="微软雅黑" w:eastAsia="微软雅黑"/>
          <w:b/>
          <w:w w:val="110"/>
          <w:sz w:val="21"/>
        </w:rPr>
        <w:t>核</w:t>
      </w:r>
      <w:r>
        <w:rPr>
          <w:rFonts w:ascii="微软雅黑" w:eastAsia="微软雅黑"/>
          <w:b/>
          <w:w w:val="110"/>
          <w:sz w:val="21"/>
        </w:rPr>
        <w:t>变</w:t>
      </w:r>
      <w:r>
        <w:rPr>
          <w:rFonts w:ascii="微软雅黑" w:eastAsia="微软雅黑"/>
          <w:b/>
          <w:w w:val="110"/>
          <w:sz w:val="21"/>
        </w:rPr>
        <w:t>性</w:t>
      </w:r>
    </w:p>
    <w:p>
      <w:pPr>
        <w:pStyle w:val="BodyText"/>
        <w:spacing w:line="227" w:lineRule="exact"/>
        <w:ind w:left="547"/>
      </w:pPr>
      <w:r>
        <w:rPr>
          <w:spacing w:val="-8"/>
        </w:rPr>
        <w:t>肝豆状核变性是一种可能危及生命的铜代谢疾病，以铜沉积造成的渐进性肝功能损害及</w:t>
      </w:r>
    </w:p>
    <w:p>
      <w:pPr>
        <w:pStyle w:val="BodyText"/>
        <w:spacing w:before="7"/>
        <w:rPr>
          <w:sz w:val="15"/>
        </w:rPr>
      </w:pPr>
    </w:p>
    <w:p>
      <w:pPr>
        <w:pStyle w:val="BodyText"/>
        <w:spacing w:line="417" w:lineRule="auto"/>
        <w:ind w:left="120" w:right="311"/>
      </w:pPr>
      <w:r>
        <w:rPr>
          <w:spacing w:val="-2"/>
        </w:rPr>
        <w:t>/或神经功能恶化为特征。必须由我们认可医院的专科医生通过肝脏活组织检查结果确定诊</w:t>
      </w:r>
      <w:r>
        <w:rPr>
          <w:spacing w:val="-2"/>
        </w:rPr>
        <w:t>断并须满足下列全部条件：</w:t>
      </w:r>
    </w:p>
    <w:p>
      <w:pPr>
        <w:pStyle w:val="ListParagraph"/>
        <w:numPr>
          <w:ilvl w:val="0"/>
          <w:numId w:val="38"/>
        </w:numPr>
        <w:tabs>
          <w:tab w:pos="1177" w:val="left" w:leader="none"/>
        </w:tabs>
        <w:spacing w:line="269" w:lineRule="exact" w:before="0" w:after="0"/>
        <w:ind w:left="1176" w:right="0" w:hanging="632"/>
        <w:jc w:val="left"/>
        <w:rPr>
          <w:sz w:val="21"/>
        </w:rPr>
      </w:pPr>
      <w:r>
        <w:rPr>
          <w:spacing w:val="-13"/>
          <w:sz w:val="21"/>
        </w:rPr>
        <w:t>临床表现同时包括进行性加剧的肢体震颤、肌强直、吞咽及发音困难和精神异常；</w:t>
      </w:r>
    </w:p>
    <w:p>
      <w:pPr>
        <w:pStyle w:val="BodyText"/>
        <w:spacing w:before="7"/>
        <w:rPr>
          <w:sz w:val="15"/>
        </w:rPr>
      </w:pPr>
    </w:p>
    <w:p>
      <w:pPr>
        <w:pStyle w:val="ListParagraph"/>
        <w:numPr>
          <w:ilvl w:val="0"/>
          <w:numId w:val="38"/>
        </w:numPr>
        <w:tabs>
          <w:tab w:pos="1177" w:val="left" w:leader="none"/>
        </w:tabs>
        <w:spacing w:line="240" w:lineRule="auto" w:before="0" w:after="0"/>
        <w:ind w:left="1176" w:right="0" w:hanging="632"/>
        <w:jc w:val="left"/>
        <w:rPr>
          <w:sz w:val="21"/>
        </w:rPr>
      </w:pPr>
      <w:r>
        <w:rPr>
          <w:spacing w:val="-2"/>
          <w:sz w:val="21"/>
        </w:rPr>
        <w:t>角膜色素环（K-F</w:t>
      </w:r>
      <w:r>
        <w:rPr>
          <w:spacing w:val="-25"/>
          <w:sz w:val="21"/>
        </w:rPr>
        <w:t> 环</w:t>
      </w:r>
      <w:r>
        <w:rPr>
          <w:spacing w:val="-5"/>
          <w:sz w:val="21"/>
        </w:rPr>
        <w:t>）；</w:t>
      </w:r>
    </w:p>
    <w:p>
      <w:pPr>
        <w:pStyle w:val="BodyText"/>
        <w:spacing w:before="6"/>
        <w:rPr>
          <w:sz w:val="15"/>
        </w:rPr>
      </w:pPr>
    </w:p>
    <w:p>
      <w:pPr>
        <w:pStyle w:val="ListParagraph"/>
        <w:numPr>
          <w:ilvl w:val="0"/>
          <w:numId w:val="38"/>
        </w:numPr>
        <w:tabs>
          <w:tab w:pos="1177" w:val="left" w:leader="none"/>
        </w:tabs>
        <w:spacing w:line="240" w:lineRule="auto" w:before="0" w:after="0"/>
        <w:ind w:left="1176" w:right="0" w:hanging="632"/>
        <w:jc w:val="left"/>
        <w:rPr>
          <w:sz w:val="21"/>
        </w:rPr>
      </w:pPr>
      <w:r>
        <w:rPr>
          <w:spacing w:val="-3"/>
          <w:sz w:val="21"/>
        </w:rPr>
        <w:t>血清铜和血清铜蓝蛋白同时降低，或尿铜增加；</w:t>
      </w:r>
    </w:p>
    <w:p>
      <w:pPr>
        <w:spacing w:after="0" w:line="240" w:lineRule="auto"/>
        <w:jc w:val="left"/>
        <w:rPr>
          <w:sz w:val="21"/>
        </w:rPr>
        <w:sectPr>
          <w:pgSz w:w="11910" w:h="16840"/>
          <w:pgMar w:header="0" w:footer="1005" w:top="1460" w:bottom="1200" w:left="1680" w:right="1480"/>
        </w:sectPr>
      </w:pPr>
    </w:p>
    <w:p>
      <w:pPr>
        <w:pStyle w:val="ListParagraph"/>
        <w:numPr>
          <w:ilvl w:val="0"/>
          <w:numId w:val="38"/>
        </w:numPr>
        <w:tabs>
          <w:tab w:pos="1177" w:val="left" w:leader="none"/>
        </w:tabs>
        <w:spacing w:line="240" w:lineRule="auto" w:before="61" w:after="0"/>
        <w:ind w:left="1176" w:right="0" w:hanging="632"/>
        <w:jc w:val="left"/>
        <w:rPr>
          <w:sz w:val="21"/>
        </w:rPr>
      </w:pPr>
      <w:r>
        <w:rPr>
          <w:spacing w:val="-4"/>
          <w:sz w:val="21"/>
        </w:rPr>
        <w:t>食管静脉曲张；</w:t>
      </w:r>
    </w:p>
    <w:p>
      <w:pPr>
        <w:pStyle w:val="BodyText"/>
        <w:spacing w:before="7"/>
        <w:rPr>
          <w:sz w:val="15"/>
        </w:rPr>
      </w:pPr>
    </w:p>
    <w:p>
      <w:pPr>
        <w:pStyle w:val="ListParagraph"/>
        <w:numPr>
          <w:ilvl w:val="0"/>
          <w:numId w:val="38"/>
        </w:numPr>
        <w:tabs>
          <w:tab w:pos="1177" w:val="left" w:leader="none"/>
        </w:tabs>
        <w:spacing w:line="240" w:lineRule="auto" w:before="0" w:after="0"/>
        <w:ind w:left="1176" w:right="0" w:hanging="632"/>
        <w:jc w:val="left"/>
        <w:rPr>
          <w:sz w:val="21"/>
        </w:rPr>
      </w:pPr>
      <w:r>
        <w:rPr>
          <w:spacing w:val="-4"/>
          <w:sz w:val="21"/>
        </w:rPr>
        <w:t>腹水。</w:t>
      </w:r>
    </w:p>
    <w:p>
      <w:pPr>
        <w:pStyle w:val="Heading2"/>
        <w:spacing w:line="290" w:lineRule="auto" w:before="132"/>
        <w:ind w:right="325" w:firstLine="427"/>
      </w:pPr>
      <w:r>
        <w:rPr>
          <w:w w:val="100"/>
        </w:rPr>
        <w:t>我们承担本项疾病责任不受本</w:t>
      </w:r>
      <w:r>
        <w:rPr>
          <w:spacing w:val="2"/>
          <w:w w:val="144"/>
        </w:rPr>
        <w:t>合</w:t>
      </w:r>
      <w:r>
        <w:rPr>
          <w:spacing w:val="-5"/>
          <w:w w:val="100"/>
        </w:rPr>
        <w:t>同责任免除中“遗传性疾病，先天性畸形、变形或染</w:t>
      </w:r>
      <w:r>
        <w:rPr>
          <w:w w:val="100"/>
        </w:rPr>
        <w:t>色体异常”的限制。</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四十一) 嗜铬细胞瘤</w:t>
      </w:r>
    </w:p>
    <w:p>
      <w:pPr>
        <w:pStyle w:val="BodyText"/>
        <w:spacing w:line="417" w:lineRule="auto" w:before="148"/>
        <w:ind w:left="120" w:right="311" w:firstLine="427"/>
      </w:pPr>
      <w:r>
        <w:rPr>
          <w:spacing w:val="-7"/>
        </w:rPr>
        <w:t>指肾上腺或嗜铬外组织出现神经内分泌肿瘤，并分泌过多的儿茶酚胺类，需要确实进行</w:t>
      </w:r>
      <w:r>
        <w:rPr>
          <w:spacing w:val="-2"/>
        </w:rPr>
        <w:t>手术以切除肿瘤。嗜铬细胞瘤的诊断必须由内分泌专科医生确定。</w:t>
      </w:r>
    </w:p>
    <w:p>
      <w:pPr>
        <w:pStyle w:val="Heading2"/>
        <w:spacing w:line="320" w:lineRule="exact"/>
      </w:pPr>
      <w:r>
        <w:rPr/>
        <w:t>(</w:t>
      </w:r>
      <w:r>
        <w:rPr/>
        <w:t>四十二) 脊髓小脑变性症</w:t>
      </w:r>
    </w:p>
    <w:p>
      <w:pPr>
        <w:pStyle w:val="BodyText"/>
        <w:spacing w:line="417" w:lineRule="auto" w:before="148"/>
        <w:ind w:left="120" w:right="311" w:firstLine="427"/>
      </w:pPr>
      <w:r>
        <w:rPr>
          <w:spacing w:val="-6"/>
        </w:rPr>
        <w:t>脊髓小脑变性症为一组以小脑萎缩和共济失调为主要临床特点的疾病。必须符合所有以</w:t>
      </w:r>
      <w:r>
        <w:rPr>
          <w:spacing w:val="-4"/>
        </w:rPr>
        <w:t>下条件：</w:t>
      </w:r>
    </w:p>
    <w:p>
      <w:pPr>
        <w:pStyle w:val="ListParagraph"/>
        <w:numPr>
          <w:ilvl w:val="0"/>
          <w:numId w:val="39"/>
        </w:numPr>
        <w:tabs>
          <w:tab w:pos="1177" w:val="left" w:leader="none"/>
        </w:tabs>
        <w:spacing w:line="240" w:lineRule="auto" w:before="0" w:after="0"/>
        <w:ind w:left="1176" w:right="0" w:hanging="632"/>
        <w:jc w:val="left"/>
        <w:rPr>
          <w:sz w:val="21"/>
        </w:rPr>
      </w:pPr>
      <w:r>
        <w:rPr>
          <w:spacing w:val="-3"/>
          <w:sz w:val="21"/>
        </w:rPr>
        <w:t>脊髓小脑变性症必须由医院诊断，并有以下证据支持：</w:t>
      </w:r>
    </w:p>
    <w:p>
      <w:pPr>
        <w:pStyle w:val="BodyText"/>
        <w:spacing w:before="7"/>
        <w:rPr>
          <w:sz w:val="15"/>
        </w:rPr>
      </w:pPr>
    </w:p>
    <w:p>
      <w:pPr>
        <w:pStyle w:val="BodyText"/>
        <w:ind w:left="828"/>
      </w:pPr>
      <w:r>
        <w:rPr>
          <w:spacing w:val="-1"/>
        </w:rPr>
        <w:t>① 影像学检查证实存在小脑萎缩；</w:t>
      </w:r>
    </w:p>
    <w:p>
      <w:pPr>
        <w:pStyle w:val="BodyText"/>
        <w:spacing w:before="7"/>
        <w:rPr>
          <w:sz w:val="15"/>
        </w:rPr>
      </w:pPr>
    </w:p>
    <w:p>
      <w:pPr>
        <w:pStyle w:val="BodyText"/>
        <w:ind w:left="828"/>
      </w:pPr>
      <w:r>
        <w:rPr>
          <w:spacing w:val="-1"/>
        </w:rPr>
        <w:t>② 临床表现存在共济失调、语言障碍和肌张力异常。</w:t>
      </w:r>
    </w:p>
    <w:p>
      <w:pPr>
        <w:pStyle w:val="BodyText"/>
        <w:spacing w:before="6"/>
        <w:rPr>
          <w:sz w:val="15"/>
        </w:rPr>
      </w:pPr>
    </w:p>
    <w:p>
      <w:pPr>
        <w:pStyle w:val="ListParagraph"/>
        <w:numPr>
          <w:ilvl w:val="0"/>
          <w:numId w:val="39"/>
        </w:numPr>
        <w:tabs>
          <w:tab w:pos="1177" w:val="left" w:leader="none"/>
        </w:tabs>
        <w:spacing w:line="417" w:lineRule="auto" w:before="0" w:after="0"/>
        <w:ind w:left="120" w:right="311" w:firstLine="424"/>
        <w:jc w:val="left"/>
        <w:rPr>
          <w:sz w:val="21"/>
        </w:rPr>
      </w:pPr>
      <w:r>
        <w:rPr>
          <w:spacing w:val="-8"/>
          <w:sz w:val="21"/>
        </w:rPr>
        <w:t>被保险人运动功能严重障碍，自主生活能力完全丧失，无法独立完成六项基本日</w:t>
      </w:r>
      <w:r>
        <w:rPr>
          <w:spacing w:val="-2"/>
          <w:sz w:val="21"/>
        </w:rPr>
        <w:t>常生活活动中的三项或三项以上。</w:t>
      </w:r>
    </w:p>
    <w:p>
      <w:pPr>
        <w:pStyle w:val="Heading2"/>
        <w:spacing w:line="320" w:lineRule="exact"/>
      </w:pPr>
      <w:r>
        <w:rPr/>
        <w:t>(</w:t>
      </w:r>
      <w:r>
        <w:rPr>
          <w:spacing w:val="-1"/>
        </w:rPr>
        <w:t>四十三) 弥漫性血管内凝血</w:t>
      </w:r>
    </w:p>
    <w:p>
      <w:pPr>
        <w:pStyle w:val="BodyText"/>
        <w:spacing w:line="417" w:lineRule="auto" w:before="149"/>
        <w:ind w:left="120" w:right="311" w:firstLine="427"/>
      </w:pPr>
      <w:r>
        <w:rPr>
          <w:spacing w:val="-6"/>
        </w:rPr>
        <w:t>指血液凝固系统和纤溶系统的过度活动导致微血管血栓形成、血小板及凝血因子耗竭和</w:t>
      </w:r>
      <w:r>
        <w:rPr>
          <w:spacing w:val="-2"/>
        </w:rPr>
        <w:t>严重出血，需要输注血浆和浓缩血小板进行治疗。</w:t>
      </w:r>
    </w:p>
    <w:p>
      <w:pPr>
        <w:pStyle w:val="Heading2"/>
        <w:spacing w:line="320" w:lineRule="exact"/>
      </w:pPr>
      <w:r>
        <w:rPr/>
        <w:t>(</w:t>
      </w:r>
      <w:r>
        <w:rPr>
          <w:spacing w:val="-1"/>
        </w:rPr>
        <w:t>四十四) 进行性多灶性白质脑病</w:t>
      </w:r>
    </w:p>
    <w:p>
      <w:pPr>
        <w:pStyle w:val="BodyText"/>
        <w:spacing w:line="417" w:lineRule="auto" w:before="148"/>
        <w:ind w:left="120" w:right="311" w:firstLine="427"/>
      </w:pPr>
      <w:r>
        <w:rPr>
          <w:spacing w:val="-8"/>
        </w:rPr>
        <w:t>是一种亚急性脱髓鞘性脑病，常常发现于免疫缺陷的病人。必须由神经科专科医生根据</w:t>
      </w:r>
      <w:r>
        <w:rPr>
          <w:spacing w:val="-2"/>
        </w:rPr>
        <w:t>脑组织活检确诊。</w:t>
      </w:r>
    </w:p>
    <w:p>
      <w:pPr>
        <w:pStyle w:val="Heading2"/>
        <w:spacing w:line="320" w:lineRule="exact"/>
      </w:pPr>
      <w:r>
        <w:rPr/>
        <w:t>(</w:t>
      </w:r>
      <w:r>
        <w:rPr>
          <w:spacing w:val="-1"/>
        </w:rPr>
        <w:t>四十五) 多处臂丛神经根性撕脱</w:t>
      </w:r>
    </w:p>
    <w:p>
      <w:pPr>
        <w:pStyle w:val="BodyText"/>
        <w:spacing w:line="417" w:lineRule="auto" w:before="148"/>
        <w:ind w:left="120" w:right="311" w:firstLine="427"/>
      </w:pPr>
      <w:r>
        <w:rPr>
          <w:spacing w:val="-7"/>
        </w:rPr>
        <w:t>由于疾病或意外导致至少两根臂丛神经根性撕脱，所造成的手臂感觉功能与运动功能完</w:t>
      </w:r>
      <w:r>
        <w:rPr>
          <w:spacing w:val="-2"/>
        </w:rPr>
        <w:t>全永久性丧失。该病须由医院专科医生明确诊断，并且有电生理检查结果证实。</w:t>
      </w:r>
    </w:p>
    <w:p>
      <w:pPr>
        <w:pStyle w:val="Heading2"/>
        <w:spacing w:line="320" w:lineRule="exact"/>
      </w:pPr>
      <w:r>
        <w:rPr>
          <w:w w:val="95"/>
        </w:rPr>
        <w:t>(</w:t>
      </w:r>
      <w:r>
        <w:rPr>
          <w:w w:val="95"/>
        </w:rPr>
        <w:t>四</w:t>
      </w:r>
      <w:r>
        <w:rPr>
          <w:w w:val="95"/>
        </w:rPr>
        <w:t>十</w:t>
      </w:r>
      <w:r>
        <w:rPr>
          <w:w w:val="95"/>
        </w:rPr>
        <w:t>六)</w:t>
      </w:r>
      <w:r>
        <w:rPr>
          <w:spacing w:val="34"/>
        </w:rPr>
        <w:t> </w:t>
      </w:r>
      <w:r>
        <w:rPr>
          <w:w w:val="95"/>
        </w:rPr>
        <w:t>器</w:t>
      </w:r>
      <w:r>
        <w:rPr>
          <w:w w:val="95"/>
        </w:rPr>
        <w:t>官</w:t>
      </w:r>
      <w:r>
        <w:rPr>
          <w:w w:val="95"/>
        </w:rPr>
        <w:t>移</w:t>
      </w:r>
      <w:r>
        <w:rPr>
          <w:w w:val="95"/>
        </w:rPr>
        <w:t>植</w:t>
      </w:r>
      <w:r>
        <w:rPr>
          <w:w w:val="95"/>
        </w:rPr>
        <w:t>导</w:t>
      </w:r>
      <w:r>
        <w:rPr>
          <w:w w:val="95"/>
        </w:rPr>
        <w:t>致</w:t>
      </w:r>
      <w:r>
        <w:rPr>
          <w:w w:val="95"/>
        </w:rPr>
        <w:t>的</w:t>
      </w:r>
      <w:r>
        <w:rPr>
          <w:spacing w:val="26"/>
        </w:rPr>
        <w:t> </w:t>
      </w:r>
      <w:r>
        <w:rPr>
          <w:w w:val="95"/>
        </w:rPr>
        <w:t>HIV</w:t>
      </w:r>
      <w:r>
        <w:rPr>
          <w:spacing w:val="26"/>
        </w:rPr>
        <w:t> </w:t>
      </w:r>
      <w:r>
        <w:rPr>
          <w:w w:val="95"/>
        </w:rPr>
        <w:t>感</w:t>
      </w:r>
      <w:r>
        <w:rPr>
          <w:spacing w:val="-10"/>
          <w:w w:val="95"/>
        </w:rPr>
        <w:t>染</w:t>
      </w:r>
    </w:p>
    <w:p>
      <w:pPr>
        <w:pStyle w:val="BodyText"/>
        <w:spacing w:before="148"/>
        <w:ind w:left="547"/>
      </w:pPr>
      <w:r>
        <w:rPr>
          <w:spacing w:val="-6"/>
        </w:rPr>
        <w:t>指因进行器官移植而感染上人类免疫缺陷病毒</w:t>
      </w:r>
      <w:r>
        <w:rPr>
          <w:spacing w:val="12"/>
        </w:rPr>
        <w:t>（H</w:t>
      </w:r>
      <w:r>
        <w:rPr>
          <w:spacing w:val="9"/>
        </w:rPr>
        <w:t>IV</w:t>
      </w:r>
      <w:r>
        <w:rPr>
          <w:spacing w:val="-94"/>
        </w:rPr>
        <w:t>）</w:t>
      </w:r>
      <w:r>
        <w:rPr>
          <w:spacing w:val="-7"/>
        </w:rPr>
        <w:t>，且须满足下列全部条件：</w:t>
      </w:r>
    </w:p>
    <w:p>
      <w:pPr>
        <w:pStyle w:val="BodyText"/>
        <w:spacing w:before="7"/>
        <w:rPr>
          <w:sz w:val="15"/>
        </w:rPr>
      </w:pPr>
    </w:p>
    <w:p>
      <w:pPr>
        <w:pStyle w:val="ListParagraph"/>
        <w:numPr>
          <w:ilvl w:val="0"/>
          <w:numId w:val="40"/>
        </w:numPr>
        <w:tabs>
          <w:tab w:pos="1177" w:val="left" w:leader="none"/>
        </w:tabs>
        <w:spacing w:line="240" w:lineRule="auto" w:before="0" w:after="0"/>
        <w:ind w:left="1176" w:right="0" w:hanging="632"/>
        <w:jc w:val="left"/>
        <w:rPr>
          <w:sz w:val="21"/>
        </w:rPr>
      </w:pPr>
      <w:r>
        <w:rPr>
          <w:spacing w:val="-9"/>
          <w:sz w:val="21"/>
        </w:rPr>
        <w:t>被保险人因治疗必需而实施器官移植，并且因器官移植而感染人类免疫缺陷病毒</w:t>
      </w:r>
    </w:p>
    <w:p>
      <w:pPr>
        <w:pStyle w:val="BodyText"/>
        <w:spacing w:before="7"/>
        <w:rPr>
          <w:sz w:val="15"/>
        </w:rPr>
      </w:pPr>
    </w:p>
    <w:p>
      <w:pPr>
        <w:pStyle w:val="BodyText"/>
        <w:ind w:left="120"/>
      </w:pPr>
      <w:r>
        <w:rPr>
          <w:spacing w:val="-2"/>
        </w:rPr>
        <w:t>（HIV）；</w:t>
      </w:r>
    </w:p>
    <w:p>
      <w:pPr>
        <w:pStyle w:val="BodyText"/>
        <w:spacing w:before="6"/>
        <w:rPr>
          <w:sz w:val="15"/>
        </w:rPr>
      </w:pPr>
    </w:p>
    <w:p>
      <w:pPr>
        <w:pStyle w:val="ListParagraph"/>
        <w:numPr>
          <w:ilvl w:val="0"/>
          <w:numId w:val="40"/>
        </w:numPr>
        <w:tabs>
          <w:tab w:pos="1177" w:val="left" w:leader="none"/>
        </w:tabs>
        <w:spacing w:line="417" w:lineRule="auto" w:before="1" w:after="0"/>
        <w:ind w:left="120" w:right="316" w:firstLine="424"/>
        <w:jc w:val="left"/>
        <w:rPr>
          <w:sz w:val="21"/>
        </w:rPr>
      </w:pPr>
      <w:r>
        <w:rPr>
          <w:spacing w:val="-6"/>
          <w:sz w:val="21"/>
        </w:rPr>
        <w:t>提供器官移植治疗的器官移植中心或医院出具该项器官移植感染，属于医疗责任</w:t>
      </w:r>
      <w:r>
        <w:rPr>
          <w:spacing w:val="-2"/>
          <w:sz w:val="21"/>
        </w:rPr>
        <w:t>事故的报告，或者法院终审裁定为医疗责任并且不准上诉；</w:t>
      </w:r>
    </w:p>
    <w:p>
      <w:pPr>
        <w:spacing w:after="0" w:line="417" w:lineRule="auto"/>
        <w:jc w:val="left"/>
        <w:rPr>
          <w:sz w:val="21"/>
        </w:rPr>
        <w:sectPr>
          <w:pgSz w:w="11910" w:h="16840"/>
          <w:pgMar w:header="0" w:footer="1005" w:top="1460" w:bottom="1200" w:left="1680" w:right="1480"/>
        </w:sectPr>
      </w:pPr>
    </w:p>
    <w:p>
      <w:pPr>
        <w:pStyle w:val="ListParagraph"/>
        <w:numPr>
          <w:ilvl w:val="0"/>
          <w:numId w:val="40"/>
        </w:numPr>
        <w:tabs>
          <w:tab w:pos="1177" w:val="left" w:leader="none"/>
        </w:tabs>
        <w:spacing w:line="240" w:lineRule="auto" w:before="61" w:after="0"/>
        <w:ind w:left="1176" w:right="0" w:hanging="632"/>
        <w:jc w:val="left"/>
        <w:rPr>
          <w:sz w:val="21"/>
        </w:rPr>
      </w:pPr>
      <w:r>
        <w:rPr>
          <w:spacing w:val="-3"/>
          <w:sz w:val="21"/>
        </w:rPr>
        <w:t>提供器官移植治疗的器官移植中心或医院必须拥有合法经营执照。</w:t>
      </w:r>
    </w:p>
    <w:p>
      <w:pPr>
        <w:spacing w:line="290" w:lineRule="auto" w:before="132"/>
        <w:ind w:left="120" w:right="316" w:firstLine="427"/>
        <w:jc w:val="left"/>
        <w:rPr>
          <w:rFonts w:ascii="微软雅黑" w:eastAsia="微软雅黑"/>
          <w:b/>
          <w:sz w:val="21"/>
        </w:rPr>
      </w:pPr>
      <w:r>
        <w:rPr>
          <w:rFonts w:ascii="微软雅黑" w:eastAsia="微软雅黑"/>
          <w:b/>
          <w:spacing w:val="-3"/>
          <w:w w:val="100"/>
          <w:sz w:val="21"/>
        </w:rPr>
        <w:t>在任何治愈艾滋病或阻止人类免疫缺陷病毒</w:t>
      </w:r>
      <w:r>
        <w:rPr>
          <w:rFonts w:ascii="微软雅黑" w:eastAsia="微软雅黑"/>
          <w:b/>
          <w:w w:val="100"/>
          <w:sz w:val="21"/>
        </w:rPr>
        <w:t>（</w:t>
      </w:r>
      <w:r>
        <w:rPr>
          <w:rFonts w:ascii="微软雅黑" w:eastAsia="微软雅黑"/>
          <w:b/>
          <w:w w:val="80"/>
          <w:sz w:val="21"/>
        </w:rPr>
        <w:t>HIV</w:t>
      </w:r>
      <w:r>
        <w:rPr>
          <w:rFonts w:ascii="微软雅黑" w:eastAsia="微软雅黑"/>
          <w:b/>
          <w:spacing w:val="-13"/>
          <w:w w:val="100"/>
          <w:sz w:val="21"/>
        </w:rPr>
        <w:t>）</w:t>
      </w:r>
      <w:r>
        <w:rPr>
          <w:rFonts w:ascii="微软雅黑" w:eastAsia="微软雅黑"/>
          <w:b/>
          <w:spacing w:val="-4"/>
          <w:w w:val="100"/>
          <w:sz w:val="21"/>
        </w:rPr>
        <w:t>病毒作用的疗法被发现以后，或能</w:t>
      </w:r>
      <w:r>
        <w:rPr>
          <w:rFonts w:ascii="微软雅黑" w:eastAsia="微软雅黑"/>
          <w:b/>
          <w:spacing w:val="-3"/>
          <w:w w:val="100"/>
          <w:sz w:val="21"/>
        </w:rPr>
        <w:t>防止艾滋病发生的医疗方法被研究出来以后，本保障将不再予以赔付。</w:t>
      </w:r>
    </w:p>
    <w:p>
      <w:pPr>
        <w:spacing w:line="290" w:lineRule="auto" w:before="0"/>
        <w:ind w:left="120" w:right="209" w:firstLine="427"/>
        <w:jc w:val="left"/>
        <w:rPr>
          <w:rFonts w:ascii="微软雅黑" w:hAnsi="微软雅黑" w:eastAsia="微软雅黑"/>
          <w:b/>
          <w:sz w:val="21"/>
        </w:rPr>
      </w:pPr>
      <w:r>
        <w:rPr>
          <w:rFonts w:ascii="微软雅黑" w:hAnsi="微软雅黑" w:eastAsia="微软雅黑"/>
          <w:b/>
          <w:spacing w:val="-2"/>
          <w:sz w:val="21"/>
        </w:rPr>
        <w:t>我们承担本项疾病责任不受</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pacing w:val="-2"/>
          <w:sz w:val="21"/>
        </w:rPr>
        <w:t>免</w:t>
      </w:r>
      <w:r>
        <w:rPr>
          <w:rFonts w:ascii="微软雅黑" w:hAnsi="微软雅黑" w:eastAsia="微软雅黑"/>
          <w:b/>
          <w:spacing w:val="-2"/>
          <w:sz w:val="21"/>
        </w:rPr>
        <w:t>除</w:t>
      </w:r>
      <w:r>
        <w:rPr>
          <w:rFonts w:ascii="微软雅黑" w:hAnsi="微软雅黑" w:eastAsia="微软雅黑"/>
          <w:b/>
          <w:spacing w:val="-7"/>
          <w:sz w:val="21"/>
        </w:rPr>
        <w:t>中“被保险人感染艾滋病病毒或患艾滋病”</w:t>
      </w:r>
      <w:r>
        <w:rPr>
          <w:rFonts w:ascii="微软雅黑" w:hAnsi="微软雅黑" w:eastAsia="微软雅黑"/>
          <w:b/>
          <w:spacing w:val="-4"/>
          <w:sz w:val="21"/>
        </w:rPr>
        <w:t>的限制。</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2"/>
          <w:sz w:val="21"/>
        </w:rPr>
        <w:t>四十七) 严重哮喘</w:t>
      </w:r>
    </w:p>
    <w:p>
      <w:pPr>
        <w:pStyle w:val="BodyText"/>
        <w:spacing w:line="417" w:lineRule="auto" w:before="147"/>
        <w:ind w:left="120" w:right="311" w:firstLine="427"/>
      </w:pPr>
      <w:r>
        <w:rPr>
          <w:spacing w:val="-7"/>
        </w:rPr>
        <w:t>指一种反复发作的严重支气管阻塞性疾病，经我们认可的专科医生确诊，且必须同时符</w:t>
      </w:r>
      <w:r>
        <w:rPr>
          <w:spacing w:val="-2"/>
        </w:rPr>
        <w:t>合下列标准：</w:t>
      </w:r>
    </w:p>
    <w:p>
      <w:pPr>
        <w:pStyle w:val="ListParagraph"/>
        <w:numPr>
          <w:ilvl w:val="0"/>
          <w:numId w:val="41"/>
        </w:numPr>
        <w:tabs>
          <w:tab w:pos="1177" w:val="left" w:leader="none"/>
        </w:tabs>
        <w:spacing w:line="269" w:lineRule="exact" w:before="0" w:after="0"/>
        <w:ind w:left="1176" w:right="0" w:hanging="632"/>
        <w:jc w:val="left"/>
        <w:rPr>
          <w:sz w:val="21"/>
        </w:rPr>
      </w:pPr>
      <w:r>
        <w:rPr>
          <w:spacing w:val="-3"/>
          <w:sz w:val="21"/>
        </w:rPr>
        <w:t>过去两年中曾因哮喘持续状态住院治疗，并提供完整住院记录；</w:t>
      </w:r>
    </w:p>
    <w:p>
      <w:pPr>
        <w:pStyle w:val="BodyText"/>
        <w:spacing w:before="8"/>
        <w:rPr>
          <w:sz w:val="15"/>
        </w:rPr>
      </w:pPr>
    </w:p>
    <w:p>
      <w:pPr>
        <w:pStyle w:val="ListParagraph"/>
        <w:numPr>
          <w:ilvl w:val="0"/>
          <w:numId w:val="41"/>
        </w:numPr>
        <w:tabs>
          <w:tab w:pos="1177" w:val="left" w:leader="none"/>
        </w:tabs>
        <w:spacing w:line="240" w:lineRule="auto" w:before="0" w:after="0"/>
        <w:ind w:left="1176" w:right="0" w:hanging="632"/>
        <w:jc w:val="left"/>
        <w:rPr>
          <w:sz w:val="21"/>
        </w:rPr>
      </w:pPr>
      <w:r>
        <w:rPr>
          <w:spacing w:val="-4"/>
          <w:sz w:val="21"/>
        </w:rPr>
        <w:t>因慢性过度换气导致胸廓畸形；（桶状胸，X</w:t>
      </w:r>
      <w:r>
        <w:rPr>
          <w:spacing w:val="-8"/>
          <w:sz w:val="21"/>
        </w:rPr>
        <w:t> 线显示肺野透明度增强，心胸比例</w:t>
      </w:r>
    </w:p>
    <w:p>
      <w:pPr>
        <w:pStyle w:val="BodyText"/>
        <w:spacing w:before="6"/>
        <w:rPr>
          <w:sz w:val="15"/>
        </w:rPr>
      </w:pPr>
    </w:p>
    <w:p>
      <w:pPr>
        <w:pStyle w:val="BodyText"/>
        <w:spacing w:before="1"/>
        <w:ind w:left="120"/>
      </w:pPr>
      <w:r>
        <w:rPr>
          <w:spacing w:val="-2"/>
        </w:rPr>
        <w:t>&lt;0.35）；</w:t>
      </w:r>
    </w:p>
    <w:p>
      <w:pPr>
        <w:pStyle w:val="BodyText"/>
        <w:spacing w:before="6"/>
        <w:rPr>
          <w:sz w:val="15"/>
        </w:rPr>
      </w:pPr>
    </w:p>
    <w:p>
      <w:pPr>
        <w:pStyle w:val="ListParagraph"/>
        <w:numPr>
          <w:ilvl w:val="0"/>
          <w:numId w:val="41"/>
        </w:numPr>
        <w:tabs>
          <w:tab w:pos="1177" w:val="left" w:leader="none"/>
        </w:tabs>
        <w:spacing w:line="240" w:lineRule="auto" w:before="0" w:after="0"/>
        <w:ind w:left="1176" w:right="0" w:hanging="632"/>
        <w:jc w:val="left"/>
        <w:rPr>
          <w:sz w:val="21"/>
        </w:rPr>
      </w:pPr>
      <w:r>
        <w:rPr>
          <w:spacing w:val="-3"/>
          <w:sz w:val="21"/>
        </w:rPr>
        <w:t>在家中需要医生处方的氧气治疗法；</w:t>
      </w:r>
    </w:p>
    <w:p>
      <w:pPr>
        <w:pStyle w:val="BodyText"/>
        <w:spacing w:before="7"/>
        <w:rPr>
          <w:sz w:val="15"/>
        </w:rPr>
      </w:pPr>
    </w:p>
    <w:p>
      <w:pPr>
        <w:pStyle w:val="ListParagraph"/>
        <w:numPr>
          <w:ilvl w:val="0"/>
          <w:numId w:val="41"/>
        </w:numPr>
        <w:tabs>
          <w:tab w:pos="1177" w:val="left" w:leader="none"/>
        </w:tabs>
        <w:spacing w:line="357" w:lineRule="auto" w:before="0" w:after="0"/>
        <w:ind w:left="547" w:right="2733" w:hanging="3"/>
        <w:jc w:val="left"/>
        <w:rPr>
          <w:rFonts w:ascii="微软雅黑" w:eastAsia="微软雅黑"/>
          <w:b/>
          <w:sz w:val="21"/>
        </w:rPr>
      </w:pPr>
      <w:r>
        <w:rPr>
          <w:spacing w:val="-2"/>
          <w:sz w:val="21"/>
        </w:rPr>
        <w:t>持续日常服用口服类固醇激素治疗持续至少六个月。</w:t>
      </w:r>
      <w:r>
        <w:rPr>
          <w:rFonts w:ascii="微软雅黑" w:eastAsia="微软雅黑"/>
          <w:b/>
          <w:spacing w:val="-2"/>
          <w:sz w:val="21"/>
        </w:rPr>
        <w:t>被保险人申请理赔时年龄必须在年满二十五周岁之前。</w:t>
      </w:r>
    </w:p>
    <w:p>
      <w:pPr>
        <w:pStyle w:val="Heading2"/>
        <w:spacing w:line="278" w:lineRule="exact"/>
      </w:pPr>
      <w:r>
        <w:rPr>
          <w:w w:val="105"/>
        </w:rPr>
        <w:t>(</w:t>
      </w:r>
      <w:r>
        <w:rPr>
          <w:w w:val="105"/>
        </w:rPr>
        <w:t>四</w:t>
      </w:r>
      <w:r>
        <w:rPr>
          <w:w w:val="105"/>
        </w:rPr>
        <w:t>十</w:t>
      </w:r>
      <w:r>
        <w:rPr>
          <w:spacing w:val="-1"/>
          <w:w w:val="105"/>
        </w:rPr>
        <w:t>八) </w:t>
      </w:r>
      <w:r>
        <w:rPr>
          <w:spacing w:val="-2"/>
          <w:w w:val="105"/>
        </w:rPr>
        <w:t>艾森门格综合征</w:t>
      </w:r>
    </w:p>
    <w:p>
      <w:pPr>
        <w:pStyle w:val="BodyText"/>
        <w:spacing w:line="417" w:lineRule="auto" w:before="148"/>
        <w:ind w:left="120" w:right="311" w:firstLine="427"/>
      </w:pPr>
      <w:r>
        <w:rPr>
          <w:spacing w:val="-7"/>
        </w:rPr>
        <w:t>因心脏病导致的严重肺动脉高压及右向左分流。诊断必须由心脏专科医生经超声心动图</w:t>
      </w:r>
      <w:r>
        <w:rPr>
          <w:spacing w:val="-2"/>
        </w:rPr>
        <w:t>和心导管检查证实及需符合以下所有标准：</w:t>
      </w:r>
    </w:p>
    <w:p>
      <w:pPr>
        <w:pStyle w:val="ListParagraph"/>
        <w:numPr>
          <w:ilvl w:val="0"/>
          <w:numId w:val="42"/>
        </w:numPr>
        <w:tabs>
          <w:tab w:pos="1177" w:val="left" w:leader="none"/>
        </w:tabs>
        <w:spacing w:line="240" w:lineRule="auto" w:before="0" w:after="0"/>
        <w:ind w:left="1176" w:right="0" w:hanging="632"/>
        <w:jc w:val="left"/>
        <w:rPr>
          <w:sz w:val="21"/>
        </w:rPr>
      </w:pPr>
      <w:r>
        <w:rPr>
          <w:spacing w:val="-7"/>
          <w:sz w:val="21"/>
        </w:rPr>
        <w:t>平均肺动脉压高于 </w:t>
      </w:r>
      <w:r>
        <w:rPr>
          <w:spacing w:val="-2"/>
          <w:sz w:val="21"/>
        </w:rPr>
        <w:t>40mmHg；</w:t>
      </w:r>
    </w:p>
    <w:p>
      <w:pPr>
        <w:pStyle w:val="BodyText"/>
        <w:spacing w:before="7"/>
        <w:rPr>
          <w:sz w:val="15"/>
        </w:rPr>
      </w:pPr>
    </w:p>
    <w:p>
      <w:pPr>
        <w:pStyle w:val="ListParagraph"/>
        <w:numPr>
          <w:ilvl w:val="0"/>
          <w:numId w:val="42"/>
        </w:numPr>
        <w:tabs>
          <w:tab w:pos="1177" w:val="left" w:leader="none"/>
        </w:tabs>
        <w:spacing w:line="240" w:lineRule="auto" w:before="0" w:after="0"/>
        <w:ind w:left="1176" w:right="0" w:hanging="632"/>
        <w:jc w:val="left"/>
        <w:rPr>
          <w:sz w:val="21"/>
        </w:rPr>
      </w:pPr>
      <w:r>
        <w:rPr>
          <w:spacing w:val="-8"/>
          <w:sz w:val="21"/>
        </w:rPr>
        <w:t>肺血管阻力高于 </w:t>
      </w:r>
      <w:r>
        <w:rPr>
          <w:spacing w:val="-2"/>
          <w:sz w:val="21"/>
        </w:rPr>
        <w:t>3mm/L/min（Wood</w:t>
      </w:r>
      <w:r>
        <w:rPr>
          <w:spacing w:val="-16"/>
          <w:sz w:val="21"/>
        </w:rPr>
        <w:t> 单位</w:t>
      </w:r>
      <w:r>
        <w:rPr>
          <w:spacing w:val="-5"/>
          <w:sz w:val="21"/>
        </w:rPr>
        <w:t>）；</w:t>
      </w:r>
    </w:p>
    <w:p>
      <w:pPr>
        <w:pStyle w:val="BodyText"/>
        <w:spacing w:before="6"/>
        <w:rPr>
          <w:sz w:val="15"/>
        </w:rPr>
      </w:pPr>
    </w:p>
    <w:p>
      <w:pPr>
        <w:pStyle w:val="ListParagraph"/>
        <w:numPr>
          <w:ilvl w:val="0"/>
          <w:numId w:val="42"/>
        </w:numPr>
        <w:tabs>
          <w:tab w:pos="1177" w:val="left" w:leader="none"/>
        </w:tabs>
        <w:spacing w:line="240" w:lineRule="auto" w:before="1" w:after="0"/>
        <w:ind w:left="1176" w:right="0" w:hanging="632"/>
        <w:jc w:val="left"/>
        <w:rPr>
          <w:sz w:val="21"/>
        </w:rPr>
      </w:pPr>
      <w:r>
        <w:rPr>
          <w:spacing w:val="-6"/>
          <w:sz w:val="21"/>
        </w:rPr>
        <w:t>正常肺微血管楔压低于 </w:t>
      </w:r>
      <w:r>
        <w:rPr>
          <w:spacing w:val="-2"/>
          <w:sz w:val="21"/>
        </w:rPr>
        <w:t>15mmHg；</w:t>
      </w:r>
    </w:p>
    <w:p>
      <w:pPr>
        <w:pStyle w:val="Heading2"/>
        <w:spacing w:line="290" w:lineRule="auto" w:before="131"/>
        <w:ind w:right="325" w:firstLine="427"/>
      </w:pPr>
      <w:r>
        <w:rPr>
          <w:w w:val="100"/>
        </w:rPr>
        <w:t>我们承担本项疾病责任不受本</w:t>
      </w:r>
      <w:r>
        <w:rPr>
          <w:spacing w:val="2"/>
          <w:w w:val="144"/>
        </w:rPr>
        <w:t>合</w:t>
      </w:r>
      <w:r>
        <w:rPr>
          <w:spacing w:val="-5"/>
          <w:w w:val="100"/>
        </w:rPr>
        <w:t>同责任免除中“遗传性疾病，先天性畸形、变形或染</w:t>
      </w:r>
      <w:r>
        <w:rPr>
          <w:w w:val="100"/>
        </w:rPr>
        <w:t>色体异常”的限制。</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四十九) 严重面部烧伤</w:t>
      </w:r>
    </w:p>
    <w:p>
      <w:pPr>
        <w:spacing w:line="357" w:lineRule="auto" w:before="148"/>
        <w:ind w:left="120" w:right="1365" w:firstLine="427"/>
        <w:jc w:val="left"/>
        <w:rPr>
          <w:rFonts w:ascii="微软雅黑" w:hAnsi="微软雅黑" w:eastAsia="微软雅黑"/>
          <w:b/>
          <w:sz w:val="21"/>
        </w:rPr>
      </w:pPr>
      <w:r>
        <w:rPr>
          <w:spacing w:val="-3"/>
          <w:sz w:val="21"/>
        </w:rPr>
        <w:t>指烧伤程度为Ⅲ度，且Ⅲ度烧伤的面积达到面部表面积的 </w:t>
      </w:r>
      <w:r>
        <w:rPr>
          <w:sz w:val="21"/>
        </w:rPr>
        <w:t>80</w:t>
      </w:r>
      <w:r>
        <w:rPr>
          <w:spacing w:val="-18"/>
          <w:sz w:val="21"/>
        </w:rPr>
        <w:t>%或 </w:t>
      </w:r>
      <w:r>
        <w:rPr>
          <w:sz w:val="21"/>
        </w:rPr>
        <w:t>80%以上。 </w:t>
      </w:r>
      <w:r>
        <w:rPr>
          <w:rFonts w:ascii="微软雅黑" w:hAnsi="微软雅黑" w:eastAsia="微软雅黑"/>
          <w:b/>
          <w:sz w:val="21"/>
        </w:rPr>
        <w:t>(五十) 亚急性硬化性全脑炎</w:t>
      </w:r>
    </w:p>
    <w:p>
      <w:pPr>
        <w:pStyle w:val="BodyText"/>
        <w:spacing w:line="228" w:lineRule="exact"/>
        <w:ind w:left="547"/>
      </w:pPr>
      <w:r>
        <w:rPr>
          <w:spacing w:val="-9"/>
        </w:rPr>
        <w:t>指一种以大脑白质和灰质损害为主的全脑炎。本病的发生是由于缺损型麻疹病毒慢性持</w:t>
      </w:r>
    </w:p>
    <w:p>
      <w:pPr>
        <w:pStyle w:val="BodyText"/>
        <w:spacing w:before="7"/>
        <w:rPr>
          <w:sz w:val="15"/>
        </w:rPr>
      </w:pPr>
    </w:p>
    <w:p>
      <w:pPr>
        <w:pStyle w:val="BodyText"/>
        <w:spacing w:line="417" w:lineRule="auto"/>
        <w:ind w:left="120" w:right="311"/>
        <w:jc w:val="both"/>
      </w:pPr>
      <w:r>
        <w:rPr>
          <w:spacing w:val="-4"/>
        </w:rPr>
        <w:t>续感染所致的一种罕见的致命性中枢神经系统退变性疾病。早期以炎症性病变为主，晚期主</w:t>
      </w:r>
      <w:r>
        <w:rPr>
          <w:spacing w:val="-5"/>
        </w:rPr>
        <w:t>要为神经元坏死和胶质增生，核内包涵体是本病的特征性改变之一。疾病确诊 </w:t>
      </w:r>
      <w:r>
        <w:rPr>
          <w:spacing w:val="-4"/>
        </w:rPr>
        <w:t>180</w:t>
      </w:r>
      <w:r>
        <w:rPr>
          <w:spacing w:val="-8"/>
        </w:rPr>
        <w:t> 天后，仍</w:t>
      </w:r>
      <w:r>
        <w:rPr>
          <w:spacing w:val="-2"/>
        </w:rPr>
        <w:t>遗留下列一种或一种以上障碍：</w:t>
      </w:r>
    </w:p>
    <w:p>
      <w:pPr>
        <w:pStyle w:val="ListParagraph"/>
        <w:numPr>
          <w:ilvl w:val="0"/>
          <w:numId w:val="43"/>
        </w:numPr>
        <w:tabs>
          <w:tab w:pos="1177" w:val="left" w:leader="none"/>
        </w:tabs>
        <w:spacing w:line="268" w:lineRule="exact" w:before="0" w:after="0"/>
        <w:ind w:left="1176" w:right="0" w:hanging="632"/>
        <w:jc w:val="both"/>
        <w:rPr>
          <w:sz w:val="21"/>
        </w:rPr>
      </w:pPr>
      <w:r>
        <w:rPr>
          <w:spacing w:val="-3"/>
          <w:sz w:val="21"/>
        </w:rPr>
        <w:t>一肢或一肢以上肢体机能完全丧失；</w:t>
      </w:r>
    </w:p>
    <w:p>
      <w:pPr>
        <w:spacing w:after="0" w:line="268" w:lineRule="exact"/>
        <w:jc w:val="both"/>
        <w:rPr>
          <w:sz w:val="21"/>
        </w:rPr>
        <w:sectPr>
          <w:pgSz w:w="11910" w:h="16840"/>
          <w:pgMar w:header="0" w:footer="1005" w:top="1460" w:bottom="1200" w:left="1680" w:right="1480"/>
        </w:sectPr>
      </w:pPr>
    </w:p>
    <w:p>
      <w:pPr>
        <w:pStyle w:val="ListParagraph"/>
        <w:numPr>
          <w:ilvl w:val="0"/>
          <w:numId w:val="43"/>
        </w:numPr>
        <w:tabs>
          <w:tab w:pos="1177" w:val="left" w:leader="none"/>
        </w:tabs>
        <w:spacing w:line="240" w:lineRule="auto" w:before="61" w:after="0"/>
        <w:ind w:left="1176" w:right="0" w:hanging="632"/>
        <w:jc w:val="left"/>
        <w:rPr>
          <w:sz w:val="21"/>
        </w:rPr>
      </w:pPr>
      <w:r>
        <w:rPr>
          <w:spacing w:val="-3"/>
          <w:sz w:val="21"/>
        </w:rPr>
        <w:t>语言能力或咀嚼吞咽能力完全丧失；</w:t>
      </w:r>
    </w:p>
    <w:p>
      <w:pPr>
        <w:pStyle w:val="BodyText"/>
        <w:spacing w:before="7"/>
        <w:rPr>
          <w:sz w:val="15"/>
        </w:rPr>
      </w:pPr>
    </w:p>
    <w:p>
      <w:pPr>
        <w:pStyle w:val="ListParagraph"/>
        <w:numPr>
          <w:ilvl w:val="0"/>
          <w:numId w:val="43"/>
        </w:numPr>
        <w:tabs>
          <w:tab w:pos="1177" w:val="left" w:leader="none"/>
        </w:tabs>
        <w:spacing w:line="240" w:lineRule="auto"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12"/>
        <w:rPr>
          <w:sz w:val="9"/>
        </w:rPr>
      </w:pPr>
    </w:p>
    <w:p>
      <w:pPr>
        <w:pStyle w:val="BodyText"/>
        <w:spacing w:before="72"/>
        <w:ind w:left="120"/>
      </w:pPr>
      <w:r>
        <w:rPr>
          <w:spacing w:val="-5"/>
        </w:rPr>
        <w:t>上。</w:t>
      </w:r>
    </w:p>
    <w:p>
      <w:pPr>
        <w:pStyle w:val="Heading2"/>
        <w:spacing w:before="131"/>
      </w:pPr>
      <w:r>
        <w:rPr/>
        <w:t>(</w:t>
      </w:r>
      <w:r>
        <w:rPr>
          <w:spacing w:val="-1"/>
        </w:rPr>
        <w:t>五十一) 严重结核性脑膜炎</w:t>
      </w:r>
    </w:p>
    <w:p>
      <w:pPr>
        <w:pStyle w:val="BodyText"/>
        <w:spacing w:before="149"/>
        <w:ind w:left="547"/>
      </w:pPr>
      <w:r>
        <w:rPr>
          <w:spacing w:val="-3"/>
        </w:rPr>
        <w:t>由结核杆菌引起的脑膜和脊膜的非化脓性炎症性疾病。需满足以下全部条件：</w:t>
      </w:r>
    </w:p>
    <w:p>
      <w:pPr>
        <w:pStyle w:val="BodyText"/>
        <w:spacing w:before="6"/>
        <w:rPr>
          <w:sz w:val="15"/>
        </w:rPr>
      </w:pPr>
    </w:p>
    <w:p>
      <w:pPr>
        <w:pStyle w:val="ListParagraph"/>
        <w:numPr>
          <w:ilvl w:val="0"/>
          <w:numId w:val="44"/>
        </w:numPr>
        <w:tabs>
          <w:tab w:pos="1177" w:val="left" w:leader="none"/>
        </w:tabs>
        <w:spacing w:line="240" w:lineRule="auto" w:before="0" w:after="0"/>
        <w:ind w:left="1176" w:right="0" w:hanging="632"/>
        <w:jc w:val="left"/>
        <w:rPr>
          <w:sz w:val="21"/>
        </w:rPr>
      </w:pPr>
      <w:r>
        <w:rPr>
          <w:spacing w:val="-3"/>
          <w:sz w:val="21"/>
        </w:rPr>
        <w:t>出现颅内压明显增高，表现头痛、呕吐和视乳头水肿；</w:t>
      </w:r>
    </w:p>
    <w:p>
      <w:pPr>
        <w:pStyle w:val="BodyText"/>
        <w:spacing w:before="7"/>
        <w:rPr>
          <w:sz w:val="15"/>
        </w:rPr>
      </w:pPr>
    </w:p>
    <w:p>
      <w:pPr>
        <w:pStyle w:val="ListParagraph"/>
        <w:numPr>
          <w:ilvl w:val="0"/>
          <w:numId w:val="44"/>
        </w:numPr>
        <w:tabs>
          <w:tab w:pos="1177" w:val="left" w:leader="none"/>
        </w:tabs>
        <w:spacing w:line="240" w:lineRule="auto" w:before="0" w:after="0"/>
        <w:ind w:left="1176" w:right="0" w:hanging="632"/>
        <w:jc w:val="left"/>
        <w:rPr>
          <w:sz w:val="21"/>
        </w:rPr>
      </w:pPr>
      <w:r>
        <w:rPr>
          <w:spacing w:val="-3"/>
          <w:sz w:val="21"/>
        </w:rPr>
        <w:t>出现部分性、全身性癫痫发作或癫痫持续状态；</w:t>
      </w:r>
    </w:p>
    <w:p>
      <w:pPr>
        <w:pStyle w:val="BodyText"/>
        <w:spacing w:before="7"/>
        <w:rPr>
          <w:sz w:val="15"/>
        </w:rPr>
      </w:pPr>
    </w:p>
    <w:p>
      <w:pPr>
        <w:pStyle w:val="ListParagraph"/>
        <w:numPr>
          <w:ilvl w:val="0"/>
          <w:numId w:val="44"/>
        </w:numPr>
        <w:tabs>
          <w:tab w:pos="1177" w:val="left" w:leader="none"/>
        </w:tabs>
        <w:spacing w:line="240" w:lineRule="auto" w:before="0" w:after="0"/>
        <w:ind w:left="1176" w:right="0" w:hanging="632"/>
        <w:jc w:val="left"/>
        <w:rPr>
          <w:sz w:val="21"/>
        </w:rPr>
      </w:pPr>
      <w:r>
        <w:rPr>
          <w:spacing w:val="-4"/>
          <w:sz w:val="21"/>
        </w:rPr>
        <w:t>昏睡或意识模糊；</w:t>
      </w:r>
    </w:p>
    <w:p>
      <w:pPr>
        <w:pStyle w:val="BodyText"/>
        <w:spacing w:before="6"/>
        <w:rPr>
          <w:sz w:val="15"/>
        </w:rPr>
      </w:pPr>
    </w:p>
    <w:p>
      <w:pPr>
        <w:pStyle w:val="ListParagraph"/>
        <w:numPr>
          <w:ilvl w:val="0"/>
          <w:numId w:val="44"/>
        </w:numPr>
        <w:tabs>
          <w:tab w:pos="1177" w:val="left" w:leader="none"/>
        </w:tabs>
        <w:spacing w:line="357" w:lineRule="auto" w:before="1" w:after="0"/>
        <w:ind w:left="120" w:right="4622" w:firstLine="424"/>
        <w:jc w:val="left"/>
        <w:rPr>
          <w:rFonts w:ascii="微软雅黑" w:eastAsia="微软雅黑"/>
          <w:b/>
          <w:sz w:val="21"/>
        </w:rPr>
      </w:pPr>
      <w:r>
        <w:rPr>
          <w:spacing w:val="-2"/>
          <w:sz w:val="21"/>
        </w:rPr>
        <w:t>视力减退、复视和面神经麻痹。</w:t>
      </w:r>
      <w:r>
        <w:rPr>
          <w:spacing w:val="-2"/>
          <w:sz w:val="21"/>
        </w:rPr>
        <w:t> </w:t>
      </w:r>
      <w:r>
        <w:rPr>
          <w:rFonts w:ascii="微软雅黑" w:eastAsia="微软雅黑"/>
          <w:b/>
          <w:w w:val="105"/>
          <w:sz w:val="21"/>
        </w:rPr>
        <w:t>(</w:t>
      </w:r>
      <w:r>
        <w:rPr>
          <w:rFonts w:ascii="微软雅黑" w:eastAsia="微软雅黑"/>
          <w:b/>
          <w:w w:val="105"/>
          <w:sz w:val="21"/>
        </w:rPr>
        <w:t>五</w:t>
      </w:r>
      <w:r>
        <w:rPr>
          <w:rFonts w:ascii="微软雅黑" w:eastAsia="微软雅黑"/>
          <w:b/>
          <w:w w:val="105"/>
          <w:sz w:val="21"/>
        </w:rPr>
        <w:t>十</w:t>
      </w:r>
      <w:r>
        <w:rPr>
          <w:rFonts w:ascii="微软雅黑" w:eastAsia="微软雅黑"/>
          <w:b/>
          <w:w w:val="105"/>
          <w:sz w:val="21"/>
        </w:rPr>
        <w:t>二) </w:t>
      </w:r>
      <w:r>
        <w:rPr>
          <w:rFonts w:ascii="微软雅黑" w:eastAsia="微软雅黑"/>
          <w:b/>
          <w:w w:val="105"/>
          <w:sz w:val="21"/>
        </w:rPr>
        <w:t>疾</w:t>
      </w:r>
      <w:r>
        <w:rPr>
          <w:rFonts w:ascii="微软雅黑" w:eastAsia="微软雅黑"/>
          <w:b/>
          <w:w w:val="105"/>
          <w:sz w:val="21"/>
        </w:rPr>
        <w:t>病</w:t>
      </w:r>
      <w:r>
        <w:rPr>
          <w:rFonts w:ascii="微软雅黑" w:eastAsia="微软雅黑"/>
          <w:b/>
          <w:w w:val="105"/>
          <w:sz w:val="21"/>
        </w:rPr>
        <w:t>或</w:t>
      </w:r>
      <w:r>
        <w:rPr>
          <w:rFonts w:ascii="微软雅黑" w:eastAsia="微软雅黑"/>
          <w:b/>
          <w:w w:val="105"/>
          <w:sz w:val="21"/>
        </w:rPr>
        <w:t>外</w:t>
      </w:r>
      <w:r>
        <w:rPr>
          <w:rFonts w:ascii="微软雅黑" w:eastAsia="微软雅黑"/>
          <w:b/>
          <w:w w:val="105"/>
          <w:sz w:val="21"/>
        </w:rPr>
        <w:t>伤</w:t>
      </w:r>
      <w:r>
        <w:rPr>
          <w:rFonts w:ascii="微软雅黑" w:eastAsia="微软雅黑"/>
          <w:b/>
          <w:w w:val="105"/>
          <w:sz w:val="21"/>
        </w:rPr>
        <w:t>所</w:t>
      </w:r>
      <w:r>
        <w:rPr>
          <w:rFonts w:ascii="微软雅黑" w:eastAsia="微软雅黑"/>
          <w:b/>
          <w:w w:val="105"/>
          <w:sz w:val="21"/>
        </w:rPr>
        <w:t>致</w:t>
      </w:r>
      <w:r>
        <w:rPr>
          <w:rFonts w:ascii="微软雅黑" w:eastAsia="微软雅黑"/>
          <w:b/>
          <w:w w:val="105"/>
          <w:sz w:val="21"/>
        </w:rPr>
        <w:t>智</w:t>
      </w:r>
      <w:r>
        <w:rPr>
          <w:rFonts w:ascii="微软雅黑" w:eastAsia="微软雅黑"/>
          <w:b/>
          <w:w w:val="105"/>
          <w:sz w:val="21"/>
        </w:rPr>
        <w:t>力</w:t>
      </w:r>
      <w:r>
        <w:rPr>
          <w:rFonts w:ascii="微软雅黑" w:eastAsia="微软雅黑"/>
          <w:b/>
          <w:w w:val="105"/>
          <w:sz w:val="21"/>
        </w:rPr>
        <w:t>障</w:t>
      </w:r>
      <w:r>
        <w:rPr>
          <w:rFonts w:ascii="微软雅黑" w:eastAsia="微软雅黑"/>
          <w:b/>
          <w:w w:val="105"/>
          <w:sz w:val="21"/>
        </w:rPr>
        <w:t>碍</w:t>
      </w:r>
    </w:p>
    <w:p>
      <w:pPr>
        <w:pStyle w:val="BodyText"/>
        <w:spacing w:line="228" w:lineRule="exact"/>
        <w:ind w:left="547"/>
      </w:pPr>
      <w:r>
        <w:rPr>
          <w:spacing w:val="-8"/>
        </w:rPr>
        <w:t>因严重头部创伤或疾病造成被保险人智力低常（智力低于常态</w:t>
      </w:r>
      <w:r>
        <w:rPr>
          <w:spacing w:val="-108"/>
        </w:rPr>
        <w:t>）</w:t>
      </w:r>
      <w:r>
        <w:rPr>
          <w:spacing w:val="-8"/>
        </w:rPr>
        <w:t>。根据智商</w:t>
      </w:r>
      <w:r>
        <w:rPr>
          <w:spacing w:val="16"/>
        </w:rPr>
        <w:t>（</w:t>
      </w:r>
      <w:r>
        <w:rPr>
          <w:spacing w:val="19"/>
        </w:rPr>
        <w:t>IQ</w:t>
      </w:r>
      <w:r>
        <w:rPr>
          <w:spacing w:val="-89"/>
        </w:rPr>
        <w:t>）</w:t>
      </w:r>
      <w:r>
        <w:rPr>
          <w:spacing w:val="-8"/>
        </w:rPr>
        <w:t>，智力</w:t>
      </w:r>
    </w:p>
    <w:p>
      <w:pPr>
        <w:pStyle w:val="BodyText"/>
        <w:spacing w:before="6"/>
        <w:rPr>
          <w:sz w:val="15"/>
        </w:rPr>
      </w:pPr>
    </w:p>
    <w:p>
      <w:pPr>
        <w:pStyle w:val="BodyText"/>
        <w:spacing w:line="417" w:lineRule="auto"/>
        <w:ind w:left="120" w:right="311"/>
        <w:jc w:val="both"/>
      </w:pPr>
      <w:r>
        <w:rPr>
          <w:spacing w:val="-6"/>
        </w:rPr>
        <w:t>低常分为轻度（IQ50-</w:t>
      </w:r>
      <w:r>
        <w:rPr>
          <w:spacing w:val="30"/>
        </w:rPr>
        <w:t>70</w:t>
      </w:r>
      <w:r>
        <w:rPr>
          <w:spacing w:val="-78"/>
        </w:rPr>
        <w:t>）</w:t>
      </w:r>
      <w:r>
        <w:rPr>
          <w:spacing w:val="-6"/>
        </w:rPr>
        <w:t>、中度（IQ35-</w:t>
      </w:r>
      <w:r>
        <w:rPr>
          <w:spacing w:val="29"/>
        </w:rPr>
        <w:t>50</w:t>
      </w:r>
      <w:r>
        <w:rPr>
          <w:spacing w:val="-77"/>
        </w:rPr>
        <w:t>）</w:t>
      </w:r>
      <w:r>
        <w:rPr>
          <w:spacing w:val="-6"/>
        </w:rPr>
        <w:t>、重度（IQ20-35）和极重度</w:t>
      </w:r>
      <w:r>
        <w:rPr>
          <w:spacing w:val="8"/>
        </w:rPr>
        <w:t>（</w:t>
      </w:r>
      <w:r>
        <w:rPr>
          <w:spacing w:val="9"/>
        </w:rPr>
        <w:t>I</w:t>
      </w:r>
      <w:r>
        <w:rPr>
          <w:spacing w:val="6"/>
        </w:rPr>
        <w:t>Q</w:t>
      </w:r>
      <w:r>
        <w:rPr>
          <w:spacing w:val="9"/>
        </w:rPr>
        <w:t>&lt;2</w:t>
      </w:r>
      <w:r>
        <w:rPr>
          <w:spacing w:val="8"/>
        </w:rPr>
        <w:t>0</w:t>
      </w:r>
      <w:r>
        <w:rPr>
          <w:spacing w:val="-97"/>
        </w:rPr>
        <w:t>）</w:t>
      </w:r>
      <w:r>
        <w:rPr>
          <w:spacing w:val="-6"/>
        </w:rPr>
        <w:t>。智商的</w:t>
      </w:r>
      <w:r>
        <w:rPr>
          <w:spacing w:val="-7"/>
        </w:rPr>
        <w:t>检测必须由我们认可的专职心理测验工作者进行，心理测验工作者必须持有由心理测量专业</w:t>
      </w:r>
      <w:r>
        <w:rPr>
          <w:spacing w:val="-8"/>
        </w:rPr>
        <w:t>委员会资格认定书。根据被保险人年龄采用对应的智力量表如韦克斯勒智力量表</w:t>
      </w:r>
      <w:r>
        <w:rPr>
          <w:spacing w:val="-2"/>
        </w:rPr>
        <w:t>（儿童智力</w:t>
      </w:r>
      <w:r>
        <w:rPr>
          <w:spacing w:val="-2"/>
        </w:rPr>
        <w:t>量表或成人智力量表</w:t>
      </w:r>
      <w:r>
        <w:rPr>
          <w:spacing w:val="-106"/>
        </w:rPr>
        <w:t>）</w:t>
      </w:r>
      <w:r>
        <w:rPr>
          <w:spacing w:val="-2"/>
        </w:rPr>
        <w:t>。必须满足下列全部条件：</w:t>
      </w:r>
    </w:p>
    <w:p>
      <w:pPr>
        <w:pStyle w:val="ListParagraph"/>
        <w:numPr>
          <w:ilvl w:val="0"/>
          <w:numId w:val="45"/>
        </w:numPr>
        <w:tabs>
          <w:tab w:pos="1177" w:val="left" w:leader="none"/>
        </w:tabs>
        <w:spacing w:line="417" w:lineRule="auto" w:before="0" w:after="0"/>
        <w:ind w:left="120" w:right="311" w:firstLine="424"/>
        <w:jc w:val="left"/>
        <w:rPr>
          <w:sz w:val="21"/>
        </w:rPr>
      </w:pPr>
      <w:r>
        <w:rPr>
          <w:spacing w:val="-4"/>
          <w:sz w:val="21"/>
        </w:rPr>
        <w:t>造成被保险人智力低常（智力低于常态）的严重头部创伤或疾病（以入院日期为</w:t>
      </w:r>
      <w:r>
        <w:rPr>
          <w:sz w:val="21"/>
        </w:rPr>
        <w:t>准）</w:t>
      </w:r>
      <w:r>
        <w:rPr>
          <w:spacing w:val="-3"/>
          <w:sz w:val="21"/>
        </w:rPr>
        <w:t>发生在被保险人 </w:t>
      </w:r>
      <w:r>
        <w:rPr>
          <w:sz w:val="21"/>
        </w:rPr>
        <w:t>6</w:t>
      </w:r>
      <w:r>
        <w:rPr>
          <w:spacing w:val="-5"/>
          <w:sz w:val="21"/>
        </w:rPr>
        <w:t> 周岁以后；</w:t>
      </w:r>
    </w:p>
    <w:p>
      <w:pPr>
        <w:pStyle w:val="ListParagraph"/>
        <w:numPr>
          <w:ilvl w:val="0"/>
          <w:numId w:val="45"/>
        </w:numPr>
        <w:tabs>
          <w:tab w:pos="1177" w:val="left" w:leader="none"/>
        </w:tabs>
        <w:spacing w:line="240" w:lineRule="auto" w:before="0" w:after="0"/>
        <w:ind w:left="1176" w:right="0" w:hanging="632"/>
        <w:jc w:val="left"/>
        <w:rPr>
          <w:sz w:val="21"/>
        </w:rPr>
      </w:pPr>
      <w:r>
        <w:rPr>
          <w:spacing w:val="-3"/>
          <w:sz w:val="21"/>
        </w:rPr>
        <w:t>专科医师确诊被保险人由于严重头部创伤或疾病造成智力低常；</w:t>
      </w:r>
    </w:p>
    <w:p>
      <w:pPr>
        <w:pStyle w:val="BodyText"/>
        <w:spacing w:before="6"/>
        <w:rPr>
          <w:sz w:val="15"/>
        </w:rPr>
      </w:pPr>
    </w:p>
    <w:p>
      <w:pPr>
        <w:pStyle w:val="ListParagraph"/>
        <w:numPr>
          <w:ilvl w:val="0"/>
          <w:numId w:val="45"/>
        </w:numPr>
        <w:tabs>
          <w:tab w:pos="1177" w:val="left" w:leader="none"/>
        </w:tabs>
        <w:spacing w:line="417" w:lineRule="auto" w:before="0" w:after="0"/>
        <w:ind w:left="120" w:right="206" w:firstLine="424"/>
        <w:jc w:val="left"/>
        <w:rPr>
          <w:sz w:val="21"/>
        </w:rPr>
      </w:pPr>
      <w:r>
        <w:rPr>
          <w:spacing w:val="-6"/>
          <w:sz w:val="21"/>
        </w:rPr>
        <w:t>专职合格心理检测工作者适时做的心理检测证实被保险人智力低常</w:t>
      </w:r>
      <w:r>
        <w:rPr>
          <w:spacing w:val="-2"/>
          <w:sz w:val="21"/>
        </w:rPr>
        <w:t>（</w:t>
      </w:r>
      <w:r>
        <w:rPr>
          <w:spacing w:val="-21"/>
          <w:sz w:val="21"/>
        </w:rPr>
        <w:t>轻度、中度、</w:t>
      </w:r>
      <w:r>
        <w:rPr>
          <w:spacing w:val="-2"/>
          <w:sz w:val="21"/>
        </w:rPr>
        <w:t>重度或极重度）；</w:t>
      </w:r>
    </w:p>
    <w:p>
      <w:pPr>
        <w:pStyle w:val="ListParagraph"/>
        <w:numPr>
          <w:ilvl w:val="0"/>
          <w:numId w:val="45"/>
        </w:numPr>
        <w:tabs>
          <w:tab w:pos="1177" w:val="left" w:leader="none"/>
        </w:tabs>
        <w:spacing w:line="357" w:lineRule="auto" w:before="0" w:after="0"/>
        <w:ind w:left="120" w:right="2942" w:firstLine="424"/>
        <w:jc w:val="left"/>
        <w:rPr>
          <w:rFonts w:ascii="微软雅黑" w:eastAsia="微软雅黑"/>
          <w:b/>
          <w:sz w:val="21"/>
        </w:rPr>
      </w:pPr>
      <w:r>
        <w:rPr>
          <w:spacing w:val="-4"/>
          <w:sz w:val="21"/>
        </w:rPr>
        <w:t>被保险人的智力低常自确认日起持续 </w:t>
      </w:r>
      <w:r>
        <w:rPr>
          <w:sz w:val="21"/>
        </w:rPr>
        <w:t>180</w:t>
      </w:r>
      <w:r>
        <w:rPr>
          <w:spacing w:val="-12"/>
          <w:sz w:val="21"/>
        </w:rPr>
        <w:t> 天以上。</w:t>
      </w:r>
      <w:r>
        <w:rPr>
          <w:sz w:val="21"/>
        </w:rPr>
        <w:t> </w:t>
      </w:r>
      <w:r>
        <w:rPr>
          <w:rFonts w:ascii="微软雅黑" w:eastAsia="微软雅黑"/>
          <w:b/>
          <w:sz w:val="21"/>
        </w:rPr>
        <w:t>(</w:t>
      </w:r>
      <w:r>
        <w:rPr>
          <w:rFonts w:ascii="微软雅黑" w:eastAsia="微软雅黑"/>
          <w:b/>
          <w:sz w:val="21"/>
        </w:rPr>
        <w:t>五十三) 溶血性链球菌引起的坏疽</w:t>
      </w:r>
    </w:p>
    <w:p>
      <w:pPr>
        <w:pStyle w:val="BodyText"/>
        <w:spacing w:line="227" w:lineRule="exact"/>
        <w:ind w:left="547"/>
      </w:pPr>
      <w:r>
        <w:rPr>
          <w:spacing w:val="-3"/>
        </w:rPr>
        <w:t>包围肢体或躯干的浅筋膜和/或深筋膜受到溶血性链球菌的感染，病情在短时间内急剧</w:t>
      </w:r>
    </w:p>
    <w:p>
      <w:pPr>
        <w:pStyle w:val="BodyText"/>
        <w:spacing w:before="7"/>
        <w:rPr>
          <w:sz w:val="15"/>
        </w:rPr>
      </w:pPr>
    </w:p>
    <w:p>
      <w:pPr>
        <w:pStyle w:val="BodyText"/>
        <w:spacing w:line="417" w:lineRule="auto"/>
        <w:ind w:left="120" w:right="311"/>
      </w:pPr>
      <w:r>
        <w:rPr>
          <w:spacing w:val="-10"/>
        </w:rPr>
        <w:t>恶化，已经立刻进行了手术及清创术。最后的诊断必须由微生物或病理学专家进行相关检查</w:t>
      </w:r>
      <w:r>
        <w:rPr>
          <w:spacing w:val="-4"/>
        </w:rPr>
        <w:t>后证实。</w:t>
      </w:r>
    </w:p>
    <w:p>
      <w:pPr>
        <w:pStyle w:val="Heading2"/>
        <w:spacing w:line="320" w:lineRule="exact"/>
        <w:jc w:val="both"/>
      </w:pPr>
      <w:r>
        <w:rPr/>
        <w:t>(</w:t>
      </w:r>
      <w:r>
        <w:rPr>
          <w:spacing w:val="1"/>
        </w:rPr>
        <w:t>五十四) 额颞叶痴呆</w:t>
      </w:r>
    </w:p>
    <w:p>
      <w:pPr>
        <w:pStyle w:val="BodyText"/>
        <w:spacing w:line="417" w:lineRule="auto" w:before="148"/>
        <w:ind w:left="120" w:right="311" w:firstLine="427"/>
        <w:jc w:val="both"/>
      </w:pPr>
      <w:r>
        <w:rPr>
          <w:spacing w:val="-7"/>
        </w:rPr>
        <w:t>指一组以额颞叶萎缩为特征的痴呆综合征，临床以明显的人格、行为改变和认知障碍为</w:t>
      </w:r>
      <w:r>
        <w:rPr>
          <w:spacing w:val="-13"/>
        </w:rPr>
        <w:t>特征。被保险人自主生活能力完全丧失，无法独立完成六项基本日常生活活动中的三项或三</w:t>
      </w:r>
      <w:r>
        <w:rPr>
          <w:spacing w:val="-4"/>
        </w:rPr>
        <w:t>项以上，日常生活必须持续受到他人监护。导致痴呆的疾病必须明确诊断，并且有完整的临</w:t>
      </w:r>
      <w:r>
        <w:rPr>
          <w:spacing w:val="-2"/>
        </w:rPr>
        <w:t>床、实验室和影像学检查结果证实。</w:t>
      </w:r>
    </w:p>
    <w:p>
      <w:pPr>
        <w:spacing w:after="0" w:line="417" w:lineRule="auto"/>
        <w:jc w:val="both"/>
        <w:sectPr>
          <w:pgSz w:w="11910" w:h="16840"/>
          <w:pgMar w:header="0" w:footer="1005" w:top="1460" w:bottom="1200" w:left="1680" w:right="1480"/>
        </w:sectPr>
      </w:pPr>
    </w:p>
    <w:p>
      <w:pPr>
        <w:pStyle w:val="Heading2"/>
        <w:spacing w:line="290" w:lineRule="auto"/>
        <w:ind w:right="2292" w:firstLine="427"/>
      </w:pPr>
      <w:r>
        <w:rPr>
          <w:spacing w:val="-2"/>
        </w:rPr>
        <w:t>神经官能症，精神疾病及酒精中毒所致脑损害不在保障范围内。 </w:t>
      </w:r>
      <w:r>
        <w:rPr>
          <w:w w:val="105"/>
        </w:rPr>
        <w:t>(</w:t>
      </w:r>
      <w:r>
        <w:rPr>
          <w:w w:val="105"/>
        </w:rPr>
        <w:t>五</w:t>
      </w:r>
      <w:r>
        <w:rPr>
          <w:w w:val="105"/>
        </w:rPr>
        <w:t>十</w:t>
      </w:r>
      <w:r>
        <w:rPr>
          <w:w w:val="105"/>
        </w:rPr>
        <w:t>五) </w:t>
      </w:r>
      <w:r>
        <w:rPr>
          <w:w w:val="105"/>
        </w:rPr>
        <w:t>败</w:t>
      </w:r>
      <w:r>
        <w:rPr>
          <w:w w:val="105"/>
        </w:rPr>
        <w:t>血</w:t>
      </w:r>
      <w:r>
        <w:rPr>
          <w:w w:val="105"/>
        </w:rPr>
        <w:t>症</w:t>
      </w:r>
      <w:r>
        <w:rPr>
          <w:w w:val="105"/>
        </w:rPr>
        <w:t>导</w:t>
      </w:r>
      <w:r>
        <w:rPr>
          <w:w w:val="105"/>
        </w:rPr>
        <w:t>致</w:t>
      </w:r>
      <w:r>
        <w:rPr>
          <w:w w:val="105"/>
        </w:rPr>
        <w:t>的</w:t>
      </w:r>
      <w:r>
        <w:rPr>
          <w:w w:val="105"/>
        </w:rPr>
        <w:t>多</w:t>
      </w:r>
      <w:r>
        <w:rPr>
          <w:w w:val="105"/>
        </w:rPr>
        <w:t>器</w:t>
      </w:r>
      <w:r>
        <w:rPr>
          <w:w w:val="105"/>
        </w:rPr>
        <w:t>官功能</w:t>
      </w:r>
      <w:r>
        <w:rPr>
          <w:w w:val="105"/>
        </w:rPr>
        <w:t>障</w:t>
      </w:r>
      <w:r>
        <w:rPr>
          <w:w w:val="105"/>
        </w:rPr>
        <w:t>碍</w:t>
      </w:r>
      <w:r>
        <w:rPr>
          <w:w w:val="105"/>
        </w:rPr>
        <w:t>综</w:t>
      </w:r>
      <w:r>
        <w:rPr>
          <w:w w:val="105"/>
        </w:rPr>
        <w:t>合</w:t>
      </w:r>
      <w:r>
        <w:rPr>
          <w:w w:val="105"/>
        </w:rPr>
        <w:t>征</w:t>
      </w:r>
    </w:p>
    <w:p>
      <w:pPr>
        <w:pStyle w:val="BodyText"/>
        <w:spacing w:line="417" w:lineRule="auto" w:before="61"/>
        <w:ind w:left="120" w:right="311" w:firstLine="427"/>
      </w:pPr>
      <w:r>
        <w:rPr>
          <w:spacing w:val="-7"/>
        </w:rPr>
        <w:t>多器官功能障碍指败血症导致的并发症，一个或多个器官系统生理功能障碍，因该疾病</w:t>
      </w:r>
      <w:r>
        <w:rPr>
          <w:spacing w:val="-5"/>
        </w:rPr>
        <w:t>住院至少 </w:t>
      </w:r>
      <w:r>
        <w:rPr/>
        <w:t>96</w:t>
      </w:r>
      <w:r>
        <w:rPr>
          <w:spacing w:val="-5"/>
        </w:rPr>
        <w:t> 小时，并至少满足以下一条标准：</w:t>
      </w:r>
    </w:p>
    <w:p>
      <w:pPr>
        <w:pStyle w:val="ListParagraph"/>
        <w:numPr>
          <w:ilvl w:val="0"/>
          <w:numId w:val="46"/>
        </w:numPr>
        <w:tabs>
          <w:tab w:pos="1177" w:val="left" w:leader="none"/>
        </w:tabs>
        <w:spacing w:line="269" w:lineRule="exact" w:before="0" w:after="0"/>
        <w:ind w:left="1176" w:right="0" w:hanging="632"/>
        <w:jc w:val="left"/>
        <w:rPr>
          <w:sz w:val="21"/>
        </w:rPr>
      </w:pPr>
      <w:r>
        <w:rPr>
          <w:spacing w:val="-3"/>
          <w:sz w:val="21"/>
        </w:rPr>
        <w:t>呼吸衰竭，需要进行气管插管机械通气；</w:t>
      </w:r>
    </w:p>
    <w:p>
      <w:pPr>
        <w:pStyle w:val="BodyText"/>
        <w:spacing w:before="6"/>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pacing w:val="-2"/>
          <w:sz w:val="21"/>
        </w:rPr>
        <w:t>凝血血小板计数&lt;50x10³</w:t>
      </w:r>
      <w:r>
        <w:rPr>
          <w:spacing w:val="-4"/>
          <w:sz w:val="21"/>
        </w:rPr>
        <w:t>/微升；</w:t>
      </w:r>
    </w:p>
    <w:p>
      <w:pPr>
        <w:pStyle w:val="BodyText"/>
        <w:spacing w:before="7"/>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pacing w:val="-1"/>
          <w:sz w:val="21"/>
        </w:rPr>
        <w:t>肝功能不全，胆红素&gt; </w:t>
      </w:r>
      <w:r>
        <w:rPr>
          <w:sz w:val="21"/>
        </w:rPr>
        <w:t>6mg</w:t>
      </w:r>
      <w:r>
        <w:rPr>
          <w:spacing w:val="-3"/>
          <w:sz w:val="21"/>
        </w:rPr>
        <w:t>/ </w:t>
      </w:r>
      <w:r>
        <w:rPr>
          <w:sz w:val="21"/>
        </w:rPr>
        <w:t>dl</w:t>
      </w:r>
      <w:r>
        <w:rPr>
          <w:spacing w:val="-16"/>
          <w:sz w:val="21"/>
        </w:rPr>
        <w:t> 或&gt; </w:t>
      </w:r>
      <w:r>
        <w:rPr>
          <w:spacing w:val="-2"/>
          <w:sz w:val="21"/>
        </w:rPr>
        <w:t>102µmol/L；</w:t>
      </w:r>
    </w:p>
    <w:p>
      <w:pPr>
        <w:pStyle w:val="BodyText"/>
        <w:spacing w:before="7"/>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pacing w:val="-4"/>
          <w:sz w:val="21"/>
        </w:rPr>
        <w:t>需要用强心剂；</w:t>
      </w:r>
    </w:p>
    <w:p>
      <w:pPr>
        <w:pStyle w:val="BodyText"/>
        <w:spacing w:before="6"/>
        <w:rPr>
          <w:sz w:val="15"/>
        </w:rPr>
      </w:pPr>
    </w:p>
    <w:p>
      <w:pPr>
        <w:pStyle w:val="ListParagraph"/>
        <w:numPr>
          <w:ilvl w:val="0"/>
          <w:numId w:val="46"/>
        </w:numPr>
        <w:tabs>
          <w:tab w:pos="1177" w:val="left" w:leader="none"/>
        </w:tabs>
        <w:spacing w:line="240" w:lineRule="auto" w:before="1" w:after="0"/>
        <w:ind w:left="1176" w:right="0" w:hanging="632"/>
        <w:jc w:val="left"/>
        <w:rPr>
          <w:sz w:val="21"/>
        </w:rPr>
      </w:pPr>
      <w:r>
        <w:rPr>
          <w:sz w:val="21"/>
        </w:rPr>
        <w:t>昏迷格拉斯哥昏迷评分（GCS）&lt;=</w:t>
      </w:r>
      <w:r>
        <w:rPr>
          <w:spacing w:val="-21"/>
          <w:sz w:val="21"/>
        </w:rPr>
        <w:t> </w:t>
      </w:r>
      <w:r>
        <w:rPr>
          <w:spacing w:val="-5"/>
          <w:sz w:val="21"/>
        </w:rPr>
        <w:t>9；</w:t>
      </w:r>
    </w:p>
    <w:p>
      <w:pPr>
        <w:pStyle w:val="BodyText"/>
        <w:spacing w:before="7"/>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z w:val="21"/>
        </w:rPr>
        <w:t>肾功能衰竭，血清肌酐&gt;300µmol/L</w:t>
      </w:r>
      <w:r>
        <w:rPr>
          <w:spacing w:val="-23"/>
          <w:sz w:val="21"/>
        </w:rPr>
        <w:t> 或&gt;为 </w:t>
      </w:r>
      <w:r>
        <w:rPr>
          <w:sz w:val="21"/>
        </w:rPr>
        <w:t>3.5mg</w:t>
      </w:r>
      <w:r>
        <w:rPr>
          <w:spacing w:val="-13"/>
          <w:sz w:val="21"/>
        </w:rPr>
        <w:t> / </w:t>
      </w:r>
      <w:r>
        <w:rPr>
          <w:sz w:val="21"/>
        </w:rPr>
        <w:t>dl</w:t>
      </w:r>
      <w:r>
        <w:rPr>
          <w:spacing w:val="-12"/>
          <w:sz w:val="21"/>
        </w:rPr>
        <w:t> 或尿量&lt;</w:t>
      </w:r>
      <w:r>
        <w:rPr>
          <w:spacing w:val="-2"/>
          <w:sz w:val="21"/>
        </w:rPr>
        <w:t>500ml/d；</w:t>
      </w:r>
    </w:p>
    <w:p>
      <w:pPr>
        <w:pStyle w:val="BodyText"/>
        <w:spacing w:before="6"/>
        <w:rPr>
          <w:sz w:val="15"/>
        </w:rPr>
      </w:pPr>
    </w:p>
    <w:p>
      <w:pPr>
        <w:pStyle w:val="ListParagraph"/>
        <w:numPr>
          <w:ilvl w:val="0"/>
          <w:numId w:val="46"/>
        </w:numPr>
        <w:tabs>
          <w:tab w:pos="1177" w:val="left" w:leader="none"/>
        </w:tabs>
        <w:spacing w:line="240" w:lineRule="auto" w:before="1" w:after="0"/>
        <w:ind w:left="1176" w:right="0" w:hanging="632"/>
        <w:jc w:val="left"/>
        <w:rPr>
          <w:sz w:val="21"/>
        </w:rPr>
      </w:pPr>
      <w:r>
        <w:rPr>
          <w:spacing w:val="-3"/>
          <w:sz w:val="21"/>
        </w:rPr>
        <w:t>败血症有血液和影像学检查证实；</w:t>
      </w:r>
    </w:p>
    <w:p>
      <w:pPr>
        <w:pStyle w:val="BodyText"/>
        <w:spacing w:before="6"/>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pacing w:val="-7"/>
          <w:sz w:val="21"/>
        </w:rPr>
        <w:t>住院重症监护病房最低 </w:t>
      </w:r>
      <w:r>
        <w:rPr>
          <w:spacing w:val="-2"/>
          <w:sz w:val="21"/>
        </w:rPr>
        <w:t>96</w:t>
      </w:r>
      <w:r>
        <w:rPr>
          <w:spacing w:val="-16"/>
          <w:sz w:val="21"/>
        </w:rPr>
        <w:t> 小时；</w:t>
      </w:r>
    </w:p>
    <w:p>
      <w:pPr>
        <w:pStyle w:val="BodyText"/>
        <w:spacing w:before="7"/>
        <w:rPr>
          <w:sz w:val="15"/>
        </w:rPr>
      </w:pPr>
    </w:p>
    <w:p>
      <w:pPr>
        <w:pStyle w:val="ListParagraph"/>
        <w:numPr>
          <w:ilvl w:val="0"/>
          <w:numId w:val="46"/>
        </w:numPr>
        <w:tabs>
          <w:tab w:pos="1177" w:val="left" w:leader="none"/>
        </w:tabs>
        <w:spacing w:line="240" w:lineRule="auto" w:before="0" w:after="0"/>
        <w:ind w:left="1176" w:right="0" w:hanging="632"/>
        <w:jc w:val="left"/>
        <w:rPr>
          <w:sz w:val="21"/>
        </w:rPr>
      </w:pPr>
      <w:r>
        <w:rPr>
          <w:spacing w:val="-7"/>
          <w:sz w:val="21"/>
        </w:rPr>
        <w:t>器官功能障碍维持至少 </w:t>
      </w:r>
      <w:r>
        <w:rPr>
          <w:spacing w:val="-2"/>
          <w:sz w:val="21"/>
        </w:rPr>
        <w:t>15</w:t>
      </w:r>
      <w:r>
        <w:rPr>
          <w:spacing w:val="-21"/>
          <w:sz w:val="21"/>
        </w:rPr>
        <w:t> 天。</w:t>
      </w:r>
    </w:p>
    <w:p>
      <w:pPr>
        <w:spacing w:line="290" w:lineRule="auto" w:before="132"/>
        <w:ind w:left="120" w:right="316" w:firstLine="427"/>
        <w:jc w:val="left"/>
        <w:rPr>
          <w:rFonts w:ascii="微软雅黑" w:eastAsia="微软雅黑"/>
          <w:b/>
          <w:sz w:val="21"/>
        </w:rPr>
      </w:pPr>
      <w:r>
        <w:rPr>
          <w:w w:val="95"/>
          <w:sz w:val="21"/>
        </w:rPr>
        <w:t>败</w:t>
      </w:r>
      <w:r>
        <w:rPr>
          <w:w w:val="95"/>
          <w:sz w:val="21"/>
        </w:rPr>
        <w:t>血</w:t>
      </w:r>
      <w:r>
        <w:rPr>
          <w:spacing w:val="12"/>
          <w:w w:val="95"/>
          <w:sz w:val="21"/>
        </w:rPr>
        <w:t>症引起的</w:t>
      </w:r>
      <w:r>
        <w:rPr>
          <w:w w:val="95"/>
          <w:sz w:val="21"/>
        </w:rPr>
        <w:t>MODS</w:t>
      </w:r>
      <w:r>
        <w:rPr>
          <w:spacing w:val="-9"/>
          <w:w w:val="95"/>
          <w:sz w:val="21"/>
        </w:rPr>
        <w:t> 的</w:t>
      </w:r>
      <w:r>
        <w:rPr>
          <w:w w:val="95"/>
          <w:sz w:val="21"/>
        </w:rPr>
        <w:t>诊</w:t>
      </w:r>
      <w:r>
        <w:rPr>
          <w:w w:val="95"/>
          <w:sz w:val="21"/>
        </w:rPr>
        <w:t>断</w:t>
      </w:r>
      <w:r>
        <w:rPr>
          <w:w w:val="95"/>
          <w:sz w:val="21"/>
        </w:rPr>
        <w:t>应</w:t>
      </w:r>
      <w:r>
        <w:rPr>
          <w:w w:val="95"/>
          <w:sz w:val="21"/>
        </w:rPr>
        <w:t>由</w:t>
      </w:r>
      <w:r>
        <w:rPr>
          <w:w w:val="95"/>
          <w:sz w:val="21"/>
        </w:rPr>
        <w:t>专科医生</w:t>
      </w:r>
      <w:r>
        <w:rPr>
          <w:w w:val="95"/>
          <w:sz w:val="21"/>
        </w:rPr>
        <w:t>证</w:t>
      </w:r>
      <w:r>
        <w:rPr>
          <w:w w:val="95"/>
          <w:sz w:val="21"/>
        </w:rPr>
        <w:t>实</w:t>
      </w:r>
      <w:r>
        <w:rPr>
          <w:spacing w:val="-109"/>
          <w:w w:val="95"/>
          <w:sz w:val="21"/>
        </w:rPr>
        <w:t>。</w:t>
      </w:r>
      <w:r>
        <w:rPr>
          <w:rFonts w:ascii="微软雅黑" w:eastAsia="微软雅黑"/>
          <w:b/>
          <w:w w:val="95"/>
          <w:sz w:val="21"/>
        </w:rPr>
        <w:t>非</w:t>
      </w:r>
      <w:r>
        <w:rPr>
          <w:rFonts w:ascii="微软雅黑" w:eastAsia="微软雅黑"/>
          <w:b/>
          <w:w w:val="95"/>
          <w:sz w:val="21"/>
        </w:rPr>
        <w:t>败</w:t>
      </w:r>
      <w:r>
        <w:rPr>
          <w:rFonts w:ascii="微软雅黑" w:eastAsia="微软雅黑"/>
          <w:b/>
          <w:w w:val="95"/>
          <w:sz w:val="21"/>
        </w:rPr>
        <w:t>血</w:t>
      </w:r>
      <w:r>
        <w:rPr>
          <w:rFonts w:ascii="微软雅黑" w:eastAsia="微软雅黑"/>
          <w:b/>
          <w:w w:val="95"/>
          <w:sz w:val="21"/>
        </w:rPr>
        <w:t>症</w:t>
      </w:r>
      <w:r>
        <w:rPr>
          <w:rFonts w:ascii="微软雅黑" w:eastAsia="微软雅黑"/>
          <w:b/>
          <w:w w:val="95"/>
          <w:sz w:val="21"/>
        </w:rPr>
        <w:t>引</w:t>
      </w:r>
      <w:r>
        <w:rPr>
          <w:rFonts w:ascii="微软雅黑" w:eastAsia="微软雅黑"/>
          <w:b/>
          <w:w w:val="95"/>
          <w:sz w:val="21"/>
        </w:rPr>
        <w:t>起</w:t>
      </w:r>
      <w:r>
        <w:rPr>
          <w:rFonts w:ascii="微软雅黑" w:eastAsia="微软雅黑"/>
          <w:b/>
          <w:w w:val="95"/>
          <w:sz w:val="21"/>
        </w:rPr>
        <w:t>的</w:t>
      </w:r>
      <w:r>
        <w:rPr>
          <w:rFonts w:ascii="微软雅黑" w:eastAsia="微软雅黑"/>
          <w:b/>
          <w:w w:val="95"/>
          <w:sz w:val="21"/>
        </w:rPr>
        <w:t> </w:t>
      </w:r>
      <w:r>
        <w:rPr>
          <w:rFonts w:ascii="微软雅黑" w:eastAsia="微软雅黑"/>
          <w:b/>
          <w:w w:val="90"/>
          <w:sz w:val="21"/>
        </w:rPr>
        <w:t>MODS </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范</w:t>
      </w:r>
      <w:r>
        <w:rPr>
          <w:rFonts w:ascii="微软雅黑" w:eastAsia="微软雅黑"/>
          <w:b/>
          <w:w w:val="95"/>
          <w:sz w:val="21"/>
        </w:rPr>
        <w:t>围</w:t>
      </w:r>
      <w:r>
        <w:rPr>
          <w:rFonts w:ascii="微软雅黑" w:eastAsia="微软雅黑"/>
          <w:b/>
          <w:w w:val="95"/>
          <w:sz w:val="21"/>
        </w:rPr>
        <w:t>内</w:t>
      </w:r>
      <w:r>
        <w:rPr>
          <w:rFonts w:ascii="微软雅黑" w:eastAsia="微软雅黑"/>
          <w:b/>
          <w:w w:val="95"/>
          <w:sz w:val="21"/>
        </w:rPr>
        <w:t>。</w:t>
      </w:r>
      <w:r>
        <w:rPr>
          <w:rFonts w:ascii="微软雅黑" w:eastAsia="微软雅黑"/>
          <w:b/>
          <w:spacing w:val="80"/>
          <w:w w:val="105"/>
          <w:sz w:val="21"/>
        </w:rPr>
        <w:t> </w:t>
      </w:r>
      <w:r>
        <w:rPr>
          <w:rFonts w:ascii="微软雅黑" w:eastAsia="微软雅黑"/>
          <w:b/>
          <w:w w:val="105"/>
          <w:sz w:val="21"/>
        </w:rPr>
        <w:t>(</w:t>
      </w:r>
      <w:r>
        <w:rPr>
          <w:rFonts w:ascii="微软雅黑" w:eastAsia="微软雅黑"/>
          <w:b/>
          <w:w w:val="105"/>
          <w:sz w:val="21"/>
        </w:rPr>
        <w:t>五</w:t>
      </w:r>
      <w:r>
        <w:rPr>
          <w:rFonts w:ascii="微软雅黑" w:eastAsia="微软雅黑"/>
          <w:b/>
          <w:w w:val="105"/>
          <w:sz w:val="21"/>
        </w:rPr>
        <w:t>十</w:t>
      </w:r>
      <w:r>
        <w:rPr>
          <w:rFonts w:ascii="微软雅黑" w:eastAsia="微软雅黑"/>
          <w:b/>
          <w:w w:val="105"/>
          <w:sz w:val="21"/>
        </w:rPr>
        <w:t>六) </w:t>
      </w:r>
      <w:r>
        <w:rPr>
          <w:rFonts w:ascii="微软雅黑" w:eastAsia="微软雅黑"/>
          <w:b/>
          <w:w w:val="105"/>
          <w:sz w:val="21"/>
        </w:rPr>
        <w:t>脑</w:t>
      </w:r>
      <w:r>
        <w:rPr>
          <w:rFonts w:ascii="微软雅黑" w:eastAsia="微软雅黑"/>
          <w:b/>
          <w:w w:val="105"/>
          <w:sz w:val="21"/>
        </w:rPr>
        <w:t>型</w:t>
      </w:r>
      <w:r>
        <w:rPr>
          <w:rFonts w:ascii="微软雅黑" w:eastAsia="微软雅黑"/>
          <w:b/>
          <w:w w:val="105"/>
          <w:sz w:val="21"/>
        </w:rPr>
        <w:t>疟</w:t>
      </w:r>
      <w:r>
        <w:rPr>
          <w:rFonts w:ascii="微软雅黑" w:eastAsia="微软雅黑"/>
          <w:b/>
          <w:w w:val="105"/>
          <w:sz w:val="21"/>
        </w:rPr>
        <w:t>疾</w:t>
      </w:r>
    </w:p>
    <w:p>
      <w:pPr>
        <w:pStyle w:val="BodyText"/>
        <w:spacing w:line="417" w:lineRule="auto" w:before="66"/>
        <w:ind w:left="120" w:right="311" w:firstLine="427"/>
      </w:pPr>
      <w:r>
        <w:rPr>
          <w:spacing w:val="-7"/>
        </w:rPr>
        <w:t>恶性疟原虫严重感染导致的脑病或脑型疟疾，以昏迷为主要特征。脑型疟疾的诊断须由</w:t>
      </w:r>
      <w:r>
        <w:rPr>
          <w:spacing w:val="-2"/>
        </w:rPr>
        <w:t>注册医生确认，且外周血涂片存在恶性疟原虫。</w:t>
      </w:r>
    </w:p>
    <w:p>
      <w:pPr>
        <w:pStyle w:val="Heading2"/>
        <w:spacing w:line="320" w:lineRule="exact"/>
        <w:ind w:left="547"/>
      </w:pPr>
      <w:r>
        <w:rPr>
          <w:spacing w:val="-3"/>
        </w:rPr>
        <w:t>其他明确病因导致的脑病不在保障范围内。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五十七) 严重脊髓灰质炎</w:t>
      </w:r>
    </w:p>
    <w:p>
      <w:pPr>
        <w:pStyle w:val="BodyText"/>
        <w:spacing w:line="417" w:lineRule="auto" w:before="148"/>
        <w:ind w:left="120" w:right="311" w:firstLine="427"/>
      </w:pPr>
      <w:r>
        <w:rPr>
          <w:spacing w:val="-5"/>
        </w:rPr>
        <w:t>是指由于脊髓灰质炎病毒感染所导致的运动功能障碍或呼吸功能减弱的瘫痪性疾病。诊</w:t>
      </w:r>
      <w:r>
        <w:rPr>
          <w:spacing w:val="-5"/>
        </w:rPr>
        <w:t>断必须由我们认可的神经科专科主任医师确认并提供相关的脊髓灰质炎病毒感染的证据</w:t>
      </w:r>
      <w:r>
        <w:rPr>
          <w:spacing w:val="-2"/>
        </w:rPr>
        <w:t>（</w:t>
      </w:r>
      <w:r>
        <w:rPr>
          <w:spacing w:val="-10"/>
        </w:rPr>
        <w:t>例</w:t>
      </w:r>
    </w:p>
    <w:p>
      <w:pPr>
        <w:spacing w:line="320" w:lineRule="exact" w:before="0"/>
        <w:ind w:left="120" w:right="0" w:firstLine="0"/>
        <w:jc w:val="left"/>
        <w:rPr>
          <w:rFonts w:ascii="微软雅黑" w:eastAsia="微软雅黑"/>
          <w:b/>
          <w:sz w:val="21"/>
        </w:rPr>
      </w:pPr>
      <w:r>
        <w:rPr>
          <w:sz w:val="21"/>
        </w:rPr>
        <w:t>如：脑脊液检查或血清学抗体检查报告</w:t>
      </w:r>
      <w:r>
        <w:rPr>
          <w:spacing w:val="-108"/>
          <w:sz w:val="21"/>
        </w:rPr>
        <w:t>）</w:t>
      </w:r>
      <w:r>
        <w:rPr>
          <w:spacing w:val="-5"/>
          <w:sz w:val="21"/>
        </w:rPr>
        <w:t>，</w:t>
      </w:r>
      <w:r>
        <w:rPr>
          <w:rFonts w:ascii="微软雅黑" w:eastAsia="微软雅黑"/>
          <w:b/>
          <w:sz w:val="21"/>
        </w:rPr>
        <w:t>被保险人若无因此感染而导致的瘫痪，则</w:t>
      </w:r>
      <w:r>
        <w:rPr>
          <w:rFonts w:ascii="微软雅黑" w:eastAsia="微软雅黑"/>
          <w:b/>
          <w:sz w:val="21"/>
        </w:rPr>
        <w:t>不</w:t>
      </w:r>
      <w:r>
        <w:rPr>
          <w:rFonts w:ascii="微软雅黑" w:eastAsia="微软雅黑"/>
          <w:b/>
          <w:sz w:val="21"/>
        </w:rPr>
        <w:t>符</w:t>
      </w:r>
      <w:r>
        <w:rPr>
          <w:rFonts w:ascii="微软雅黑" w:eastAsia="微软雅黑"/>
          <w:b/>
          <w:spacing w:val="-10"/>
          <w:sz w:val="21"/>
        </w:rPr>
        <w:t>合</w:t>
      </w:r>
    </w:p>
    <w:p>
      <w:pPr>
        <w:pStyle w:val="Heading2"/>
        <w:spacing w:line="290" w:lineRule="auto" w:before="81"/>
        <w:ind w:right="318"/>
      </w:pPr>
      <w:r>
        <w:rPr>
          <w:w w:val="100"/>
        </w:rPr>
        <w:t>理赔条件。未导致肢体瘫痪及其它病因所致的瘫痪，例如格林</w:t>
      </w:r>
      <w:r>
        <w:rPr>
          <w:w w:val="93"/>
        </w:rPr>
        <w:t>—</w:t>
      </w:r>
      <w:r>
        <w:rPr>
          <w:spacing w:val="2"/>
          <w:w w:val="100"/>
        </w:rPr>
        <w:t>巴利综</w:t>
      </w:r>
      <w:r>
        <w:rPr>
          <w:w w:val="111"/>
        </w:rPr>
        <w:t>合症</w:t>
      </w:r>
      <w:r>
        <w:rPr>
          <w:spacing w:val="2"/>
          <w:w w:val="111"/>
        </w:rPr>
        <w:t>（</w:t>
      </w:r>
      <w:r>
        <w:rPr>
          <w:spacing w:val="-16"/>
          <w:w w:val="100"/>
        </w:rPr>
        <w:t>急性感染性</w:t>
      </w:r>
      <w:r>
        <w:rPr>
          <w:w w:val="100"/>
        </w:rPr>
        <w:t>多神经炎）</w:t>
      </w:r>
      <w:r>
        <w:rPr>
          <w:spacing w:val="-2"/>
          <w:w w:val="100"/>
        </w:rPr>
        <w:t>则不在保障范围以内。</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五十八) 糖尿病导致的双脚截除</w:t>
      </w:r>
    </w:p>
    <w:p>
      <w:pPr>
        <w:pStyle w:val="BodyText"/>
        <w:spacing w:line="417" w:lineRule="auto" w:before="149"/>
        <w:ind w:left="120" w:right="311" w:firstLine="427"/>
      </w:pPr>
      <w:r>
        <w:rPr>
          <w:spacing w:val="-7"/>
        </w:rPr>
        <w:t>因糖尿病引起的外周神经及血管病变导致糖尿病足坏疽，并经认可医院的专科医生实际</w:t>
      </w:r>
      <w:r>
        <w:rPr>
          <w:spacing w:val="-2"/>
        </w:rPr>
        <w:t>已经实施了两个肢体自踝关节近端（靠近躯干端）以上完全断离。</w:t>
      </w:r>
    </w:p>
    <w:p>
      <w:pPr>
        <w:pStyle w:val="Heading2"/>
        <w:spacing w:line="320" w:lineRule="exact"/>
        <w:ind w:left="547"/>
      </w:pPr>
      <w:r>
        <w:rPr>
          <w:spacing w:val="-3"/>
        </w:rPr>
        <w:t>仅切除一个或者多个足趾的情况或者因意外导致的截肢均不在保障范围内。</w:t>
      </w:r>
    </w:p>
    <w:p>
      <w:pPr>
        <w:spacing w:line="331" w:lineRule="auto" w:before="81"/>
        <w:ind w:left="547" w:right="5191" w:hanging="428"/>
        <w:jc w:val="left"/>
        <w:rPr>
          <w:sz w:val="21"/>
        </w:rPr>
      </w:pPr>
      <w:r>
        <w:rPr>
          <w:rFonts w:ascii="微软雅黑" w:eastAsia="微软雅黑"/>
          <w:b/>
          <w:sz w:val="21"/>
        </w:rPr>
        <w:t>(</w:t>
      </w:r>
      <w:r>
        <w:rPr>
          <w:rFonts w:ascii="微软雅黑" w:eastAsia="微软雅黑"/>
          <w:b/>
          <w:sz w:val="21"/>
        </w:rPr>
        <w:t>五十九) 风湿热导致的心脏瓣膜疾病</w:t>
      </w:r>
      <w:r>
        <w:rPr>
          <w:spacing w:val="-2"/>
          <w:w w:val="105"/>
          <w:sz w:val="21"/>
        </w:rPr>
        <w:t>本</w:t>
      </w:r>
      <w:r>
        <w:rPr>
          <w:spacing w:val="-2"/>
          <w:w w:val="105"/>
          <w:sz w:val="21"/>
        </w:rPr>
        <w:t>保</w:t>
      </w:r>
      <w:r>
        <w:rPr>
          <w:spacing w:val="-2"/>
          <w:w w:val="105"/>
          <w:sz w:val="21"/>
        </w:rPr>
        <w:t>障须满足下列所有条</w:t>
      </w:r>
      <w:r>
        <w:rPr>
          <w:spacing w:val="-2"/>
          <w:w w:val="105"/>
          <w:sz w:val="21"/>
        </w:rPr>
        <w:t>件</w:t>
      </w:r>
      <w:r>
        <w:rPr>
          <w:spacing w:val="-2"/>
          <w:w w:val="105"/>
          <w:sz w:val="21"/>
        </w:rPr>
        <w:t>：</w:t>
      </w:r>
    </w:p>
    <w:p>
      <w:pPr>
        <w:spacing w:after="0" w:line="331" w:lineRule="auto"/>
        <w:jc w:val="left"/>
        <w:rPr>
          <w:sz w:val="21"/>
        </w:rPr>
        <w:sectPr>
          <w:pgSz w:w="11910" w:h="16840"/>
          <w:pgMar w:header="0" w:footer="1005" w:top="1460" w:bottom="1200" w:left="1680" w:right="1480"/>
        </w:sectPr>
      </w:pPr>
    </w:p>
    <w:p>
      <w:pPr>
        <w:pStyle w:val="ListParagraph"/>
        <w:numPr>
          <w:ilvl w:val="0"/>
          <w:numId w:val="47"/>
        </w:numPr>
        <w:tabs>
          <w:tab w:pos="1177" w:val="left" w:leader="none"/>
        </w:tabs>
        <w:spacing w:line="240" w:lineRule="auto" w:before="61" w:after="0"/>
        <w:ind w:left="1176" w:right="0" w:hanging="632"/>
        <w:jc w:val="left"/>
        <w:rPr>
          <w:sz w:val="21"/>
        </w:rPr>
      </w:pPr>
      <w:r>
        <w:rPr>
          <w:spacing w:val="-4"/>
          <w:sz w:val="21"/>
        </w:rPr>
        <w:t>经由认可医院的儿科专科医生根据已修订的 </w:t>
      </w:r>
      <w:r>
        <w:rPr>
          <w:spacing w:val="-2"/>
          <w:sz w:val="21"/>
        </w:rPr>
        <w:t>Jones</w:t>
      </w:r>
      <w:r>
        <w:rPr>
          <w:spacing w:val="-10"/>
          <w:sz w:val="21"/>
        </w:rPr>
        <w:t> 标准诊断证实罹患急性风湿</w:t>
      </w:r>
    </w:p>
    <w:p>
      <w:pPr>
        <w:pStyle w:val="BodyText"/>
        <w:spacing w:before="12"/>
        <w:rPr>
          <w:sz w:val="9"/>
        </w:rPr>
      </w:pPr>
    </w:p>
    <w:p>
      <w:pPr>
        <w:pStyle w:val="BodyText"/>
        <w:spacing w:before="72"/>
        <w:ind w:left="120"/>
      </w:pPr>
      <w:r>
        <w:rPr>
          <w:spacing w:val="-5"/>
        </w:rPr>
        <w:t>热；</w:t>
      </w:r>
    </w:p>
    <w:p>
      <w:pPr>
        <w:pStyle w:val="BodyText"/>
        <w:spacing w:before="12"/>
        <w:rPr>
          <w:sz w:val="9"/>
        </w:rPr>
      </w:pPr>
    </w:p>
    <w:p>
      <w:pPr>
        <w:pStyle w:val="ListParagraph"/>
        <w:numPr>
          <w:ilvl w:val="0"/>
          <w:numId w:val="47"/>
        </w:numPr>
        <w:tabs>
          <w:tab w:pos="1177" w:val="left" w:leader="none"/>
        </w:tabs>
        <w:spacing w:line="417" w:lineRule="auto" w:before="72" w:after="0"/>
        <w:ind w:left="120" w:right="313" w:firstLine="424"/>
        <w:jc w:val="both"/>
        <w:rPr>
          <w:sz w:val="21"/>
        </w:rPr>
      </w:pPr>
      <w:r>
        <w:rPr>
          <w:spacing w:val="-4"/>
          <w:sz w:val="21"/>
        </w:rPr>
        <w:t>因风湿热所导致一个或以上最少轻度心脏瓣膜关闭不全（即返流部份达 20%或以</w:t>
      </w:r>
      <w:r>
        <w:rPr>
          <w:spacing w:val="-2"/>
          <w:sz w:val="21"/>
        </w:rPr>
        <w:t>上）或狭窄的心瓣损伤（</w:t>
      </w:r>
      <w:r>
        <w:rPr>
          <w:spacing w:val="-4"/>
          <w:sz w:val="21"/>
        </w:rPr>
        <w:t>即心脏瓣面积为正常值的 </w:t>
      </w:r>
      <w:r>
        <w:rPr>
          <w:spacing w:val="-2"/>
          <w:sz w:val="21"/>
        </w:rPr>
        <w:t>30%或以下）。有关诊断必须由我们认可</w:t>
      </w:r>
      <w:r>
        <w:rPr>
          <w:spacing w:val="-2"/>
          <w:sz w:val="21"/>
        </w:rPr>
        <w:t>医院的的心脏专科医生根据心瓣功能的定量检查证实。</w:t>
      </w:r>
    </w:p>
    <w:p>
      <w:pPr>
        <w:pStyle w:val="Heading2"/>
        <w:spacing w:line="319" w:lineRule="exact"/>
      </w:pPr>
      <w:r>
        <w:rPr/>
        <w:t>(六十) 出血性登革热</w:t>
      </w:r>
    </w:p>
    <w:p>
      <w:pPr>
        <w:pStyle w:val="BodyText"/>
        <w:spacing w:line="417" w:lineRule="auto" w:before="148"/>
        <w:ind w:left="120" w:right="311" w:firstLine="427"/>
        <w:jc w:val="both"/>
      </w:pPr>
      <w:r>
        <w:rPr>
          <w:w w:val="95"/>
        </w:rPr>
        <w:t>它</w:t>
      </w:r>
      <w:r>
        <w:rPr>
          <w:w w:val="95"/>
        </w:rPr>
        <w:t>涵</w:t>
      </w:r>
      <w:r>
        <w:rPr>
          <w:w w:val="95"/>
        </w:rPr>
        <w:t>盖了登革</w:t>
      </w:r>
      <w:r>
        <w:rPr>
          <w:w w:val="95"/>
        </w:rPr>
        <w:t>出</w:t>
      </w:r>
      <w:r>
        <w:rPr>
          <w:w w:val="95"/>
        </w:rPr>
        <w:t>血</w:t>
      </w:r>
      <w:r>
        <w:rPr>
          <w:w w:val="95"/>
        </w:rPr>
        <w:t>热</w:t>
      </w:r>
      <w:r>
        <w:rPr/>
        <w:t> </w:t>
      </w:r>
      <w:r>
        <w:rPr>
          <w:w w:val="95"/>
        </w:rPr>
        <w:t>3</w:t>
      </w:r>
      <w:r>
        <w:rPr/>
        <w:t> </w:t>
      </w:r>
      <w:r>
        <w:rPr>
          <w:w w:val="95"/>
        </w:rPr>
        <w:t>期或</w:t>
      </w:r>
      <w:r>
        <w:rPr/>
        <w:t> </w:t>
      </w:r>
      <w:r>
        <w:rPr>
          <w:w w:val="95"/>
        </w:rPr>
        <w:t>4</w:t>
      </w:r>
      <w:r>
        <w:rPr/>
        <w:t> </w:t>
      </w:r>
      <w:r>
        <w:rPr>
          <w:spacing w:val="-8"/>
          <w:w w:val="95"/>
        </w:rPr>
        <w:t>期，根据世界卫生组</w:t>
      </w:r>
      <w:r>
        <w:rPr>
          <w:w w:val="95"/>
        </w:rPr>
        <w:t>织</w:t>
      </w:r>
      <w:r>
        <w:rPr>
          <w:w w:val="95"/>
        </w:rPr>
        <w:t>的</w:t>
      </w:r>
      <w:r>
        <w:rPr>
          <w:spacing w:val="-8"/>
          <w:w w:val="95"/>
        </w:rPr>
        <w:t>定义，需要登革休克</w:t>
      </w:r>
      <w:r>
        <w:rPr>
          <w:w w:val="95"/>
        </w:rPr>
        <w:t>综</w:t>
      </w:r>
      <w:r>
        <w:rPr>
          <w:w w:val="95"/>
        </w:rPr>
        <w:t>合</w:t>
      </w:r>
      <w:r>
        <w:rPr>
          <w:w w:val="95"/>
        </w:rPr>
        <w:t>症</w:t>
      </w:r>
      <w:r>
        <w:rPr>
          <w:w w:val="95"/>
        </w:rPr>
        <w:t>的</w:t>
      </w:r>
      <w:r>
        <w:rPr>
          <w:w w:val="95"/>
        </w:rPr>
        <w:t>明</w:t>
      </w:r>
      <w:r>
        <w:rPr>
          <w:spacing w:val="-2"/>
        </w:rPr>
        <w:t>确证据和登革热感染的确认，以及登革热确诊血清学检测；并满足下列要求：</w:t>
      </w:r>
    </w:p>
    <w:p>
      <w:pPr>
        <w:pStyle w:val="ListParagraph"/>
        <w:numPr>
          <w:ilvl w:val="0"/>
          <w:numId w:val="48"/>
        </w:numPr>
        <w:tabs>
          <w:tab w:pos="1177" w:val="left" w:leader="none"/>
        </w:tabs>
        <w:spacing w:line="269" w:lineRule="exact" w:before="0" w:after="0"/>
        <w:ind w:left="1176" w:right="0" w:hanging="632"/>
        <w:jc w:val="left"/>
        <w:rPr>
          <w:sz w:val="21"/>
        </w:rPr>
      </w:pPr>
      <w:r>
        <w:rPr>
          <w:spacing w:val="-2"/>
          <w:sz w:val="21"/>
        </w:rPr>
        <w:t>持续高烧的历史（至少两天</w:t>
      </w:r>
      <w:r>
        <w:rPr>
          <w:spacing w:val="-5"/>
          <w:sz w:val="21"/>
        </w:rPr>
        <w:t>）；</w:t>
      </w:r>
    </w:p>
    <w:p>
      <w:pPr>
        <w:pStyle w:val="BodyText"/>
        <w:spacing w:before="7"/>
        <w:rPr>
          <w:sz w:val="15"/>
        </w:rPr>
      </w:pPr>
    </w:p>
    <w:p>
      <w:pPr>
        <w:pStyle w:val="ListParagraph"/>
        <w:numPr>
          <w:ilvl w:val="0"/>
          <w:numId w:val="48"/>
        </w:numPr>
        <w:tabs>
          <w:tab w:pos="1177" w:val="left" w:leader="none"/>
        </w:tabs>
        <w:spacing w:line="240" w:lineRule="auto" w:before="0" w:after="0"/>
        <w:ind w:left="1176" w:right="0" w:hanging="632"/>
        <w:jc w:val="left"/>
        <w:rPr>
          <w:sz w:val="21"/>
        </w:rPr>
      </w:pPr>
      <w:r>
        <w:rPr>
          <w:spacing w:val="-3"/>
          <w:sz w:val="21"/>
        </w:rPr>
        <w:t>轻微或严重出血表现；</w:t>
      </w:r>
    </w:p>
    <w:p>
      <w:pPr>
        <w:pStyle w:val="BodyText"/>
        <w:spacing w:before="7"/>
        <w:rPr>
          <w:sz w:val="15"/>
        </w:rPr>
      </w:pPr>
    </w:p>
    <w:p>
      <w:pPr>
        <w:pStyle w:val="ListParagraph"/>
        <w:numPr>
          <w:ilvl w:val="0"/>
          <w:numId w:val="48"/>
        </w:numPr>
        <w:tabs>
          <w:tab w:pos="1177" w:val="left" w:leader="none"/>
        </w:tabs>
        <w:spacing w:line="240" w:lineRule="auto" w:before="0" w:after="0"/>
        <w:ind w:left="1176" w:right="0" w:hanging="632"/>
        <w:jc w:val="left"/>
        <w:rPr>
          <w:sz w:val="21"/>
        </w:rPr>
      </w:pPr>
      <w:r>
        <w:rPr>
          <w:spacing w:val="-2"/>
          <w:sz w:val="21"/>
        </w:rPr>
        <w:t>血小板减少症（</w:t>
      </w:r>
      <w:r>
        <w:rPr>
          <w:spacing w:val="-12"/>
          <w:sz w:val="21"/>
        </w:rPr>
        <w:t>小于等于 </w:t>
      </w:r>
      <w:r>
        <w:rPr>
          <w:spacing w:val="-2"/>
          <w:sz w:val="21"/>
        </w:rPr>
        <w:t>100000</w:t>
      </w:r>
      <w:r>
        <w:rPr>
          <w:spacing w:val="-10"/>
          <w:sz w:val="21"/>
        </w:rPr>
        <w:t> 每立方毫米</w:t>
      </w:r>
      <w:r>
        <w:rPr>
          <w:spacing w:val="-5"/>
          <w:sz w:val="21"/>
        </w:rPr>
        <w:t>）；</w:t>
      </w:r>
    </w:p>
    <w:p>
      <w:pPr>
        <w:pStyle w:val="BodyText"/>
        <w:spacing w:before="6"/>
        <w:rPr>
          <w:sz w:val="15"/>
        </w:rPr>
      </w:pPr>
    </w:p>
    <w:p>
      <w:pPr>
        <w:pStyle w:val="ListParagraph"/>
        <w:numPr>
          <w:ilvl w:val="0"/>
          <w:numId w:val="48"/>
        </w:numPr>
        <w:tabs>
          <w:tab w:pos="1177" w:val="left" w:leader="none"/>
        </w:tabs>
        <w:spacing w:line="240" w:lineRule="auto" w:before="0" w:after="0"/>
        <w:ind w:left="1176" w:right="0" w:hanging="632"/>
        <w:jc w:val="left"/>
        <w:rPr>
          <w:sz w:val="21"/>
        </w:rPr>
      </w:pPr>
      <w:r>
        <w:rPr>
          <w:spacing w:val="-2"/>
          <w:sz w:val="21"/>
        </w:rPr>
        <w:t>浓血症（</w:t>
      </w:r>
      <w:r>
        <w:rPr>
          <w:spacing w:val="-7"/>
          <w:sz w:val="21"/>
        </w:rPr>
        <w:t>红细胞压积增加了 </w:t>
      </w:r>
      <w:r>
        <w:rPr>
          <w:spacing w:val="-2"/>
          <w:sz w:val="21"/>
        </w:rPr>
        <w:t>20%或更多</w:t>
      </w:r>
      <w:r>
        <w:rPr>
          <w:spacing w:val="-5"/>
          <w:sz w:val="21"/>
        </w:rPr>
        <w:t>）；</w:t>
      </w:r>
    </w:p>
    <w:p>
      <w:pPr>
        <w:pStyle w:val="BodyText"/>
        <w:spacing w:before="7"/>
        <w:rPr>
          <w:sz w:val="15"/>
        </w:rPr>
      </w:pPr>
    </w:p>
    <w:p>
      <w:pPr>
        <w:pStyle w:val="ListParagraph"/>
        <w:numPr>
          <w:ilvl w:val="0"/>
          <w:numId w:val="48"/>
        </w:numPr>
        <w:tabs>
          <w:tab w:pos="1177" w:val="left" w:leader="none"/>
        </w:tabs>
        <w:spacing w:line="240" w:lineRule="auto" w:before="0" w:after="0"/>
        <w:ind w:left="1176" w:right="0" w:hanging="632"/>
        <w:jc w:val="left"/>
        <w:rPr>
          <w:sz w:val="21"/>
        </w:rPr>
      </w:pPr>
      <w:r>
        <w:rPr>
          <w:spacing w:val="-2"/>
          <w:sz w:val="21"/>
        </w:rPr>
        <w:t>血浆渗漏（即胸水，腹水或低蛋白血症等</w:t>
      </w:r>
      <w:r>
        <w:rPr>
          <w:spacing w:val="-5"/>
          <w:sz w:val="21"/>
        </w:rPr>
        <w:t>）；</w:t>
      </w:r>
    </w:p>
    <w:p>
      <w:pPr>
        <w:pStyle w:val="BodyText"/>
        <w:spacing w:before="7"/>
        <w:rPr>
          <w:sz w:val="15"/>
        </w:rPr>
      </w:pPr>
    </w:p>
    <w:p>
      <w:pPr>
        <w:pStyle w:val="ListParagraph"/>
        <w:numPr>
          <w:ilvl w:val="0"/>
          <w:numId w:val="48"/>
        </w:numPr>
        <w:tabs>
          <w:tab w:pos="1177" w:val="left" w:leader="none"/>
        </w:tabs>
        <w:spacing w:line="240" w:lineRule="auto" w:before="0" w:after="0"/>
        <w:ind w:left="1176" w:right="0" w:hanging="632"/>
        <w:jc w:val="left"/>
        <w:rPr>
          <w:sz w:val="21"/>
        </w:rPr>
      </w:pPr>
      <w:r>
        <w:rPr>
          <w:spacing w:val="-2"/>
          <w:sz w:val="21"/>
        </w:rPr>
        <w:t>登革休克综合征（DSS）</w:t>
      </w:r>
      <w:r>
        <w:rPr>
          <w:spacing w:val="-3"/>
          <w:sz w:val="21"/>
        </w:rPr>
        <w:t>，由专科医生证实，并满足以下标准：</w:t>
      </w:r>
    </w:p>
    <w:p>
      <w:pPr>
        <w:pStyle w:val="BodyText"/>
        <w:spacing w:before="7"/>
        <w:rPr>
          <w:sz w:val="15"/>
        </w:rPr>
      </w:pPr>
    </w:p>
    <w:p>
      <w:pPr>
        <w:pStyle w:val="BodyText"/>
        <w:ind w:left="828"/>
      </w:pPr>
      <w:r>
        <w:rPr/>
        <w:t>① 收缩压低于80毫米汞柱或脉差压减小（20毫米汞柱或更小</w:t>
      </w:r>
      <w:r>
        <w:rPr>
          <w:spacing w:val="-5"/>
        </w:rPr>
        <w:t>）；</w:t>
      </w:r>
    </w:p>
    <w:p>
      <w:pPr>
        <w:pStyle w:val="BodyText"/>
        <w:spacing w:before="6"/>
        <w:rPr>
          <w:sz w:val="15"/>
        </w:rPr>
      </w:pPr>
    </w:p>
    <w:p>
      <w:pPr>
        <w:spacing w:line="357" w:lineRule="auto" w:before="0"/>
        <w:ind w:left="120" w:right="2299" w:firstLine="707"/>
        <w:jc w:val="left"/>
        <w:rPr>
          <w:rFonts w:ascii="微软雅黑" w:hAnsi="微软雅黑" w:eastAsia="微软雅黑"/>
          <w:b/>
          <w:sz w:val="21"/>
        </w:rPr>
      </w:pPr>
      <w:r>
        <w:rPr>
          <w:sz w:val="21"/>
        </w:rPr>
        <w:t>② 组织低灌注，如冷，皮肤湿冷，尿少，或代谢性酸中毒。 </w:t>
      </w:r>
      <w:r>
        <w:rPr>
          <w:rFonts w:ascii="微软雅黑" w:hAnsi="微软雅黑" w:eastAsia="微软雅黑"/>
          <w:b/>
          <w:w w:val="110"/>
          <w:sz w:val="21"/>
        </w:rPr>
        <w:t>(</w:t>
      </w:r>
      <w:r>
        <w:rPr>
          <w:rFonts w:ascii="微软雅黑" w:hAnsi="微软雅黑" w:eastAsia="微软雅黑"/>
          <w:b/>
          <w:w w:val="110"/>
          <w:sz w:val="21"/>
        </w:rPr>
        <w:t>六</w:t>
      </w:r>
      <w:r>
        <w:rPr>
          <w:rFonts w:ascii="微软雅黑" w:hAnsi="微软雅黑" w:eastAsia="微软雅黑"/>
          <w:b/>
          <w:w w:val="110"/>
          <w:sz w:val="21"/>
        </w:rPr>
        <w:t>十</w:t>
      </w:r>
      <w:r>
        <w:rPr>
          <w:rFonts w:ascii="微软雅黑" w:hAnsi="微软雅黑" w:eastAsia="微软雅黑"/>
          <w:b/>
          <w:spacing w:val="-6"/>
          <w:w w:val="110"/>
          <w:sz w:val="21"/>
        </w:rPr>
        <w:t>一) Ⅲ</w:t>
      </w:r>
      <w:r>
        <w:rPr>
          <w:rFonts w:ascii="微软雅黑" w:hAnsi="微软雅黑" w:eastAsia="微软雅黑"/>
          <w:b/>
          <w:w w:val="110"/>
          <w:sz w:val="21"/>
        </w:rPr>
        <w:t>度</w:t>
      </w:r>
      <w:r>
        <w:rPr>
          <w:rFonts w:ascii="微软雅黑" w:hAnsi="微软雅黑" w:eastAsia="微软雅黑"/>
          <w:b/>
          <w:w w:val="110"/>
          <w:sz w:val="21"/>
        </w:rPr>
        <w:t>房</w:t>
      </w:r>
      <w:r>
        <w:rPr>
          <w:rFonts w:ascii="微软雅黑" w:hAnsi="微软雅黑" w:eastAsia="微软雅黑"/>
          <w:b/>
          <w:w w:val="110"/>
          <w:sz w:val="21"/>
        </w:rPr>
        <w:t>室</w:t>
      </w:r>
      <w:r>
        <w:rPr>
          <w:rFonts w:ascii="微软雅黑" w:hAnsi="微软雅黑" w:eastAsia="微软雅黑"/>
          <w:b/>
          <w:w w:val="110"/>
          <w:sz w:val="21"/>
        </w:rPr>
        <w:t>传</w:t>
      </w:r>
      <w:r>
        <w:rPr>
          <w:rFonts w:ascii="微软雅黑" w:hAnsi="微软雅黑" w:eastAsia="微软雅黑"/>
          <w:b/>
          <w:w w:val="110"/>
          <w:sz w:val="21"/>
        </w:rPr>
        <w:t>导</w:t>
      </w:r>
      <w:r>
        <w:rPr>
          <w:rFonts w:ascii="微软雅黑" w:hAnsi="微软雅黑" w:eastAsia="微软雅黑"/>
          <w:b/>
          <w:w w:val="110"/>
          <w:sz w:val="21"/>
        </w:rPr>
        <w:t>阻</w:t>
      </w:r>
      <w:r>
        <w:rPr>
          <w:rFonts w:ascii="微软雅黑" w:hAnsi="微软雅黑" w:eastAsia="微软雅黑"/>
          <w:b/>
          <w:w w:val="110"/>
          <w:sz w:val="21"/>
        </w:rPr>
        <w:t>滞</w:t>
      </w:r>
    </w:p>
    <w:p>
      <w:pPr>
        <w:pStyle w:val="BodyText"/>
        <w:spacing w:line="228" w:lineRule="exact"/>
        <w:ind w:left="547"/>
      </w:pPr>
      <w:r>
        <w:rPr>
          <w:spacing w:val="-6"/>
        </w:rPr>
        <w:t>Ⅲ度房室传导阻滞又称完全性房室传导阻滞是指心房的激动不能正常地传导到心室，造</w:t>
      </w:r>
    </w:p>
    <w:p>
      <w:pPr>
        <w:pStyle w:val="BodyText"/>
        <w:spacing w:before="7"/>
        <w:rPr>
          <w:sz w:val="15"/>
        </w:rPr>
      </w:pPr>
    </w:p>
    <w:p>
      <w:pPr>
        <w:pStyle w:val="BodyText"/>
        <w:spacing w:line="417" w:lineRule="auto"/>
        <w:ind w:left="120" w:right="311"/>
      </w:pPr>
      <w:r>
        <w:rPr>
          <w:spacing w:val="-2"/>
        </w:rPr>
        <w:t>成心室率过于缓慢，出现心力衰竭和因大脑供血不足导致的晕厥、阿-斯综合征。必须由专</w:t>
      </w:r>
      <w:r>
        <w:rPr>
          <w:spacing w:val="-2"/>
        </w:rPr>
        <w:t>科医生明确诊断并且满足下列所有条件：</w:t>
      </w:r>
    </w:p>
    <w:p>
      <w:pPr>
        <w:pStyle w:val="ListParagraph"/>
        <w:numPr>
          <w:ilvl w:val="0"/>
          <w:numId w:val="49"/>
        </w:numPr>
        <w:tabs>
          <w:tab w:pos="1177" w:val="left" w:leader="none"/>
        </w:tabs>
        <w:spacing w:line="269" w:lineRule="exact" w:before="0" w:after="0"/>
        <w:ind w:left="1176" w:right="0" w:hanging="632"/>
        <w:jc w:val="left"/>
        <w:rPr>
          <w:sz w:val="21"/>
        </w:rPr>
      </w:pPr>
      <w:r>
        <w:rPr>
          <w:spacing w:val="-4"/>
          <w:sz w:val="21"/>
        </w:rPr>
        <w:t>心电图表现为室性逸搏心律，心室率持续低于 </w:t>
      </w:r>
      <w:r>
        <w:rPr>
          <w:spacing w:val="-2"/>
          <w:sz w:val="21"/>
        </w:rPr>
        <w:t>40</w:t>
      </w:r>
      <w:r>
        <w:rPr>
          <w:spacing w:val="-14"/>
          <w:sz w:val="21"/>
        </w:rPr>
        <w:t> 次/分；</w:t>
      </w:r>
    </w:p>
    <w:p>
      <w:pPr>
        <w:pStyle w:val="BodyText"/>
        <w:spacing w:before="7"/>
        <w:rPr>
          <w:sz w:val="15"/>
        </w:rPr>
      </w:pPr>
    </w:p>
    <w:p>
      <w:pPr>
        <w:pStyle w:val="ListParagraph"/>
        <w:numPr>
          <w:ilvl w:val="0"/>
          <w:numId w:val="49"/>
        </w:numPr>
        <w:tabs>
          <w:tab w:pos="1177" w:val="left" w:leader="none"/>
        </w:tabs>
        <w:spacing w:line="240" w:lineRule="auto" w:before="0" w:after="0"/>
        <w:ind w:left="1176" w:right="0" w:hanging="632"/>
        <w:jc w:val="left"/>
        <w:rPr>
          <w:sz w:val="21"/>
        </w:rPr>
      </w:pPr>
      <w:r>
        <w:rPr>
          <w:spacing w:val="-3"/>
          <w:sz w:val="21"/>
        </w:rPr>
        <w:t>曾经有晕厥、阿-斯综合征发作；</w:t>
      </w:r>
    </w:p>
    <w:p>
      <w:pPr>
        <w:pStyle w:val="BodyText"/>
        <w:spacing w:before="7"/>
        <w:rPr>
          <w:sz w:val="15"/>
        </w:rPr>
      </w:pPr>
    </w:p>
    <w:p>
      <w:pPr>
        <w:pStyle w:val="ListParagraph"/>
        <w:numPr>
          <w:ilvl w:val="0"/>
          <w:numId w:val="49"/>
        </w:numPr>
        <w:tabs>
          <w:tab w:pos="1177" w:val="left" w:leader="none"/>
        </w:tabs>
        <w:spacing w:line="357" w:lineRule="auto" w:before="0" w:after="0"/>
        <w:ind w:left="120" w:right="4413" w:firstLine="424"/>
        <w:jc w:val="left"/>
        <w:rPr>
          <w:rFonts w:ascii="微软雅黑" w:eastAsia="微软雅黑"/>
          <w:b/>
          <w:sz w:val="21"/>
        </w:rPr>
      </w:pPr>
      <w:r>
        <w:rPr>
          <w:spacing w:val="-2"/>
          <w:sz w:val="21"/>
        </w:rPr>
        <w:t>已经植入人工永久性心脏起搏器。</w:t>
      </w:r>
      <w:r>
        <w:rPr>
          <w:spacing w:val="-2"/>
          <w:sz w:val="21"/>
        </w:rPr>
        <w:t> </w:t>
      </w:r>
      <w:r>
        <w:rPr>
          <w:rFonts w:ascii="微软雅黑" w:eastAsia="微软雅黑"/>
          <w:b/>
          <w:w w:val="110"/>
          <w:sz w:val="21"/>
        </w:rPr>
        <w:t>(</w:t>
      </w:r>
      <w:r>
        <w:rPr>
          <w:rFonts w:ascii="微软雅黑" w:eastAsia="微软雅黑"/>
          <w:b/>
          <w:w w:val="110"/>
          <w:sz w:val="21"/>
        </w:rPr>
        <w:t>六</w:t>
      </w:r>
      <w:r>
        <w:rPr>
          <w:rFonts w:ascii="微软雅黑" w:eastAsia="微软雅黑"/>
          <w:b/>
          <w:w w:val="110"/>
          <w:sz w:val="21"/>
        </w:rPr>
        <w:t>十</w:t>
      </w:r>
      <w:r>
        <w:rPr>
          <w:rFonts w:ascii="微软雅黑" w:eastAsia="微软雅黑"/>
          <w:b/>
          <w:w w:val="110"/>
          <w:sz w:val="21"/>
        </w:rPr>
        <w:t>二) </w:t>
      </w:r>
      <w:r>
        <w:rPr>
          <w:rFonts w:ascii="微软雅黑" w:eastAsia="微软雅黑"/>
          <w:b/>
          <w:w w:val="110"/>
          <w:sz w:val="21"/>
        </w:rPr>
        <w:t>严</w:t>
      </w:r>
      <w:r>
        <w:rPr>
          <w:rFonts w:ascii="微软雅黑" w:eastAsia="微软雅黑"/>
          <w:b/>
          <w:w w:val="110"/>
          <w:sz w:val="21"/>
        </w:rPr>
        <w:t>重</w:t>
      </w:r>
      <w:r>
        <w:rPr>
          <w:rFonts w:ascii="微软雅黑" w:eastAsia="微软雅黑"/>
          <w:b/>
          <w:w w:val="110"/>
          <w:sz w:val="21"/>
        </w:rPr>
        <w:t>癫</w:t>
      </w:r>
      <w:r>
        <w:rPr>
          <w:rFonts w:ascii="微软雅黑" w:eastAsia="微软雅黑"/>
          <w:b/>
          <w:w w:val="110"/>
          <w:sz w:val="21"/>
        </w:rPr>
        <w:t>痫</w:t>
      </w:r>
    </w:p>
    <w:p>
      <w:pPr>
        <w:pStyle w:val="BodyText"/>
        <w:spacing w:line="227" w:lineRule="exact"/>
        <w:ind w:left="547"/>
      </w:pPr>
      <w:r>
        <w:rPr>
          <w:spacing w:val="-4"/>
        </w:rPr>
        <w:t>本病的诊断须由神经科或儿科专科医生根据典型临床症状和脑电图及 </w:t>
      </w:r>
      <w:r>
        <w:rPr>
          <w:spacing w:val="-2"/>
        </w:rPr>
        <w:t>MRI、PET、CT</w:t>
      </w:r>
      <w:r>
        <w:rPr>
          <w:spacing w:val="-23"/>
        </w:rPr>
        <w:t> 等</w:t>
      </w:r>
    </w:p>
    <w:p>
      <w:pPr>
        <w:pStyle w:val="BodyText"/>
        <w:spacing w:before="7"/>
        <w:rPr>
          <w:sz w:val="15"/>
        </w:rPr>
      </w:pPr>
    </w:p>
    <w:p>
      <w:pPr>
        <w:pStyle w:val="BodyText"/>
        <w:spacing w:line="417" w:lineRule="auto"/>
        <w:ind w:left="120" w:right="311"/>
        <w:jc w:val="both"/>
      </w:pPr>
      <w:r>
        <w:rPr>
          <w:spacing w:val="-13"/>
        </w:rPr>
        <w:t>影相学检查做出。理赔时必须提供 </w:t>
      </w:r>
      <w:r>
        <w:rPr>
          <w:spacing w:val="-2"/>
        </w:rPr>
        <w:t>6</w:t>
      </w:r>
      <w:r>
        <w:rPr>
          <w:spacing w:val="-7"/>
        </w:rPr>
        <w:t> 个月以上的相关病历记录证明被保险人存在经抗癫痫药</w:t>
      </w:r>
      <w:r>
        <w:rPr>
          <w:spacing w:val="-6"/>
        </w:rPr>
        <w:t>物治疗无效而反复发作的强直阵挛性发作或癫痫大发作，且已行神经外科手术以治疗反复发</w:t>
      </w:r>
      <w:r>
        <w:rPr>
          <w:spacing w:val="-2"/>
        </w:rPr>
        <w:t>作的癫痫。</w:t>
      </w:r>
    </w:p>
    <w:p>
      <w:pPr>
        <w:pStyle w:val="Heading2"/>
        <w:spacing w:line="319" w:lineRule="exact"/>
        <w:ind w:left="547"/>
      </w:pPr>
      <w:r>
        <w:rPr>
          <w:spacing w:val="-2"/>
        </w:rPr>
        <w:t>发热性惊厥以及没有全身性发作的失神发作（癫痫小发作）</w:t>
      </w:r>
      <w:r>
        <w:rPr>
          <w:spacing w:val="-4"/>
        </w:rPr>
        <w:t>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六十三) 室壁瘤切除手术</w:t>
      </w:r>
    </w:p>
    <w:p>
      <w:pPr>
        <w:spacing w:after="0"/>
        <w:jc w:val="left"/>
        <w:rPr>
          <w:rFonts w:ascii="微软雅黑" w:eastAsia="微软雅黑"/>
          <w:sz w:val="21"/>
        </w:rPr>
        <w:sectPr>
          <w:pgSz w:w="11910" w:h="16840"/>
          <w:pgMar w:header="0" w:footer="1005" w:top="1460" w:bottom="1200" w:left="1680" w:right="1480"/>
        </w:sectPr>
      </w:pPr>
    </w:p>
    <w:p>
      <w:pPr>
        <w:pStyle w:val="BodyText"/>
        <w:spacing w:before="61"/>
        <w:ind w:left="547"/>
      </w:pPr>
      <w:r>
        <w:rPr>
          <w:spacing w:val="-10"/>
        </w:rPr>
        <w:t>被保险人被明确诊断为左室室壁瘤，并且实际接受了开胸开心进行的室壁瘤切除手术治</w:t>
      </w:r>
    </w:p>
    <w:p>
      <w:pPr>
        <w:pStyle w:val="BodyText"/>
        <w:spacing w:before="12"/>
        <w:rPr>
          <w:sz w:val="9"/>
        </w:rPr>
      </w:pPr>
    </w:p>
    <w:p>
      <w:pPr>
        <w:pStyle w:val="BodyText"/>
        <w:spacing w:before="72"/>
        <w:ind w:left="120"/>
      </w:pPr>
      <w:r>
        <w:rPr>
          <w:spacing w:val="-5"/>
        </w:rPr>
        <w:t>疗。</w:t>
      </w:r>
    </w:p>
    <w:p>
      <w:pPr>
        <w:pStyle w:val="BodyText"/>
        <w:spacing w:before="12"/>
        <w:rPr>
          <w:sz w:val="9"/>
        </w:rPr>
      </w:pPr>
    </w:p>
    <w:p>
      <w:pPr>
        <w:pStyle w:val="Heading2"/>
        <w:spacing w:line="290" w:lineRule="auto" w:before="4"/>
        <w:ind w:right="3977" w:firstLine="427"/>
      </w:pPr>
      <w:r>
        <w:rPr>
          <w:spacing w:val="-2"/>
        </w:rPr>
        <w:t>经导管心室内成型手术治疗不在保障范围内。 </w:t>
      </w:r>
      <w:r>
        <w:rPr>
          <w:w w:val="110"/>
        </w:rPr>
        <w:t>(</w:t>
      </w:r>
      <w:r>
        <w:rPr>
          <w:w w:val="110"/>
        </w:rPr>
        <w:t>六</w:t>
      </w:r>
      <w:r>
        <w:rPr>
          <w:w w:val="110"/>
        </w:rPr>
        <w:t>十</w:t>
      </w:r>
      <w:r>
        <w:rPr>
          <w:spacing w:val="-7"/>
          <w:w w:val="110"/>
        </w:rPr>
        <w:t>四) </w:t>
      </w:r>
      <w:r>
        <w:rPr>
          <w:w w:val="110"/>
        </w:rPr>
        <w:t>严</w:t>
      </w:r>
      <w:r>
        <w:rPr>
          <w:w w:val="110"/>
        </w:rPr>
        <w:t>重</w:t>
      </w:r>
      <w:r>
        <w:rPr>
          <w:w w:val="110"/>
        </w:rPr>
        <w:t>强</w:t>
      </w:r>
      <w:r>
        <w:rPr>
          <w:w w:val="110"/>
        </w:rPr>
        <w:t>直</w:t>
      </w:r>
      <w:r>
        <w:rPr>
          <w:w w:val="110"/>
        </w:rPr>
        <w:t>性</w:t>
      </w:r>
      <w:r>
        <w:rPr>
          <w:w w:val="110"/>
        </w:rPr>
        <w:t>脊</w:t>
      </w:r>
      <w:r>
        <w:rPr>
          <w:w w:val="110"/>
        </w:rPr>
        <w:t>柱</w:t>
      </w:r>
      <w:r>
        <w:rPr>
          <w:w w:val="110"/>
        </w:rPr>
        <w:t>炎</w:t>
      </w:r>
    </w:p>
    <w:p>
      <w:pPr>
        <w:pStyle w:val="BodyText"/>
        <w:spacing w:line="417" w:lineRule="auto" w:before="67"/>
        <w:ind w:left="120" w:right="311" w:firstLine="427"/>
      </w:pPr>
      <w:r>
        <w:rPr>
          <w:spacing w:val="-7"/>
        </w:rPr>
        <w:t>强直性脊柱炎是一种慢性全身性炎性疾病，主要侵犯脊柱导致脊柱畸形。强直性脊柱炎</w:t>
      </w:r>
      <w:r>
        <w:rPr>
          <w:spacing w:val="-2"/>
        </w:rPr>
        <w:t>必须明确诊断并且满足下列所有条件：</w:t>
      </w:r>
    </w:p>
    <w:p>
      <w:pPr>
        <w:pStyle w:val="ListParagraph"/>
        <w:numPr>
          <w:ilvl w:val="0"/>
          <w:numId w:val="50"/>
        </w:numPr>
        <w:tabs>
          <w:tab w:pos="1177" w:val="left" w:leader="none"/>
        </w:tabs>
        <w:spacing w:line="417" w:lineRule="auto" w:before="0" w:after="0"/>
        <w:ind w:left="120" w:right="318" w:firstLine="424"/>
        <w:jc w:val="left"/>
        <w:rPr>
          <w:sz w:val="21"/>
        </w:rPr>
      </w:pPr>
      <w:r>
        <w:rPr>
          <w:spacing w:val="-2"/>
          <w:sz w:val="21"/>
        </w:rPr>
        <w:t>严重脊柱畸形,椎体钙化形成骨桥，脊柱出现“竹节样改变”；骶髂关节硬化、</w:t>
      </w:r>
      <w:r>
        <w:rPr>
          <w:spacing w:val="-2"/>
          <w:sz w:val="21"/>
        </w:rPr>
        <w:t>融合、强直；</w:t>
      </w:r>
    </w:p>
    <w:p>
      <w:pPr>
        <w:pStyle w:val="ListParagraph"/>
        <w:numPr>
          <w:ilvl w:val="0"/>
          <w:numId w:val="50"/>
        </w:numPr>
        <w:tabs>
          <w:tab w:pos="1177" w:val="left" w:leader="none"/>
        </w:tabs>
        <w:spacing w:line="269" w:lineRule="exact"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7"/>
        <w:rPr>
          <w:sz w:val="15"/>
        </w:rPr>
      </w:pPr>
    </w:p>
    <w:p>
      <w:pPr>
        <w:pStyle w:val="BodyText"/>
        <w:ind w:left="120"/>
      </w:pPr>
      <w:r>
        <w:rPr>
          <w:spacing w:val="-5"/>
        </w:rPr>
        <w:t>上。</w:t>
      </w:r>
    </w:p>
    <w:p>
      <w:pPr>
        <w:pStyle w:val="Heading2"/>
        <w:spacing w:before="132"/>
        <w:jc w:val="both"/>
      </w:pPr>
      <w:r>
        <w:rPr/>
        <w:t>(</w:t>
      </w:r>
      <w:r>
        <w:rPr>
          <w:spacing w:val="-1"/>
        </w:rPr>
        <w:t>六十五) 原发性脊柱侧弯的矫正手术</w:t>
      </w:r>
    </w:p>
    <w:p>
      <w:pPr>
        <w:spacing w:line="290" w:lineRule="auto" w:before="81"/>
        <w:ind w:left="120" w:right="313" w:firstLine="427"/>
        <w:jc w:val="both"/>
        <w:rPr>
          <w:rFonts w:ascii="微软雅黑" w:eastAsia="微软雅黑"/>
          <w:b/>
          <w:sz w:val="21"/>
        </w:rPr>
      </w:pPr>
      <w:r>
        <w:rPr>
          <w:spacing w:val="-8"/>
          <w:sz w:val="21"/>
        </w:rPr>
        <w:t>指被保险人因原发性脊柱侧弯，在我们认可医院实际实施了对该病的矫正外科手术。</w:t>
      </w:r>
      <w:r>
        <w:rPr>
          <w:rFonts w:ascii="微软雅黑" w:eastAsia="微软雅黑"/>
          <w:b/>
          <w:spacing w:val="-2"/>
          <w:sz w:val="21"/>
        </w:rPr>
        <w:t>但</w:t>
      </w:r>
      <w:r>
        <w:rPr>
          <w:rFonts w:ascii="微软雅黑" w:eastAsia="微软雅黑"/>
          <w:b/>
          <w:spacing w:val="-2"/>
          <w:sz w:val="21"/>
        </w:rPr>
        <w:t>由于先天性脊柱侧弯以及其他疾病或意外导致的继发性脊柱侧弯而进行的手术治疗不属于</w:t>
      </w:r>
      <w:r>
        <w:rPr>
          <w:rFonts w:ascii="微软雅黑" w:eastAsia="微软雅黑"/>
          <w:b/>
          <w:spacing w:val="-2"/>
          <w:sz w:val="21"/>
        </w:rPr>
        <w:t>本保障责任。</w:t>
      </w:r>
    </w:p>
    <w:p>
      <w:pPr>
        <w:pStyle w:val="Heading2"/>
        <w:spacing w:line="386" w:lineRule="exact"/>
        <w:jc w:val="both"/>
      </w:pPr>
      <w:r>
        <w:rPr/>
        <w:t>(</w:t>
      </w:r>
      <w:r>
        <w:rPr>
          <w:spacing w:val="1"/>
        </w:rPr>
        <w:t>六十六) 血管性痴呆</w:t>
      </w:r>
    </w:p>
    <w:p>
      <w:pPr>
        <w:pStyle w:val="BodyText"/>
        <w:spacing w:line="417" w:lineRule="auto" w:before="148"/>
        <w:ind w:left="120" w:right="311" w:firstLine="427"/>
        <w:jc w:val="both"/>
      </w:pPr>
      <w:r>
        <w:rPr>
          <w:spacing w:val="-12"/>
        </w:rPr>
        <w:t>指由缺血性卒中、出血性卒中和造成记忆、认知和行为等脑区低灌注的脑血管疾病所致</w:t>
      </w:r>
      <w:r>
        <w:rPr>
          <w:spacing w:val="-4"/>
        </w:rPr>
        <w:t>的严重认知功能障碍综合征。被保险人自主生活能力完全丧失，无法独立完成六项基本日常</w:t>
      </w:r>
      <w:r>
        <w:rPr>
          <w:spacing w:val="-8"/>
        </w:rPr>
        <w:t>生活活动中的三项或三项以上，日常生活必须持续受到他人监护。导致痴呆的疾病必须明确</w:t>
      </w:r>
      <w:r>
        <w:rPr>
          <w:spacing w:val="-2"/>
        </w:rPr>
        <w:t>诊断，并且有完整的临床、实验室和影像学检查结果证实。</w:t>
      </w:r>
    </w:p>
    <w:p>
      <w:pPr>
        <w:pStyle w:val="Heading2"/>
        <w:spacing w:line="320" w:lineRule="exact"/>
        <w:ind w:left="547"/>
      </w:pPr>
      <w:r>
        <w:rPr>
          <w:spacing w:val="-3"/>
        </w:rPr>
        <w:t>神经官能症，精神疾病及酒精中毒所致脑损害不在保障范围内。</w:t>
      </w:r>
    </w:p>
    <w:p>
      <w:pPr>
        <w:spacing w:before="8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六十七) 湿性年龄相关性黄斑变性</w:t>
      </w:r>
    </w:p>
    <w:p>
      <w:pPr>
        <w:pStyle w:val="BodyText"/>
        <w:spacing w:line="417" w:lineRule="auto" w:before="149"/>
        <w:ind w:left="120" w:right="311" w:firstLine="427"/>
        <w:jc w:val="both"/>
      </w:pPr>
      <w:r>
        <w:rPr>
          <w:spacing w:val="-4"/>
        </w:rPr>
        <w:t>又称为新生血管性年龄相关性黄斑变性或“渗出性”年龄相关性黄斑变性，发生脉络膜</w:t>
      </w:r>
      <w:r>
        <w:rPr>
          <w:spacing w:val="-2"/>
        </w:rPr>
        <w:t>新生血管（CNV）异常生长穿透玻璃膜进入视网膜，新生血管渗漏，渗出及出血。该病必须</w:t>
      </w:r>
      <w:r>
        <w:rPr>
          <w:spacing w:val="-6"/>
        </w:rPr>
        <w:t>由荧光素眼底血管造影检查提示黄斑区新生血管形成，并且必须由医院的眼科专科医生确诊</w:t>
      </w:r>
      <w:r>
        <w:rPr>
          <w:spacing w:val="-2"/>
        </w:rPr>
        <w:t>为湿性年龄相关性黄斑变性。</w:t>
      </w:r>
    </w:p>
    <w:p>
      <w:pPr>
        <w:spacing w:line="320" w:lineRule="exact" w:before="0"/>
        <w:ind w:left="547" w:right="0" w:firstLine="0"/>
        <w:jc w:val="left"/>
        <w:rPr>
          <w:rFonts w:ascii="微软雅黑" w:eastAsia="微软雅黑"/>
          <w:b/>
          <w:sz w:val="21"/>
        </w:rPr>
      </w:pPr>
      <w:r>
        <w:rPr>
          <w:rFonts w:ascii="微软雅黑" w:eastAsia="微软雅黑"/>
          <w:b/>
          <w:sz w:val="21"/>
        </w:rPr>
        <w:t>被保险人申请理赔时须提供近 3</w:t>
      </w:r>
      <w:r>
        <w:rPr>
          <w:rFonts w:ascii="微软雅黑" w:eastAsia="微软雅黑"/>
          <w:b/>
          <w:spacing w:val="-1"/>
          <w:sz w:val="21"/>
        </w:rPr>
        <w:t> 个月内视力改变显示病情恶化的相关检查报告、诊断</w:t>
      </w:r>
    </w:p>
    <w:p>
      <w:pPr>
        <w:spacing w:before="80"/>
        <w:ind w:left="120" w:right="0" w:firstLine="0"/>
        <w:jc w:val="left"/>
        <w:rPr>
          <w:rFonts w:ascii="微软雅黑" w:eastAsia="微软雅黑"/>
          <w:b/>
          <w:sz w:val="21"/>
        </w:rPr>
      </w:pPr>
      <w:r>
        <w:rPr>
          <w:rFonts w:ascii="微软雅黑" w:eastAsia="微软雅黑"/>
          <w:b/>
          <w:spacing w:val="-2"/>
          <w:sz w:val="21"/>
        </w:rPr>
        <w:t>证明及病历报告。</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六十八) 严重肺结节病</w:t>
      </w:r>
    </w:p>
    <w:p>
      <w:pPr>
        <w:pStyle w:val="BodyText"/>
        <w:spacing w:line="417" w:lineRule="auto" w:before="148"/>
        <w:ind w:left="120" w:right="208" w:firstLine="427"/>
      </w:pPr>
      <w:r>
        <w:rPr>
          <w:spacing w:val="-7"/>
        </w:rPr>
        <w:t>结节病是一种原因未明的慢性肉芽肿病，可侵犯全身多个器官，以肺和淋巴结受累最为</w:t>
      </w:r>
      <w:r>
        <w:rPr>
          <w:spacing w:val="-16"/>
        </w:rPr>
        <w:t>常见。严重肺结节病表现为肺的广泛纤维化导致慢性呼吸功能衰竭。必须满足下列所有条件：</w:t>
      </w:r>
    </w:p>
    <w:p>
      <w:pPr>
        <w:spacing w:after="0" w:line="417" w:lineRule="auto"/>
        <w:sectPr>
          <w:pgSz w:w="11910" w:h="16840"/>
          <w:pgMar w:header="0" w:footer="1005" w:top="1460" w:bottom="1200" w:left="1680" w:right="1480"/>
        </w:sectPr>
      </w:pPr>
    </w:p>
    <w:p>
      <w:pPr>
        <w:pStyle w:val="ListParagraph"/>
        <w:numPr>
          <w:ilvl w:val="0"/>
          <w:numId w:val="51"/>
        </w:numPr>
        <w:tabs>
          <w:tab w:pos="1177" w:val="left" w:leader="none"/>
        </w:tabs>
        <w:spacing w:line="240" w:lineRule="auto" w:before="61" w:after="0"/>
        <w:ind w:left="1176" w:right="0" w:hanging="632"/>
        <w:jc w:val="left"/>
        <w:rPr>
          <w:sz w:val="21"/>
        </w:rPr>
      </w:pPr>
      <w:r>
        <w:rPr>
          <w:spacing w:val="-11"/>
          <w:sz w:val="21"/>
        </w:rPr>
        <w:t>肺结节病的 </w:t>
      </w:r>
      <w:r>
        <w:rPr>
          <w:spacing w:val="-2"/>
          <w:sz w:val="21"/>
        </w:rPr>
        <w:t>X</w:t>
      </w:r>
      <w:r>
        <w:rPr>
          <w:spacing w:val="-19"/>
          <w:sz w:val="21"/>
        </w:rPr>
        <w:t> 线分期为 </w:t>
      </w:r>
      <w:r>
        <w:rPr>
          <w:spacing w:val="-2"/>
          <w:sz w:val="21"/>
        </w:rPr>
        <w:t>IV</w:t>
      </w:r>
      <w:r>
        <w:rPr>
          <w:spacing w:val="-10"/>
          <w:sz w:val="21"/>
        </w:rPr>
        <w:t> 期，即广泛肺纤维化；</w:t>
      </w:r>
    </w:p>
    <w:p>
      <w:pPr>
        <w:pStyle w:val="BodyText"/>
        <w:spacing w:before="6"/>
        <w:rPr>
          <w:sz w:val="15"/>
        </w:rPr>
      </w:pPr>
    </w:p>
    <w:p>
      <w:pPr>
        <w:pStyle w:val="ListParagraph"/>
        <w:numPr>
          <w:ilvl w:val="0"/>
          <w:numId w:val="51"/>
        </w:numPr>
        <w:tabs>
          <w:tab w:pos="1177" w:val="left" w:leader="none"/>
        </w:tabs>
        <w:spacing w:line="417" w:lineRule="auto" w:before="1" w:after="0"/>
        <w:ind w:left="120" w:right="313" w:firstLine="424"/>
        <w:jc w:val="both"/>
        <w:rPr>
          <w:sz w:val="21"/>
        </w:rPr>
      </w:pPr>
      <w:r>
        <w:rPr>
          <w:spacing w:val="-12"/>
          <w:position w:val="1"/>
          <w:sz w:val="21"/>
        </w:rPr>
        <w:t>永久不可逆性的慢性呼吸功能衰竭，临床持续</w:t>
      </w:r>
      <w:r>
        <w:rPr>
          <w:spacing w:val="-5"/>
          <w:position w:val="1"/>
          <w:sz w:val="21"/>
        </w:rPr>
        <w:t>180</w:t>
      </w:r>
      <w:r>
        <w:rPr>
          <w:spacing w:val="-18"/>
          <w:position w:val="1"/>
          <w:sz w:val="21"/>
        </w:rPr>
        <w:t> 天动脉血氧分压</w:t>
      </w:r>
      <w:r>
        <w:rPr>
          <w:spacing w:val="3"/>
          <w:position w:val="1"/>
          <w:sz w:val="21"/>
        </w:rPr>
        <w:t>（</w:t>
      </w:r>
      <w:r>
        <w:rPr>
          <w:spacing w:val="1"/>
          <w:position w:val="1"/>
          <w:sz w:val="21"/>
        </w:rPr>
        <w:t>P</w:t>
      </w:r>
      <w:r>
        <w:rPr>
          <w:spacing w:val="4"/>
          <w:position w:val="1"/>
          <w:sz w:val="21"/>
        </w:rPr>
        <w:t>aO</w:t>
      </w:r>
      <w:r>
        <w:rPr>
          <w:spacing w:val="4"/>
          <w:sz w:val="11"/>
        </w:rPr>
        <w:t>2</w:t>
      </w:r>
      <w:r>
        <w:rPr>
          <w:spacing w:val="-104"/>
          <w:position w:val="1"/>
          <w:sz w:val="21"/>
        </w:rPr>
        <w:t>）</w:t>
      </w:r>
      <w:r>
        <w:rPr>
          <w:spacing w:val="4"/>
          <w:position w:val="1"/>
          <w:sz w:val="21"/>
        </w:rPr>
        <w:t>&lt;50</w:t>
      </w:r>
      <w:r>
        <w:rPr>
          <w:spacing w:val="1"/>
          <w:position w:val="1"/>
          <w:sz w:val="21"/>
        </w:rPr>
        <w:t>mm</w:t>
      </w:r>
      <w:r>
        <w:rPr>
          <w:spacing w:val="4"/>
          <w:position w:val="1"/>
          <w:sz w:val="21"/>
        </w:rPr>
        <w:t>Hg</w:t>
      </w:r>
      <w:r>
        <w:rPr>
          <w:spacing w:val="-2"/>
          <w:position w:val="1"/>
          <w:sz w:val="21"/>
        </w:rPr>
        <w:t>和动脉血氧饱和度（SaO</w:t>
      </w:r>
      <w:r>
        <w:rPr>
          <w:spacing w:val="-2"/>
          <w:sz w:val="11"/>
        </w:rPr>
        <w:t>2</w:t>
      </w:r>
      <w:r>
        <w:rPr>
          <w:spacing w:val="-2"/>
          <w:position w:val="1"/>
          <w:sz w:val="21"/>
        </w:rPr>
        <w:t>）&lt;80%。</w:t>
      </w:r>
    </w:p>
    <w:p>
      <w:pPr>
        <w:pStyle w:val="Heading2"/>
        <w:spacing w:line="320" w:lineRule="exact"/>
      </w:pPr>
      <w:r>
        <w:rPr>
          <w:w w:val="105"/>
        </w:rPr>
        <w:t>(</w:t>
      </w:r>
      <w:r>
        <w:rPr>
          <w:w w:val="105"/>
        </w:rPr>
        <w:t>六</w:t>
      </w:r>
      <w:r>
        <w:rPr>
          <w:w w:val="105"/>
        </w:rPr>
        <w:t>十</w:t>
      </w:r>
      <w:r>
        <w:rPr>
          <w:spacing w:val="5"/>
          <w:w w:val="105"/>
        </w:rPr>
        <w:t>九) </w:t>
      </w:r>
      <w:r>
        <w:rPr>
          <w:w w:val="105"/>
        </w:rPr>
        <w:t>瑞</w:t>
      </w:r>
      <w:r>
        <w:rPr>
          <w:w w:val="105"/>
        </w:rPr>
        <w:t>氏</w:t>
      </w:r>
      <w:r>
        <w:rPr>
          <w:w w:val="105"/>
        </w:rPr>
        <w:t>综</w:t>
      </w:r>
      <w:r>
        <w:rPr>
          <w:w w:val="105"/>
        </w:rPr>
        <w:t>合</w:t>
      </w:r>
      <w:r>
        <w:rPr>
          <w:spacing w:val="-10"/>
          <w:w w:val="105"/>
        </w:rPr>
        <w:t>征</w:t>
      </w:r>
    </w:p>
    <w:p>
      <w:pPr>
        <w:pStyle w:val="BodyText"/>
        <w:spacing w:line="417" w:lineRule="auto" w:before="148"/>
        <w:ind w:left="120" w:right="311" w:firstLine="427"/>
        <w:jc w:val="both"/>
      </w:pPr>
      <w:r>
        <w:rPr>
          <w:spacing w:val="-4"/>
        </w:rPr>
        <w:t>指线粒体功能障碍性疾病，导致脂肪代谢障碍，引起短链脂肪酸、血氨升高，造成脑水</w:t>
      </w:r>
      <w:r>
        <w:rPr>
          <w:spacing w:val="-4"/>
        </w:rPr>
        <w:t>肿。主要临床表现为急性发热、反复呕吐、惊厥及意识障碍等等。肝脏活检是确诊的重要手</w:t>
      </w:r>
      <w:r>
        <w:rPr>
          <w:spacing w:val="-2"/>
        </w:rPr>
        <w:t>段。瑞氏综合征需由三级医院的儿科专科医生确诊，并符合下列所有条件：</w:t>
      </w:r>
    </w:p>
    <w:p>
      <w:pPr>
        <w:pStyle w:val="ListParagraph"/>
        <w:numPr>
          <w:ilvl w:val="0"/>
          <w:numId w:val="52"/>
        </w:numPr>
        <w:tabs>
          <w:tab w:pos="1177" w:val="left" w:leader="none"/>
        </w:tabs>
        <w:spacing w:line="269" w:lineRule="exact" w:before="0" w:after="0"/>
        <w:ind w:left="1176" w:right="0" w:hanging="632"/>
        <w:jc w:val="both"/>
        <w:rPr>
          <w:sz w:val="21"/>
        </w:rPr>
      </w:pPr>
      <w:r>
        <w:rPr>
          <w:spacing w:val="-3"/>
          <w:sz w:val="21"/>
        </w:rPr>
        <w:t>有脑水肿和颅内压升高的脑脊液检查和影像学检查证据；</w:t>
      </w:r>
    </w:p>
    <w:p>
      <w:pPr>
        <w:pStyle w:val="BodyText"/>
        <w:spacing w:before="6"/>
        <w:rPr>
          <w:sz w:val="15"/>
        </w:rPr>
      </w:pPr>
    </w:p>
    <w:p>
      <w:pPr>
        <w:pStyle w:val="ListParagraph"/>
        <w:numPr>
          <w:ilvl w:val="0"/>
          <w:numId w:val="52"/>
        </w:numPr>
        <w:tabs>
          <w:tab w:pos="1177" w:val="left" w:leader="none"/>
        </w:tabs>
        <w:spacing w:line="240" w:lineRule="auto" w:before="0" w:after="0"/>
        <w:ind w:left="1176" w:right="0" w:hanging="632"/>
        <w:jc w:val="left"/>
        <w:rPr>
          <w:sz w:val="21"/>
        </w:rPr>
      </w:pPr>
      <w:r>
        <w:rPr>
          <w:spacing w:val="-8"/>
          <w:sz w:val="21"/>
        </w:rPr>
        <w:t>血氨超过正常值的 </w:t>
      </w:r>
      <w:r>
        <w:rPr>
          <w:spacing w:val="-2"/>
          <w:sz w:val="21"/>
        </w:rPr>
        <w:t>3</w:t>
      </w:r>
      <w:r>
        <w:rPr>
          <w:spacing w:val="-21"/>
          <w:sz w:val="21"/>
        </w:rPr>
        <w:t> 倍；</w:t>
      </w:r>
    </w:p>
    <w:p>
      <w:pPr>
        <w:pStyle w:val="BodyText"/>
        <w:spacing w:before="8"/>
        <w:rPr>
          <w:sz w:val="15"/>
        </w:rPr>
      </w:pPr>
    </w:p>
    <w:p>
      <w:pPr>
        <w:pStyle w:val="ListParagraph"/>
        <w:numPr>
          <w:ilvl w:val="0"/>
          <w:numId w:val="52"/>
        </w:numPr>
        <w:tabs>
          <w:tab w:pos="1177" w:val="left" w:leader="none"/>
        </w:tabs>
        <w:spacing w:line="357" w:lineRule="auto" w:before="0" w:after="0"/>
        <w:ind w:left="120" w:right="3155" w:firstLine="424"/>
        <w:jc w:val="left"/>
        <w:rPr>
          <w:rFonts w:ascii="微软雅黑" w:eastAsia="微软雅黑"/>
          <w:b/>
          <w:sz w:val="21"/>
        </w:rPr>
      </w:pPr>
      <w:r>
        <w:rPr>
          <w:spacing w:val="-5"/>
          <w:sz w:val="21"/>
        </w:rPr>
        <w:t>临床出现昏迷，病程至少达到疾病分期第 </w:t>
      </w:r>
      <w:r>
        <w:rPr>
          <w:spacing w:val="-2"/>
          <w:sz w:val="21"/>
        </w:rPr>
        <w:t>3</w:t>
      </w:r>
      <w:r>
        <w:rPr>
          <w:spacing w:val="-18"/>
          <w:sz w:val="21"/>
        </w:rPr>
        <w:t> 期。</w:t>
      </w:r>
      <w:r>
        <w:rPr>
          <w:spacing w:val="-2"/>
          <w:sz w:val="21"/>
        </w:rPr>
        <w:t> </w:t>
      </w:r>
      <w:r>
        <w:rPr>
          <w:rFonts w:ascii="微软雅黑" w:eastAsia="微软雅黑"/>
          <w:b/>
          <w:w w:val="105"/>
          <w:sz w:val="21"/>
        </w:rPr>
        <w:t>(七十) </w:t>
      </w:r>
      <w:r>
        <w:rPr>
          <w:rFonts w:ascii="微软雅黑" w:eastAsia="微软雅黑"/>
          <w:b/>
          <w:w w:val="105"/>
          <w:sz w:val="21"/>
        </w:rPr>
        <w:t>严</w:t>
      </w:r>
      <w:r>
        <w:rPr>
          <w:rFonts w:ascii="微软雅黑" w:eastAsia="微软雅黑"/>
          <w:b/>
          <w:w w:val="105"/>
          <w:sz w:val="21"/>
        </w:rPr>
        <w:t>重</w:t>
      </w:r>
      <w:r>
        <w:rPr>
          <w:rFonts w:ascii="微软雅黑" w:eastAsia="微软雅黑"/>
          <w:b/>
          <w:w w:val="105"/>
          <w:sz w:val="21"/>
        </w:rPr>
        <w:t>慢</w:t>
      </w:r>
      <w:r>
        <w:rPr>
          <w:rFonts w:ascii="微软雅黑" w:eastAsia="微软雅黑"/>
          <w:b/>
          <w:w w:val="105"/>
          <w:sz w:val="21"/>
        </w:rPr>
        <w:t>性</w:t>
      </w:r>
      <w:r>
        <w:rPr>
          <w:rFonts w:ascii="微软雅黑" w:eastAsia="微软雅黑"/>
          <w:b/>
          <w:w w:val="105"/>
          <w:sz w:val="21"/>
        </w:rPr>
        <w:t>缩</w:t>
      </w:r>
      <w:r>
        <w:rPr>
          <w:rFonts w:ascii="微软雅黑" w:eastAsia="微软雅黑"/>
          <w:b/>
          <w:w w:val="105"/>
          <w:sz w:val="21"/>
        </w:rPr>
        <w:t>窄</w:t>
      </w:r>
      <w:r>
        <w:rPr>
          <w:rFonts w:ascii="微软雅黑" w:eastAsia="微软雅黑"/>
          <w:b/>
          <w:w w:val="105"/>
          <w:sz w:val="21"/>
        </w:rPr>
        <w:t>性</w:t>
      </w:r>
      <w:r>
        <w:rPr>
          <w:rFonts w:ascii="微软雅黑" w:eastAsia="微软雅黑"/>
          <w:b/>
          <w:w w:val="105"/>
          <w:sz w:val="21"/>
        </w:rPr>
        <w:t>心</w:t>
      </w:r>
      <w:r>
        <w:rPr>
          <w:rFonts w:ascii="微软雅黑" w:eastAsia="微软雅黑"/>
          <w:b/>
          <w:w w:val="105"/>
          <w:sz w:val="21"/>
        </w:rPr>
        <w:t>包炎</w:t>
      </w:r>
    </w:p>
    <w:p>
      <w:pPr>
        <w:pStyle w:val="BodyText"/>
        <w:spacing w:line="227" w:lineRule="exact"/>
        <w:ind w:left="547"/>
      </w:pPr>
      <w:r>
        <w:rPr>
          <w:spacing w:val="-7"/>
        </w:rPr>
        <w:t>指由于慢性心包炎症导致心包脏层和壁层广泛瘢痕粘连、增厚和钙化，心包腔闭塞，形</w:t>
      </w:r>
    </w:p>
    <w:p>
      <w:pPr>
        <w:pStyle w:val="BodyText"/>
        <w:spacing w:before="6"/>
        <w:rPr>
          <w:sz w:val="15"/>
        </w:rPr>
      </w:pPr>
    </w:p>
    <w:p>
      <w:pPr>
        <w:pStyle w:val="BodyText"/>
        <w:spacing w:line="417" w:lineRule="auto" w:before="1"/>
        <w:ind w:left="120" w:right="311"/>
      </w:pPr>
      <w:r>
        <w:rPr>
          <w:spacing w:val="-4"/>
        </w:rPr>
        <w:t>成一个纤维瘢痕外壳，使心脏和大血管根部受压，阻碍心脏的舒张。被保险人被明确诊断为</w:t>
      </w:r>
      <w:r>
        <w:rPr>
          <w:spacing w:val="-2"/>
        </w:rPr>
        <w:t>慢性缩窄性心包炎且必须满足以下所有条件：</w:t>
      </w:r>
    </w:p>
    <w:p>
      <w:pPr>
        <w:pStyle w:val="ListParagraph"/>
        <w:numPr>
          <w:ilvl w:val="0"/>
          <w:numId w:val="53"/>
        </w:numPr>
        <w:tabs>
          <w:tab w:pos="1177" w:val="left" w:leader="none"/>
        </w:tabs>
        <w:spacing w:line="269" w:lineRule="exact" w:before="0" w:after="0"/>
        <w:ind w:left="1176" w:right="0" w:hanging="632"/>
        <w:jc w:val="left"/>
        <w:rPr>
          <w:sz w:val="21"/>
        </w:rPr>
      </w:pPr>
      <w:r>
        <w:rPr>
          <w:sz w:val="21"/>
        </w:rPr>
        <w:t>心功能衰竭达到美国纽约心脏病学会心功能状态分级IV</w:t>
      </w:r>
      <w:r>
        <w:rPr>
          <w:spacing w:val="-32"/>
          <w:sz w:val="21"/>
        </w:rPr>
        <w:t> 级，并持续</w:t>
      </w:r>
      <w:r>
        <w:rPr>
          <w:sz w:val="21"/>
        </w:rPr>
        <w:t>180</w:t>
      </w:r>
      <w:r>
        <w:rPr>
          <w:spacing w:val="-18"/>
          <w:sz w:val="21"/>
        </w:rPr>
        <w:t> 天以上；</w:t>
      </w:r>
    </w:p>
    <w:p>
      <w:pPr>
        <w:pStyle w:val="BodyText"/>
        <w:spacing w:before="6"/>
        <w:rPr>
          <w:sz w:val="15"/>
        </w:rPr>
      </w:pPr>
    </w:p>
    <w:p>
      <w:pPr>
        <w:pStyle w:val="ListParagraph"/>
        <w:numPr>
          <w:ilvl w:val="0"/>
          <w:numId w:val="53"/>
        </w:numPr>
        <w:tabs>
          <w:tab w:pos="1177" w:val="left" w:leader="none"/>
        </w:tabs>
        <w:spacing w:line="417" w:lineRule="auto" w:before="0" w:after="0"/>
        <w:ind w:left="120" w:right="210" w:firstLine="424"/>
        <w:jc w:val="left"/>
        <w:rPr>
          <w:sz w:val="21"/>
        </w:rPr>
      </w:pPr>
      <w:r>
        <w:rPr>
          <w:spacing w:val="-2"/>
          <w:sz w:val="21"/>
        </w:rPr>
        <w:t>实际接受了以下任何一种手术路径的心包剥脱或心包切除手术、胸骨正中切口、</w:t>
      </w:r>
      <w:r>
        <w:rPr>
          <w:spacing w:val="-2"/>
          <w:sz w:val="21"/>
        </w:rPr>
        <w:t>双侧前胸切口、左前胸肋间切口。</w:t>
      </w:r>
    </w:p>
    <w:p>
      <w:pPr>
        <w:pStyle w:val="Heading2"/>
        <w:spacing w:line="320" w:lineRule="exact"/>
        <w:ind w:left="547"/>
      </w:pPr>
      <w:r>
        <w:rPr>
          <w:spacing w:val="-3"/>
        </w:rPr>
        <w:t>经胸腔镜、胸壁打孔进行的手术、心包粘连松解手术不在保障范围内。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七十一) 严重冠状动脉粥样硬化性心脏病</w:t>
      </w:r>
    </w:p>
    <w:p>
      <w:pPr>
        <w:pStyle w:val="BodyText"/>
        <w:spacing w:before="148"/>
        <w:ind w:left="547"/>
      </w:pPr>
      <w:r>
        <w:rPr>
          <w:spacing w:val="-7"/>
        </w:rPr>
        <w:t>指经冠状动脉造影检查明确诊断为主要血管严重狭窄性病变，须满足下列至少一项条件：</w:t>
      </w:r>
    </w:p>
    <w:p>
      <w:pPr>
        <w:pStyle w:val="BodyText"/>
        <w:spacing w:before="7"/>
        <w:rPr>
          <w:sz w:val="15"/>
        </w:rPr>
      </w:pPr>
    </w:p>
    <w:p>
      <w:pPr>
        <w:pStyle w:val="ListParagraph"/>
        <w:numPr>
          <w:ilvl w:val="0"/>
          <w:numId w:val="54"/>
        </w:numPr>
        <w:tabs>
          <w:tab w:pos="1177" w:val="left" w:leader="none"/>
        </w:tabs>
        <w:spacing w:line="417" w:lineRule="auto" w:before="0" w:after="0"/>
        <w:ind w:left="120" w:right="313" w:firstLine="424"/>
        <w:jc w:val="left"/>
        <w:rPr>
          <w:sz w:val="21"/>
        </w:rPr>
      </w:pPr>
      <w:r>
        <w:rPr>
          <w:spacing w:val="-5"/>
          <w:sz w:val="21"/>
        </w:rPr>
        <w:t>左冠状动脉主干和右冠状动脉中，一支血管管腔堵塞 </w:t>
      </w:r>
      <w:r>
        <w:rPr>
          <w:spacing w:val="-2"/>
          <w:sz w:val="21"/>
        </w:rPr>
        <w:t>75%以上，另一支血管管腔</w:t>
      </w:r>
      <w:r>
        <w:rPr>
          <w:spacing w:val="-15"/>
          <w:sz w:val="21"/>
        </w:rPr>
        <w:t>堵塞 </w:t>
      </w:r>
      <w:r>
        <w:rPr>
          <w:sz w:val="21"/>
        </w:rPr>
        <w:t>60%以上；</w:t>
      </w:r>
    </w:p>
    <w:p>
      <w:pPr>
        <w:pStyle w:val="ListParagraph"/>
        <w:numPr>
          <w:ilvl w:val="0"/>
          <w:numId w:val="54"/>
        </w:numPr>
        <w:tabs>
          <w:tab w:pos="1177" w:val="left" w:leader="none"/>
        </w:tabs>
        <w:spacing w:line="417" w:lineRule="auto" w:before="0" w:after="0"/>
        <w:ind w:left="120" w:right="313" w:firstLine="424"/>
        <w:jc w:val="left"/>
        <w:rPr>
          <w:sz w:val="21"/>
        </w:rPr>
      </w:pPr>
      <w:r>
        <w:rPr>
          <w:spacing w:val="-4"/>
          <w:sz w:val="21"/>
        </w:rPr>
        <w:t>左前降支、左旋支和右冠状动脉中，至少一支血管官腔堵塞 </w:t>
      </w:r>
      <w:r>
        <w:rPr>
          <w:spacing w:val="-2"/>
          <w:sz w:val="21"/>
        </w:rPr>
        <w:t>75%以上，其他两支</w:t>
      </w:r>
      <w:r>
        <w:rPr>
          <w:spacing w:val="-6"/>
          <w:sz w:val="21"/>
        </w:rPr>
        <w:t>血管官腔堵塞 </w:t>
      </w:r>
      <w:r>
        <w:rPr>
          <w:sz w:val="21"/>
        </w:rPr>
        <w:t>60%以上。</w:t>
      </w:r>
    </w:p>
    <w:p>
      <w:pPr>
        <w:spacing w:line="320" w:lineRule="exact" w:before="0"/>
        <w:ind w:left="547" w:right="0" w:firstLine="0"/>
        <w:jc w:val="left"/>
        <w:rPr>
          <w:rFonts w:ascii="微软雅黑" w:eastAsia="微软雅黑"/>
          <w:b/>
          <w:sz w:val="21"/>
        </w:rPr>
      </w:pPr>
      <w:r>
        <w:rPr>
          <w:rFonts w:ascii="微软雅黑" w:eastAsia="微软雅黑"/>
          <w:b/>
          <w:spacing w:val="-1"/>
          <w:sz w:val="21"/>
        </w:rPr>
        <w:t>左前降支的分支血管、左旋支的分支血管及右冠状动脉的分支血管的狭窄不作为保障</w:t>
      </w:r>
    </w:p>
    <w:p>
      <w:pPr>
        <w:spacing w:before="81"/>
        <w:ind w:left="120" w:right="0" w:firstLine="0"/>
        <w:jc w:val="left"/>
        <w:rPr>
          <w:rFonts w:ascii="微软雅黑" w:eastAsia="微软雅黑"/>
          <w:b/>
          <w:sz w:val="21"/>
        </w:rPr>
      </w:pPr>
      <w:r>
        <w:rPr>
          <w:rFonts w:ascii="微软雅黑" w:eastAsia="微软雅黑"/>
          <w:b/>
          <w:spacing w:val="-2"/>
          <w:sz w:val="21"/>
        </w:rPr>
        <w:t>的衡量指标。</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2"/>
          <w:sz w:val="21"/>
        </w:rPr>
        <w:t>七十二) 颅脑手术</w:t>
      </w:r>
    </w:p>
    <w:p>
      <w:pPr>
        <w:spacing w:line="357" w:lineRule="auto" w:before="148"/>
        <w:ind w:left="547" w:right="525" w:firstLine="0"/>
        <w:jc w:val="left"/>
        <w:rPr>
          <w:rFonts w:ascii="微软雅黑" w:eastAsia="微软雅黑"/>
          <w:b/>
          <w:sz w:val="21"/>
        </w:rPr>
      </w:pPr>
      <w:r>
        <w:rPr>
          <w:spacing w:val="-2"/>
          <w:sz w:val="21"/>
        </w:rPr>
        <w:t>被保险人确已实施全麻下的开颅手术（不包括颅骨钻孔手术和经鼻蝶窦入颅手术</w:t>
      </w:r>
      <w:r>
        <w:rPr>
          <w:spacing w:val="-108"/>
          <w:sz w:val="21"/>
        </w:rPr>
        <w:t>）</w:t>
      </w:r>
      <w:r>
        <w:rPr>
          <w:spacing w:val="-2"/>
          <w:sz w:val="21"/>
        </w:rPr>
        <w:t>。</w:t>
      </w:r>
      <w:r>
        <w:rPr>
          <w:rFonts w:ascii="微软雅黑" w:eastAsia="微软雅黑"/>
          <w:b/>
          <w:spacing w:val="-2"/>
          <w:sz w:val="21"/>
        </w:rPr>
        <w:t>因外伤而实施的脑外科手术不在保障范围之内。</w:t>
      </w:r>
    </w:p>
    <w:p>
      <w:pPr>
        <w:pStyle w:val="BodyText"/>
        <w:spacing w:line="227" w:lineRule="exact"/>
        <w:ind w:left="547"/>
      </w:pPr>
      <w:r>
        <w:rPr>
          <w:spacing w:val="-3"/>
        </w:rPr>
        <w:t>理赔时必须提供由神经外科专科医生出具的诊断书及手术报告。</w:t>
      </w:r>
    </w:p>
    <w:p>
      <w:pPr>
        <w:spacing w:after="0" w:line="227" w:lineRule="exact"/>
        <w:sectPr>
          <w:pgSz w:w="11910" w:h="16840"/>
          <w:pgMar w:header="0" w:footer="1005" w:top="1460" w:bottom="1200" w:left="1680" w:right="1480"/>
        </w:sectPr>
      </w:pPr>
    </w:p>
    <w:p>
      <w:pPr>
        <w:pStyle w:val="Heading2"/>
        <w:spacing w:line="381" w:lineRule="exact"/>
      </w:pPr>
      <w:r>
        <w:rPr/>
        <w:t>(</w:t>
      </w:r>
      <w:r>
        <w:rPr>
          <w:spacing w:val="3"/>
        </w:rPr>
        <w:t>七十三) 全身性</w:t>
      </w:r>
      <w:r>
        <w:rPr/>
        <w:t>（型）</w:t>
      </w:r>
      <w:r>
        <w:rPr>
          <w:spacing w:val="-2"/>
        </w:rPr>
        <w:t>重症肌无力</w:t>
      </w:r>
    </w:p>
    <w:p>
      <w:pPr>
        <w:pStyle w:val="BodyText"/>
        <w:spacing w:line="417" w:lineRule="auto" w:before="148"/>
        <w:ind w:left="120" w:right="311" w:firstLine="427"/>
        <w:jc w:val="both"/>
      </w:pPr>
      <w:r>
        <w:rPr>
          <w:spacing w:val="-6"/>
        </w:rPr>
        <w:t>是指一种神经与肌肉接头部位传递障碍的自身免疫性疾病，临床特征是局部或全身横纹</w:t>
      </w:r>
      <w:r>
        <w:rPr>
          <w:spacing w:val="-4"/>
        </w:rPr>
        <w:t>肌于活动时易于疲劳无力，颅神经眼外肌最易累及，也可涉及呼吸肌、下肢近端肌群乃至全</w:t>
      </w:r>
      <w:r>
        <w:rPr>
          <w:spacing w:val="-2"/>
        </w:rPr>
        <w:t>身肌肉，须经认可医院的神经科专科医生确诊。其诊断必须同时具有下列情况：</w:t>
      </w:r>
    </w:p>
    <w:p>
      <w:pPr>
        <w:pStyle w:val="ListParagraph"/>
        <w:numPr>
          <w:ilvl w:val="0"/>
          <w:numId w:val="55"/>
        </w:numPr>
        <w:tabs>
          <w:tab w:pos="1177" w:val="left" w:leader="none"/>
        </w:tabs>
        <w:spacing w:line="269" w:lineRule="exact" w:before="0" w:after="0"/>
        <w:ind w:left="1176" w:right="0" w:hanging="632"/>
        <w:jc w:val="both"/>
        <w:rPr>
          <w:sz w:val="21"/>
        </w:rPr>
      </w:pPr>
      <w:r>
        <w:rPr>
          <w:spacing w:val="-3"/>
          <w:sz w:val="21"/>
        </w:rPr>
        <w:t>经药物、胸腺手术治疗一年以上无法控制病情，丧失正常工作能力；</w:t>
      </w:r>
    </w:p>
    <w:p>
      <w:pPr>
        <w:pStyle w:val="BodyText"/>
        <w:spacing w:before="7"/>
        <w:rPr>
          <w:sz w:val="15"/>
        </w:rPr>
      </w:pPr>
    </w:p>
    <w:p>
      <w:pPr>
        <w:pStyle w:val="ListParagraph"/>
        <w:numPr>
          <w:ilvl w:val="0"/>
          <w:numId w:val="55"/>
        </w:numPr>
        <w:tabs>
          <w:tab w:pos="1177" w:val="left" w:leader="none"/>
        </w:tabs>
        <w:spacing w:line="417" w:lineRule="auto" w:before="0" w:after="0"/>
        <w:ind w:left="120" w:right="311" w:firstLine="424"/>
        <w:jc w:val="both"/>
        <w:rPr>
          <w:sz w:val="21"/>
        </w:rPr>
      </w:pPr>
      <w:r>
        <w:rPr>
          <w:spacing w:val="-4"/>
          <w:sz w:val="21"/>
        </w:rPr>
        <w:t>出现眼睑下垂，或延髓肌受累引起的构音困难、进食呛咳，或由于肌无力累及延</w:t>
      </w:r>
      <w:r>
        <w:rPr>
          <w:spacing w:val="-2"/>
          <w:sz w:val="21"/>
        </w:rPr>
        <w:t>髓肌、呼吸肌而致机体呼吸功能不正常的危急状态即肌无力危象；</w:t>
      </w:r>
    </w:p>
    <w:p>
      <w:pPr>
        <w:pStyle w:val="ListParagraph"/>
        <w:numPr>
          <w:ilvl w:val="0"/>
          <w:numId w:val="55"/>
        </w:numPr>
        <w:tabs>
          <w:tab w:pos="1177" w:val="left" w:leader="none"/>
        </w:tabs>
        <w:spacing w:line="269" w:lineRule="exact" w:before="0" w:after="0"/>
        <w:ind w:left="1176" w:right="0" w:hanging="632"/>
        <w:jc w:val="both"/>
        <w:rPr>
          <w:sz w:val="21"/>
        </w:rPr>
      </w:pPr>
      <w:r>
        <w:rPr>
          <w:spacing w:val="-13"/>
          <w:sz w:val="21"/>
        </w:rPr>
        <w:t>症状缓解、复发及恶化交替出现，临床接受新斯的明等抗胆碱酯酶药物治疗的病</w:t>
      </w:r>
    </w:p>
    <w:p>
      <w:pPr>
        <w:pStyle w:val="BodyText"/>
        <w:spacing w:before="6"/>
        <w:rPr>
          <w:sz w:val="15"/>
        </w:rPr>
      </w:pPr>
    </w:p>
    <w:p>
      <w:pPr>
        <w:pStyle w:val="BodyText"/>
        <w:spacing w:before="1"/>
        <w:ind w:left="120"/>
      </w:pPr>
      <w:r>
        <w:rPr>
          <w:spacing w:val="-5"/>
        </w:rPr>
        <w:t>史。</w:t>
      </w:r>
    </w:p>
    <w:p>
      <w:pPr>
        <w:pStyle w:val="Heading2"/>
        <w:spacing w:before="132"/>
      </w:pPr>
      <w:r>
        <w:rPr/>
        <w:t>(</w:t>
      </w:r>
      <w:r>
        <w:rPr>
          <w:spacing w:val="-1"/>
        </w:rPr>
        <w:t>七十四) 严重肌营养不良症</w:t>
      </w:r>
    </w:p>
    <w:p>
      <w:pPr>
        <w:pStyle w:val="BodyText"/>
        <w:spacing w:line="417" w:lineRule="auto" w:before="148"/>
        <w:ind w:left="120" w:right="208" w:firstLine="427"/>
      </w:pPr>
      <w:r>
        <w:rPr>
          <w:spacing w:val="-2"/>
        </w:rPr>
        <w:t>指一组原发于肌肉的遗传性疾病，临床表现为与神经系统无关的肌肉无力和肌肉萎缩。</w:t>
      </w:r>
      <w:r>
        <w:rPr>
          <w:spacing w:val="-2"/>
        </w:rPr>
        <w:t>且须满足下列全部条件：</w:t>
      </w:r>
    </w:p>
    <w:p>
      <w:pPr>
        <w:pStyle w:val="ListParagraph"/>
        <w:numPr>
          <w:ilvl w:val="0"/>
          <w:numId w:val="56"/>
        </w:numPr>
        <w:tabs>
          <w:tab w:pos="1177" w:val="left" w:leader="none"/>
        </w:tabs>
        <w:spacing w:line="269" w:lineRule="exact" w:before="0" w:after="0"/>
        <w:ind w:left="1176" w:right="0" w:hanging="632"/>
        <w:jc w:val="left"/>
        <w:rPr>
          <w:sz w:val="21"/>
        </w:rPr>
      </w:pPr>
      <w:r>
        <w:rPr>
          <w:spacing w:val="-3"/>
          <w:sz w:val="21"/>
        </w:rPr>
        <w:t>肌肉组织活检结果满足肌营养不良症的肌肉细胞变性、坏死等阳性改变；</w:t>
      </w:r>
    </w:p>
    <w:p>
      <w:pPr>
        <w:pStyle w:val="BodyText"/>
        <w:spacing w:before="7"/>
        <w:rPr>
          <w:sz w:val="15"/>
        </w:rPr>
      </w:pPr>
    </w:p>
    <w:p>
      <w:pPr>
        <w:pStyle w:val="ListParagraph"/>
        <w:numPr>
          <w:ilvl w:val="0"/>
          <w:numId w:val="56"/>
        </w:numPr>
        <w:tabs>
          <w:tab w:pos="1177" w:val="left" w:leader="none"/>
        </w:tabs>
        <w:spacing w:line="240" w:lineRule="auto"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6"/>
        <w:rPr>
          <w:sz w:val="15"/>
        </w:rPr>
      </w:pPr>
    </w:p>
    <w:p>
      <w:pPr>
        <w:pStyle w:val="BodyText"/>
        <w:spacing w:before="1"/>
        <w:ind w:left="120"/>
      </w:pPr>
      <w:r>
        <w:rPr>
          <w:spacing w:val="-5"/>
        </w:rPr>
        <w:t>上。</w:t>
      </w:r>
    </w:p>
    <w:p>
      <w:pPr>
        <w:pStyle w:val="Heading2"/>
        <w:spacing w:line="290" w:lineRule="auto" w:before="131"/>
        <w:ind w:right="325" w:firstLine="427"/>
      </w:pPr>
      <w:r>
        <w:rPr>
          <w:w w:val="100"/>
        </w:rPr>
        <w:t>我们承担本项疾病责任不受本</w:t>
      </w:r>
      <w:r>
        <w:rPr>
          <w:spacing w:val="2"/>
          <w:w w:val="144"/>
        </w:rPr>
        <w:t>合</w:t>
      </w:r>
      <w:r>
        <w:rPr>
          <w:spacing w:val="-5"/>
          <w:w w:val="100"/>
        </w:rPr>
        <w:t>同责任免除中“遗传性疾病，先天性畸形、变形或染</w:t>
      </w:r>
      <w:r>
        <w:rPr>
          <w:w w:val="100"/>
        </w:rPr>
        <w:t>色体异常”的限制。</w:t>
      </w:r>
    </w:p>
    <w:p>
      <w:pPr>
        <w:spacing w:line="387"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七十五) 肾髓质囊性病</w:t>
      </w:r>
    </w:p>
    <w:p>
      <w:pPr>
        <w:pStyle w:val="BodyText"/>
        <w:spacing w:before="148"/>
        <w:ind w:left="547"/>
      </w:pPr>
      <w:r>
        <w:rPr>
          <w:spacing w:val="-3"/>
        </w:rPr>
        <w:t>肾髓质囊性病的诊断必须同时符合下列要求：</w:t>
      </w:r>
    </w:p>
    <w:p>
      <w:pPr>
        <w:pStyle w:val="BodyText"/>
        <w:spacing w:before="7"/>
        <w:rPr>
          <w:sz w:val="15"/>
        </w:rPr>
      </w:pPr>
    </w:p>
    <w:p>
      <w:pPr>
        <w:pStyle w:val="ListParagraph"/>
        <w:numPr>
          <w:ilvl w:val="0"/>
          <w:numId w:val="57"/>
        </w:numPr>
        <w:tabs>
          <w:tab w:pos="1177" w:val="left" w:leader="none"/>
        </w:tabs>
        <w:spacing w:line="240" w:lineRule="auto" w:before="0" w:after="0"/>
        <w:ind w:left="1176" w:right="0" w:hanging="632"/>
        <w:jc w:val="left"/>
        <w:rPr>
          <w:sz w:val="21"/>
        </w:rPr>
      </w:pPr>
      <w:r>
        <w:rPr>
          <w:spacing w:val="-3"/>
          <w:sz w:val="21"/>
        </w:rPr>
        <w:t>肾髓质有囊肿、肾小管萎缩及间质纤维化等病理改变；</w:t>
      </w:r>
    </w:p>
    <w:p>
      <w:pPr>
        <w:pStyle w:val="BodyText"/>
        <w:spacing w:before="7"/>
        <w:rPr>
          <w:sz w:val="15"/>
        </w:rPr>
      </w:pPr>
    </w:p>
    <w:p>
      <w:pPr>
        <w:pStyle w:val="ListParagraph"/>
        <w:numPr>
          <w:ilvl w:val="0"/>
          <w:numId w:val="57"/>
        </w:numPr>
        <w:tabs>
          <w:tab w:pos="1177" w:val="left" w:leader="none"/>
        </w:tabs>
        <w:spacing w:line="240" w:lineRule="auto" w:before="0" w:after="0"/>
        <w:ind w:left="1176" w:right="0" w:hanging="632"/>
        <w:jc w:val="left"/>
        <w:rPr>
          <w:sz w:val="21"/>
        </w:rPr>
      </w:pPr>
      <w:r>
        <w:rPr>
          <w:spacing w:val="-3"/>
          <w:sz w:val="21"/>
        </w:rPr>
        <w:t>贫血、多尿及肾功能衰竭等临床表现；</w:t>
      </w:r>
    </w:p>
    <w:p>
      <w:pPr>
        <w:pStyle w:val="BodyText"/>
        <w:spacing w:before="7"/>
        <w:rPr>
          <w:sz w:val="15"/>
        </w:rPr>
      </w:pPr>
    </w:p>
    <w:p>
      <w:pPr>
        <w:pStyle w:val="ListParagraph"/>
        <w:numPr>
          <w:ilvl w:val="0"/>
          <w:numId w:val="57"/>
        </w:numPr>
        <w:tabs>
          <w:tab w:pos="1177" w:val="left" w:leader="none"/>
        </w:tabs>
        <w:spacing w:line="240" w:lineRule="auto" w:before="0" w:after="0"/>
        <w:ind w:left="1176" w:right="0" w:hanging="632"/>
        <w:jc w:val="left"/>
        <w:rPr>
          <w:sz w:val="21"/>
        </w:rPr>
      </w:pPr>
      <w:r>
        <w:rPr>
          <w:spacing w:val="-3"/>
          <w:sz w:val="21"/>
        </w:rPr>
        <w:t>诊断须由肾组织活检确定。</w:t>
      </w:r>
    </w:p>
    <w:p>
      <w:pPr>
        <w:pStyle w:val="Heading2"/>
        <w:spacing w:line="290" w:lineRule="auto" w:before="132"/>
        <w:ind w:right="325" w:firstLine="427"/>
      </w:pPr>
      <w:r>
        <w:rPr>
          <w:w w:val="100"/>
        </w:rPr>
        <w:t>我们承担本项疾病责任不受本</w:t>
      </w:r>
      <w:r>
        <w:rPr>
          <w:spacing w:val="2"/>
          <w:w w:val="144"/>
        </w:rPr>
        <w:t>合</w:t>
      </w:r>
      <w:r>
        <w:rPr>
          <w:spacing w:val="-5"/>
          <w:w w:val="100"/>
        </w:rPr>
        <w:t>同责任免除中“遗传性疾病，先天性畸形、变形或染</w:t>
      </w:r>
      <w:r>
        <w:rPr>
          <w:w w:val="100"/>
        </w:rPr>
        <w:t>色体异常”的限制。</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2"/>
          <w:sz w:val="21"/>
        </w:rPr>
        <w:t>七十六) 胰腺移植</w:t>
      </w:r>
    </w:p>
    <w:p>
      <w:pPr>
        <w:pStyle w:val="BodyText"/>
        <w:spacing w:line="417" w:lineRule="auto" w:before="148"/>
        <w:ind w:left="120" w:right="311" w:firstLine="427"/>
      </w:pPr>
      <w:r>
        <w:rPr>
          <w:spacing w:val="-10"/>
        </w:rPr>
        <w:t>指因胰腺功能衰竭，已经实施了在全身麻醉下进行的胰腺的异体器官移植手术</w:t>
      </w:r>
      <w:r>
        <w:rPr>
          <w:spacing w:val="-2"/>
        </w:rPr>
        <w:t>（供体必</w:t>
      </w:r>
      <w:r>
        <w:rPr>
          <w:spacing w:val="-2"/>
        </w:rPr>
        <w:t>须是人体器官</w:t>
      </w:r>
      <w:r>
        <w:rPr>
          <w:spacing w:val="-108"/>
        </w:rPr>
        <w:t>）</w:t>
      </w:r>
      <w:r>
        <w:rPr>
          <w:spacing w:val="-2"/>
        </w:rPr>
        <w:t>。</w:t>
      </w:r>
    </w:p>
    <w:p>
      <w:pPr>
        <w:pStyle w:val="Heading2"/>
        <w:spacing w:line="320" w:lineRule="exact"/>
        <w:ind w:left="547"/>
      </w:pPr>
      <w:r>
        <w:rPr>
          <w:spacing w:val="-3"/>
        </w:rPr>
        <w:t>单纯胰岛移植、部分胰腺组织或细胞的移植不在保障范围内。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七十七) 严重心肌炎</w:t>
      </w:r>
    </w:p>
    <w:p>
      <w:pPr>
        <w:pStyle w:val="BodyText"/>
        <w:spacing w:before="148"/>
        <w:ind w:left="547"/>
      </w:pPr>
      <w:r>
        <w:rPr>
          <w:spacing w:val="-8"/>
        </w:rPr>
        <w:t>指心肌局限性或弥漫性的急性或慢性炎症病变，导致心脏功能障碍，达到纽约心脏学会</w:t>
      </w:r>
    </w:p>
    <w:p>
      <w:pPr>
        <w:spacing w:after="0"/>
        <w:sectPr>
          <w:pgSz w:w="11910" w:h="16840"/>
          <w:pgMar w:header="0" w:footer="1005" w:top="1460" w:bottom="1200" w:left="1680" w:right="1480"/>
        </w:sectPr>
      </w:pPr>
    </w:p>
    <w:p>
      <w:pPr>
        <w:pStyle w:val="BodyText"/>
        <w:spacing w:line="417" w:lineRule="auto" w:before="61"/>
        <w:ind w:left="547" w:right="4104" w:hanging="428"/>
      </w:pPr>
      <w:r>
        <w:rPr>
          <w:spacing w:val="-3"/>
        </w:rPr>
        <w:t>心功能分级状态分级Ⅳ级，且需持续至少 </w:t>
      </w:r>
      <w:r>
        <w:rPr/>
        <w:t>90</w:t>
      </w:r>
      <w:r>
        <w:rPr>
          <w:spacing w:val="-19"/>
        </w:rPr>
        <w:t> 天。</w:t>
      </w:r>
      <w:r>
        <w:rPr>
          <w:spacing w:val="-2"/>
        </w:rPr>
        <w:t>注：美国纽约心脏病学会心功能分级标准:</w:t>
      </w:r>
    </w:p>
    <w:p>
      <w:pPr>
        <w:pStyle w:val="BodyText"/>
        <w:spacing w:line="417" w:lineRule="auto"/>
        <w:ind w:left="120" w:right="313" w:firstLine="427"/>
      </w:pPr>
      <w:r>
        <w:rPr>
          <w:spacing w:val="-4"/>
        </w:rPr>
        <w:t>Ⅰ级：患者患有心脏病，但活动量不受限制，平时一般活动不引起疲乏、心悸、呼吸困</w:t>
      </w:r>
      <w:r>
        <w:rPr>
          <w:spacing w:val="-2"/>
        </w:rPr>
        <w:t>难或心绞痛。</w:t>
      </w:r>
    </w:p>
    <w:p>
      <w:pPr>
        <w:pStyle w:val="BodyText"/>
        <w:spacing w:line="417" w:lineRule="auto"/>
        <w:ind w:left="120" w:right="311" w:firstLine="427"/>
      </w:pPr>
      <w:r>
        <w:rPr>
          <w:spacing w:val="-4"/>
        </w:rPr>
        <w:t>Ⅱ级：心脏病患者的体力活动受到轻度的限制，休息时无自觉症状，但一般体力活动下</w:t>
      </w:r>
      <w:r>
        <w:rPr>
          <w:spacing w:val="-2"/>
        </w:rPr>
        <w:t>可出现疲乏、心悸、呼吸困难或心绞痛。</w:t>
      </w:r>
    </w:p>
    <w:p>
      <w:pPr>
        <w:pStyle w:val="BodyText"/>
        <w:spacing w:line="269" w:lineRule="exact"/>
        <w:ind w:left="547"/>
      </w:pPr>
      <w:r>
        <w:rPr>
          <w:spacing w:val="-3"/>
        </w:rPr>
        <w:t>Ⅲ级：心脏病患者体力活动明显受限，小于平时一般活动即引起上述的症状。</w:t>
      </w:r>
    </w:p>
    <w:p>
      <w:pPr>
        <w:pStyle w:val="BodyText"/>
        <w:spacing w:before="6"/>
        <w:rPr>
          <w:sz w:val="15"/>
        </w:rPr>
      </w:pPr>
    </w:p>
    <w:p>
      <w:pPr>
        <w:pStyle w:val="BodyText"/>
        <w:ind w:left="547"/>
      </w:pPr>
      <w:r>
        <w:rPr>
          <w:spacing w:val="-7"/>
        </w:rPr>
        <w:t>Ⅳ级：心脏病患者不能从事任何体力活动。休息状态下出现心衰的症状，体力活动后加</w:t>
      </w:r>
    </w:p>
    <w:p>
      <w:pPr>
        <w:pStyle w:val="BodyText"/>
        <w:spacing w:before="7"/>
        <w:rPr>
          <w:sz w:val="15"/>
        </w:rPr>
      </w:pPr>
    </w:p>
    <w:p>
      <w:pPr>
        <w:pStyle w:val="BodyText"/>
        <w:ind w:left="120"/>
      </w:pPr>
      <w:r>
        <w:rPr>
          <w:spacing w:val="-5"/>
        </w:rPr>
        <w:t>重。</w:t>
      </w:r>
    </w:p>
    <w:p>
      <w:pPr>
        <w:pStyle w:val="Heading2"/>
        <w:spacing w:before="133"/>
      </w:pPr>
      <w:r>
        <w:rPr/>
        <w:t>(</w:t>
      </w:r>
      <w:r>
        <w:rPr>
          <w:spacing w:val="-1"/>
        </w:rPr>
        <w:t>七十八) 进行性风疹性全脑炎</w:t>
      </w:r>
    </w:p>
    <w:p>
      <w:pPr>
        <w:pStyle w:val="BodyText"/>
        <w:spacing w:line="417" w:lineRule="auto" w:before="148"/>
        <w:ind w:left="120" w:right="316" w:firstLine="427"/>
      </w:pPr>
      <w:r>
        <w:rPr>
          <w:spacing w:val="-4"/>
        </w:rPr>
        <w:t>指由风疹病毒感染引起的儿童和青少年（19</w:t>
      </w:r>
      <w:r>
        <w:rPr>
          <w:spacing w:val="-10"/>
        </w:rPr>
        <w:t> 岁及以下人群</w:t>
      </w:r>
      <w:r>
        <w:rPr>
          <w:spacing w:val="-4"/>
        </w:rPr>
        <w:t>）</w:t>
      </w:r>
      <w:r>
        <w:rPr>
          <w:spacing w:val="-8"/>
        </w:rPr>
        <w:t>的慢性脑炎。疾病确诊 </w:t>
      </w:r>
      <w:r>
        <w:rPr>
          <w:spacing w:val="-4"/>
        </w:rPr>
        <w:t>180</w:t>
      </w:r>
      <w:r>
        <w:rPr>
          <w:spacing w:val="-2"/>
        </w:rPr>
        <w:t>天后，仍遗留下列一种或一种以上障碍：</w:t>
      </w:r>
    </w:p>
    <w:p>
      <w:pPr>
        <w:pStyle w:val="ListParagraph"/>
        <w:numPr>
          <w:ilvl w:val="0"/>
          <w:numId w:val="58"/>
        </w:numPr>
        <w:tabs>
          <w:tab w:pos="1177" w:val="left" w:leader="none"/>
        </w:tabs>
        <w:spacing w:line="269" w:lineRule="exact" w:before="0" w:after="0"/>
        <w:ind w:left="1176" w:right="0" w:hanging="632"/>
        <w:jc w:val="left"/>
        <w:rPr>
          <w:sz w:val="21"/>
        </w:rPr>
      </w:pPr>
      <w:r>
        <w:rPr>
          <w:spacing w:val="-3"/>
          <w:sz w:val="21"/>
        </w:rPr>
        <w:t>一肢或一肢以上肢体机能完全丧失；</w:t>
      </w:r>
    </w:p>
    <w:p>
      <w:pPr>
        <w:pStyle w:val="BodyText"/>
        <w:spacing w:before="6"/>
        <w:rPr>
          <w:sz w:val="15"/>
        </w:rPr>
      </w:pPr>
    </w:p>
    <w:p>
      <w:pPr>
        <w:pStyle w:val="ListParagraph"/>
        <w:numPr>
          <w:ilvl w:val="0"/>
          <w:numId w:val="58"/>
        </w:numPr>
        <w:tabs>
          <w:tab w:pos="1177" w:val="left" w:leader="none"/>
        </w:tabs>
        <w:spacing w:line="240" w:lineRule="auto" w:before="0" w:after="0"/>
        <w:ind w:left="1176" w:right="0" w:hanging="632"/>
        <w:jc w:val="left"/>
        <w:rPr>
          <w:sz w:val="21"/>
        </w:rPr>
      </w:pPr>
      <w:r>
        <w:rPr>
          <w:spacing w:val="-3"/>
          <w:sz w:val="21"/>
        </w:rPr>
        <w:t>语言能力或咀嚼吞咽能力完全丧失；</w:t>
      </w:r>
    </w:p>
    <w:p>
      <w:pPr>
        <w:pStyle w:val="BodyText"/>
        <w:spacing w:before="7"/>
        <w:rPr>
          <w:sz w:val="15"/>
        </w:rPr>
      </w:pPr>
    </w:p>
    <w:p>
      <w:pPr>
        <w:pStyle w:val="ListParagraph"/>
        <w:numPr>
          <w:ilvl w:val="0"/>
          <w:numId w:val="58"/>
        </w:numPr>
        <w:tabs>
          <w:tab w:pos="1177" w:val="left" w:leader="none"/>
        </w:tabs>
        <w:spacing w:line="240" w:lineRule="auto" w:before="0" w:after="0"/>
        <w:ind w:left="1176" w:right="0" w:hanging="632"/>
        <w:jc w:val="left"/>
        <w:rPr>
          <w:sz w:val="21"/>
        </w:rPr>
      </w:pPr>
      <w:r>
        <w:rPr>
          <w:spacing w:val="-11"/>
          <w:sz w:val="21"/>
        </w:rPr>
        <w:t>自主生活能力完全丧失，无法独立完成六项基本日常生活活动中的三项或三项以</w:t>
      </w:r>
    </w:p>
    <w:p>
      <w:pPr>
        <w:pStyle w:val="BodyText"/>
        <w:spacing w:before="7"/>
        <w:rPr>
          <w:sz w:val="15"/>
        </w:rPr>
      </w:pPr>
    </w:p>
    <w:p>
      <w:pPr>
        <w:pStyle w:val="BodyText"/>
        <w:ind w:left="120"/>
      </w:pPr>
      <w:r>
        <w:rPr>
          <w:spacing w:val="-5"/>
        </w:rPr>
        <w:t>上。</w:t>
      </w:r>
    </w:p>
    <w:p>
      <w:pPr>
        <w:pStyle w:val="Heading2"/>
        <w:spacing w:before="132"/>
      </w:pPr>
      <w:r>
        <w:rPr/>
        <w:t>(</w:t>
      </w:r>
      <w:r>
        <w:rPr/>
        <w:t>七十九) 主动脉夹层瘤</w:t>
      </w:r>
    </w:p>
    <w:p>
      <w:pPr>
        <w:pStyle w:val="BodyText"/>
        <w:spacing w:line="417" w:lineRule="auto" w:before="148"/>
        <w:ind w:left="120" w:right="205" w:firstLine="427"/>
      </w:pPr>
      <w:r>
        <w:rPr>
          <w:spacing w:val="-6"/>
        </w:rPr>
        <w:t>指主动脉的内膜破裂导致血液流入主动脉壁中形成夹层动脉瘤。在本定义中，主动脉指</w:t>
      </w:r>
      <w:r>
        <w:rPr>
          <w:spacing w:val="-12"/>
        </w:rPr>
        <w:t>胸主动脉及腹主动脉而非其旁支。诊断必须由专科医生及检验结果证实，检验包括电脑扫描，</w:t>
      </w:r>
      <w:r>
        <w:rPr>
          <w:spacing w:val="-2"/>
        </w:rPr>
        <w:t>磁共振扫描及磁共振血管造影或心导管检查的证明，并有必要进行紧急修补手术。</w:t>
      </w:r>
    </w:p>
    <w:p>
      <w:pPr>
        <w:pStyle w:val="Heading2"/>
        <w:spacing w:line="319" w:lineRule="exact"/>
      </w:pPr>
      <w:r>
        <w:rPr>
          <w:spacing w:val="-1"/>
        </w:rPr>
        <w:t>(八十) 丝虫病所致象皮肿</w:t>
      </w:r>
    </w:p>
    <w:p>
      <w:pPr>
        <w:pStyle w:val="BodyText"/>
        <w:spacing w:line="417" w:lineRule="auto" w:before="148"/>
        <w:ind w:left="120" w:right="311" w:firstLine="427"/>
        <w:jc w:val="both"/>
      </w:pPr>
      <w:r>
        <w:rPr>
          <w:spacing w:val="-10"/>
        </w:rPr>
        <w:t>指末期丝虫病，按国际淋巴学会分级为 </w:t>
      </w:r>
      <w:r>
        <w:rPr>
          <w:spacing w:val="-2"/>
        </w:rPr>
        <w:t>3</w:t>
      </w:r>
      <w:r>
        <w:rPr>
          <w:spacing w:val="-11"/>
        </w:rPr>
        <w:t> 级淋巴液肿，其临床表现为肢体非凹陷性水肿</w:t>
      </w:r>
      <w:r>
        <w:rPr>
          <w:spacing w:val="-4"/>
        </w:rPr>
        <w:t>伴畸形增大、硬皮症和疣状增生。此病症须经我们认可的专科医生根据临床表现和微丝蚴的</w:t>
      </w:r>
      <w:r>
        <w:rPr>
          <w:spacing w:val="-2"/>
        </w:rPr>
        <w:t>化验结果确诊。</w:t>
      </w:r>
    </w:p>
    <w:p>
      <w:pPr>
        <w:pStyle w:val="Heading2"/>
        <w:spacing w:line="319" w:lineRule="exact"/>
      </w:pPr>
      <w:r>
        <w:rPr/>
        <w:t>(</w:t>
      </w:r>
      <w:r>
        <w:rPr>
          <w:spacing w:val="-1"/>
        </w:rPr>
        <w:t>八十一) 重症急性坏死性筋膜炎</w:t>
      </w:r>
    </w:p>
    <w:p>
      <w:pPr>
        <w:pStyle w:val="BodyText"/>
        <w:spacing w:before="149"/>
        <w:ind w:left="547"/>
      </w:pPr>
      <w:r>
        <w:rPr>
          <w:spacing w:val="-3"/>
        </w:rPr>
        <w:t>坏死性筋膜炎的诊断须同时符合下列要求：</w:t>
      </w:r>
    </w:p>
    <w:p>
      <w:pPr>
        <w:pStyle w:val="BodyText"/>
        <w:spacing w:before="6"/>
        <w:rPr>
          <w:sz w:val="15"/>
        </w:rPr>
      </w:pPr>
    </w:p>
    <w:p>
      <w:pPr>
        <w:pStyle w:val="ListParagraph"/>
        <w:numPr>
          <w:ilvl w:val="0"/>
          <w:numId w:val="59"/>
        </w:numPr>
        <w:tabs>
          <w:tab w:pos="1177" w:val="left" w:leader="none"/>
        </w:tabs>
        <w:spacing w:line="240" w:lineRule="auto" w:before="1" w:after="0"/>
        <w:ind w:left="1176" w:right="0" w:hanging="632"/>
        <w:jc w:val="left"/>
        <w:rPr>
          <w:sz w:val="21"/>
        </w:rPr>
      </w:pPr>
      <w:r>
        <w:rPr>
          <w:spacing w:val="-3"/>
          <w:sz w:val="21"/>
        </w:rPr>
        <w:t>符合坏死性筋膜炎的一般临床表现；</w:t>
      </w:r>
    </w:p>
    <w:p>
      <w:pPr>
        <w:pStyle w:val="BodyText"/>
        <w:spacing w:before="6"/>
        <w:rPr>
          <w:sz w:val="15"/>
        </w:rPr>
      </w:pPr>
    </w:p>
    <w:p>
      <w:pPr>
        <w:pStyle w:val="ListParagraph"/>
        <w:numPr>
          <w:ilvl w:val="0"/>
          <w:numId w:val="59"/>
        </w:numPr>
        <w:tabs>
          <w:tab w:pos="1177" w:val="left" w:leader="none"/>
        </w:tabs>
        <w:spacing w:line="240" w:lineRule="auto" w:before="0" w:after="0"/>
        <w:ind w:left="1176" w:right="0" w:hanging="632"/>
        <w:jc w:val="left"/>
        <w:rPr>
          <w:sz w:val="21"/>
        </w:rPr>
      </w:pPr>
      <w:r>
        <w:rPr>
          <w:spacing w:val="-3"/>
          <w:sz w:val="21"/>
        </w:rPr>
        <w:t>细菌培养检出致病菌；</w:t>
      </w:r>
    </w:p>
    <w:p>
      <w:pPr>
        <w:pStyle w:val="BodyText"/>
        <w:spacing w:before="7"/>
        <w:rPr>
          <w:sz w:val="15"/>
        </w:rPr>
      </w:pPr>
    </w:p>
    <w:p>
      <w:pPr>
        <w:pStyle w:val="ListParagraph"/>
        <w:numPr>
          <w:ilvl w:val="0"/>
          <w:numId w:val="59"/>
        </w:numPr>
        <w:tabs>
          <w:tab w:pos="1177" w:val="left" w:leader="none"/>
        </w:tabs>
        <w:spacing w:line="240" w:lineRule="auto" w:before="0" w:after="0"/>
        <w:ind w:left="1176" w:right="0" w:hanging="632"/>
        <w:jc w:val="left"/>
        <w:rPr>
          <w:sz w:val="21"/>
        </w:rPr>
      </w:pPr>
      <w:r>
        <w:rPr>
          <w:spacing w:val="-3"/>
          <w:sz w:val="21"/>
        </w:rPr>
        <w:t>出现广泛性肌肉及软组织坏死，并导致身体受影响部位永久完全失去功能。</w:t>
      </w:r>
    </w:p>
    <w:p>
      <w:pPr>
        <w:pStyle w:val="BodyText"/>
        <w:spacing w:before="7"/>
        <w:rPr>
          <w:sz w:val="15"/>
        </w:rPr>
      </w:pPr>
    </w:p>
    <w:p>
      <w:pPr>
        <w:pStyle w:val="ListParagraph"/>
        <w:numPr>
          <w:ilvl w:val="0"/>
          <w:numId w:val="59"/>
        </w:numPr>
        <w:tabs>
          <w:tab w:pos="1177" w:val="left" w:leader="none"/>
        </w:tabs>
        <w:spacing w:line="240" w:lineRule="auto" w:before="0" w:after="0"/>
        <w:ind w:left="1176" w:right="0" w:hanging="632"/>
        <w:jc w:val="left"/>
        <w:rPr>
          <w:sz w:val="21"/>
        </w:rPr>
      </w:pPr>
      <w:r>
        <w:rPr>
          <w:spacing w:val="-4"/>
          <w:sz w:val="21"/>
        </w:rPr>
        <w:t>所谓永久完全失去功能是指受影响部位的全部功能完全丧失超过 </w:t>
      </w:r>
      <w:r>
        <w:rPr>
          <w:spacing w:val="-2"/>
          <w:sz w:val="21"/>
        </w:rPr>
        <w:t>180</w:t>
      </w:r>
      <w:r>
        <w:rPr>
          <w:spacing w:val="-1"/>
          <w:sz w:val="21"/>
        </w:rPr>
        <w:t> 天者。</w:t>
      </w:r>
    </w:p>
    <w:p>
      <w:pPr>
        <w:spacing w:after="0" w:line="240" w:lineRule="auto"/>
        <w:jc w:val="left"/>
        <w:rPr>
          <w:sz w:val="21"/>
        </w:rPr>
        <w:sectPr>
          <w:pgSz w:w="11910" w:h="16840"/>
          <w:pgMar w:header="0" w:footer="1005" w:top="1460" w:bottom="1200" w:left="1680" w:right="1480"/>
        </w:sectPr>
      </w:pPr>
    </w:p>
    <w:p>
      <w:pPr>
        <w:pStyle w:val="Heading2"/>
        <w:spacing w:line="381" w:lineRule="exact"/>
      </w:pPr>
      <w:r>
        <w:rPr>
          <w:w w:val="95"/>
        </w:rPr>
        <w:t>(</w:t>
      </w:r>
      <w:r>
        <w:rPr>
          <w:w w:val="95"/>
        </w:rPr>
        <w:t>八</w:t>
      </w:r>
      <w:r>
        <w:rPr>
          <w:w w:val="95"/>
        </w:rPr>
        <w:t>十</w:t>
      </w:r>
      <w:r>
        <w:rPr>
          <w:w w:val="95"/>
        </w:rPr>
        <w:t>二)</w:t>
      </w:r>
      <w:r>
        <w:rPr>
          <w:spacing w:val="37"/>
        </w:rPr>
        <w:t> </w:t>
      </w:r>
      <w:r>
        <w:rPr>
          <w:w w:val="95"/>
        </w:rPr>
        <w:t>因</w:t>
      </w:r>
      <w:r>
        <w:rPr>
          <w:w w:val="95"/>
        </w:rPr>
        <w:t>职</w:t>
      </w:r>
      <w:r>
        <w:rPr>
          <w:w w:val="95"/>
        </w:rPr>
        <w:t>业</w:t>
      </w:r>
      <w:r>
        <w:rPr>
          <w:w w:val="95"/>
        </w:rPr>
        <w:t>关</w:t>
      </w:r>
      <w:r>
        <w:rPr>
          <w:w w:val="95"/>
        </w:rPr>
        <w:t>系</w:t>
      </w:r>
      <w:r>
        <w:rPr>
          <w:w w:val="95"/>
        </w:rPr>
        <w:t>导</w:t>
      </w:r>
      <w:r>
        <w:rPr>
          <w:w w:val="95"/>
        </w:rPr>
        <w:t>致</w:t>
      </w:r>
      <w:r>
        <w:rPr>
          <w:w w:val="95"/>
        </w:rPr>
        <w:t>的</w:t>
      </w:r>
      <w:r>
        <w:rPr>
          <w:spacing w:val="28"/>
        </w:rPr>
        <w:t> </w:t>
      </w:r>
      <w:r>
        <w:rPr>
          <w:w w:val="95"/>
        </w:rPr>
        <w:t>HIV</w:t>
      </w:r>
      <w:r>
        <w:rPr>
          <w:spacing w:val="28"/>
        </w:rPr>
        <w:t> </w:t>
      </w:r>
      <w:r>
        <w:rPr>
          <w:w w:val="95"/>
        </w:rPr>
        <w:t>感</w:t>
      </w:r>
      <w:r>
        <w:rPr>
          <w:spacing w:val="-10"/>
          <w:w w:val="95"/>
        </w:rPr>
        <w:t>染</w:t>
      </w:r>
    </w:p>
    <w:p>
      <w:pPr>
        <w:pStyle w:val="BodyText"/>
        <w:spacing w:line="417" w:lineRule="auto" w:before="148"/>
        <w:ind w:left="120" w:right="311" w:firstLine="427"/>
      </w:pPr>
      <w:r>
        <w:rPr>
          <w:spacing w:val="-8"/>
        </w:rPr>
        <w:t>被保险人在其常规职业工作过程中遭遇外伤，或职业需要处理血液或其它体液时感染上</w:t>
      </w:r>
      <w:r>
        <w:rPr>
          <w:spacing w:val="-2"/>
        </w:rPr>
        <w:t>人类免疫缺陷病毒</w:t>
      </w:r>
      <w:r>
        <w:rPr>
          <w:spacing w:val="17"/>
        </w:rPr>
        <w:t>（</w:t>
      </w:r>
      <w:r>
        <w:rPr>
          <w:spacing w:val="20"/>
        </w:rPr>
        <w:t>HIV</w:t>
      </w:r>
      <w:r>
        <w:rPr>
          <w:spacing w:val="-88"/>
        </w:rPr>
        <w:t>）</w:t>
      </w:r>
      <w:r>
        <w:rPr>
          <w:spacing w:val="-2"/>
        </w:rPr>
        <w:t>。必须满足下列全部条件：</w:t>
      </w:r>
    </w:p>
    <w:p>
      <w:pPr>
        <w:pStyle w:val="ListParagraph"/>
        <w:numPr>
          <w:ilvl w:val="0"/>
          <w:numId w:val="60"/>
        </w:numPr>
        <w:tabs>
          <w:tab w:pos="1177" w:val="left" w:leader="none"/>
        </w:tabs>
        <w:spacing w:line="417" w:lineRule="auto" w:before="0" w:after="0"/>
        <w:ind w:left="120" w:right="313" w:firstLine="424"/>
        <w:jc w:val="left"/>
        <w:rPr>
          <w:sz w:val="21"/>
        </w:rPr>
      </w:pPr>
      <w:r>
        <w:rPr>
          <w:spacing w:val="-7"/>
          <w:sz w:val="21"/>
        </w:rPr>
        <w:t>感染必须是在被保险人正在从事其职业工作中发生，该职业必须属于下列限定职</w:t>
      </w:r>
      <w:r>
        <w:rPr>
          <w:spacing w:val="-2"/>
          <w:sz w:val="21"/>
        </w:rPr>
        <w:t>业范围内的职业；</w:t>
      </w:r>
    </w:p>
    <w:p>
      <w:pPr>
        <w:pStyle w:val="ListParagraph"/>
        <w:numPr>
          <w:ilvl w:val="0"/>
          <w:numId w:val="60"/>
        </w:numPr>
        <w:tabs>
          <w:tab w:pos="1177" w:val="left" w:leader="none"/>
        </w:tabs>
        <w:spacing w:line="269" w:lineRule="exact" w:before="0" w:after="0"/>
        <w:ind w:left="1176" w:right="0" w:hanging="632"/>
        <w:jc w:val="left"/>
        <w:rPr>
          <w:sz w:val="21"/>
        </w:rPr>
      </w:pPr>
      <w:r>
        <w:rPr>
          <w:spacing w:val="-5"/>
          <w:sz w:val="21"/>
        </w:rPr>
        <w:t>血清转化必须出现在事故发生后的 </w:t>
      </w:r>
      <w:r>
        <w:rPr>
          <w:spacing w:val="-2"/>
          <w:sz w:val="21"/>
        </w:rPr>
        <w:t>6</w:t>
      </w:r>
      <w:r>
        <w:rPr>
          <w:spacing w:val="-12"/>
          <w:sz w:val="21"/>
        </w:rPr>
        <w:t> 个月以内；</w:t>
      </w:r>
    </w:p>
    <w:p>
      <w:pPr>
        <w:pStyle w:val="BodyText"/>
        <w:spacing w:before="6"/>
        <w:rPr>
          <w:sz w:val="15"/>
        </w:rPr>
      </w:pPr>
    </w:p>
    <w:p>
      <w:pPr>
        <w:pStyle w:val="ListParagraph"/>
        <w:numPr>
          <w:ilvl w:val="0"/>
          <w:numId w:val="60"/>
        </w:numPr>
        <w:tabs>
          <w:tab w:pos="1177" w:val="left" w:leader="none"/>
        </w:tabs>
        <w:spacing w:line="417" w:lineRule="auto" w:before="1" w:after="0"/>
        <w:ind w:left="120" w:right="313" w:firstLine="424"/>
        <w:jc w:val="left"/>
        <w:rPr>
          <w:sz w:val="21"/>
        </w:rPr>
      </w:pPr>
      <w:r>
        <w:rPr>
          <w:spacing w:val="-3"/>
          <w:sz w:val="21"/>
        </w:rPr>
        <w:t>必须提供被保险人在所报事故后发生的 </w:t>
      </w:r>
      <w:r>
        <w:rPr>
          <w:sz w:val="21"/>
        </w:rPr>
        <w:t>5</w:t>
      </w:r>
      <w:r>
        <w:rPr>
          <w:spacing w:val="-14"/>
          <w:sz w:val="21"/>
        </w:rPr>
        <w:t> 天以内进行的检查报告，该报告必须显</w:t>
      </w:r>
      <w:r>
        <w:rPr>
          <w:spacing w:val="-2"/>
          <w:sz w:val="21"/>
        </w:rPr>
        <w:t>示被保险人血液人类免疫缺陷病毒（HIV）阴性和/或人类免疫缺陷病毒（HIV）抗体阴性；</w:t>
      </w:r>
    </w:p>
    <w:p>
      <w:pPr>
        <w:pStyle w:val="ListParagraph"/>
        <w:numPr>
          <w:ilvl w:val="0"/>
          <w:numId w:val="60"/>
        </w:numPr>
        <w:tabs>
          <w:tab w:pos="1177" w:val="left" w:leader="none"/>
        </w:tabs>
        <w:spacing w:line="417" w:lineRule="auto" w:before="0" w:after="0"/>
        <w:ind w:left="120" w:right="212" w:firstLine="424"/>
        <w:jc w:val="left"/>
        <w:rPr>
          <w:sz w:val="21"/>
        </w:rPr>
      </w:pPr>
      <w:r>
        <w:rPr>
          <w:spacing w:val="-6"/>
          <w:sz w:val="21"/>
        </w:rPr>
        <w:t>必须在事故发生后的 </w:t>
      </w:r>
      <w:r>
        <w:rPr>
          <w:sz w:val="21"/>
        </w:rPr>
        <w:t>12</w:t>
      </w:r>
      <w:r>
        <w:rPr>
          <w:spacing w:val="-8"/>
          <w:sz w:val="21"/>
        </w:rPr>
        <w:t> 个月内证实被保险人体内存在人类免疫缺陷病毒</w:t>
      </w:r>
      <w:r>
        <w:rPr>
          <w:sz w:val="21"/>
        </w:rPr>
        <w:t>（HIV）</w:t>
      </w:r>
      <w:r>
        <w:rPr>
          <w:spacing w:val="-2"/>
          <w:sz w:val="21"/>
        </w:rPr>
        <w:t>或人类免疫缺陷病毒（HIV）抗体。</w:t>
      </w:r>
    </w:p>
    <w:p>
      <w:pPr>
        <w:spacing w:line="320" w:lineRule="exact" w:before="0"/>
        <w:ind w:left="547" w:right="0" w:firstLine="0"/>
        <w:jc w:val="left"/>
        <w:rPr>
          <w:rFonts w:ascii="微软雅黑" w:eastAsia="微软雅黑"/>
          <w:b/>
          <w:sz w:val="21"/>
        </w:rPr>
      </w:pPr>
      <w:r>
        <w:rPr>
          <w:rFonts w:ascii="微软雅黑" w:eastAsia="微软雅黑"/>
          <w:b/>
          <w:spacing w:val="-1"/>
          <w:sz w:val="21"/>
        </w:rPr>
        <w:t>限定职业：医生、医生助理、护士、化验室或实验室工作人员、医院护工、救护车工</w:t>
      </w:r>
    </w:p>
    <w:p>
      <w:pPr>
        <w:spacing w:before="80"/>
        <w:ind w:left="120" w:right="0" w:firstLine="0"/>
        <w:jc w:val="left"/>
        <w:rPr>
          <w:rFonts w:ascii="微软雅黑" w:eastAsia="微软雅黑"/>
          <w:b/>
          <w:sz w:val="21"/>
        </w:rPr>
      </w:pPr>
      <w:r>
        <w:rPr>
          <w:rFonts w:ascii="微软雅黑" w:eastAsia="微软雅黑"/>
          <w:b/>
          <w:spacing w:val="-3"/>
          <w:sz w:val="21"/>
        </w:rPr>
        <w:t>作人员、助产士、消防队员、警察、狱警。</w:t>
      </w:r>
    </w:p>
    <w:p>
      <w:pPr>
        <w:spacing w:line="290" w:lineRule="auto" w:before="81"/>
        <w:ind w:left="120" w:right="316" w:firstLine="427"/>
        <w:jc w:val="left"/>
        <w:rPr>
          <w:rFonts w:ascii="微软雅黑" w:eastAsia="微软雅黑"/>
          <w:b/>
          <w:sz w:val="21"/>
        </w:rPr>
      </w:pPr>
      <w:r>
        <w:rPr>
          <w:rFonts w:ascii="微软雅黑" w:eastAsia="微软雅黑"/>
          <w:b/>
          <w:spacing w:val="-3"/>
          <w:w w:val="100"/>
          <w:sz w:val="21"/>
        </w:rPr>
        <w:t>在任何治愈艾滋病或阻止人类免疫缺陷病毒</w:t>
      </w:r>
      <w:r>
        <w:rPr>
          <w:rFonts w:ascii="微软雅黑" w:eastAsia="微软雅黑"/>
          <w:b/>
          <w:w w:val="100"/>
          <w:sz w:val="21"/>
        </w:rPr>
        <w:t>（</w:t>
      </w:r>
      <w:r>
        <w:rPr>
          <w:rFonts w:ascii="微软雅黑" w:eastAsia="微软雅黑"/>
          <w:b/>
          <w:w w:val="80"/>
          <w:sz w:val="21"/>
        </w:rPr>
        <w:t>HIV</w:t>
      </w:r>
      <w:r>
        <w:rPr>
          <w:rFonts w:ascii="微软雅黑" w:eastAsia="微软雅黑"/>
          <w:b/>
          <w:spacing w:val="-13"/>
          <w:w w:val="100"/>
          <w:sz w:val="21"/>
        </w:rPr>
        <w:t>）</w:t>
      </w:r>
      <w:r>
        <w:rPr>
          <w:rFonts w:ascii="微软雅黑" w:eastAsia="微软雅黑"/>
          <w:b/>
          <w:spacing w:val="-4"/>
          <w:w w:val="100"/>
          <w:sz w:val="21"/>
        </w:rPr>
        <w:t>病毒作用的疗法被发现以后，或能</w:t>
      </w:r>
      <w:r>
        <w:rPr>
          <w:rFonts w:ascii="微软雅黑" w:eastAsia="微软雅黑"/>
          <w:b/>
          <w:spacing w:val="-3"/>
          <w:w w:val="100"/>
          <w:sz w:val="21"/>
        </w:rPr>
        <w:t>防止艾滋病发生的医疗方法被研究出来以后，本保障将不再予以赔付。</w:t>
      </w:r>
    </w:p>
    <w:p>
      <w:pPr>
        <w:spacing w:line="290" w:lineRule="auto" w:before="0"/>
        <w:ind w:left="120" w:right="209" w:firstLine="427"/>
        <w:jc w:val="left"/>
        <w:rPr>
          <w:rFonts w:ascii="微软雅黑" w:hAnsi="微软雅黑" w:eastAsia="微软雅黑"/>
          <w:b/>
          <w:sz w:val="21"/>
        </w:rPr>
      </w:pPr>
      <w:r>
        <w:rPr>
          <w:rFonts w:ascii="微软雅黑" w:hAnsi="微软雅黑" w:eastAsia="微软雅黑"/>
          <w:b/>
          <w:spacing w:val="-2"/>
          <w:sz w:val="21"/>
        </w:rPr>
        <w:t>我们承担本项疾病责任不受</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pacing w:val="-2"/>
          <w:sz w:val="21"/>
        </w:rPr>
        <w:t>免</w:t>
      </w:r>
      <w:r>
        <w:rPr>
          <w:rFonts w:ascii="微软雅黑" w:hAnsi="微软雅黑" w:eastAsia="微软雅黑"/>
          <w:b/>
          <w:spacing w:val="-2"/>
          <w:sz w:val="21"/>
        </w:rPr>
        <w:t>除</w:t>
      </w:r>
      <w:r>
        <w:rPr>
          <w:rFonts w:ascii="微软雅黑" w:hAnsi="微软雅黑" w:eastAsia="微软雅黑"/>
          <w:b/>
          <w:spacing w:val="-7"/>
          <w:sz w:val="21"/>
        </w:rPr>
        <w:t>中“被保险人感染艾滋病病毒或患艾滋病”</w:t>
      </w:r>
      <w:r>
        <w:rPr>
          <w:rFonts w:ascii="微软雅黑" w:hAnsi="微软雅黑" w:eastAsia="微软雅黑"/>
          <w:b/>
          <w:spacing w:val="-4"/>
          <w:sz w:val="21"/>
        </w:rPr>
        <w:t>的限制。</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八十三) 特发性慢性肾上腺皮质功能减退</w:t>
      </w:r>
    </w:p>
    <w:p>
      <w:pPr>
        <w:pStyle w:val="BodyText"/>
        <w:spacing w:line="417" w:lineRule="auto" w:before="148"/>
        <w:ind w:left="120" w:right="311" w:firstLine="427"/>
      </w:pPr>
      <w:r>
        <w:rPr>
          <w:spacing w:val="-10"/>
        </w:rPr>
        <w:t>因为自身免疫功能紊乱，使肾上腺组织逐渐受损，而需要长期接受糖皮质激素及肾上腺</w:t>
      </w:r>
      <w:r>
        <w:rPr>
          <w:spacing w:val="-2"/>
        </w:rPr>
        <w:t>皮质激素替代疗法。该病必须经内分泌专科医生确诊，并有以下报告作为证据：</w:t>
      </w:r>
    </w:p>
    <w:p>
      <w:pPr>
        <w:pStyle w:val="ListParagraph"/>
        <w:numPr>
          <w:ilvl w:val="0"/>
          <w:numId w:val="61"/>
        </w:numPr>
        <w:tabs>
          <w:tab w:pos="1177" w:val="left" w:leader="none"/>
        </w:tabs>
        <w:spacing w:line="269" w:lineRule="exact" w:before="0" w:after="0"/>
        <w:ind w:left="1176" w:right="0" w:hanging="632"/>
        <w:jc w:val="left"/>
        <w:rPr>
          <w:sz w:val="21"/>
        </w:rPr>
      </w:pPr>
      <w:r>
        <w:rPr>
          <w:spacing w:val="-2"/>
          <w:sz w:val="21"/>
        </w:rPr>
        <w:t>促肾上腺皮质激素(ACTH</w:t>
      </w:r>
      <w:r>
        <w:rPr>
          <w:spacing w:val="-4"/>
          <w:sz w:val="21"/>
        </w:rPr>
        <w:t>)刺激试验；</w:t>
      </w:r>
    </w:p>
    <w:p>
      <w:pPr>
        <w:pStyle w:val="BodyText"/>
        <w:spacing w:before="6"/>
        <w:rPr>
          <w:sz w:val="15"/>
        </w:rPr>
      </w:pPr>
    </w:p>
    <w:p>
      <w:pPr>
        <w:pStyle w:val="ListParagraph"/>
        <w:numPr>
          <w:ilvl w:val="0"/>
          <w:numId w:val="61"/>
        </w:numPr>
        <w:tabs>
          <w:tab w:pos="1177" w:val="left" w:leader="none"/>
        </w:tabs>
        <w:spacing w:line="240" w:lineRule="auto" w:before="1" w:after="0"/>
        <w:ind w:left="1176" w:right="0" w:hanging="632"/>
        <w:jc w:val="left"/>
        <w:rPr>
          <w:sz w:val="21"/>
        </w:rPr>
      </w:pPr>
      <w:r>
        <w:rPr>
          <w:spacing w:val="-3"/>
          <w:sz w:val="21"/>
        </w:rPr>
        <w:t>胰岛素血糖减少测试；</w:t>
      </w:r>
    </w:p>
    <w:p>
      <w:pPr>
        <w:pStyle w:val="BodyText"/>
        <w:spacing w:before="6"/>
        <w:rPr>
          <w:sz w:val="15"/>
        </w:rPr>
      </w:pPr>
    </w:p>
    <w:p>
      <w:pPr>
        <w:pStyle w:val="ListParagraph"/>
        <w:numPr>
          <w:ilvl w:val="0"/>
          <w:numId w:val="61"/>
        </w:numPr>
        <w:tabs>
          <w:tab w:pos="1177" w:val="left" w:leader="none"/>
        </w:tabs>
        <w:spacing w:line="240" w:lineRule="auto" w:before="0" w:after="0"/>
        <w:ind w:left="1176" w:right="0" w:hanging="632"/>
        <w:jc w:val="left"/>
        <w:rPr>
          <w:sz w:val="21"/>
        </w:rPr>
      </w:pPr>
      <w:r>
        <w:rPr>
          <w:spacing w:val="-2"/>
          <w:sz w:val="21"/>
        </w:rPr>
        <w:t>血浆促肾上腺皮质激素(ACTH</w:t>
      </w:r>
      <w:r>
        <w:rPr>
          <w:spacing w:val="-4"/>
          <w:sz w:val="21"/>
        </w:rPr>
        <w:t>)水平测定；</w:t>
      </w:r>
    </w:p>
    <w:p>
      <w:pPr>
        <w:pStyle w:val="BodyText"/>
        <w:spacing w:before="7"/>
        <w:rPr>
          <w:sz w:val="15"/>
        </w:rPr>
      </w:pPr>
    </w:p>
    <w:p>
      <w:pPr>
        <w:pStyle w:val="ListParagraph"/>
        <w:numPr>
          <w:ilvl w:val="0"/>
          <w:numId w:val="61"/>
        </w:numPr>
        <w:tabs>
          <w:tab w:pos="1177" w:val="left" w:leader="none"/>
        </w:tabs>
        <w:spacing w:line="240" w:lineRule="auto" w:before="0" w:after="0"/>
        <w:ind w:left="1176" w:right="0" w:hanging="632"/>
        <w:jc w:val="left"/>
        <w:rPr>
          <w:sz w:val="21"/>
        </w:rPr>
      </w:pPr>
      <w:r>
        <w:rPr>
          <w:spacing w:val="-2"/>
          <w:sz w:val="21"/>
        </w:rPr>
        <w:t>血浆肾素活性(PRA</w:t>
      </w:r>
      <w:r>
        <w:rPr>
          <w:spacing w:val="-4"/>
          <w:sz w:val="21"/>
        </w:rPr>
        <w:t>)测定。</w:t>
      </w:r>
    </w:p>
    <w:p>
      <w:pPr>
        <w:pStyle w:val="Heading2"/>
        <w:spacing w:line="290" w:lineRule="auto" w:before="132"/>
        <w:ind w:right="325" w:firstLine="427"/>
      </w:pPr>
      <w:r>
        <w:rPr>
          <w:spacing w:val="-2"/>
        </w:rPr>
        <w:t>本保障仅包括由自身免疫功能紊乱所导致的慢性肾上腺功能减退，其他成因所致的原</w:t>
      </w:r>
      <w:r>
        <w:rPr>
          <w:spacing w:val="-2"/>
        </w:rPr>
        <w:t>发性肾上腺皮质功能减退和继发性肾上腺皮质功能减退均不在保障范围内。</w:t>
      </w:r>
    </w:p>
    <w:p>
      <w:pPr>
        <w:spacing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八十四) 破裂脑动脉瘤夹闭手术</w:t>
      </w:r>
    </w:p>
    <w:p>
      <w:pPr>
        <w:pStyle w:val="BodyText"/>
        <w:spacing w:line="417" w:lineRule="auto" w:before="148"/>
        <w:ind w:left="120" w:right="311" w:firstLine="427"/>
      </w:pPr>
      <w:r>
        <w:rPr>
          <w:spacing w:val="-8"/>
        </w:rPr>
        <w:t>指因脑动脉瘤破裂造成蛛网膜下腔出血，被保险人实际接受了在全麻下进行的开颅动脉</w:t>
      </w:r>
      <w:r>
        <w:rPr>
          <w:spacing w:val="-2"/>
        </w:rPr>
        <w:t>瘤夹闭手术。</w:t>
      </w:r>
    </w:p>
    <w:p>
      <w:pPr>
        <w:spacing w:line="320" w:lineRule="exact" w:before="0"/>
        <w:ind w:left="547" w:right="0" w:firstLine="0"/>
        <w:jc w:val="left"/>
        <w:rPr>
          <w:rFonts w:ascii="微软雅黑" w:eastAsia="微软雅黑"/>
          <w:b/>
          <w:sz w:val="21"/>
        </w:rPr>
      </w:pPr>
      <w:r>
        <w:rPr>
          <w:rFonts w:ascii="微软雅黑" w:eastAsia="微软雅黑"/>
          <w:b/>
          <w:sz w:val="21"/>
        </w:rPr>
        <w:t>脑动脉瘤（未破裂）</w:t>
      </w:r>
      <w:r>
        <w:rPr>
          <w:rFonts w:ascii="微软雅黑" w:eastAsia="微软雅黑"/>
          <w:b/>
          <w:spacing w:val="-1"/>
          <w:sz w:val="21"/>
        </w:rPr>
        <w:t>预防性手术、颅骨打孔手术、动脉瘤栓塞手术、血管内手术及其</w:t>
      </w:r>
    </w:p>
    <w:p>
      <w:pPr>
        <w:spacing w:before="81"/>
        <w:ind w:left="120" w:right="0" w:firstLine="0"/>
        <w:jc w:val="left"/>
        <w:rPr>
          <w:rFonts w:ascii="微软雅黑" w:eastAsia="微软雅黑"/>
          <w:b/>
          <w:sz w:val="21"/>
        </w:rPr>
      </w:pPr>
      <w:r>
        <w:rPr>
          <w:rFonts w:ascii="微软雅黑" w:eastAsia="微软雅黑"/>
          <w:b/>
          <w:spacing w:val="-3"/>
          <w:sz w:val="21"/>
        </w:rPr>
        <w:t>他颅脑手术不在本保障范围内。</w:t>
      </w:r>
    </w:p>
    <w:p>
      <w:pPr>
        <w:spacing w:after="0"/>
        <w:jc w:val="left"/>
        <w:rPr>
          <w:rFonts w:ascii="微软雅黑" w:eastAsia="微软雅黑"/>
          <w:sz w:val="21"/>
        </w:rPr>
        <w:sectPr>
          <w:pgSz w:w="11910" w:h="16840"/>
          <w:pgMar w:header="0" w:footer="1005" w:top="1460" w:bottom="1200" w:left="1680" w:right="1480"/>
        </w:sectPr>
      </w:pPr>
    </w:p>
    <w:p>
      <w:pPr>
        <w:spacing w:line="381"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八十五) 侵蚀性葡萄胎（或称恶性葡萄胎</w:t>
      </w:r>
      <w:r>
        <w:rPr>
          <w:rFonts w:ascii="微软雅黑" w:eastAsia="微软雅黑"/>
          <w:b/>
          <w:spacing w:val="-10"/>
          <w:sz w:val="21"/>
        </w:rPr>
        <w:t>）</w:t>
      </w:r>
    </w:p>
    <w:p>
      <w:pPr>
        <w:pStyle w:val="BodyText"/>
        <w:spacing w:line="417" w:lineRule="auto" w:before="148"/>
        <w:ind w:left="120" w:right="321" w:firstLine="427"/>
      </w:pPr>
      <w:r>
        <w:rPr>
          <w:spacing w:val="-2"/>
        </w:rPr>
        <w:t>该类疾病是指异常增生的绒毛组织浸润性生长浸入子宫肌层或转移至其他器官或组织</w:t>
      </w:r>
      <w:r>
        <w:rPr>
          <w:spacing w:val="-2"/>
        </w:rPr>
        <w:t>的葡萄胎，并已经进行化疗或手术治疗的。</w:t>
      </w:r>
    </w:p>
    <w:p>
      <w:pPr>
        <w:pStyle w:val="Heading2"/>
        <w:spacing w:line="320" w:lineRule="exact"/>
      </w:pPr>
      <w:r>
        <w:rPr/>
        <w:t>(</w:t>
      </w:r>
      <w:r>
        <w:rPr>
          <w:spacing w:val="1"/>
        </w:rPr>
        <w:t>八十六) 严重川崎病</w:t>
      </w:r>
    </w:p>
    <w:p>
      <w:pPr>
        <w:pStyle w:val="BodyText"/>
        <w:spacing w:line="417" w:lineRule="auto" w:before="148"/>
        <w:ind w:left="120" w:right="311" w:firstLine="427"/>
      </w:pPr>
      <w:r>
        <w:rPr>
          <w:spacing w:val="-4"/>
        </w:rPr>
        <w:t>是一种血管炎综合征，临床表现为急性发热，皮肤粘膜病损和淋巴结肿大。本病须经专</w:t>
      </w:r>
      <w:r>
        <w:rPr>
          <w:spacing w:val="-2"/>
        </w:rPr>
        <w:t>科医生明确诊断，同时须由血管造影或超声心动图检查证实，满足下列至少一项条件：</w:t>
      </w:r>
    </w:p>
    <w:p>
      <w:pPr>
        <w:pStyle w:val="ListParagraph"/>
        <w:numPr>
          <w:ilvl w:val="0"/>
          <w:numId w:val="62"/>
        </w:numPr>
        <w:tabs>
          <w:tab w:pos="1177" w:val="left" w:leader="none"/>
        </w:tabs>
        <w:spacing w:line="269" w:lineRule="exact" w:before="0" w:after="0"/>
        <w:ind w:left="1176" w:right="0" w:hanging="632"/>
        <w:jc w:val="left"/>
        <w:rPr>
          <w:sz w:val="21"/>
        </w:rPr>
      </w:pPr>
      <w:r>
        <w:rPr>
          <w:spacing w:val="-4"/>
          <w:sz w:val="21"/>
        </w:rPr>
        <w:t>伴有冠状动脉瘤，且冠状动脉瘤于最初急性发病后持续至少 </w:t>
      </w:r>
      <w:r>
        <w:rPr>
          <w:spacing w:val="-2"/>
          <w:sz w:val="21"/>
        </w:rPr>
        <w:t>180</w:t>
      </w:r>
      <w:r>
        <w:rPr>
          <w:spacing w:val="-18"/>
          <w:sz w:val="21"/>
        </w:rPr>
        <w:t> 天；</w:t>
      </w:r>
    </w:p>
    <w:p>
      <w:pPr>
        <w:pStyle w:val="BodyText"/>
        <w:spacing w:before="7"/>
        <w:rPr>
          <w:sz w:val="15"/>
        </w:rPr>
      </w:pPr>
    </w:p>
    <w:p>
      <w:pPr>
        <w:pStyle w:val="ListParagraph"/>
        <w:numPr>
          <w:ilvl w:val="0"/>
          <w:numId w:val="62"/>
        </w:numPr>
        <w:tabs>
          <w:tab w:pos="1177" w:val="left" w:leader="none"/>
        </w:tabs>
        <w:spacing w:line="357" w:lineRule="auto" w:before="0" w:after="0"/>
        <w:ind w:left="120" w:right="1682" w:firstLine="424"/>
        <w:jc w:val="left"/>
        <w:rPr>
          <w:rFonts w:ascii="微软雅黑" w:eastAsia="微软雅黑"/>
          <w:b/>
          <w:sz w:val="21"/>
        </w:rPr>
      </w:pPr>
      <w:r>
        <w:rPr>
          <w:spacing w:val="-2"/>
          <w:sz w:val="21"/>
        </w:rPr>
        <w:t>伴有冠状动脉瘤，且实际接受了对冠状动脉瘤进行的手术治疗。 </w:t>
      </w:r>
      <w:r>
        <w:rPr>
          <w:rFonts w:ascii="微软雅黑" w:eastAsia="微软雅黑"/>
          <w:b/>
          <w:w w:val="105"/>
          <w:sz w:val="21"/>
        </w:rPr>
        <w:t>(</w:t>
      </w:r>
      <w:r>
        <w:rPr>
          <w:rFonts w:ascii="微软雅黑" w:eastAsia="微软雅黑"/>
          <w:b/>
          <w:w w:val="105"/>
          <w:sz w:val="21"/>
        </w:rPr>
        <w:t>八</w:t>
      </w:r>
      <w:r>
        <w:rPr>
          <w:rFonts w:ascii="微软雅黑" w:eastAsia="微软雅黑"/>
          <w:b/>
          <w:w w:val="105"/>
          <w:sz w:val="21"/>
        </w:rPr>
        <w:t>十</w:t>
      </w:r>
      <w:r>
        <w:rPr>
          <w:rFonts w:ascii="微软雅黑" w:eastAsia="微软雅黑"/>
          <w:b/>
          <w:w w:val="105"/>
          <w:sz w:val="21"/>
        </w:rPr>
        <w:t>七) </w:t>
      </w:r>
      <w:r>
        <w:rPr>
          <w:rFonts w:ascii="微软雅黑" w:eastAsia="微软雅黑"/>
          <w:b/>
          <w:w w:val="105"/>
          <w:sz w:val="21"/>
        </w:rPr>
        <w:t>严</w:t>
      </w:r>
      <w:r>
        <w:rPr>
          <w:rFonts w:ascii="微软雅黑" w:eastAsia="微软雅黑"/>
          <w:b/>
          <w:w w:val="105"/>
          <w:sz w:val="21"/>
        </w:rPr>
        <w:t>重</w:t>
      </w:r>
      <w:r>
        <w:rPr>
          <w:rFonts w:ascii="微软雅黑" w:eastAsia="微软雅黑"/>
          <w:b/>
          <w:w w:val="105"/>
          <w:sz w:val="21"/>
        </w:rPr>
        <w:t>慢</w:t>
      </w:r>
      <w:r>
        <w:rPr>
          <w:rFonts w:ascii="微软雅黑" w:eastAsia="微软雅黑"/>
          <w:b/>
          <w:w w:val="105"/>
          <w:sz w:val="21"/>
        </w:rPr>
        <w:t>性</w:t>
      </w:r>
      <w:r>
        <w:rPr>
          <w:rFonts w:ascii="微软雅黑" w:eastAsia="微软雅黑"/>
          <w:b/>
          <w:w w:val="105"/>
          <w:sz w:val="21"/>
        </w:rPr>
        <w:t>复</w:t>
      </w:r>
      <w:r>
        <w:rPr>
          <w:rFonts w:ascii="微软雅黑" w:eastAsia="微软雅黑"/>
          <w:b/>
          <w:w w:val="105"/>
          <w:sz w:val="21"/>
        </w:rPr>
        <w:t>发</w:t>
      </w:r>
      <w:r>
        <w:rPr>
          <w:rFonts w:ascii="微软雅黑" w:eastAsia="微软雅黑"/>
          <w:b/>
          <w:w w:val="105"/>
          <w:sz w:val="21"/>
        </w:rPr>
        <w:t>性</w:t>
      </w:r>
      <w:r>
        <w:rPr>
          <w:rFonts w:ascii="微软雅黑" w:eastAsia="微软雅黑"/>
          <w:b/>
          <w:w w:val="105"/>
          <w:sz w:val="21"/>
        </w:rPr>
        <w:t>胰</w:t>
      </w:r>
      <w:r>
        <w:rPr>
          <w:rFonts w:ascii="微软雅黑" w:eastAsia="微软雅黑"/>
          <w:b/>
          <w:w w:val="105"/>
          <w:sz w:val="21"/>
        </w:rPr>
        <w:t>腺炎</w:t>
      </w:r>
    </w:p>
    <w:p>
      <w:pPr>
        <w:pStyle w:val="BodyText"/>
        <w:spacing w:line="228" w:lineRule="exact"/>
        <w:ind w:left="547"/>
      </w:pPr>
      <w:r>
        <w:rPr>
          <w:spacing w:val="-3"/>
        </w:rPr>
        <w:t>胰腺炎反复发作超过三次以上并导致胰腺功能紊乱和营养不良，需要接受酶替代治疗。</w:t>
      </w:r>
    </w:p>
    <w:p>
      <w:pPr>
        <w:pStyle w:val="BodyText"/>
        <w:spacing w:before="7"/>
        <w:rPr>
          <w:sz w:val="15"/>
        </w:rPr>
      </w:pPr>
    </w:p>
    <w:p>
      <w:pPr>
        <w:pStyle w:val="BodyText"/>
        <w:spacing w:line="417" w:lineRule="auto"/>
        <w:ind w:left="120" w:right="313"/>
      </w:pPr>
      <w:r>
        <w:rPr/>
        <w:t>CT</w:t>
      </w:r>
      <w:r>
        <w:rPr>
          <w:spacing w:val="-7"/>
        </w:rPr>
        <w:t> 检查证实胰腺存在广泛钙化，且必须接受酶替代以及胰岛素替代治疗 </w:t>
      </w:r>
      <w:r>
        <w:rPr/>
        <w:t>6</w:t>
      </w:r>
      <w:r>
        <w:rPr>
          <w:spacing w:val="-6"/>
        </w:rPr>
        <w:t> 个月以上。诊断</w:t>
      </w:r>
      <w:r>
        <w:rPr>
          <w:spacing w:val="-2"/>
        </w:rPr>
        <w:t>必须有消化科专科医生确认并且有内窥镜逆行胰胆管造影所证实。</w:t>
      </w:r>
    </w:p>
    <w:p>
      <w:pPr>
        <w:pStyle w:val="Heading2"/>
        <w:spacing w:line="320" w:lineRule="exact"/>
        <w:ind w:left="547"/>
      </w:pPr>
      <w:r>
        <w:rPr>
          <w:spacing w:val="-3"/>
        </w:rPr>
        <w:t>因酒精所致的慢性复发性胰腺炎除外。</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八十八) 感染性心内膜炎</w:t>
      </w:r>
    </w:p>
    <w:p>
      <w:pPr>
        <w:pStyle w:val="BodyText"/>
        <w:spacing w:line="417" w:lineRule="auto" w:before="148"/>
        <w:ind w:left="120" w:right="312" w:firstLine="427"/>
      </w:pPr>
      <w:r>
        <w:rPr>
          <w:spacing w:val="-4"/>
        </w:rPr>
        <w:t>指因细菌、真菌和其他微生物（如病毒、立克次体、衣原体、螺旋体等）直接感染而产</w:t>
      </w:r>
      <w:r>
        <w:rPr>
          <w:spacing w:val="-2"/>
        </w:rPr>
        <w:t>生心瓣膜或心室壁内膜的炎症，须经心脏专科医生确诊，并符合以下所有条件：</w:t>
      </w:r>
    </w:p>
    <w:p>
      <w:pPr>
        <w:pStyle w:val="ListParagraph"/>
        <w:numPr>
          <w:ilvl w:val="0"/>
          <w:numId w:val="63"/>
        </w:numPr>
        <w:tabs>
          <w:tab w:pos="1177" w:val="left" w:leader="none"/>
        </w:tabs>
        <w:spacing w:line="269" w:lineRule="exact" w:before="0" w:after="0"/>
        <w:ind w:left="1176" w:right="0" w:hanging="632"/>
        <w:jc w:val="left"/>
        <w:rPr>
          <w:sz w:val="21"/>
        </w:rPr>
      </w:pPr>
      <w:r>
        <w:rPr>
          <w:spacing w:val="-3"/>
          <w:sz w:val="21"/>
        </w:rPr>
        <w:t>血液培养测试结果为阳性，并至少符合以下条件之一：</w:t>
      </w:r>
    </w:p>
    <w:p>
      <w:pPr>
        <w:pStyle w:val="BodyText"/>
        <w:spacing w:before="7"/>
        <w:rPr>
          <w:sz w:val="15"/>
        </w:rPr>
      </w:pPr>
    </w:p>
    <w:p>
      <w:pPr>
        <w:pStyle w:val="BodyText"/>
        <w:ind w:left="828"/>
      </w:pPr>
      <w:r>
        <w:rPr>
          <w:spacing w:val="-12"/>
        </w:rPr>
        <w:t>① 微生物：在赘生物，栓塞的赘生物或心脏内脓肿培养或组织检查证实有微生物；</w:t>
      </w:r>
    </w:p>
    <w:p>
      <w:pPr>
        <w:pStyle w:val="BodyText"/>
        <w:spacing w:before="6"/>
        <w:rPr>
          <w:sz w:val="15"/>
        </w:rPr>
      </w:pPr>
    </w:p>
    <w:p>
      <w:pPr>
        <w:pStyle w:val="BodyText"/>
        <w:spacing w:before="1"/>
        <w:ind w:left="828"/>
      </w:pPr>
      <w:r>
        <w:rPr>
          <w:spacing w:val="-1"/>
        </w:rPr>
        <w:t>② 病理性病灶：组织检查证实赘生物或心脏内脓肿有活动性心内膜炎；</w:t>
      </w:r>
    </w:p>
    <w:p>
      <w:pPr>
        <w:pStyle w:val="BodyText"/>
        <w:spacing w:before="6"/>
        <w:rPr>
          <w:sz w:val="15"/>
        </w:rPr>
      </w:pPr>
    </w:p>
    <w:p>
      <w:pPr>
        <w:pStyle w:val="BodyText"/>
        <w:ind w:left="828"/>
      </w:pPr>
      <w:r>
        <w:rPr>
          <w:spacing w:val="-1"/>
        </w:rPr>
        <w:t>③ 分别两次血液培养证实有典型的微生物且与心内膜炎符合；</w:t>
      </w:r>
    </w:p>
    <w:p>
      <w:pPr>
        <w:pStyle w:val="BodyText"/>
        <w:spacing w:before="7"/>
        <w:rPr>
          <w:sz w:val="15"/>
        </w:rPr>
      </w:pPr>
    </w:p>
    <w:p>
      <w:pPr>
        <w:pStyle w:val="BodyText"/>
        <w:ind w:left="828"/>
      </w:pPr>
      <w:r>
        <w:rPr>
          <w:spacing w:val="-1"/>
        </w:rPr>
        <w:t>④ 持续血液培养证实有微生物阳性反应，且与心内膜炎符合。</w:t>
      </w:r>
    </w:p>
    <w:p>
      <w:pPr>
        <w:pStyle w:val="BodyText"/>
        <w:spacing w:before="7"/>
        <w:rPr>
          <w:sz w:val="15"/>
        </w:rPr>
      </w:pPr>
    </w:p>
    <w:p>
      <w:pPr>
        <w:pStyle w:val="ListParagraph"/>
        <w:numPr>
          <w:ilvl w:val="0"/>
          <w:numId w:val="63"/>
        </w:numPr>
        <w:tabs>
          <w:tab w:pos="1177" w:val="left" w:leader="none"/>
        </w:tabs>
        <w:spacing w:line="240" w:lineRule="auto" w:before="0" w:after="0"/>
        <w:ind w:left="1176" w:right="0" w:hanging="632"/>
        <w:jc w:val="left"/>
        <w:rPr>
          <w:sz w:val="21"/>
        </w:rPr>
      </w:pPr>
      <w:r>
        <w:rPr>
          <w:spacing w:val="-4"/>
          <w:sz w:val="21"/>
        </w:rPr>
        <w:t>心内膜炎引起中度心瓣膜关闭不全（</w:t>
      </w:r>
      <w:r>
        <w:rPr>
          <w:spacing w:val="-6"/>
          <w:sz w:val="21"/>
        </w:rPr>
        <w:t>指返流指数 </w:t>
      </w:r>
      <w:r>
        <w:rPr>
          <w:spacing w:val="-4"/>
          <w:sz w:val="21"/>
        </w:rPr>
        <w:t>20%或以上）</w:t>
      </w:r>
      <w:r>
        <w:rPr>
          <w:spacing w:val="-5"/>
          <w:sz w:val="21"/>
        </w:rPr>
        <w:t>或中度心瓣膜狭窄</w:t>
      </w:r>
    </w:p>
    <w:p>
      <w:pPr>
        <w:pStyle w:val="BodyText"/>
        <w:spacing w:before="6"/>
        <w:rPr>
          <w:sz w:val="15"/>
        </w:rPr>
      </w:pPr>
    </w:p>
    <w:p>
      <w:pPr>
        <w:pStyle w:val="BodyText"/>
        <w:spacing w:before="1"/>
        <w:ind w:left="120"/>
      </w:pPr>
      <w:r>
        <w:rPr>
          <w:spacing w:val="-2"/>
        </w:rPr>
        <w:t>（</w:t>
      </w:r>
      <w:r>
        <w:rPr>
          <w:spacing w:val="-5"/>
        </w:rPr>
        <w:t>指心瓣膜开口范围小于或等于正常的 </w:t>
      </w:r>
      <w:r>
        <w:rPr>
          <w:spacing w:val="-4"/>
        </w:rPr>
        <w:t>30%）；</w:t>
      </w:r>
    </w:p>
    <w:p>
      <w:pPr>
        <w:pStyle w:val="BodyText"/>
        <w:spacing w:before="6"/>
        <w:rPr>
          <w:sz w:val="15"/>
        </w:rPr>
      </w:pPr>
    </w:p>
    <w:p>
      <w:pPr>
        <w:pStyle w:val="ListParagraph"/>
        <w:numPr>
          <w:ilvl w:val="0"/>
          <w:numId w:val="63"/>
        </w:numPr>
        <w:tabs>
          <w:tab w:pos="1177" w:val="left" w:leader="none"/>
        </w:tabs>
        <w:spacing w:line="357" w:lineRule="auto" w:before="0" w:after="0"/>
        <w:ind w:left="120" w:right="2522" w:firstLine="424"/>
        <w:jc w:val="left"/>
        <w:rPr>
          <w:rFonts w:ascii="微软雅黑" w:eastAsia="微软雅黑"/>
          <w:b/>
          <w:sz w:val="21"/>
        </w:rPr>
      </w:pPr>
      <w:r>
        <w:rPr>
          <w:spacing w:val="-2"/>
          <w:sz w:val="21"/>
        </w:rPr>
        <w:t>心内膜炎及心瓣膜损毁程度需经由心脏专科医生确诊。</w:t>
      </w:r>
      <w:r>
        <w:rPr>
          <w:spacing w:val="-2"/>
          <w:sz w:val="21"/>
        </w:rPr>
        <w:t> </w:t>
      </w:r>
      <w:r>
        <w:rPr>
          <w:rFonts w:ascii="微软雅黑" w:eastAsia="微软雅黑"/>
          <w:b/>
          <w:w w:val="110"/>
          <w:sz w:val="21"/>
        </w:rPr>
        <w:t>(</w:t>
      </w:r>
      <w:r>
        <w:rPr>
          <w:rFonts w:ascii="微软雅黑" w:eastAsia="微软雅黑"/>
          <w:b/>
          <w:w w:val="110"/>
          <w:sz w:val="21"/>
        </w:rPr>
        <w:t>八</w:t>
      </w:r>
      <w:r>
        <w:rPr>
          <w:rFonts w:ascii="微软雅黑" w:eastAsia="微软雅黑"/>
          <w:b/>
          <w:w w:val="110"/>
          <w:sz w:val="21"/>
        </w:rPr>
        <w:t>十</w:t>
      </w:r>
      <w:r>
        <w:rPr>
          <w:rFonts w:ascii="微软雅黑" w:eastAsia="微软雅黑"/>
          <w:b/>
          <w:w w:val="110"/>
          <w:sz w:val="21"/>
        </w:rPr>
        <w:t>九) </w:t>
      </w:r>
      <w:r>
        <w:rPr>
          <w:rFonts w:ascii="微软雅黑" w:eastAsia="微软雅黑"/>
          <w:b/>
          <w:w w:val="110"/>
          <w:sz w:val="21"/>
        </w:rPr>
        <w:t>克</w:t>
      </w:r>
      <w:r>
        <w:rPr>
          <w:rFonts w:ascii="微软雅黑" w:eastAsia="微软雅黑"/>
          <w:b/>
          <w:w w:val="110"/>
          <w:sz w:val="21"/>
        </w:rPr>
        <w:t>雅</w:t>
      </w:r>
      <w:r>
        <w:rPr>
          <w:rFonts w:ascii="微软雅黑" w:eastAsia="微软雅黑"/>
          <w:b/>
          <w:w w:val="110"/>
          <w:sz w:val="21"/>
        </w:rPr>
        <w:t>氏</w:t>
      </w:r>
      <w:r>
        <w:rPr>
          <w:rFonts w:ascii="微软雅黑" w:eastAsia="微软雅黑"/>
          <w:b/>
          <w:w w:val="110"/>
          <w:sz w:val="21"/>
        </w:rPr>
        <w:t>病</w:t>
      </w:r>
    </w:p>
    <w:p>
      <w:pPr>
        <w:pStyle w:val="BodyText"/>
        <w:spacing w:line="228" w:lineRule="exact"/>
        <w:ind w:left="547"/>
      </w:pPr>
      <w:r>
        <w:rPr>
          <w:spacing w:val="-3"/>
        </w:rPr>
        <w:t>神经系统疾病及致命的成胶质状脑病，并有以下症状：</w:t>
      </w:r>
    </w:p>
    <w:p>
      <w:pPr>
        <w:pStyle w:val="BodyText"/>
        <w:spacing w:before="7"/>
        <w:rPr>
          <w:sz w:val="15"/>
        </w:rPr>
      </w:pPr>
    </w:p>
    <w:p>
      <w:pPr>
        <w:pStyle w:val="ListParagraph"/>
        <w:numPr>
          <w:ilvl w:val="0"/>
          <w:numId w:val="64"/>
        </w:numPr>
        <w:tabs>
          <w:tab w:pos="1177" w:val="left" w:leader="none"/>
        </w:tabs>
        <w:spacing w:line="240" w:lineRule="auto" w:before="0" w:after="0"/>
        <w:ind w:left="1176" w:right="0" w:hanging="632"/>
        <w:jc w:val="left"/>
        <w:rPr>
          <w:sz w:val="21"/>
        </w:rPr>
      </w:pPr>
      <w:r>
        <w:rPr>
          <w:spacing w:val="-3"/>
          <w:sz w:val="21"/>
        </w:rPr>
        <w:t>不能控制的肌肉痉挛及震颤；</w:t>
      </w:r>
    </w:p>
    <w:p>
      <w:pPr>
        <w:pStyle w:val="BodyText"/>
        <w:spacing w:before="7"/>
        <w:rPr>
          <w:sz w:val="15"/>
        </w:rPr>
      </w:pPr>
    </w:p>
    <w:p>
      <w:pPr>
        <w:pStyle w:val="ListParagraph"/>
        <w:numPr>
          <w:ilvl w:val="0"/>
          <w:numId w:val="64"/>
        </w:numPr>
        <w:tabs>
          <w:tab w:pos="1177" w:val="left" w:leader="none"/>
        </w:tabs>
        <w:spacing w:line="240" w:lineRule="auto" w:before="0" w:after="0"/>
        <w:ind w:left="1176" w:right="0" w:hanging="632"/>
        <w:jc w:val="left"/>
        <w:rPr>
          <w:sz w:val="21"/>
        </w:rPr>
      </w:pPr>
      <w:r>
        <w:rPr>
          <w:spacing w:val="-4"/>
          <w:sz w:val="21"/>
        </w:rPr>
        <w:t>逐渐痴呆；</w:t>
      </w:r>
    </w:p>
    <w:p>
      <w:pPr>
        <w:pStyle w:val="BodyText"/>
        <w:spacing w:before="6"/>
        <w:rPr>
          <w:sz w:val="15"/>
        </w:rPr>
      </w:pPr>
    </w:p>
    <w:p>
      <w:pPr>
        <w:pStyle w:val="ListParagraph"/>
        <w:numPr>
          <w:ilvl w:val="0"/>
          <w:numId w:val="64"/>
        </w:numPr>
        <w:tabs>
          <w:tab w:pos="1177" w:val="left" w:leader="none"/>
        </w:tabs>
        <w:spacing w:line="240" w:lineRule="auto" w:before="1" w:after="0"/>
        <w:ind w:left="1176" w:right="0" w:hanging="632"/>
        <w:jc w:val="left"/>
        <w:rPr>
          <w:sz w:val="21"/>
        </w:rPr>
      </w:pPr>
      <w:r>
        <w:rPr>
          <w:spacing w:val="-3"/>
          <w:sz w:val="21"/>
        </w:rPr>
        <w:t>小脑功能不良，共济失调；</w:t>
      </w:r>
    </w:p>
    <w:p>
      <w:pPr>
        <w:pStyle w:val="BodyText"/>
        <w:spacing w:before="6"/>
        <w:rPr>
          <w:sz w:val="15"/>
        </w:rPr>
      </w:pPr>
    </w:p>
    <w:p>
      <w:pPr>
        <w:pStyle w:val="ListParagraph"/>
        <w:numPr>
          <w:ilvl w:val="0"/>
          <w:numId w:val="64"/>
        </w:numPr>
        <w:tabs>
          <w:tab w:pos="1177" w:val="left" w:leader="none"/>
        </w:tabs>
        <w:spacing w:line="240" w:lineRule="auto" w:before="0" w:after="0"/>
        <w:ind w:left="1176" w:right="0" w:hanging="632"/>
        <w:jc w:val="left"/>
        <w:rPr>
          <w:sz w:val="21"/>
        </w:rPr>
      </w:pPr>
      <w:r>
        <w:rPr>
          <w:spacing w:val="-4"/>
          <w:sz w:val="21"/>
        </w:rPr>
        <w:t>手足徐动症；</w:t>
      </w:r>
    </w:p>
    <w:p>
      <w:pPr>
        <w:spacing w:after="0" w:line="240" w:lineRule="auto"/>
        <w:jc w:val="left"/>
        <w:rPr>
          <w:sz w:val="21"/>
        </w:rPr>
        <w:sectPr>
          <w:pgSz w:w="11910" w:h="16840"/>
          <w:pgMar w:header="0" w:footer="1005" w:top="1460" w:bottom="1200" w:left="1680" w:right="1480"/>
        </w:sectPr>
      </w:pPr>
    </w:p>
    <w:p>
      <w:pPr>
        <w:pStyle w:val="BodyText"/>
        <w:spacing w:line="417" w:lineRule="auto" w:before="61"/>
        <w:ind w:left="120" w:right="311" w:firstLine="427"/>
      </w:pPr>
      <w:r>
        <w:rPr>
          <w:spacing w:val="-4"/>
        </w:rPr>
        <w:t>诊断必须由神经科专科医生基于以下检查报告作出：脑电图、脑脊液报告、电脑断层扫</w:t>
      </w:r>
      <w:r>
        <w:rPr>
          <w:spacing w:val="-2"/>
        </w:rPr>
        <w:t>描(CT)及核磁共振(MRI)。</w:t>
      </w:r>
    </w:p>
    <w:p>
      <w:pPr>
        <w:pStyle w:val="Heading2"/>
        <w:spacing w:line="320" w:lineRule="exact"/>
      </w:pPr>
      <w:r>
        <w:rPr/>
        <w:t>(九十) 一肢及单眼缺失</w:t>
      </w:r>
    </w:p>
    <w:p>
      <w:pPr>
        <w:pStyle w:val="BodyText"/>
        <w:spacing w:line="417" w:lineRule="auto" w:before="148"/>
        <w:ind w:left="120" w:right="208" w:firstLine="427"/>
      </w:pPr>
      <w:r>
        <w:rPr>
          <w:spacing w:val="-2"/>
        </w:rPr>
        <w:t>因疾病或意外伤害导致单眼视力丧失及任何一肢自腕关节或踝关节近端（靠近躯干端）</w:t>
      </w:r>
      <w:r>
        <w:rPr>
          <w:spacing w:val="-2"/>
        </w:rPr>
        <w:t>以上完全性断离。</w:t>
      </w:r>
    </w:p>
    <w:p>
      <w:pPr>
        <w:pStyle w:val="BodyText"/>
        <w:spacing w:line="269" w:lineRule="exact"/>
        <w:ind w:left="547"/>
      </w:pPr>
      <w:r>
        <w:rPr>
          <w:spacing w:val="-3"/>
        </w:rPr>
        <w:t>单眼视力丧失指单眼视力永久不可逆性丧失，患眼须满足下列至少一项条件：</w:t>
      </w:r>
    </w:p>
    <w:p>
      <w:pPr>
        <w:pStyle w:val="BodyText"/>
        <w:spacing w:before="7"/>
        <w:rPr>
          <w:sz w:val="15"/>
        </w:rPr>
      </w:pPr>
    </w:p>
    <w:p>
      <w:pPr>
        <w:pStyle w:val="ListParagraph"/>
        <w:numPr>
          <w:ilvl w:val="0"/>
          <w:numId w:val="65"/>
        </w:numPr>
        <w:tabs>
          <w:tab w:pos="1177" w:val="left" w:leader="none"/>
        </w:tabs>
        <w:spacing w:line="240" w:lineRule="auto" w:before="0" w:after="0"/>
        <w:ind w:left="1176" w:right="0" w:hanging="632"/>
        <w:jc w:val="left"/>
        <w:rPr>
          <w:sz w:val="21"/>
        </w:rPr>
      </w:pPr>
      <w:r>
        <w:rPr>
          <w:spacing w:val="-4"/>
          <w:sz w:val="21"/>
        </w:rPr>
        <w:t>眼球缺失或摘除；</w:t>
      </w:r>
    </w:p>
    <w:p>
      <w:pPr>
        <w:pStyle w:val="BodyText"/>
        <w:spacing w:before="6"/>
        <w:rPr>
          <w:sz w:val="15"/>
        </w:rPr>
      </w:pPr>
    </w:p>
    <w:p>
      <w:pPr>
        <w:pStyle w:val="ListParagraph"/>
        <w:numPr>
          <w:ilvl w:val="0"/>
          <w:numId w:val="65"/>
        </w:numPr>
        <w:tabs>
          <w:tab w:pos="1177" w:val="left" w:leader="none"/>
        </w:tabs>
        <w:spacing w:line="240" w:lineRule="auto" w:before="0" w:after="0"/>
        <w:ind w:left="1176" w:right="0" w:hanging="632"/>
        <w:jc w:val="left"/>
        <w:rPr>
          <w:sz w:val="21"/>
        </w:rPr>
      </w:pPr>
      <w:r>
        <w:rPr>
          <w:spacing w:val="-6"/>
          <w:sz w:val="21"/>
        </w:rPr>
        <w:t>矫正视力低于 </w:t>
      </w:r>
      <w:r>
        <w:rPr>
          <w:spacing w:val="-4"/>
          <w:sz w:val="21"/>
        </w:rPr>
        <w:t>0.02（</w:t>
      </w:r>
      <w:r>
        <w:rPr>
          <w:spacing w:val="-9"/>
          <w:sz w:val="21"/>
        </w:rPr>
        <w:t>采用国际标准视力表，如果使用其它视力表应进行换算</w:t>
      </w:r>
      <w:r>
        <w:rPr>
          <w:spacing w:val="-5"/>
          <w:sz w:val="21"/>
        </w:rPr>
        <w:t>）；</w:t>
      </w:r>
    </w:p>
    <w:p>
      <w:pPr>
        <w:pStyle w:val="BodyText"/>
        <w:spacing w:before="7"/>
        <w:rPr>
          <w:sz w:val="15"/>
        </w:rPr>
      </w:pPr>
    </w:p>
    <w:p>
      <w:pPr>
        <w:pStyle w:val="ListParagraph"/>
        <w:numPr>
          <w:ilvl w:val="0"/>
          <w:numId w:val="65"/>
        </w:numPr>
        <w:tabs>
          <w:tab w:pos="1177" w:val="left" w:leader="none"/>
        </w:tabs>
        <w:spacing w:line="240" w:lineRule="auto" w:before="0" w:after="0"/>
        <w:ind w:left="1176" w:right="0" w:hanging="632"/>
        <w:jc w:val="left"/>
        <w:rPr>
          <w:sz w:val="21"/>
        </w:rPr>
      </w:pPr>
      <w:r>
        <w:rPr>
          <w:spacing w:val="-9"/>
          <w:sz w:val="21"/>
        </w:rPr>
        <w:t>视野半径小于 </w:t>
      </w:r>
      <w:r>
        <w:rPr>
          <w:spacing w:val="-2"/>
          <w:sz w:val="21"/>
        </w:rPr>
        <w:t>5</w:t>
      </w:r>
      <w:r>
        <w:rPr>
          <w:spacing w:val="-21"/>
          <w:sz w:val="21"/>
        </w:rPr>
        <w:t> 度。</w:t>
      </w:r>
    </w:p>
    <w:p>
      <w:pPr>
        <w:pStyle w:val="Heading2"/>
        <w:spacing w:line="290" w:lineRule="auto" w:before="133"/>
        <w:ind w:right="1870" w:firstLine="427"/>
      </w:pPr>
      <w:r>
        <w:rPr>
          <w:spacing w:val="-2"/>
        </w:rPr>
        <w:t>被保险人在三周岁之前因疾病导致的单眼视力丧失不在保障范围内。 </w:t>
      </w:r>
      <w:r>
        <w:rPr>
          <w:w w:val="110"/>
        </w:rPr>
        <w:t>(</w:t>
      </w:r>
      <w:r>
        <w:rPr>
          <w:w w:val="110"/>
        </w:rPr>
        <w:t>九</w:t>
      </w:r>
      <w:r>
        <w:rPr>
          <w:w w:val="110"/>
        </w:rPr>
        <w:t>十</w:t>
      </w:r>
      <w:r>
        <w:rPr>
          <w:w w:val="110"/>
        </w:rPr>
        <w:t>一) </w:t>
      </w:r>
      <w:r>
        <w:rPr>
          <w:w w:val="110"/>
        </w:rPr>
        <w:t>肺</w:t>
      </w:r>
      <w:r>
        <w:rPr>
          <w:w w:val="110"/>
        </w:rPr>
        <w:t>源</w:t>
      </w:r>
      <w:r>
        <w:rPr>
          <w:w w:val="110"/>
        </w:rPr>
        <w:t>性</w:t>
      </w:r>
      <w:r>
        <w:rPr>
          <w:w w:val="110"/>
        </w:rPr>
        <w:t>心</w:t>
      </w:r>
      <w:r>
        <w:rPr>
          <w:w w:val="110"/>
        </w:rPr>
        <w:t>脏</w:t>
      </w:r>
      <w:r>
        <w:rPr>
          <w:w w:val="110"/>
        </w:rPr>
        <w:t>病</w:t>
      </w:r>
    </w:p>
    <w:p>
      <w:pPr>
        <w:pStyle w:val="BodyText"/>
        <w:spacing w:line="417" w:lineRule="auto" w:before="66"/>
        <w:ind w:left="120" w:right="311" w:firstLine="427"/>
      </w:pPr>
      <w:r>
        <w:rPr>
          <w:spacing w:val="-7"/>
        </w:rPr>
        <w:t>指由于各种胸肺及支气管病变而继发的肺动脉高压，最后导致以右室肥大为特征的心脏</w:t>
      </w:r>
      <w:r>
        <w:rPr>
          <w:spacing w:val="-2"/>
        </w:rPr>
        <w:t>病。须经呼吸专科医生确诊，且必须同时满足如下诊断标准：</w:t>
      </w:r>
    </w:p>
    <w:p>
      <w:pPr>
        <w:pStyle w:val="ListParagraph"/>
        <w:numPr>
          <w:ilvl w:val="0"/>
          <w:numId w:val="66"/>
        </w:numPr>
        <w:tabs>
          <w:tab w:pos="1177" w:val="left" w:leader="none"/>
        </w:tabs>
        <w:spacing w:line="269" w:lineRule="exact" w:before="0" w:after="0"/>
        <w:ind w:left="1176" w:right="0" w:hanging="632"/>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BodyText"/>
        <w:spacing w:before="7"/>
        <w:rPr>
          <w:sz w:val="15"/>
        </w:rPr>
      </w:pPr>
    </w:p>
    <w:p>
      <w:pPr>
        <w:pStyle w:val="ListParagraph"/>
        <w:numPr>
          <w:ilvl w:val="0"/>
          <w:numId w:val="66"/>
        </w:numPr>
        <w:tabs>
          <w:tab w:pos="1177" w:val="left" w:leader="none"/>
        </w:tabs>
        <w:spacing w:line="240" w:lineRule="auto" w:before="0" w:after="0"/>
        <w:ind w:left="1176" w:right="0" w:hanging="632"/>
        <w:jc w:val="left"/>
        <w:rPr>
          <w:sz w:val="21"/>
        </w:rPr>
      </w:pPr>
      <w:r>
        <w:rPr>
          <w:spacing w:val="-5"/>
          <w:sz w:val="21"/>
        </w:rPr>
        <w:t>肺血管阻力高于正常值 </w:t>
      </w:r>
      <w:r>
        <w:rPr>
          <w:sz w:val="21"/>
        </w:rPr>
        <w:t>3</w:t>
      </w:r>
      <w:r>
        <w:rPr>
          <w:spacing w:val="-15"/>
          <w:sz w:val="21"/>
        </w:rPr>
        <w:t> 个单位</w:t>
      </w:r>
      <w:r>
        <w:rPr>
          <w:sz w:val="21"/>
        </w:rPr>
        <w:t>（Pulmonary</w:t>
      </w:r>
      <w:r>
        <w:rPr>
          <w:spacing w:val="-24"/>
          <w:sz w:val="21"/>
        </w:rPr>
        <w:t> </w:t>
      </w:r>
      <w:r>
        <w:rPr>
          <w:spacing w:val="-2"/>
          <w:sz w:val="21"/>
        </w:rPr>
        <w:t>Resistance）；</w:t>
      </w:r>
    </w:p>
    <w:p>
      <w:pPr>
        <w:pStyle w:val="BodyText"/>
        <w:spacing w:before="6"/>
        <w:rPr>
          <w:sz w:val="15"/>
        </w:rPr>
      </w:pPr>
    </w:p>
    <w:p>
      <w:pPr>
        <w:pStyle w:val="ListParagraph"/>
        <w:numPr>
          <w:ilvl w:val="0"/>
          <w:numId w:val="66"/>
        </w:numPr>
        <w:tabs>
          <w:tab w:pos="1177" w:val="left" w:leader="none"/>
        </w:tabs>
        <w:spacing w:line="240" w:lineRule="auto" w:before="1" w:after="0"/>
        <w:ind w:left="1176" w:right="0" w:hanging="632"/>
        <w:jc w:val="left"/>
        <w:rPr>
          <w:sz w:val="21"/>
        </w:rPr>
      </w:pPr>
      <w:r>
        <w:rPr>
          <w:spacing w:val="-8"/>
          <w:sz w:val="21"/>
        </w:rPr>
        <w:t>肺动脉血压不低于 </w:t>
      </w:r>
      <w:r>
        <w:rPr>
          <w:spacing w:val="-2"/>
          <w:sz w:val="21"/>
        </w:rPr>
        <w:t>40</w:t>
      </w:r>
      <w:r>
        <w:rPr>
          <w:spacing w:val="-12"/>
          <w:sz w:val="21"/>
        </w:rPr>
        <w:t> 毫米汞柱；</w:t>
      </w:r>
    </w:p>
    <w:p>
      <w:pPr>
        <w:pStyle w:val="BodyText"/>
        <w:spacing w:before="6"/>
        <w:rPr>
          <w:sz w:val="15"/>
        </w:rPr>
      </w:pPr>
    </w:p>
    <w:p>
      <w:pPr>
        <w:pStyle w:val="ListParagraph"/>
        <w:numPr>
          <w:ilvl w:val="0"/>
          <w:numId w:val="66"/>
        </w:numPr>
        <w:tabs>
          <w:tab w:pos="1177" w:val="left" w:leader="none"/>
        </w:tabs>
        <w:spacing w:line="240" w:lineRule="auto" w:before="0" w:after="0"/>
        <w:ind w:left="1176" w:right="0" w:hanging="632"/>
        <w:jc w:val="left"/>
        <w:rPr>
          <w:sz w:val="21"/>
        </w:rPr>
      </w:pPr>
      <w:r>
        <w:rPr>
          <w:spacing w:val="-7"/>
          <w:sz w:val="21"/>
        </w:rPr>
        <w:t>肺动脉楔压不低于 </w:t>
      </w:r>
      <w:r>
        <w:rPr>
          <w:spacing w:val="-2"/>
          <w:sz w:val="21"/>
        </w:rPr>
        <w:t>6</w:t>
      </w:r>
      <w:r>
        <w:rPr>
          <w:spacing w:val="-12"/>
          <w:sz w:val="21"/>
        </w:rPr>
        <w:t> 毫米汞柱；</w:t>
      </w:r>
    </w:p>
    <w:p>
      <w:pPr>
        <w:pStyle w:val="BodyText"/>
        <w:spacing w:before="7"/>
        <w:rPr>
          <w:sz w:val="15"/>
        </w:rPr>
      </w:pPr>
    </w:p>
    <w:p>
      <w:pPr>
        <w:pStyle w:val="ListParagraph"/>
        <w:numPr>
          <w:ilvl w:val="0"/>
          <w:numId w:val="66"/>
        </w:numPr>
        <w:tabs>
          <w:tab w:pos="1177" w:val="left" w:leader="none"/>
        </w:tabs>
        <w:spacing w:line="240" w:lineRule="auto" w:before="0" w:after="0"/>
        <w:ind w:left="1176" w:right="0" w:hanging="632"/>
        <w:jc w:val="left"/>
        <w:rPr>
          <w:sz w:val="21"/>
        </w:rPr>
      </w:pPr>
      <w:r>
        <w:rPr>
          <w:spacing w:val="-6"/>
          <w:sz w:val="21"/>
        </w:rPr>
        <w:t>右心室心脏舒张期末压力不低于 </w:t>
      </w:r>
      <w:r>
        <w:rPr>
          <w:spacing w:val="-2"/>
          <w:sz w:val="21"/>
        </w:rPr>
        <w:t>8</w:t>
      </w:r>
      <w:r>
        <w:rPr>
          <w:spacing w:val="-12"/>
          <w:sz w:val="21"/>
        </w:rPr>
        <w:t> 毫米汞柱；</w:t>
      </w:r>
    </w:p>
    <w:p>
      <w:pPr>
        <w:pStyle w:val="BodyText"/>
        <w:spacing w:before="7"/>
        <w:rPr>
          <w:sz w:val="15"/>
        </w:rPr>
      </w:pPr>
    </w:p>
    <w:p>
      <w:pPr>
        <w:pStyle w:val="ListParagraph"/>
        <w:numPr>
          <w:ilvl w:val="0"/>
          <w:numId w:val="66"/>
        </w:numPr>
        <w:tabs>
          <w:tab w:pos="1177" w:val="left" w:leader="none"/>
        </w:tabs>
        <w:spacing w:line="357" w:lineRule="auto" w:before="0" w:after="0"/>
        <w:ind w:left="120" w:right="2733" w:firstLine="424"/>
        <w:jc w:val="left"/>
        <w:rPr>
          <w:rFonts w:ascii="微软雅黑" w:eastAsia="微软雅黑"/>
          <w:b/>
          <w:sz w:val="21"/>
        </w:rPr>
      </w:pPr>
      <w:r>
        <w:rPr>
          <w:spacing w:val="-2"/>
          <w:sz w:val="21"/>
        </w:rPr>
        <w:t>右心室过度肥大、扩张，出现右心衰竭和呼吸困难。 </w:t>
      </w:r>
      <w:r>
        <w:rPr>
          <w:rFonts w:ascii="微软雅黑" w:eastAsia="微软雅黑"/>
          <w:b/>
          <w:w w:val="105"/>
          <w:sz w:val="21"/>
        </w:rPr>
        <w:t>(</w:t>
      </w:r>
      <w:r>
        <w:rPr>
          <w:rFonts w:ascii="微软雅黑" w:eastAsia="微软雅黑"/>
          <w:b/>
          <w:w w:val="105"/>
          <w:sz w:val="21"/>
        </w:rPr>
        <w:t>九</w:t>
      </w:r>
      <w:r>
        <w:rPr>
          <w:rFonts w:ascii="微软雅黑" w:eastAsia="微软雅黑"/>
          <w:b/>
          <w:w w:val="105"/>
          <w:sz w:val="21"/>
        </w:rPr>
        <w:t>十</w:t>
      </w:r>
      <w:r>
        <w:rPr>
          <w:rFonts w:ascii="微软雅黑" w:eastAsia="微软雅黑"/>
          <w:b/>
          <w:w w:val="105"/>
          <w:sz w:val="21"/>
        </w:rPr>
        <w:t>二) </w:t>
      </w:r>
      <w:r>
        <w:rPr>
          <w:rFonts w:ascii="微软雅黑" w:eastAsia="微软雅黑"/>
          <w:b/>
          <w:w w:val="105"/>
          <w:sz w:val="21"/>
        </w:rPr>
        <w:t>严</w:t>
      </w:r>
      <w:r>
        <w:rPr>
          <w:rFonts w:ascii="微软雅黑" w:eastAsia="微软雅黑"/>
          <w:b/>
          <w:w w:val="105"/>
          <w:sz w:val="21"/>
        </w:rPr>
        <w:t>重</w:t>
      </w:r>
      <w:r>
        <w:rPr>
          <w:rFonts w:ascii="微软雅黑" w:eastAsia="微软雅黑"/>
          <w:b/>
          <w:w w:val="105"/>
          <w:sz w:val="21"/>
        </w:rPr>
        <w:t>幼</w:t>
      </w:r>
      <w:r>
        <w:rPr>
          <w:rFonts w:ascii="微软雅黑" w:eastAsia="微软雅黑"/>
          <w:b/>
          <w:w w:val="105"/>
          <w:sz w:val="21"/>
        </w:rPr>
        <w:t>年</w:t>
      </w:r>
      <w:r>
        <w:rPr>
          <w:rFonts w:ascii="微软雅黑" w:eastAsia="微软雅黑"/>
          <w:b/>
          <w:w w:val="105"/>
          <w:sz w:val="21"/>
        </w:rPr>
        <w:t>型</w:t>
      </w:r>
      <w:r>
        <w:rPr>
          <w:rFonts w:ascii="微软雅黑" w:eastAsia="微软雅黑"/>
          <w:b/>
          <w:w w:val="105"/>
          <w:sz w:val="21"/>
        </w:rPr>
        <w:t>类</w:t>
      </w:r>
      <w:r>
        <w:rPr>
          <w:rFonts w:ascii="微软雅黑" w:eastAsia="微软雅黑"/>
          <w:b/>
          <w:w w:val="105"/>
          <w:sz w:val="21"/>
        </w:rPr>
        <w:t>风</w:t>
      </w:r>
      <w:r>
        <w:rPr>
          <w:rFonts w:ascii="微软雅黑" w:eastAsia="微软雅黑"/>
          <w:b/>
          <w:w w:val="105"/>
          <w:sz w:val="21"/>
        </w:rPr>
        <w:t>湿</w:t>
      </w:r>
      <w:r>
        <w:rPr>
          <w:rFonts w:ascii="微软雅黑" w:eastAsia="微软雅黑"/>
          <w:b/>
          <w:w w:val="105"/>
          <w:sz w:val="21"/>
        </w:rPr>
        <w:t>性关节炎</w:t>
      </w:r>
    </w:p>
    <w:p>
      <w:pPr>
        <w:pStyle w:val="BodyText"/>
        <w:spacing w:line="227" w:lineRule="exact"/>
        <w:ind w:left="547"/>
      </w:pPr>
      <w:r>
        <w:rPr>
          <w:spacing w:val="-3"/>
        </w:rPr>
        <w:t>指为了治疗幼年型类风湿关节炎，实际实施了膝关节或髋关节置换手术。</w:t>
      </w:r>
    </w:p>
    <w:p>
      <w:pPr>
        <w:pStyle w:val="BodyText"/>
        <w:spacing w:before="7"/>
        <w:rPr>
          <w:sz w:val="15"/>
        </w:rPr>
      </w:pPr>
    </w:p>
    <w:p>
      <w:pPr>
        <w:pStyle w:val="BodyText"/>
        <w:spacing w:line="417" w:lineRule="auto"/>
        <w:ind w:left="120" w:right="311" w:firstLine="427"/>
      </w:pPr>
      <w:r>
        <w:rPr>
          <w:spacing w:val="-7"/>
        </w:rPr>
        <w:t>幼年型类风湿关节炎是一种儿童期发病的慢性关节炎，其特点为在高热和系统性病征出</w:t>
      </w:r>
      <w:r>
        <w:rPr>
          <w:spacing w:val="-2"/>
        </w:rPr>
        <w:t>现数月后发生关节炎。</w:t>
      </w:r>
    </w:p>
    <w:p>
      <w:pPr>
        <w:pStyle w:val="Heading2"/>
        <w:spacing w:line="320" w:lineRule="exact"/>
        <w:ind w:left="547"/>
      </w:pPr>
      <w:r>
        <w:rPr>
          <w:spacing w:val="-3"/>
        </w:rPr>
        <w:t>被保险人疾病诊断时年龄必须在年满十八周岁之前。</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九十三) 成骨不全症第三型</w:t>
      </w:r>
    </w:p>
    <w:p>
      <w:pPr>
        <w:pStyle w:val="BodyText"/>
        <w:spacing w:before="149"/>
        <w:ind w:left="547"/>
      </w:pPr>
      <w:r>
        <w:rPr>
          <w:spacing w:val="-3"/>
        </w:rPr>
        <w:t>成骨不全症第三型须同时符合下列所有条件：</w:t>
      </w:r>
    </w:p>
    <w:p>
      <w:pPr>
        <w:pStyle w:val="BodyText"/>
        <w:spacing w:before="6"/>
        <w:rPr>
          <w:sz w:val="15"/>
        </w:rPr>
      </w:pPr>
    </w:p>
    <w:p>
      <w:pPr>
        <w:pStyle w:val="ListParagraph"/>
        <w:numPr>
          <w:ilvl w:val="0"/>
          <w:numId w:val="67"/>
        </w:numPr>
        <w:tabs>
          <w:tab w:pos="1177" w:val="left" w:leader="none"/>
        </w:tabs>
        <w:spacing w:line="240" w:lineRule="auto" w:before="0" w:after="0"/>
        <w:ind w:left="1176" w:right="0" w:hanging="632"/>
        <w:jc w:val="left"/>
        <w:rPr>
          <w:sz w:val="21"/>
        </w:rPr>
      </w:pPr>
      <w:r>
        <w:rPr>
          <w:spacing w:val="-3"/>
          <w:sz w:val="21"/>
        </w:rPr>
        <w:t>就成骨不全症第三型之诊断进行的皮肤切片的病理检查结果为阳性；</w:t>
      </w:r>
    </w:p>
    <w:p>
      <w:pPr>
        <w:pStyle w:val="BodyText"/>
        <w:spacing w:before="7"/>
        <w:rPr>
          <w:sz w:val="15"/>
        </w:rPr>
      </w:pPr>
    </w:p>
    <w:p>
      <w:pPr>
        <w:pStyle w:val="ListParagraph"/>
        <w:numPr>
          <w:ilvl w:val="0"/>
          <w:numId w:val="67"/>
        </w:numPr>
        <w:tabs>
          <w:tab w:pos="1177" w:val="left" w:leader="none"/>
        </w:tabs>
        <w:spacing w:line="240" w:lineRule="auto" w:before="0" w:after="0"/>
        <w:ind w:left="1176" w:right="0" w:hanging="632"/>
        <w:jc w:val="left"/>
        <w:rPr>
          <w:sz w:val="21"/>
        </w:rPr>
      </w:pPr>
      <w:r>
        <w:rPr>
          <w:spacing w:val="-2"/>
          <w:sz w:val="21"/>
        </w:rPr>
        <w:t>X</w:t>
      </w:r>
      <w:r>
        <w:rPr>
          <w:spacing w:val="-9"/>
          <w:sz w:val="21"/>
        </w:rPr>
        <w:t> 光片结果显示多处骨折及逐步脊柱后侧凸畸形；</w:t>
      </w:r>
    </w:p>
    <w:p>
      <w:pPr>
        <w:pStyle w:val="BodyText"/>
        <w:spacing w:before="6"/>
        <w:rPr>
          <w:sz w:val="15"/>
        </w:rPr>
      </w:pPr>
    </w:p>
    <w:p>
      <w:pPr>
        <w:pStyle w:val="ListParagraph"/>
        <w:numPr>
          <w:ilvl w:val="0"/>
          <w:numId w:val="67"/>
        </w:numPr>
        <w:tabs>
          <w:tab w:pos="1177" w:val="left" w:leader="none"/>
        </w:tabs>
        <w:spacing w:line="240" w:lineRule="auto" w:before="1" w:after="0"/>
        <w:ind w:left="1176" w:right="0" w:hanging="632"/>
        <w:jc w:val="left"/>
        <w:rPr>
          <w:sz w:val="21"/>
        </w:rPr>
      </w:pPr>
      <w:r>
        <w:rPr>
          <w:spacing w:val="-3"/>
          <w:sz w:val="21"/>
        </w:rPr>
        <w:t>有证明是因此疾病引致发育迟缓及听力损伤；</w:t>
      </w:r>
    </w:p>
    <w:p>
      <w:pPr>
        <w:pStyle w:val="BodyText"/>
        <w:spacing w:before="6"/>
        <w:rPr>
          <w:sz w:val="15"/>
        </w:rPr>
      </w:pPr>
    </w:p>
    <w:p>
      <w:pPr>
        <w:pStyle w:val="ListParagraph"/>
        <w:numPr>
          <w:ilvl w:val="0"/>
          <w:numId w:val="67"/>
        </w:numPr>
        <w:tabs>
          <w:tab w:pos="1177" w:val="left" w:leader="none"/>
        </w:tabs>
        <w:spacing w:line="240" w:lineRule="auto" w:before="0" w:after="0"/>
        <w:ind w:left="1176" w:right="0" w:hanging="632"/>
        <w:jc w:val="left"/>
        <w:rPr>
          <w:sz w:val="21"/>
        </w:rPr>
      </w:pPr>
      <w:r>
        <w:rPr>
          <w:spacing w:val="-3"/>
          <w:sz w:val="21"/>
        </w:rPr>
        <w:t>由认可医院的儿科专科医生确定诊断。</w:t>
      </w:r>
    </w:p>
    <w:p>
      <w:pPr>
        <w:spacing w:after="0" w:line="240" w:lineRule="auto"/>
        <w:jc w:val="left"/>
        <w:rPr>
          <w:sz w:val="21"/>
        </w:rPr>
        <w:sectPr>
          <w:pgSz w:w="11910" w:h="16840"/>
          <w:pgMar w:header="0" w:footer="1005" w:top="1460" w:bottom="1200" w:left="1680" w:right="1480"/>
        </w:sectPr>
      </w:pPr>
    </w:p>
    <w:p>
      <w:pPr>
        <w:pStyle w:val="Heading2"/>
        <w:spacing w:line="290" w:lineRule="auto"/>
        <w:ind w:right="325" w:firstLine="427"/>
        <w:jc w:val="both"/>
      </w:pPr>
      <w:r>
        <w:rPr/>
        <w:t>我</w:t>
      </w:r>
      <w:r>
        <w:rPr/>
        <w:t>们</w:t>
      </w:r>
      <w:r>
        <w:rPr/>
        <w:t>承</w:t>
      </w:r>
      <w:r>
        <w:rPr/>
        <w:t>担</w:t>
      </w:r>
      <w:r>
        <w:rPr/>
        <w:t>本</w:t>
      </w:r>
      <w:r>
        <w:rPr/>
        <w:t>项疾</w:t>
      </w:r>
      <w:r>
        <w:rPr/>
        <w:t>病</w:t>
      </w:r>
      <w:r>
        <w:rPr/>
        <w:t>责</w:t>
      </w:r>
      <w:r>
        <w:rPr/>
        <w:t>任不受</w:t>
      </w:r>
      <w:r>
        <w:rPr>
          <w:spacing w:val="2"/>
        </w:rPr>
        <w:t>本</w:t>
      </w:r>
      <w:r>
        <w:rPr>
          <w:position w:val="-2"/>
        </w:rPr>
        <w:drawing>
          <wp:inline distT="0" distB="0" distL="0" distR="0">
            <wp:extent cx="123824" cy="12700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23824" cy="127000"/>
                    </a:xfrm>
                    <a:prstGeom prst="rect">
                      <a:avLst/>
                    </a:prstGeom>
                  </pic:spPr>
                </pic:pic>
              </a:graphicData>
            </a:graphic>
          </wp:inline>
        </w:drawing>
      </w:r>
      <w:r>
        <w:rPr>
          <w:position w:val="-2"/>
        </w:rPr>
      </w:r>
      <w:r>
        <w:rPr/>
        <w:t>同</w:t>
      </w:r>
      <w:r>
        <w:rPr/>
        <w:t>责</w:t>
      </w:r>
      <w:r>
        <w:rPr/>
        <w:t>任免</w:t>
      </w:r>
      <w:r>
        <w:rPr/>
        <w:t>除</w:t>
      </w:r>
      <w:r>
        <w:rPr/>
        <w:t>中</w:t>
      </w:r>
      <w:r>
        <w:rPr/>
        <w:t>“遗传</w:t>
      </w:r>
      <w:r>
        <w:rPr/>
        <w:t>性</w:t>
      </w:r>
      <w:r>
        <w:rPr/>
        <w:t>疾</w:t>
      </w:r>
      <w:r>
        <w:rPr/>
        <w:t>病</w:t>
      </w:r>
      <w:r>
        <w:rPr/>
        <w:t>，先天</w:t>
      </w:r>
      <w:r>
        <w:rPr/>
        <w:t>性</w:t>
      </w:r>
      <w:r>
        <w:rPr/>
        <w:t>畸</w:t>
      </w:r>
      <w:r>
        <w:rPr/>
        <w:t>形、变</w:t>
      </w:r>
      <w:r>
        <w:rPr/>
        <w:t>形</w:t>
      </w:r>
      <w:r>
        <w:rPr/>
        <w:t>或</w:t>
      </w:r>
      <w:r>
        <w:rPr/>
        <w:t>染</w:t>
      </w:r>
      <w:r>
        <w:rPr>
          <w:spacing w:val="-2"/>
        </w:rPr>
        <w:t>色体异常”的限制。</w:t>
      </w:r>
    </w:p>
    <w:p>
      <w:pPr>
        <w:spacing w:line="387"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九十四) 严重继发性肺动脉高压</w:t>
      </w:r>
    </w:p>
    <w:p>
      <w:pPr>
        <w:pStyle w:val="BodyText"/>
        <w:spacing w:line="417" w:lineRule="auto" w:before="142"/>
        <w:ind w:left="120" w:right="311" w:firstLine="427"/>
        <w:jc w:val="both"/>
      </w:pPr>
      <w:r>
        <w:rPr>
          <w:spacing w:val="-9"/>
        </w:rPr>
        <w:t>继发性肺动脉压力持续增高，导致右心室肥厚，已经造成永久不可逆性的体力活动能力</w:t>
      </w:r>
      <w:r>
        <w:rPr>
          <w:spacing w:val="-3"/>
        </w:rPr>
        <w:t>受限，达到美国纽约心脏病学会心功能状态分级 </w:t>
      </w:r>
      <w:r>
        <w:rPr>
          <w:spacing w:val="-2"/>
        </w:rPr>
        <w:t>IV</w:t>
      </w:r>
      <w:r>
        <w:rPr>
          <w:spacing w:val="-7"/>
        </w:rPr>
        <w:t> 级。诊断需要由心脏科专家确诊，并且</w:t>
      </w:r>
      <w:r>
        <w:rPr>
          <w:spacing w:val="-2"/>
        </w:rPr>
        <w:t>心导管检查报告显示静息状态下肺动脉平均压超过 </w:t>
      </w:r>
      <w:r>
        <w:rPr/>
        <w:t>36mmHg（含</w:t>
      </w:r>
      <w:r>
        <w:rPr>
          <w:spacing w:val="-106"/>
        </w:rPr>
        <w:t>）</w:t>
      </w:r>
      <w:r>
        <w:rPr/>
        <w:t>。</w:t>
      </w:r>
    </w:p>
    <w:p>
      <w:pPr>
        <w:pStyle w:val="Heading2"/>
        <w:spacing w:line="319" w:lineRule="exact"/>
        <w:ind w:left="547"/>
      </w:pPr>
      <w:r>
        <w:rPr>
          <w:spacing w:val="-3"/>
        </w:rPr>
        <w:t>所有先天性心脏疾病直接或间接引起的肺动脉高压也不在保障范围内。</w:t>
      </w:r>
    </w:p>
    <w:p>
      <w:pPr>
        <w:spacing w:before="81"/>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九十五) 系统性硬皮病</w:t>
      </w:r>
    </w:p>
    <w:p>
      <w:pPr>
        <w:pStyle w:val="BodyText"/>
        <w:spacing w:line="417" w:lineRule="auto" w:before="148"/>
        <w:ind w:left="120" w:right="206" w:firstLine="427"/>
      </w:pPr>
      <w:r>
        <w:rPr>
          <w:spacing w:val="-14"/>
        </w:rPr>
        <w:t>指一种全身性的胶原血管性疾病，可以导致皮肤、血管及内脏器官进行性弥漫性纤维化。</w:t>
      </w:r>
      <w:r>
        <w:rPr>
          <w:spacing w:val="-2"/>
        </w:rPr>
        <w:t>诊断必须经活检及血清学检查证实，疾病必须是全身性，且须满足下列至少一项条件：</w:t>
      </w:r>
    </w:p>
    <w:p>
      <w:pPr>
        <w:pStyle w:val="ListParagraph"/>
        <w:numPr>
          <w:ilvl w:val="0"/>
          <w:numId w:val="68"/>
        </w:numPr>
        <w:tabs>
          <w:tab w:pos="1177" w:val="left" w:leader="none"/>
        </w:tabs>
        <w:spacing w:line="240" w:lineRule="auto" w:before="0" w:after="0"/>
        <w:ind w:left="1176" w:right="0" w:hanging="632"/>
        <w:jc w:val="left"/>
        <w:rPr>
          <w:sz w:val="21"/>
        </w:rPr>
      </w:pPr>
      <w:r>
        <w:rPr>
          <w:spacing w:val="-3"/>
          <w:sz w:val="21"/>
        </w:rPr>
        <w:t>肺脏：肺部病变进而发展为肺间质纤维化和肺动脉高压；</w:t>
      </w:r>
    </w:p>
    <w:p>
      <w:pPr>
        <w:pStyle w:val="BodyText"/>
        <w:spacing w:before="7"/>
        <w:rPr>
          <w:sz w:val="15"/>
        </w:rPr>
      </w:pPr>
    </w:p>
    <w:p>
      <w:pPr>
        <w:pStyle w:val="ListParagraph"/>
        <w:numPr>
          <w:ilvl w:val="0"/>
          <w:numId w:val="68"/>
        </w:numPr>
        <w:tabs>
          <w:tab w:pos="1177" w:val="left" w:leader="none"/>
        </w:tabs>
        <w:spacing w:line="240" w:lineRule="auto" w:before="0" w:after="0"/>
        <w:ind w:left="1176" w:right="0" w:hanging="632"/>
        <w:jc w:val="left"/>
        <w:rPr>
          <w:sz w:val="21"/>
        </w:rPr>
      </w:pPr>
      <w:r>
        <w:rPr>
          <w:spacing w:val="-4"/>
          <w:sz w:val="21"/>
        </w:rPr>
        <w:t>心脏：心功能受损达到美国纽约心脏病学会心功能状态分级 </w:t>
      </w:r>
      <w:r>
        <w:rPr>
          <w:spacing w:val="-2"/>
          <w:sz w:val="21"/>
        </w:rPr>
        <w:t>IV</w:t>
      </w:r>
      <w:r>
        <w:rPr>
          <w:spacing w:val="-19"/>
          <w:sz w:val="21"/>
        </w:rPr>
        <w:t> 级；</w:t>
      </w:r>
    </w:p>
    <w:p>
      <w:pPr>
        <w:pStyle w:val="BodyText"/>
        <w:spacing w:before="6"/>
        <w:rPr>
          <w:sz w:val="15"/>
        </w:rPr>
      </w:pPr>
    </w:p>
    <w:p>
      <w:pPr>
        <w:pStyle w:val="ListParagraph"/>
        <w:numPr>
          <w:ilvl w:val="0"/>
          <w:numId w:val="68"/>
        </w:numPr>
        <w:tabs>
          <w:tab w:pos="1177" w:val="left" w:leader="none"/>
        </w:tabs>
        <w:spacing w:line="357" w:lineRule="auto" w:before="1" w:after="0"/>
        <w:ind w:left="547" w:right="1682" w:hanging="3"/>
        <w:jc w:val="left"/>
        <w:rPr>
          <w:rFonts w:ascii="微软雅黑" w:eastAsia="微软雅黑"/>
          <w:b/>
          <w:sz w:val="21"/>
        </w:rPr>
      </w:pPr>
      <w:r>
        <w:rPr>
          <w:spacing w:val="-2"/>
          <w:sz w:val="21"/>
        </w:rPr>
        <w:t>肾脏：肾脏受损导致双肾功能慢性不可逆衰竭，达到尿毒症期。</w:t>
      </w:r>
      <w:r>
        <w:rPr>
          <w:rFonts w:ascii="微软雅黑" w:eastAsia="微软雅黑"/>
          <w:b/>
          <w:spacing w:val="-2"/>
          <w:sz w:val="21"/>
        </w:rPr>
        <w:t>以下情况不在保障范围内：</w:t>
      </w:r>
    </w:p>
    <w:p>
      <w:pPr>
        <w:pStyle w:val="ListParagraph"/>
        <w:numPr>
          <w:ilvl w:val="0"/>
          <w:numId w:val="69"/>
        </w:numPr>
        <w:tabs>
          <w:tab w:pos="1179" w:val="left" w:leader="none"/>
        </w:tabs>
        <w:spacing w:line="278" w:lineRule="exact" w:before="0" w:after="0"/>
        <w:ind w:left="1178" w:right="0" w:hanging="634"/>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ListParagraph"/>
        <w:numPr>
          <w:ilvl w:val="0"/>
          <w:numId w:val="69"/>
        </w:numPr>
        <w:tabs>
          <w:tab w:pos="1179" w:val="left" w:leader="none"/>
        </w:tabs>
        <w:spacing w:line="240" w:lineRule="auto" w:before="80" w:after="0"/>
        <w:ind w:left="1178" w:right="0" w:hanging="634"/>
        <w:jc w:val="left"/>
        <w:rPr>
          <w:rFonts w:ascii="微软雅黑" w:eastAsia="微软雅黑"/>
          <w:b/>
          <w:sz w:val="21"/>
        </w:rPr>
      </w:pPr>
      <w:r>
        <w:rPr>
          <w:rFonts w:ascii="微软雅黑" w:eastAsia="微软雅黑"/>
          <w:b/>
          <w:spacing w:val="-2"/>
          <w:sz w:val="21"/>
        </w:rPr>
        <w:t>嗜酸性筋膜炎</w:t>
      </w:r>
    </w:p>
    <w:p>
      <w:pPr>
        <w:pStyle w:val="ListParagraph"/>
        <w:numPr>
          <w:ilvl w:val="0"/>
          <w:numId w:val="69"/>
        </w:numPr>
        <w:tabs>
          <w:tab w:pos="1179" w:val="left" w:leader="none"/>
        </w:tabs>
        <w:spacing w:line="240" w:lineRule="auto" w:before="81" w:after="0"/>
        <w:ind w:left="1178" w:right="0" w:hanging="634"/>
        <w:jc w:val="left"/>
        <w:rPr>
          <w:rFonts w:ascii="微软雅黑" w:eastAsia="微软雅黑"/>
          <w:b/>
          <w:sz w:val="21"/>
        </w:rPr>
      </w:pPr>
      <w:r>
        <w:rPr>
          <w:rFonts w:ascii="微软雅黑" w:eastAsia="微软雅黑"/>
          <w:b/>
          <w:w w:val="80"/>
          <w:sz w:val="21"/>
        </w:rPr>
        <w:t>CREST</w:t>
      </w:r>
      <w:r>
        <w:rPr>
          <w:rFonts w:ascii="微软雅黑" w:eastAsia="微软雅黑"/>
          <w:b/>
          <w:spacing w:val="25"/>
          <w:sz w:val="21"/>
        </w:rPr>
        <w:t> </w:t>
      </w:r>
      <w:r>
        <w:rPr>
          <w:rFonts w:ascii="微软雅黑" w:eastAsia="微软雅黑"/>
          <w:b/>
          <w:spacing w:val="10"/>
          <w:w w:val="80"/>
          <w:sz w:val="21"/>
        </w:rPr>
        <w:t>综</w:t>
      </w:r>
      <w:r>
        <w:rPr>
          <w:rFonts w:ascii="微软雅黑" w:eastAsia="微软雅黑"/>
          <w:b/>
          <w:position w:val="-1"/>
          <w:sz w:val="21"/>
        </w:rPr>
        <w:drawing>
          <wp:inline distT="0" distB="0" distL="0" distR="0">
            <wp:extent cx="123825" cy="127000"/>
            <wp:effectExtent l="0" t="0" r="0" b="0"/>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pacing w:val="-10"/>
          <w:w w:val="80"/>
          <w:sz w:val="21"/>
        </w:rPr>
        <w:t>征</w:t>
      </w:r>
    </w:p>
    <w:p>
      <w:pPr>
        <w:spacing w:before="82"/>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九十六) 严重的原发性心肌病</w:t>
      </w:r>
    </w:p>
    <w:p>
      <w:pPr>
        <w:pStyle w:val="BodyText"/>
        <w:spacing w:line="417" w:lineRule="auto" w:before="148"/>
        <w:ind w:left="120" w:right="311" w:firstLine="427"/>
        <w:jc w:val="both"/>
      </w:pPr>
      <w:r>
        <w:rPr>
          <w:spacing w:val="-8"/>
        </w:rPr>
        <w:t>指不明原因引起的一类心肌病变，包括原发性扩张型心肌病、原发性肥厚型心肌病及原</w:t>
      </w:r>
      <w:r>
        <w:rPr>
          <w:spacing w:val="-9"/>
        </w:rPr>
        <w:t>发性限制型心肌病三种，病变必须已造成事实上心室功能障碍而出现明显的心功能衰竭</w:t>
      </w:r>
      <w:r>
        <w:rPr>
          <w:spacing w:val="-2"/>
        </w:rPr>
        <w:t>（美</w:t>
      </w:r>
      <w:r>
        <w:rPr>
          <w:spacing w:val="-2"/>
        </w:rPr>
        <w:t>国纽约心脏协会心功能分类标准心功能达Ⅳ级</w:t>
      </w:r>
      <w:r>
        <w:rPr>
          <w:spacing w:val="-106"/>
        </w:rPr>
        <w:t>）</w:t>
      </w:r>
      <w:r>
        <w:rPr>
          <w:spacing w:val="-2"/>
        </w:rPr>
        <w:t>，且有相关住院医疗记录显示Ⅳ级心功能衰</w:t>
      </w:r>
      <w:r>
        <w:rPr>
          <w:spacing w:val="-2"/>
        </w:rPr>
        <w:t>竭状态持续至少一百八十天。</w:t>
      </w:r>
    </w:p>
    <w:p>
      <w:pPr>
        <w:pStyle w:val="Heading2"/>
        <w:spacing w:line="319" w:lineRule="exact"/>
        <w:ind w:left="547"/>
      </w:pPr>
      <w:r>
        <w:rPr>
          <w:spacing w:val="-1"/>
        </w:rPr>
        <w:t>本病须经专科医生明确诊断。继发于全身性疾病或其它器官系统疾病造成的心肌病变</w:t>
      </w:r>
    </w:p>
    <w:p>
      <w:pPr>
        <w:spacing w:before="81"/>
        <w:ind w:left="120" w:right="0" w:firstLine="0"/>
        <w:jc w:val="left"/>
        <w:rPr>
          <w:rFonts w:ascii="微软雅黑" w:eastAsia="微软雅黑"/>
          <w:b/>
          <w:sz w:val="21"/>
        </w:rPr>
      </w:pPr>
      <w:r>
        <w:rPr>
          <w:rFonts w:ascii="微软雅黑" w:eastAsia="微软雅黑"/>
          <w:b/>
          <w:spacing w:val="-4"/>
          <w:sz w:val="21"/>
        </w:rPr>
        <w:t>除外。</w:t>
      </w:r>
    </w:p>
    <w:p>
      <w:pPr>
        <w:pStyle w:val="BodyText"/>
        <w:spacing w:line="417" w:lineRule="auto" w:before="148"/>
        <w:ind w:left="120" w:right="321" w:firstLine="427"/>
      </w:pPr>
      <w:r>
        <w:rPr>
          <w:spacing w:val="-2"/>
        </w:rPr>
        <w:t>美国纽约心脏协会分类标准心功能Ⅳ级是指有医院的医疗记录显示病人不能进行任何</w:t>
      </w:r>
      <w:r>
        <w:rPr>
          <w:spacing w:val="-2"/>
        </w:rPr>
        <w:t>活动，休息时仍有心悸、呼吸困难等心力衰竭表现。</w:t>
      </w:r>
    </w:p>
    <w:p>
      <w:pPr>
        <w:pStyle w:val="Heading2"/>
        <w:spacing w:line="320" w:lineRule="exact"/>
      </w:pPr>
      <w:r>
        <w:rPr>
          <w:w w:val="95"/>
        </w:rPr>
        <w:t>(</w:t>
      </w:r>
      <w:r>
        <w:rPr>
          <w:w w:val="95"/>
        </w:rPr>
        <w:t>九</w:t>
      </w:r>
      <w:r>
        <w:rPr>
          <w:w w:val="95"/>
        </w:rPr>
        <w:t>十</w:t>
      </w:r>
      <w:r>
        <w:rPr>
          <w:w w:val="95"/>
        </w:rPr>
        <w:t>七)</w:t>
      </w:r>
      <w:r>
        <w:rPr>
          <w:spacing w:val="30"/>
        </w:rPr>
        <w:t> </w:t>
      </w:r>
      <w:r>
        <w:rPr>
          <w:w w:val="95"/>
        </w:rPr>
        <w:t>经</w:t>
      </w:r>
      <w:r>
        <w:rPr>
          <w:w w:val="95"/>
        </w:rPr>
        <w:t>输</w:t>
      </w:r>
      <w:r>
        <w:rPr>
          <w:w w:val="95"/>
        </w:rPr>
        <w:t>血</w:t>
      </w:r>
      <w:r>
        <w:rPr>
          <w:w w:val="95"/>
        </w:rPr>
        <w:t>导</w:t>
      </w:r>
      <w:r>
        <w:rPr>
          <w:w w:val="95"/>
        </w:rPr>
        <w:t>致</w:t>
      </w:r>
      <w:r>
        <w:rPr>
          <w:w w:val="95"/>
        </w:rPr>
        <w:t>的</w:t>
      </w:r>
      <w:r>
        <w:rPr>
          <w:spacing w:val="23"/>
        </w:rPr>
        <w:t> </w:t>
      </w:r>
      <w:r>
        <w:rPr>
          <w:w w:val="95"/>
        </w:rPr>
        <w:t>HIV</w:t>
      </w:r>
      <w:r>
        <w:rPr>
          <w:spacing w:val="22"/>
        </w:rPr>
        <w:t> </w:t>
      </w:r>
      <w:r>
        <w:rPr>
          <w:w w:val="95"/>
        </w:rPr>
        <w:t>感</w:t>
      </w:r>
      <w:r>
        <w:rPr>
          <w:spacing w:val="-10"/>
          <w:w w:val="95"/>
        </w:rPr>
        <w:t>染</w:t>
      </w:r>
    </w:p>
    <w:p>
      <w:pPr>
        <w:pStyle w:val="BodyText"/>
        <w:spacing w:before="148"/>
        <w:ind w:left="547"/>
      </w:pPr>
      <w:r>
        <w:rPr>
          <w:spacing w:val="-2"/>
        </w:rPr>
        <w:t>是</w:t>
      </w:r>
      <w:r>
        <w:rPr>
          <w:spacing w:val="-2"/>
        </w:rPr>
        <w:t>指</w:t>
      </w:r>
      <w:r>
        <w:rPr>
          <w:spacing w:val="-2"/>
        </w:rPr>
        <w:t>被保险人感染上人类</w:t>
      </w:r>
      <w:r>
        <w:rPr>
          <w:spacing w:val="-2"/>
        </w:rPr>
        <w:t>免</w:t>
      </w:r>
      <w:r>
        <w:rPr>
          <w:spacing w:val="-2"/>
        </w:rPr>
        <w:t>疫</w:t>
      </w:r>
      <w:r>
        <w:rPr>
          <w:spacing w:val="-2"/>
        </w:rPr>
        <w:t>缺陷病毒（HIV）</w:t>
      </w:r>
      <w:r>
        <w:rPr>
          <w:spacing w:val="-2"/>
        </w:rPr>
        <w:t>并</w:t>
      </w:r>
      <w:r>
        <w:rPr>
          <w:spacing w:val="-2"/>
        </w:rPr>
        <w:t>且</w:t>
      </w:r>
      <w:r>
        <w:rPr>
          <w:spacing w:val="-2"/>
        </w:rPr>
        <w:t>符</w:t>
      </w:r>
      <w:r>
        <w:rPr>
          <w:position w:val="-2"/>
        </w:rPr>
        <w:drawing>
          <wp:inline distT="0" distB="0" distL="0" distR="0">
            <wp:extent cx="123825" cy="127000"/>
            <wp:effectExtent l="0" t="0" r="0" b="0"/>
            <wp:docPr id="7" name="image2.png"/>
            <wp:cNvGraphicFramePr>
              <a:graphicFrameLocks noChangeAspect="1"/>
            </wp:cNvGraphicFramePr>
            <a:graphic>
              <a:graphicData uri="http://schemas.openxmlformats.org/drawingml/2006/picture">
                <pic:pic>
                  <pic:nvPicPr>
                    <pic:cNvPr id="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spacing w:val="-2"/>
        </w:rPr>
        <w:t>下列所有条</w:t>
      </w:r>
      <w:r>
        <w:rPr>
          <w:spacing w:val="-2"/>
        </w:rPr>
        <w:t>件</w:t>
      </w:r>
      <w:r>
        <w:rPr>
          <w:spacing w:val="-10"/>
        </w:rPr>
        <w:t>：</w:t>
      </w:r>
    </w:p>
    <w:p>
      <w:pPr>
        <w:pStyle w:val="BodyText"/>
        <w:spacing w:before="6"/>
        <w:rPr>
          <w:sz w:val="15"/>
        </w:rPr>
      </w:pPr>
    </w:p>
    <w:p>
      <w:pPr>
        <w:pStyle w:val="ListParagraph"/>
        <w:numPr>
          <w:ilvl w:val="0"/>
          <w:numId w:val="70"/>
        </w:numPr>
        <w:tabs>
          <w:tab w:pos="1177" w:val="left" w:leader="none"/>
        </w:tabs>
        <w:spacing w:line="240" w:lineRule="auto" w:before="1" w:after="0"/>
        <w:ind w:left="1176" w:right="0" w:hanging="632"/>
        <w:jc w:val="left"/>
        <w:rPr>
          <w:sz w:val="21"/>
        </w:rPr>
      </w:pPr>
      <w:r>
        <w:rPr>
          <w:spacing w:val="-10"/>
          <w:sz w:val="21"/>
        </w:rPr>
        <w:t>被保险人因治疗必需而接受输血，并且因输血而感染人类免疫缺陷病毒</w:t>
      </w:r>
      <w:r>
        <w:rPr>
          <w:spacing w:val="-2"/>
          <w:sz w:val="21"/>
        </w:rPr>
        <w:t>（HIV）；</w:t>
      </w:r>
    </w:p>
    <w:p>
      <w:pPr>
        <w:spacing w:after="0" w:line="240" w:lineRule="auto"/>
        <w:jc w:val="left"/>
        <w:rPr>
          <w:sz w:val="21"/>
        </w:rPr>
        <w:sectPr>
          <w:pgSz w:w="11910" w:h="16840"/>
          <w:pgMar w:header="0" w:footer="1005" w:top="1460" w:bottom="1200" w:left="1680" w:right="1480"/>
        </w:sectPr>
      </w:pPr>
    </w:p>
    <w:p>
      <w:pPr>
        <w:pStyle w:val="ListParagraph"/>
        <w:numPr>
          <w:ilvl w:val="0"/>
          <w:numId w:val="70"/>
        </w:numPr>
        <w:tabs>
          <w:tab w:pos="1177" w:val="left" w:leader="none"/>
        </w:tabs>
        <w:spacing w:line="417" w:lineRule="auto" w:before="61" w:after="0"/>
        <w:ind w:left="120" w:right="313" w:firstLine="424"/>
        <w:jc w:val="both"/>
        <w:rPr>
          <w:sz w:val="21"/>
        </w:rPr>
      </w:pPr>
      <w:r>
        <w:rPr>
          <w:spacing w:val="-5"/>
          <w:sz w:val="21"/>
        </w:rPr>
        <w:t>提供输血治疗的输血中心或医院出具该项输血感染属医疗责任事故的报告，或者</w:t>
      </w:r>
      <w:r>
        <w:rPr>
          <w:spacing w:val="-2"/>
          <w:sz w:val="21"/>
        </w:rPr>
        <w:t>法院终审裁定为医疗责任并且不准上诉；</w:t>
      </w:r>
    </w:p>
    <w:p>
      <w:pPr>
        <w:pStyle w:val="ListParagraph"/>
        <w:numPr>
          <w:ilvl w:val="0"/>
          <w:numId w:val="70"/>
        </w:numPr>
        <w:tabs>
          <w:tab w:pos="1177" w:val="left" w:leader="none"/>
        </w:tabs>
        <w:spacing w:line="240" w:lineRule="auto" w:before="0" w:after="0"/>
        <w:ind w:left="1176" w:right="0" w:hanging="632"/>
        <w:jc w:val="left"/>
        <w:rPr>
          <w:sz w:val="21"/>
        </w:rPr>
      </w:pPr>
      <w:r>
        <w:rPr>
          <w:spacing w:val="-2"/>
          <w:sz w:val="21"/>
        </w:rPr>
        <w:t>提</w:t>
      </w:r>
      <w:r>
        <w:rPr>
          <w:spacing w:val="-2"/>
          <w:sz w:val="21"/>
        </w:rPr>
        <w:t>供</w:t>
      </w:r>
      <w:r>
        <w:rPr>
          <w:spacing w:val="-2"/>
          <w:sz w:val="21"/>
        </w:rPr>
        <w:t>输血治疗的输血中心</w:t>
      </w:r>
      <w:r>
        <w:rPr>
          <w:spacing w:val="-2"/>
          <w:sz w:val="21"/>
        </w:rPr>
        <w:t>或</w:t>
      </w:r>
      <w:r>
        <w:rPr>
          <w:spacing w:val="-2"/>
          <w:sz w:val="21"/>
        </w:rPr>
        <w:t>医</w:t>
      </w:r>
      <w:r>
        <w:rPr>
          <w:spacing w:val="-2"/>
          <w:sz w:val="21"/>
        </w:rPr>
        <w:t>院必须拥有</w:t>
      </w:r>
      <w:r>
        <w:rPr>
          <w:position w:val="-1"/>
          <w:sz w:val="21"/>
        </w:rPr>
        <w:drawing>
          <wp:inline distT="0" distB="0" distL="0" distR="0">
            <wp:extent cx="123825" cy="127000"/>
            <wp:effectExtent l="0" t="0" r="0" b="0"/>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spacing w:val="-2"/>
          <w:sz w:val="21"/>
        </w:rPr>
        <w:t>法经营</w:t>
      </w:r>
      <w:r>
        <w:rPr>
          <w:spacing w:val="-2"/>
          <w:sz w:val="21"/>
        </w:rPr>
        <w:t>执</w:t>
      </w:r>
      <w:r>
        <w:rPr>
          <w:spacing w:val="-2"/>
          <w:sz w:val="21"/>
        </w:rPr>
        <w:t>照</w:t>
      </w:r>
      <w:r>
        <w:rPr>
          <w:spacing w:val="-10"/>
          <w:sz w:val="21"/>
        </w:rPr>
        <w:t>；</w:t>
      </w:r>
    </w:p>
    <w:p>
      <w:pPr>
        <w:pStyle w:val="BodyText"/>
        <w:spacing w:before="7"/>
        <w:rPr>
          <w:sz w:val="15"/>
        </w:rPr>
      </w:pPr>
    </w:p>
    <w:p>
      <w:pPr>
        <w:pStyle w:val="ListParagraph"/>
        <w:numPr>
          <w:ilvl w:val="0"/>
          <w:numId w:val="70"/>
        </w:numPr>
        <w:tabs>
          <w:tab w:pos="1177" w:val="left" w:leader="none"/>
        </w:tabs>
        <w:spacing w:line="240" w:lineRule="auto" w:before="0" w:after="0"/>
        <w:ind w:left="1176" w:right="0" w:hanging="632"/>
        <w:jc w:val="left"/>
        <w:rPr>
          <w:sz w:val="21"/>
        </w:rPr>
      </w:pPr>
      <w:r>
        <w:rPr>
          <w:spacing w:val="-3"/>
          <w:sz w:val="21"/>
        </w:rPr>
        <w:t>受感染的被保险人不是血友病患者。</w:t>
      </w:r>
    </w:p>
    <w:p>
      <w:pPr>
        <w:spacing w:line="290" w:lineRule="auto" w:before="131"/>
        <w:ind w:left="120" w:right="316" w:firstLine="427"/>
        <w:jc w:val="left"/>
        <w:rPr>
          <w:rFonts w:ascii="微软雅黑" w:eastAsia="微软雅黑"/>
          <w:b/>
          <w:sz w:val="21"/>
        </w:rPr>
      </w:pPr>
      <w:r>
        <w:rPr>
          <w:rFonts w:ascii="微软雅黑" w:eastAsia="微软雅黑"/>
          <w:b/>
          <w:spacing w:val="-3"/>
          <w:w w:val="100"/>
          <w:sz w:val="21"/>
        </w:rPr>
        <w:t>在任何治愈艾滋病或阻止人类免疫缺陷病毒</w:t>
      </w:r>
      <w:r>
        <w:rPr>
          <w:rFonts w:ascii="微软雅黑" w:eastAsia="微软雅黑"/>
          <w:b/>
          <w:w w:val="100"/>
          <w:sz w:val="21"/>
        </w:rPr>
        <w:t>（</w:t>
      </w:r>
      <w:r>
        <w:rPr>
          <w:rFonts w:ascii="微软雅黑" w:eastAsia="微软雅黑"/>
          <w:b/>
          <w:w w:val="80"/>
          <w:sz w:val="21"/>
        </w:rPr>
        <w:t>HIV</w:t>
      </w:r>
      <w:r>
        <w:rPr>
          <w:rFonts w:ascii="微软雅黑" w:eastAsia="微软雅黑"/>
          <w:b/>
          <w:spacing w:val="-13"/>
          <w:w w:val="100"/>
          <w:sz w:val="21"/>
        </w:rPr>
        <w:t>）</w:t>
      </w:r>
      <w:r>
        <w:rPr>
          <w:rFonts w:ascii="微软雅黑" w:eastAsia="微软雅黑"/>
          <w:b/>
          <w:spacing w:val="-4"/>
          <w:w w:val="100"/>
          <w:sz w:val="21"/>
        </w:rPr>
        <w:t>病毒作用的疗法被发现以后，或能</w:t>
      </w:r>
      <w:r>
        <w:rPr>
          <w:rFonts w:ascii="微软雅黑" w:eastAsia="微软雅黑"/>
          <w:b/>
          <w:spacing w:val="-3"/>
          <w:w w:val="100"/>
          <w:sz w:val="21"/>
        </w:rPr>
        <w:t>防止艾滋病发生的医疗方法被研究出来以后，本保障将不再予以赔付。</w:t>
      </w:r>
    </w:p>
    <w:p>
      <w:pPr>
        <w:spacing w:line="290" w:lineRule="auto" w:before="0"/>
        <w:ind w:left="120" w:right="325" w:firstLine="427"/>
        <w:jc w:val="left"/>
        <w:rPr>
          <w:rFonts w:ascii="微软雅黑" w:eastAsia="微软雅黑"/>
          <w:b/>
          <w:sz w:val="21"/>
        </w:rPr>
      </w:pPr>
      <w:r>
        <w:rPr>
          <w:rFonts w:ascii="微软雅黑" w:eastAsia="微软雅黑"/>
          <w:b/>
          <w:spacing w:val="-2"/>
          <w:sz w:val="21"/>
        </w:rPr>
        <w:t>保险公司必须拥有获得使用被保险人的所有血液样本的权利和能够对这些样本进行独</w:t>
      </w:r>
      <w:r>
        <w:rPr>
          <w:rFonts w:ascii="微软雅黑" w:eastAsia="微软雅黑"/>
          <w:b/>
          <w:spacing w:val="-2"/>
          <w:sz w:val="21"/>
        </w:rPr>
        <w:t>立检验的权利。</w:t>
      </w:r>
    </w:p>
    <w:p>
      <w:pPr>
        <w:spacing w:line="290" w:lineRule="auto" w:before="0"/>
        <w:ind w:left="120" w:right="209" w:firstLine="427"/>
        <w:jc w:val="left"/>
        <w:rPr>
          <w:rFonts w:ascii="微软雅黑" w:hAnsi="微软雅黑" w:eastAsia="微软雅黑"/>
          <w:b/>
          <w:sz w:val="21"/>
        </w:rPr>
      </w:pPr>
      <w:r>
        <w:rPr>
          <w:rFonts w:ascii="微软雅黑" w:hAnsi="微软雅黑" w:eastAsia="微软雅黑"/>
          <w:b/>
          <w:sz w:val="21"/>
        </w:rPr>
        <w:t>我们承担本项疾病责任不受本</w:t>
      </w:r>
      <w:r>
        <w:rPr>
          <w:rFonts w:ascii="微软雅黑" w:hAnsi="微软雅黑" w:eastAsia="微软雅黑"/>
          <w:b/>
          <w:position w:val="-1"/>
          <w:sz w:val="21"/>
        </w:rPr>
        <w:drawing>
          <wp:inline distT="0" distB="0" distL="0" distR="0">
            <wp:extent cx="123825" cy="127000"/>
            <wp:effectExtent l="0" t="0" r="0" b="0"/>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同责任免除中“被</w:t>
      </w:r>
      <w:r>
        <w:rPr>
          <w:rFonts w:ascii="微软雅黑" w:hAnsi="微软雅黑" w:eastAsia="微软雅黑"/>
          <w:b/>
          <w:sz w:val="21"/>
        </w:rPr>
        <w:t>保险人感染艾滋病病毒或</w:t>
      </w:r>
      <w:r>
        <w:rPr>
          <w:rFonts w:ascii="微软雅黑" w:hAnsi="微软雅黑" w:eastAsia="微软雅黑"/>
          <w:b/>
          <w:sz w:val="21"/>
        </w:rPr>
        <w:t>患艾滋病”</w:t>
      </w:r>
      <w:r>
        <w:rPr>
          <w:rFonts w:ascii="微软雅黑" w:hAnsi="微软雅黑" w:eastAsia="微软雅黑"/>
          <w:b/>
          <w:spacing w:val="-4"/>
          <w:sz w:val="21"/>
        </w:rPr>
        <w:t>的限制。</w:t>
      </w:r>
    </w:p>
    <w:p>
      <w:pPr>
        <w:spacing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九十八) 严重类风湿性关节炎</w:t>
      </w:r>
    </w:p>
    <w:p>
      <w:pPr>
        <w:pStyle w:val="BodyText"/>
        <w:spacing w:line="417" w:lineRule="auto" w:before="147"/>
        <w:ind w:left="120" w:right="311" w:firstLine="427"/>
        <w:jc w:val="both"/>
      </w:pPr>
      <w:r>
        <w:rPr>
          <w:spacing w:val="-7"/>
        </w:rPr>
        <w:t>类风湿性关节炎为广泛分布的慢性进行性多关节病变，表现为关节严重变形，侵犯至少</w:t>
      </w:r>
      <w:r>
        <w:rPr>
          <w:spacing w:val="-4"/>
        </w:rPr>
        <w:t>三个主要关节或关节组（如：双手（多手指）关节、双足（多足趾）关节、双腕关节、双膝</w:t>
      </w:r>
      <w:r>
        <w:rPr>
          <w:spacing w:val="-2"/>
        </w:rPr>
        <w:t>关节和双髋关节</w:t>
      </w:r>
      <w:r>
        <w:rPr>
          <w:spacing w:val="-106"/>
        </w:rPr>
        <w:t>）</w:t>
      </w:r>
      <w:r>
        <w:rPr>
          <w:spacing w:val="-2"/>
        </w:rPr>
        <w:t>。类风湿性关节炎必须明确诊断并且已经达到类风湿性关节炎功能分级Ⅳ</w:t>
      </w:r>
      <w:r>
        <w:rPr>
          <w:spacing w:val="-4"/>
        </w:rPr>
        <w:t>级的永久不可逆性功能障碍（关节活动严重限制，不能完成大部分的日常工作和活动）并且</w:t>
      </w:r>
      <w:r>
        <w:rPr>
          <w:spacing w:val="-2"/>
        </w:rPr>
        <w:t>自主生活能力完全丧失，无法独立完成六项基本日常生活活动中的三项或三项以上。</w:t>
      </w:r>
    </w:p>
    <w:p>
      <w:pPr>
        <w:pStyle w:val="Heading2"/>
        <w:spacing w:line="319" w:lineRule="exact"/>
      </w:pPr>
      <w:r>
        <w:rPr/>
        <w:t>(</w:t>
      </w:r>
      <w:r>
        <w:rPr>
          <w:spacing w:val="4"/>
        </w:rPr>
        <w:t>九十九) 系统性红斑狼疮 －</w:t>
      </w:r>
      <w:r>
        <w:rPr/>
        <w:t>（并发）Ⅲ</w:t>
      </w:r>
      <w:r>
        <w:rPr>
          <w:spacing w:val="-2"/>
        </w:rPr>
        <w:t>型或以上狼疮性肾炎</w:t>
      </w:r>
    </w:p>
    <w:p>
      <w:pPr>
        <w:pStyle w:val="BodyText"/>
        <w:spacing w:line="417" w:lineRule="auto" w:before="148"/>
        <w:ind w:left="120" w:right="311" w:firstLine="427"/>
      </w:pPr>
      <w:r>
        <w:rPr>
          <w:spacing w:val="-8"/>
        </w:rPr>
        <w:t>系统性红斑狼疮是由多种因素引起，累及多系统的自身免疫性疾病。其特点是生成自身</w:t>
      </w:r>
      <w:r>
        <w:rPr>
          <w:spacing w:val="-2"/>
        </w:rPr>
        <w:t>抗体对抗多种自身抗原。多见于育龄妇女。</w:t>
      </w:r>
    </w:p>
    <w:p>
      <w:pPr>
        <w:spacing w:line="320" w:lineRule="exact" w:before="0"/>
        <w:ind w:left="547" w:right="0" w:firstLine="0"/>
        <w:jc w:val="left"/>
        <w:rPr>
          <w:rFonts w:ascii="微软雅黑" w:eastAsia="微软雅黑"/>
          <w:b/>
          <w:sz w:val="21"/>
        </w:rPr>
      </w:pPr>
      <w:r>
        <w:rPr>
          <w:spacing w:val="10"/>
          <w:w w:val="95"/>
          <w:sz w:val="21"/>
        </w:rPr>
        <w:t>本</w:t>
      </w:r>
      <w:r>
        <w:rPr>
          <w:position w:val="-1"/>
          <w:sz w:val="21"/>
        </w:rPr>
        <w:drawing>
          <wp:inline distT="0" distB="0" distL="0" distR="0">
            <wp:extent cx="123825" cy="127000"/>
            <wp:effectExtent l="0" t="0" r="0" b="0"/>
            <wp:docPr id="13" name="image2.png"/>
            <wp:cNvGraphicFramePr>
              <a:graphicFrameLocks noChangeAspect="1"/>
            </wp:cNvGraphicFramePr>
            <a:graphic>
              <a:graphicData uri="http://schemas.openxmlformats.org/drawingml/2006/picture">
                <pic:pic>
                  <pic:nvPicPr>
                    <pic:cNvPr id="14"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w w:val="95"/>
          <w:sz w:val="21"/>
        </w:rPr>
        <w:t>同所指的系统性红斑</w:t>
      </w:r>
      <w:r>
        <w:rPr>
          <w:w w:val="95"/>
          <w:sz w:val="21"/>
        </w:rPr>
        <w:t>狼</w:t>
      </w:r>
      <w:r>
        <w:rPr>
          <w:w w:val="95"/>
          <w:sz w:val="21"/>
        </w:rPr>
        <w:t>疮</w:t>
      </w:r>
      <w:r>
        <w:rPr>
          <w:w w:val="95"/>
          <w:sz w:val="21"/>
        </w:rPr>
        <w:t>仅限于累及肾脏</w:t>
      </w:r>
      <w:r>
        <w:rPr>
          <w:rFonts w:ascii="微软雅黑" w:eastAsia="微软雅黑"/>
          <w:b/>
          <w:w w:val="95"/>
          <w:sz w:val="21"/>
        </w:rPr>
        <w:t>（经</w:t>
      </w:r>
      <w:r>
        <w:rPr>
          <w:rFonts w:ascii="微软雅黑" w:eastAsia="微软雅黑"/>
          <w:b/>
          <w:w w:val="95"/>
          <w:sz w:val="21"/>
        </w:rPr>
        <w:t>肾</w:t>
      </w:r>
      <w:r>
        <w:rPr>
          <w:rFonts w:ascii="微软雅黑" w:eastAsia="微软雅黑"/>
          <w:b/>
          <w:w w:val="95"/>
          <w:sz w:val="21"/>
        </w:rPr>
        <w:t>脏</w:t>
      </w:r>
      <w:r>
        <w:rPr>
          <w:rFonts w:ascii="微软雅黑" w:eastAsia="微软雅黑"/>
          <w:b/>
          <w:w w:val="95"/>
          <w:sz w:val="21"/>
        </w:rPr>
        <w:t>活</w:t>
      </w:r>
      <w:r>
        <w:rPr>
          <w:rFonts w:ascii="微软雅黑" w:eastAsia="微软雅黑"/>
          <w:b/>
          <w:w w:val="95"/>
          <w:sz w:val="21"/>
        </w:rPr>
        <w:t>检</w:t>
      </w:r>
      <w:r>
        <w:rPr>
          <w:rFonts w:ascii="微软雅黑" w:eastAsia="微软雅黑"/>
          <w:b/>
          <w:w w:val="95"/>
          <w:sz w:val="21"/>
        </w:rPr>
        <w:t>确</w:t>
      </w:r>
      <w:r>
        <w:rPr>
          <w:rFonts w:ascii="微软雅黑" w:eastAsia="微软雅黑"/>
          <w:b/>
          <w:w w:val="95"/>
          <w:sz w:val="21"/>
        </w:rPr>
        <w:t>认</w:t>
      </w:r>
      <w:r>
        <w:rPr>
          <w:rFonts w:ascii="微软雅黑" w:eastAsia="微软雅黑"/>
          <w:b/>
          <w:w w:val="95"/>
          <w:sz w:val="21"/>
        </w:rPr>
        <w:t>的</w:t>
      </w:r>
      <w:r>
        <w:rPr>
          <w:rFonts w:ascii="微软雅黑" w:eastAsia="微软雅黑"/>
          <w:b/>
          <w:w w:val="95"/>
          <w:sz w:val="21"/>
        </w:rPr>
        <w:t>，符</w:t>
      </w:r>
      <w:r>
        <w:rPr>
          <w:rFonts w:ascii="微软雅黑" w:eastAsia="微软雅黑"/>
          <w:b/>
          <w:position w:val="-1"/>
          <w:sz w:val="21"/>
        </w:rPr>
        <w:drawing>
          <wp:inline distT="0" distB="0" distL="0" distR="0">
            <wp:extent cx="123825" cy="127000"/>
            <wp:effectExtent l="0" t="0" r="0" b="0"/>
            <wp:docPr id="15" name="image2.png"/>
            <wp:cNvGraphicFramePr>
              <a:graphicFrameLocks noChangeAspect="1"/>
            </wp:cNvGraphicFramePr>
            <a:graphic>
              <a:graphicData uri="http://schemas.openxmlformats.org/drawingml/2006/picture">
                <pic:pic>
                  <pic:nvPicPr>
                    <pic:cNvPr id="1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Times New Roman" w:eastAsia="Times New Roman"/>
          <w:spacing w:val="31"/>
          <w:sz w:val="21"/>
        </w:rPr>
        <w:t>  </w:t>
      </w:r>
      <w:r>
        <w:rPr>
          <w:rFonts w:ascii="微软雅黑" w:eastAsia="微软雅黑"/>
          <w:b/>
          <w:w w:val="85"/>
          <w:sz w:val="21"/>
        </w:rPr>
        <w:t>WHO</w:t>
      </w:r>
      <w:r>
        <w:rPr>
          <w:rFonts w:ascii="微软雅黑" w:eastAsia="微软雅黑"/>
          <w:b/>
          <w:spacing w:val="79"/>
          <w:w w:val="150"/>
          <w:sz w:val="21"/>
        </w:rPr>
        <w:t> </w:t>
      </w:r>
      <w:r>
        <w:rPr>
          <w:rFonts w:ascii="微软雅黑" w:eastAsia="微软雅黑"/>
          <w:b/>
          <w:w w:val="95"/>
          <w:sz w:val="21"/>
        </w:rPr>
        <w:t>诊</w:t>
      </w:r>
      <w:r>
        <w:rPr>
          <w:rFonts w:ascii="微软雅黑" w:eastAsia="微软雅黑"/>
          <w:b/>
          <w:w w:val="95"/>
          <w:sz w:val="21"/>
        </w:rPr>
        <w:t>断</w:t>
      </w:r>
      <w:r>
        <w:rPr>
          <w:rFonts w:ascii="微软雅黑" w:eastAsia="微软雅黑"/>
          <w:b/>
          <w:spacing w:val="-10"/>
          <w:w w:val="95"/>
          <w:sz w:val="21"/>
        </w:rPr>
        <w:t>标</w:t>
      </w:r>
    </w:p>
    <w:p>
      <w:pPr>
        <w:pStyle w:val="Heading2"/>
        <w:spacing w:line="290" w:lineRule="auto" w:before="81"/>
        <w:ind w:right="315"/>
      </w:pPr>
      <w:r>
        <w:rPr>
          <w:spacing w:val="-4"/>
        </w:rPr>
        <w:t>准定义Ⅲ型至Ⅴ型狼疮性肾炎）的系统性红斑狼疮。其他类型的红斑性狼疮，如盘状狼疮、</w:t>
      </w:r>
      <w:r>
        <w:rPr>
          <w:spacing w:val="-2"/>
        </w:rPr>
        <w:t>仅累及血液及关节的狼疮不在保障范围內。</w:t>
      </w:r>
    </w:p>
    <w:p>
      <w:pPr>
        <w:pStyle w:val="BodyText"/>
        <w:spacing w:line="417" w:lineRule="auto" w:before="67"/>
        <w:ind w:left="547" w:right="4411"/>
      </w:pPr>
      <w:r>
        <w:rPr>
          <w:spacing w:val="-2"/>
        </w:rPr>
        <w:t>本病必须由免疫和风湿科专家医师确诊。</w:t>
      </w:r>
      <w:r>
        <w:rPr>
          <w:spacing w:val="-2"/>
        </w:rPr>
        <w:t>世界卫生组织（WHO）狼疮性肾炎分型： Ⅰ型（微小病变型）镜下阴性，尿液正常</w:t>
      </w:r>
    </w:p>
    <w:p>
      <w:pPr>
        <w:pStyle w:val="BodyText"/>
        <w:spacing w:line="417" w:lineRule="auto"/>
        <w:ind w:left="547" w:right="3571"/>
      </w:pPr>
      <w:r>
        <w:rPr>
          <w:spacing w:val="-2"/>
        </w:rPr>
        <w:t>Ⅱ型（系膜病变型）中度蛋白尿，偶有尿沉渣改变 Ⅲ型（局灶及节段增生型）蛋白尿，尿沉渣改变</w:t>
      </w:r>
    </w:p>
    <w:p>
      <w:pPr>
        <w:pStyle w:val="BodyText"/>
        <w:spacing w:line="269" w:lineRule="exact"/>
        <w:ind w:left="547"/>
      </w:pPr>
      <w:r>
        <w:rPr>
          <w:spacing w:val="-2"/>
        </w:rPr>
        <w:t>Ⅳ</w:t>
      </w:r>
      <w:r>
        <w:rPr>
          <w:spacing w:val="-2"/>
        </w:rPr>
        <w:t>型</w:t>
      </w:r>
      <w:r>
        <w:rPr>
          <w:spacing w:val="-2"/>
        </w:rPr>
        <w:t>（弥漫增生型）急性</w:t>
      </w:r>
      <w:r>
        <w:rPr>
          <w:spacing w:val="-2"/>
        </w:rPr>
        <w:t>肾</w:t>
      </w:r>
      <w:r>
        <w:rPr>
          <w:spacing w:val="-2"/>
        </w:rPr>
        <w:t>炎</w:t>
      </w:r>
      <w:r>
        <w:rPr>
          <w:spacing w:val="-2"/>
        </w:rPr>
        <w:t>伴有尿沉渣改变及/</w:t>
      </w:r>
      <w:r>
        <w:rPr>
          <w:spacing w:val="-2"/>
        </w:rPr>
        <w:t>或</w:t>
      </w:r>
      <w:r>
        <w:rPr>
          <w:spacing w:val="-2"/>
        </w:rPr>
        <w:t>肾</w:t>
      </w:r>
      <w:r>
        <w:rPr>
          <w:spacing w:val="-2"/>
        </w:rPr>
        <w:t>病</w:t>
      </w:r>
      <w:r>
        <w:rPr>
          <w:spacing w:val="-2"/>
        </w:rPr>
        <w:t>综</w:t>
      </w:r>
      <w:r>
        <w:rPr>
          <w:position w:val="-2"/>
        </w:rPr>
        <w:drawing>
          <wp:inline distT="0" distB="0" distL="0" distR="0">
            <wp:extent cx="123825" cy="127000"/>
            <wp:effectExtent l="0" t="0" r="0" b="0"/>
            <wp:docPr id="17" name="image2.png"/>
            <wp:cNvGraphicFramePr>
              <a:graphicFrameLocks noChangeAspect="1"/>
            </wp:cNvGraphicFramePr>
            <a:graphic>
              <a:graphicData uri="http://schemas.openxmlformats.org/drawingml/2006/picture">
                <pic:pic>
                  <pic:nvPicPr>
                    <pic:cNvPr id="1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spacing w:val="-10"/>
        </w:rPr>
        <w:t>征</w:t>
      </w:r>
    </w:p>
    <w:p>
      <w:pPr>
        <w:pStyle w:val="BodyText"/>
        <w:spacing w:before="12"/>
        <w:rPr>
          <w:sz w:val="9"/>
        </w:rPr>
      </w:pPr>
    </w:p>
    <w:p>
      <w:pPr>
        <w:spacing w:line="357" w:lineRule="auto" w:before="71"/>
        <w:ind w:left="120" w:right="4622" w:firstLine="427"/>
        <w:jc w:val="left"/>
        <w:rPr>
          <w:rFonts w:ascii="微软雅黑" w:hAnsi="微软雅黑" w:eastAsia="微软雅黑"/>
          <w:b/>
          <w:sz w:val="21"/>
        </w:rPr>
      </w:pPr>
      <w:r>
        <w:rPr>
          <w:spacing w:val="-2"/>
          <w:sz w:val="21"/>
        </w:rPr>
        <w:t>Ⅴ</w:t>
      </w:r>
      <w:r>
        <w:rPr>
          <w:spacing w:val="-2"/>
          <w:sz w:val="21"/>
        </w:rPr>
        <w:t>型</w:t>
      </w:r>
      <w:r>
        <w:rPr>
          <w:spacing w:val="-2"/>
          <w:sz w:val="21"/>
        </w:rPr>
        <w:t>（膜型）肾病综</w:t>
      </w:r>
      <w:r>
        <w:rPr>
          <w:position w:val="-1"/>
          <w:sz w:val="21"/>
        </w:rPr>
        <w:drawing>
          <wp:inline distT="0" distB="0" distL="0" distR="0">
            <wp:extent cx="123825" cy="127000"/>
            <wp:effectExtent l="0" t="0" r="0" b="0"/>
            <wp:docPr id="19" name="image2.png"/>
            <wp:cNvGraphicFramePr>
              <a:graphicFrameLocks noChangeAspect="1"/>
            </wp:cNvGraphicFramePr>
            <a:graphic>
              <a:graphicData uri="http://schemas.openxmlformats.org/drawingml/2006/picture">
                <pic:pic>
                  <pic:nvPicPr>
                    <pic:cNvPr id="20"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spacing w:val="-2"/>
          <w:sz w:val="21"/>
        </w:rPr>
        <w:t>征</w:t>
      </w:r>
      <w:r>
        <w:rPr>
          <w:spacing w:val="-2"/>
          <w:sz w:val="21"/>
        </w:rPr>
        <w:t>或</w:t>
      </w:r>
      <w:r>
        <w:rPr>
          <w:spacing w:val="-2"/>
          <w:sz w:val="21"/>
        </w:rPr>
        <w:t>重</w:t>
      </w:r>
      <w:r>
        <w:rPr>
          <w:spacing w:val="-2"/>
          <w:sz w:val="21"/>
        </w:rPr>
        <w:t>度蛋白尿 </w:t>
      </w:r>
      <w:r>
        <w:rPr>
          <w:rFonts w:ascii="微软雅黑" w:hAnsi="微软雅黑" w:eastAsia="微软雅黑"/>
          <w:b/>
          <w:w w:val="110"/>
          <w:sz w:val="21"/>
        </w:rPr>
        <w:t>(一百) </w:t>
      </w:r>
      <w:r>
        <w:rPr>
          <w:rFonts w:ascii="微软雅黑" w:hAnsi="微软雅黑" w:eastAsia="微软雅黑"/>
          <w:b/>
          <w:w w:val="110"/>
          <w:sz w:val="21"/>
        </w:rPr>
        <w:t>神</w:t>
      </w:r>
      <w:r>
        <w:rPr>
          <w:rFonts w:ascii="微软雅黑" w:hAnsi="微软雅黑" w:eastAsia="微软雅黑"/>
          <w:b/>
          <w:w w:val="110"/>
          <w:sz w:val="21"/>
        </w:rPr>
        <w:t>经</w:t>
      </w:r>
      <w:r>
        <w:rPr>
          <w:rFonts w:ascii="微软雅黑" w:hAnsi="微软雅黑" w:eastAsia="微软雅黑"/>
          <w:b/>
          <w:w w:val="110"/>
          <w:sz w:val="21"/>
        </w:rPr>
        <w:t>白</w:t>
      </w:r>
      <w:r>
        <w:rPr>
          <w:rFonts w:ascii="微软雅黑" w:hAnsi="微软雅黑" w:eastAsia="微软雅黑"/>
          <w:b/>
          <w:w w:val="110"/>
          <w:sz w:val="21"/>
        </w:rPr>
        <w:t>塞</w:t>
      </w:r>
      <w:r>
        <w:rPr>
          <w:rFonts w:ascii="微软雅黑" w:hAnsi="微软雅黑" w:eastAsia="微软雅黑"/>
          <w:b/>
          <w:w w:val="110"/>
          <w:sz w:val="21"/>
        </w:rPr>
        <w:t>病</w:t>
      </w:r>
    </w:p>
    <w:p>
      <w:pPr>
        <w:spacing w:after="0" w:line="357" w:lineRule="auto"/>
        <w:jc w:val="left"/>
        <w:rPr>
          <w:rFonts w:ascii="微软雅黑" w:hAnsi="微软雅黑" w:eastAsia="微软雅黑"/>
          <w:sz w:val="21"/>
        </w:rPr>
        <w:sectPr>
          <w:pgSz w:w="11910" w:h="16840"/>
          <w:pgMar w:header="0" w:footer="1005" w:top="1460" w:bottom="1200" w:left="1680" w:right="1480"/>
        </w:sectPr>
      </w:pPr>
    </w:p>
    <w:p>
      <w:pPr>
        <w:pStyle w:val="BodyText"/>
        <w:spacing w:line="417" w:lineRule="auto" w:before="61"/>
        <w:ind w:left="120" w:right="208" w:firstLine="427"/>
      </w:pPr>
      <w:r>
        <w:rPr>
          <w:spacing w:val="-2"/>
        </w:rPr>
        <w:t>白塞病是一种慢性全身性血管炎症性疾病，主要表现为复发性口腔溃疡、生殖器溃疡、</w:t>
      </w:r>
      <w:r>
        <w:rPr>
          <w:spacing w:val="-2"/>
        </w:rPr>
        <w:t>眼炎及皮肤损害，并可累及大血管、神经系统、消化道、肺、肾等等。累及神经系统损害的</w:t>
      </w:r>
      <w:r>
        <w:rPr>
          <w:spacing w:val="-7"/>
        </w:rPr>
        <w:t>白塞病称为神经白塞病。神经白塞病必须经我们认可医院的专科医生明确诊断，并且已经造</w:t>
      </w:r>
      <w:r>
        <w:rPr>
          <w:spacing w:val="-7"/>
        </w:rPr>
        <w:t>成永久不可逆的神经系统功能损害。永久不可逆的神经系统损害指被保险人持续 </w:t>
      </w:r>
      <w:r>
        <w:rPr/>
        <w:t>180</w:t>
      </w:r>
      <w:r>
        <w:rPr>
          <w:spacing w:val="-6"/>
        </w:rPr>
        <w:t> 天无法</w:t>
      </w:r>
      <w:r>
        <w:rPr>
          <w:spacing w:val="-2"/>
        </w:rPr>
        <w:t>独立完成下列基本日常生活活动之一：</w:t>
      </w:r>
    </w:p>
    <w:p>
      <w:pPr>
        <w:pStyle w:val="ListParagraph"/>
        <w:numPr>
          <w:ilvl w:val="0"/>
          <w:numId w:val="71"/>
        </w:numPr>
        <w:tabs>
          <w:tab w:pos="1177" w:val="left" w:leader="none"/>
        </w:tabs>
        <w:spacing w:line="269" w:lineRule="exact" w:before="0" w:after="0"/>
        <w:ind w:left="1176" w:right="0" w:hanging="632"/>
        <w:jc w:val="left"/>
        <w:rPr>
          <w:sz w:val="21"/>
        </w:rPr>
      </w:pPr>
      <w:r>
        <w:rPr>
          <w:spacing w:val="-3"/>
          <w:sz w:val="21"/>
        </w:rPr>
        <w:t>移动：自己从一个房间到另一个房间；</w:t>
      </w:r>
    </w:p>
    <w:p>
      <w:pPr>
        <w:pStyle w:val="BodyText"/>
        <w:spacing w:before="6"/>
        <w:rPr>
          <w:sz w:val="15"/>
        </w:rPr>
      </w:pPr>
    </w:p>
    <w:p>
      <w:pPr>
        <w:pStyle w:val="ListParagraph"/>
        <w:numPr>
          <w:ilvl w:val="0"/>
          <w:numId w:val="71"/>
        </w:numPr>
        <w:tabs>
          <w:tab w:pos="1177" w:val="left" w:leader="none"/>
        </w:tabs>
        <w:spacing w:line="240" w:lineRule="auto" w:before="1" w:after="0"/>
        <w:ind w:left="1176" w:right="0" w:hanging="632"/>
        <w:jc w:val="left"/>
        <w:rPr>
          <w:sz w:val="21"/>
        </w:rPr>
      </w:pPr>
      <w:r>
        <w:rPr>
          <w:spacing w:val="-3"/>
          <w:sz w:val="21"/>
        </w:rPr>
        <w:t>进食：自己从已准备好的碗或碟中取食物放入口中。</w:t>
      </w:r>
    </w:p>
    <w:p>
      <w:pPr>
        <w:pStyle w:val="BodyText"/>
        <w:rPr>
          <w:sz w:val="20"/>
        </w:rPr>
      </w:pPr>
    </w:p>
    <w:p>
      <w:pPr>
        <w:pStyle w:val="BodyText"/>
        <w:spacing w:before="10"/>
        <w:rPr>
          <w:sz w:val="26"/>
        </w:rPr>
      </w:pPr>
    </w:p>
    <w:p>
      <w:pPr>
        <w:spacing w:before="0"/>
        <w:ind w:left="0" w:right="318" w:firstLine="0"/>
        <w:jc w:val="right"/>
        <w:rPr>
          <w:rFonts w:ascii="微软雅黑" w:eastAsia="微软雅黑"/>
          <w:b/>
          <w:sz w:val="21"/>
        </w:rPr>
      </w:pPr>
      <w:r>
        <w:rPr>
          <w:rFonts w:ascii="微软雅黑" w:eastAsia="微软雅黑"/>
          <w:b/>
          <w:spacing w:val="-2"/>
          <w:sz w:val="21"/>
        </w:rPr>
        <w:t>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发</w:t>
      </w:r>
      <w:r>
        <w:rPr>
          <w:rFonts w:ascii="微软雅黑" w:eastAsia="微软雅黑"/>
          <w:b/>
          <w:spacing w:val="-2"/>
          <w:sz w:val="21"/>
        </w:rPr>
        <w:t>生</w:t>
      </w:r>
      <w:r>
        <w:rPr>
          <w:rFonts w:ascii="微软雅黑" w:eastAsia="微软雅黑"/>
          <w:b/>
          <w:spacing w:val="-2"/>
          <w:sz w:val="21"/>
        </w:rPr>
        <w:t>符</w:t>
      </w:r>
      <w:r>
        <w:rPr>
          <w:rFonts w:ascii="微软雅黑" w:eastAsia="微软雅黑"/>
          <w:b/>
          <w:position w:val="-1"/>
          <w:sz w:val="21"/>
        </w:rPr>
        <w:drawing>
          <wp:inline distT="0" distB="0" distL="0" distR="0">
            <wp:extent cx="123825" cy="127000"/>
            <wp:effectExtent l="0" t="0" r="0" b="0"/>
            <wp:docPr id="21" name="image2.png"/>
            <wp:cNvGraphicFramePr>
              <a:graphicFrameLocks noChangeAspect="1"/>
            </wp:cNvGraphicFramePr>
            <a:graphic>
              <a:graphicData uri="http://schemas.openxmlformats.org/drawingml/2006/picture">
                <pic:pic>
                  <pic:nvPicPr>
                    <pic:cNvPr id="2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pacing w:val="-2"/>
          <w:sz w:val="21"/>
        </w:rPr>
        <w:t>以上疾</w:t>
      </w:r>
      <w:r>
        <w:rPr>
          <w:rFonts w:ascii="微软雅黑" w:eastAsia="微软雅黑"/>
          <w:b/>
          <w:spacing w:val="-2"/>
          <w:sz w:val="21"/>
        </w:rPr>
        <w:t>病</w:t>
      </w:r>
      <w:r>
        <w:rPr>
          <w:rFonts w:ascii="微软雅黑" w:eastAsia="微软雅黑"/>
          <w:b/>
          <w:spacing w:val="-2"/>
          <w:sz w:val="21"/>
        </w:rPr>
        <w:t>定</w:t>
      </w:r>
      <w:r>
        <w:rPr>
          <w:rFonts w:ascii="微软雅黑" w:eastAsia="微软雅黑"/>
          <w:b/>
          <w:spacing w:val="-2"/>
          <w:sz w:val="21"/>
        </w:rPr>
        <w:t>义</w:t>
      </w:r>
      <w:r>
        <w:rPr>
          <w:rFonts w:ascii="微软雅黑" w:eastAsia="微软雅黑"/>
          <w:b/>
          <w:spacing w:val="-2"/>
          <w:sz w:val="21"/>
        </w:rPr>
        <w:t>所</w:t>
      </w:r>
      <w:r>
        <w:rPr>
          <w:rFonts w:ascii="微软雅黑" w:eastAsia="微软雅黑"/>
          <w:b/>
          <w:spacing w:val="-2"/>
          <w:sz w:val="21"/>
        </w:rPr>
        <w:t>述</w:t>
      </w:r>
      <w:r>
        <w:rPr>
          <w:rFonts w:ascii="微软雅黑" w:eastAsia="微软雅黑"/>
          <w:b/>
          <w:spacing w:val="-2"/>
          <w:sz w:val="21"/>
        </w:rPr>
        <w:t>条</w:t>
      </w:r>
      <w:r>
        <w:rPr>
          <w:rFonts w:ascii="微软雅黑" w:eastAsia="微软雅黑"/>
          <w:b/>
          <w:spacing w:val="-2"/>
          <w:sz w:val="21"/>
        </w:rPr>
        <w:t>件</w:t>
      </w:r>
      <w:r>
        <w:rPr>
          <w:rFonts w:ascii="微软雅黑" w:eastAsia="微软雅黑"/>
          <w:b/>
          <w:spacing w:val="-2"/>
          <w:sz w:val="21"/>
        </w:rPr>
        <w:t>的</w:t>
      </w:r>
      <w:r>
        <w:rPr>
          <w:rFonts w:ascii="微软雅黑" w:eastAsia="微软雅黑"/>
          <w:b/>
          <w:spacing w:val="-2"/>
          <w:sz w:val="21"/>
        </w:rPr>
        <w:t>疾病，</w:t>
      </w:r>
      <w:r>
        <w:rPr>
          <w:rFonts w:ascii="微软雅黑" w:eastAsia="微软雅黑"/>
          <w:b/>
          <w:spacing w:val="-2"/>
          <w:sz w:val="21"/>
        </w:rPr>
        <w:t>应</w:t>
      </w:r>
      <w:r>
        <w:rPr>
          <w:rFonts w:ascii="微软雅黑" w:eastAsia="微软雅黑"/>
          <w:b/>
          <w:spacing w:val="-2"/>
          <w:sz w:val="21"/>
        </w:rPr>
        <w:t>当</w:t>
      </w:r>
      <w:r>
        <w:rPr>
          <w:rFonts w:ascii="微软雅黑" w:eastAsia="微软雅黑"/>
          <w:b/>
          <w:spacing w:val="-2"/>
          <w:sz w:val="21"/>
        </w:rPr>
        <w:t>由</w:t>
      </w:r>
      <w:r>
        <w:rPr>
          <w:rFonts w:ascii="微软雅黑" w:eastAsia="微软雅黑"/>
          <w:b/>
          <w:spacing w:val="-2"/>
          <w:sz w:val="21"/>
        </w:rPr>
        <w:t>专</w:t>
      </w:r>
      <w:r>
        <w:rPr>
          <w:rFonts w:ascii="微软雅黑" w:eastAsia="微软雅黑"/>
          <w:b/>
          <w:spacing w:val="-2"/>
          <w:sz w:val="21"/>
        </w:rPr>
        <w:t>科</w:t>
      </w:r>
      <w:r>
        <w:rPr>
          <w:rFonts w:ascii="微软雅黑" w:eastAsia="微软雅黑"/>
          <w:b/>
          <w:spacing w:val="-2"/>
          <w:sz w:val="21"/>
        </w:rPr>
        <w:t>医</w:t>
      </w:r>
      <w:r>
        <w:rPr>
          <w:rFonts w:ascii="微软雅黑" w:eastAsia="微软雅黑"/>
          <w:b/>
          <w:spacing w:val="-2"/>
          <w:sz w:val="21"/>
        </w:rPr>
        <w:t>生</w:t>
      </w:r>
      <w:r>
        <w:rPr>
          <w:rFonts w:ascii="微软雅黑" w:eastAsia="微软雅黑"/>
          <w:b/>
          <w:spacing w:val="-2"/>
          <w:sz w:val="21"/>
        </w:rPr>
        <w:t>明</w:t>
      </w:r>
      <w:r>
        <w:rPr>
          <w:rFonts w:ascii="微软雅黑" w:eastAsia="微软雅黑"/>
          <w:b/>
          <w:spacing w:val="-2"/>
          <w:sz w:val="21"/>
        </w:rPr>
        <w:t>确诊断。第</w:t>
      </w:r>
      <w:r>
        <w:rPr>
          <w:rFonts w:ascii="Calibri" w:eastAsia="Calibri"/>
          <w:b/>
          <w:spacing w:val="-2"/>
          <w:sz w:val="21"/>
        </w:rPr>
        <w:t>1</w:t>
      </w:r>
      <w:r>
        <w:rPr>
          <w:rFonts w:ascii="微软雅黑" w:eastAsia="微软雅黑"/>
          <w:b/>
          <w:spacing w:val="-2"/>
          <w:sz w:val="21"/>
        </w:rPr>
        <w:t>至</w:t>
      </w:r>
      <w:r>
        <w:rPr>
          <w:rFonts w:ascii="微软雅黑" w:eastAsia="微软雅黑"/>
          <w:b/>
          <w:spacing w:val="-10"/>
          <w:sz w:val="21"/>
        </w:rPr>
        <w:t>第</w:t>
      </w:r>
    </w:p>
    <w:p>
      <w:pPr>
        <w:spacing w:before="82"/>
        <w:ind w:left="0" w:right="397" w:firstLine="0"/>
        <w:jc w:val="right"/>
        <w:rPr>
          <w:rFonts w:ascii="微软雅黑" w:eastAsia="微软雅黑"/>
          <w:b/>
          <w:sz w:val="21"/>
        </w:rPr>
      </w:pPr>
      <w:r>
        <w:rPr>
          <w:rFonts w:ascii="Calibri" w:eastAsia="Calibri"/>
          <w:b/>
          <w:spacing w:val="-2"/>
          <w:sz w:val="21"/>
        </w:rPr>
        <w:t>28</w:t>
      </w:r>
      <w:r>
        <w:rPr>
          <w:rFonts w:ascii="微软雅黑" w:eastAsia="微软雅黑"/>
          <w:b/>
          <w:spacing w:val="-2"/>
          <w:sz w:val="21"/>
        </w:rPr>
        <w:t>项为中国保险行业协会与中国医师协会共同制定的重大疾病保险的疾病定义，第</w:t>
      </w:r>
      <w:r>
        <w:rPr>
          <w:rFonts w:ascii="Calibri" w:eastAsia="Calibri"/>
          <w:b/>
          <w:spacing w:val="-2"/>
          <w:sz w:val="21"/>
        </w:rPr>
        <w:t>29</w:t>
      </w:r>
      <w:r>
        <w:rPr>
          <w:rFonts w:ascii="微软雅黑" w:eastAsia="微软雅黑"/>
          <w:b/>
          <w:spacing w:val="-6"/>
          <w:sz w:val="21"/>
        </w:rPr>
        <w:t>至第</w:t>
      </w:r>
    </w:p>
    <w:p>
      <w:pPr>
        <w:spacing w:before="80"/>
        <w:ind w:left="120" w:right="0" w:firstLine="0"/>
        <w:jc w:val="left"/>
        <w:rPr>
          <w:rFonts w:ascii="微软雅黑" w:eastAsia="微软雅黑"/>
          <w:b/>
          <w:sz w:val="21"/>
        </w:rPr>
      </w:pPr>
      <w:r>
        <w:rPr>
          <w:rFonts w:ascii="Calibri" w:eastAsia="Calibri"/>
          <w:b/>
          <w:spacing w:val="-2"/>
          <w:sz w:val="21"/>
        </w:rPr>
        <w:t>100</w:t>
      </w:r>
      <w:r>
        <w:rPr>
          <w:rFonts w:ascii="微软雅黑" w:eastAsia="微软雅黑"/>
          <w:b/>
          <w:spacing w:val="-3"/>
          <w:sz w:val="21"/>
        </w:rPr>
        <w:t>项为我公司增加的疾病种类并自行制定的疾病定义。</w:t>
      </w:r>
    </w:p>
    <w:p>
      <w:pPr>
        <w:pStyle w:val="BodyText"/>
        <w:spacing w:before="15"/>
        <w:rPr>
          <w:rFonts w:ascii="微软雅黑"/>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7" w:id="70"/>
      <w:bookmarkEnd w:id="70"/>
      <w:r>
        <w:rPr>
          <w:b w:val="0"/>
        </w:rPr>
      </w:r>
      <w:bookmarkStart w:name="_bookmark37" w:id="71"/>
      <w:bookmarkEnd w:id="71"/>
      <w:r>
        <w:rPr>
          <w:spacing w:val="-2"/>
        </w:rPr>
        <w:t>中症疾病定义</w:t>
      </w:r>
    </w:p>
    <w:p>
      <w:pPr>
        <w:spacing w:line="357" w:lineRule="auto" w:before="148"/>
        <w:ind w:left="120" w:right="4272" w:firstLine="357"/>
        <w:jc w:val="left"/>
        <w:rPr>
          <w:rFonts w:ascii="微软雅黑" w:eastAsia="微软雅黑"/>
          <w:b/>
          <w:sz w:val="21"/>
        </w:rPr>
      </w:pPr>
      <w:r>
        <w:rPr>
          <w:sz w:val="21"/>
        </w:rPr>
        <w:t>本</w:t>
      </w:r>
      <w:r>
        <w:rPr>
          <w:position w:val="-2"/>
          <w:sz w:val="21"/>
        </w:rPr>
        <w:drawing>
          <wp:inline distT="0" distB="0" distL="0" distR="0">
            <wp:extent cx="123825" cy="127000"/>
            <wp:effectExtent l="0" t="0" r="0" b="0"/>
            <wp:docPr id="23" name="image2.png"/>
            <wp:cNvGraphicFramePr>
              <a:graphicFrameLocks noChangeAspect="1"/>
            </wp:cNvGraphicFramePr>
            <a:graphic>
              <a:graphicData uri="http://schemas.openxmlformats.org/drawingml/2006/picture">
                <pic:pic>
                  <pic:nvPicPr>
                    <pic:cNvPr id="24"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同所称中症疾病，仅</w:t>
      </w:r>
      <w:r>
        <w:rPr>
          <w:sz w:val="21"/>
        </w:rPr>
        <w:t>指下列疾病之一： </w:t>
      </w:r>
      <w:r>
        <w:rPr>
          <w:rFonts w:ascii="微软雅黑" w:eastAsia="微软雅黑"/>
          <w:b/>
          <w:spacing w:val="-5"/>
          <w:w w:val="110"/>
          <w:sz w:val="21"/>
        </w:rPr>
        <w:t>(一) </w:t>
      </w:r>
      <w:r>
        <w:rPr>
          <w:rFonts w:ascii="微软雅黑" w:eastAsia="微软雅黑"/>
          <w:b/>
          <w:w w:val="110"/>
          <w:sz w:val="21"/>
        </w:rPr>
        <w:t>中</w:t>
      </w:r>
      <w:r>
        <w:rPr>
          <w:rFonts w:ascii="微软雅黑" w:eastAsia="微软雅黑"/>
          <w:b/>
          <w:w w:val="110"/>
          <w:sz w:val="21"/>
        </w:rPr>
        <w:t>度</w:t>
      </w:r>
      <w:r>
        <w:rPr>
          <w:rFonts w:ascii="微软雅黑" w:eastAsia="微软雅黑"/>
          <w:b/>
          <w:w w:val="110"/>
          <w:sz w:val="21"/>
        </w:rPr>
        <w:t>严</w:t>
      </w:r>
      <w:r>
        <w:rPr>
          <w:rFonts w:ascii="微软雅黑" w:eastAsia="微软雅黑"/>
          <w:b/>
          <w:w w:val="110"/>
          <w:sz w:val="21"/>
        </w:rPr>
        <w:t>重</w:t>
      </w:r>
      <w:r>
        <w:rPr>
          <w:rFonts w:ascii="微软雅黑" w:eastAsia="微软雅黑"/>
          <w:b/>
          <w:w w:val="110"/>
          <w:sz w:val="21"/>
        </w:rPr>
        <w:t>脊</w:t>
      </w:r>
      <w:r>
        <w:rPr>
          <w:rFonts w:ascii="微软雅黑" w:eastAsia="微软雅黑"/>
          <w:b/>
          <w:w w:val="110"/>
          <w:sz w:val="21"/>
        </w:rPr>
        <w:t>髓</w:t>
      </w:r>
      <w:r>
        <w:rPr>
          <w:rFonts w:ascii="微软雅黑" w:eastAsia="微软雅黑"/>
          <w:b/>
          <w:w w:val="110"/>
          <w:sz w:val="21"/>
        </w:rPr>
        <w:t>灰</w:t>
      </w:r>
      <w:r>
        <w:rPr>
          <w:rFonts w:ascii="微软雅黑" w:eastAsia="微软雅黑"/>
          <w:b/>
          <w:w w:val="110"/>
          <w:sz w:val="21"/>
        </w:rPr>
        <w:t>质</w:t>
      </w:r>
      <w:r>
        <w:rPr>
          <w:rFonts w:ascii="微软雅黑" w:eastAsia="微软雅黑"/>
          <w:b/>
          <w:w w:val="110"/>
          <w:sz w:val="21"/>
        </w:rPr>
        <w:t>炎</w:t>
      </w:r>
    </w:p>
    <w:p>
      <w:pPr>
        <w:pStyle w:val="BodyText"/>
        <w:spacing w:line="227" w:lineRule="exact"/>
        <w:ind w:left="547"/>
      </w:pPr>
      <w:r>
        <w:rPr>
          <w:spacing w:val="-7"/>
        </w:rPr>
        <w:t>脊髓灰质炎是由于脊髓灰质炎病毒感染所致的瘫痪性疾病，临床表现为运动功能损害或</w:t>
      </w:r>
    </w:p>
    <w:p>
      <w:pPr>
        <w:pStyle w:val="BodyText"/>
        <w:spacing w:before="6"/>
        <w:rPr>
          <w:sz w:val="15"/>
        </w:rPr>
      </w:pPr>
    </w:p>
    <w:p>
      <w:pPr>
        <w:pStyle w:val="BodyText"/>
        <w:spacing w:line="417" w:lineRule="auto" w:before="1"/>
        <w:ind w:left="120" w:right="311"/>
      </w:pPr>
      <w:r>
        <w:rPr>
          <w:spacing w:val="-2"/>
        </w:rPr>
        <w:t>呼</w:t>
      </w:r>
      <w:r>
        <w:rPr>
          <w:spacing w:val="-2"/>
        </w:rPr>
        <w:t>吸</w:t>
      </w:r>
      <w:r>
        <w:rPr>
          <w:spacing w:val="-2"/>
        </w:rPr>
        <w:t>无力</w:t>
      </w:r>
      <w:r>
        <w:rPr>
          <w:spacing w:val="-51"/>
        </w:rPr>
        <w:t>。</w:t>
      </w:r>
      <w:r>
        <w:rPr>
          <w:spacing w:val="-2"/>
        </w:rPr>
        <w:t>脊髓灰质炎必</w:t>
      </w:r>
      <w:r>
        <w:rPr>
          <w:spacing w:val="-2"/>
        </w:rPr>
        <w:t>须</w:t>
      </w:r>
      <w:r>
        <w:rPr>
          <w:spacing w:val="-2"/>
        </w:rPr>
        <w:t>明</w:t>
      </w:r>
      <w:r>
        <w:rPr>
          <w:spacing w:val="-2"/>
        </w:rPr>
        <w:t>确诊断。本</w:t>
      </w:r>
      <w:r>
        <w:rPr>
          <w:position w:val="-1"/>
        </w:rPr>
        <w:drawing>
          <wp:inline distT="0" distB="0" distL="0" distR="0">
            <wp:extent cx="123825" cy="127000"/>
            <wp:effectExtent l="0" t="0" r="0" b="0"/>
            <wp:docPr id="25" name="image2.png"/>
            <wp:cNvGraphicFramePr>
              <a:graphicFrameLocks noChangeAspect="1"/>
            </wp:cNvGraphicFramePr>
            <a:graphic>
              <a:graphicData uri="http://schemas.openxmlformats.org/drawingml/2006/picture">
                <pic:pic>
                  <pic:nvPicPr>
                    <pic:cNvPr id="26"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同仅对</w:t>
      </w:r>
      <w:r>
        <w:rPr>
          <w:spacing w:val="-2"/>
        </w:rPr>
        <w:t>脊</w:t>
      </w:r>
      <w:r>
        <w:rPr>
          <w:spacing w:val="-2"/>
        </w:rPr>
        <w:t>髓</w:t>
      </w:r>
      <w:r>
        <w:rPr>
          <w:spacing w:val="-2"/>
        </w:rPr>
        <w:t>灰质炎造成的神经系</w:t>
      </w:r>
      <w:r>
        <w:rPr>
          <w:spacing w:val="-2"/>
        </w:rPr>
        <w:t>统</w:t>
      </w:r>
      <w:r>
        <w:rPr>
          <w:spacing w:val="-2"/>
        </w:rPr>
        <w:t>功</w:t>
      </w:r>
      <w:r>
        <w:rPr>
          <w:spacing w:val="-2"/>
        </w:rPr>
        <w:t>能损害</w:t>
      </w:r>
      <w:r>
        <w:rPr>
          <w:spacing w:val="-2"/>
        </w:rPr>
        <w:t>导</w:t>
      </w:r>
      <w:r>
        <w:rPr>
          <w:spacing w:val="-2"/>
        </w:rPr>
        <w:t>致</w:t>
      </w:r>
      <w:r>
        <w:rPr>
          <w:spacing w:val="-2"/>
        </w:rPr>
        <w:t>被保险人一肢或一肢以上肢体机能永久完全丧失的情况予以理赔。</w:t>
      </w:r>
    </w:p>
    <w:p>
      <w:pPr>
        <w:pStyle w:val="BodyText"/>
        <w:spacing w:line="417" w:lineRule="auto"/>
        <w:ind w:left="120" w:right="311" w:firstLine="427"/>
      </w:pPr>
      <w:r>
        <w:rPr>
          <w:spacing w:val="-8"/>
        </w:rPr>
        <w:t>肢体机能永久完全丧失，指疾病确诊 </w:t>
      </w:r>
      <w:r>
        <w:rPr/>
        <w:t>180</w:t>
      </w:r>
      <w:r>
        <w:rPr>
          <w:spacing w:val="-11"/>
        </w:rPr>
        <w:t> 天后，每肢三大关节中的至少一个大关节仍然</w:t>
      </w:r>
      <w:r>
        <w:rPr>
          <w:spacing w:val="-2"/>
        </w:rPr>
        <w:t>完全僵硬，或不能随意识活动。</w:t>
      </w:r>
    </w:p>
    <w:p>
      <w:pPr>
        <w:pStyle w:val="Heading2"/>
        <w:spacing w:line="320" w:lineRule="exact"/>
      </w:pPr>
      <w:r>
        <w:rPr>
          <w:spacing w:val="-3"/>
          <w:w w:val="105"/>
        </w:rPr>
        <w:t>(二) </w:t>
      </w:r>
      <w:r>
        <w:rPr>
          <w:w w:val="105"/>
        </w:rPr>
        <w:t>中</w:t>
      </w:r>
      <w:r>
        <w:rPr>
          <w:w w:val="105"/>
        </w:rPr>
        <w:t>度</w:t>
      </w:r>
      <w:r>
        <w:rPr>
          <w:w w:val="105"/>
        </w:rPr>
        <w:t>瘫</w:t>
      </w:r>
      <w:r>
        <w:rPr>
          <w:spacing w:val="-10"/>
          <w:w w:val="105"/>
        </w:rPr>
        <w:t>痪</w:t>
      </w:r>
    </w:p>
    <w:p>
      <w:pPr>
        <w:pStyle w:val="BodyText"/>
        <w:spacing w:line="417" w:lineRule="auto" w:before="148"/>
        <w:ind w:left="120" w:right="311" w:firstLine="427"/>
        <w:jc w:val="both"/>
      </w:pPr>
      <w:r>
        <w:rPr>
          <w:spacing w:val="-7"/>
        </w:rPr>
        <w:t>指因疾病或意外伤害导致一肢肢体机能永久完全丧失，肢体机能永久完全丧失，指疾病</w:t>
      </w:r>
      <w:r>
        <w:rPr>
          <w:w w:val="95"/>
        </w:rPr>
        <w:t>确</w:t>
      </w:r>
      <w:r>
        <w:rPr>
          <w:w w:val="95"/>
        </w:rPr>
        <w:t>诊</w:t>
      </w:r>
      <w:r>
        <w:rPr>
          <w:w w:val="95"/>
        </w:rPr>
        <w:t> 180 天后或意外伤害</w:t>
      </w:r>
      <w:r>
        <w:rPr>
          <w:w w:val="95"/>
        </w:rPr>
        <w:t>发</w:t>
      </w:r>
      <w:r>
        <w:rPr>
          <w:w w:val="95"/>
        </w:rPr>
        <w:t>生</w:t>
      </w:r>
      <w:r>
        <w:rPr>
          <w:w w:val="95"/>
        </w:rPr>
        <w:t> 180</w:t>
      </w:r>
      <w:r>
        <w:rPr>
          <w:spacing w:val="-8"/>
          <w:w w:val="95"/>
        </w:rPr>
        <w:t> 天后，该肢三大</w:t>
      </w:r>
      <w:r>
        <w:rPr>
          <w:w w:val="95"/>
        </w:rPr>
        <w:t>关</w:t>
      </w:r>
      <w:r>
        <w:rPr>
          <w:w w:val="95"/>
        </w:rPr>
        <w:t>节</w:t>
      </w:r>
      <w:r>
        <w:rPr>
          <w:w w:val="95"/>
        </w:rPr>
        <w:t>中的两大关节仍然完</w:t>
      </w:r>
      <w:r>
        <w:rPr>
          <w:w w:val="95"/>
        </w:rPr>
        <w:t>全</w:t>
      </w:r>
      <w:r>
        <w:rPr>
          <w:w w:val="95"/>
        </w:rPr>
        <w:t>僵</w:t>
      </w:r>
      <w:r>
        <w:rPr>
          <w:w w:val="95"/>
        </w:rPr>
        <w:t>硬，或</w:t>
      </w:r>
      <w:r>
        <w:rPr>
          <w:w w:val="95"/>
        </w:rPr>
        <w:t>不</w:t>
      </w:r>
      <w:r>
        <w:rPr>
          <w:w w:val="95"/>
        </w:rPr>
        <w:t>能</w:t>
      </w:r>
      <w:r>
        <w:rPr>
          <w:spacing w:val="-2"/>
        </w:rPr>
        <w:t>随意识活动。</w:t>
      </w:r>
    </w:p>
    <w:p>
      <w:pPr>
        <w:pStyle w:val="Heading2"/>
        <w:spacing w:line="319" w:lineRule="exact"/>
      </w:pPr>
      <w:r>
        <w:rPr/>
        <w:t>(三) 中度严重克罗恩病</w:t>
      </w:r>
    </w:p>
    <w:p>
      <w:pPr>
        <w:pStyle w:val="BodyText"/>
        <w:spacing w:line="417" w:lineRule="auto" w:before="148"/>
        <w:ind w:left="120" w:right="311" w:firstLine="427"/>
        <w:jc w:val="both"/>
      </w:pPr>
      <w:r>
        <w:rPr>
          <w:spacing w:val="-9"/>
        </w:rPr>
        <w:t>指一种慢性肉芽肿性肠炎，具有特征性的克罗恩病病理组织学变化。诊断必须由病理检</w:t>
      </w:r>
      <w:r>
        <w:rPr>
          <w:spacing w:val="-12"/>
        </w:rPr>
        <w:t>查结果证实。被保险人所患的克罗恩病须经肠胃科专科医生以类固醇或免疫抑制剂连续治疗</w:t>
      </w:r>
      <w:r>
        <w:rPr>
          <w:spacing w:val="-2"/>
        </w:rPr>
        <w:t> </w:t>
      </w:r>
      <w:r>
        <w:rPr/>
        <w:t>90 天以上。</w:t>
      </w:r>
    </w:p>
    <w:p>
      <w:pPr>
        <w:pStyle w:val="Heading2"/>
        <w:spacing w:line="319" w:lineRule="exact"/>
      </w:pPr>
      <w:r>
        <w:rPr/>
        <w:t>(四) 中度强直性脊柱炎</w:t>
      </w:r>
    </w:p>
    <w:p>
      <w:pPr>
        <w:pStyle w:val="BodyText"/>
        <w:spacing w:before="149"/>
        <w:ind w:left="547"/>
      </w:pPr>
      <w:r>
        <w:rPr>
          <w:spacing w:val="-9"/>
        </w:rPr>
        <w:t>是一种慢性全身性炎性疾病，主要侵犯脊柱导致脊柱畸形。必须明确诊断并且满足下列</w:t>
      </w:r>
    </w:p>
    <w:p>
      <w:pPr>
        <w:spacing w:after="0"/>
        <w:sectPr>
          <w:pgSz w:w="11910" w:h="16840"/>
          <w:pgMar w:header="0" w:footer="1005" w:top="1460" w:bottom="1200" w:left="1680" w:right="1480"/>
        </w:sectPr>
      </w:pPr>
    </w:p>
    <w:p>
      <w:pPr>
        <w:pStyle w:val="BodyText"/>
        <w:spacing w:before="61"/>
        <w:ind w:left="120"/>
      </w:pPr>
      <w:r>
        <w:rPr>
          <w:spacing w:val="-4"/>
        </w:rPr>
        <w:t>全部条件：</w:t>
      </w:r>
    </w:p>
    <w:p>
      <w:pPr>
        <w:pStyle w:val="BodyText"/>
        <w:spacing w:before="7"/>
        <w:rPr>
          <w:sz w:val="15"/>
        </w:rPr>
      </w:pPr>
    </w:p>
    <w:p>
      <w:pPr>
        <w:pStyle w:val="ListParagraph"/>
        <w:numPr>
          <w:ilvl w:val="0"/>
          <w:numId w:val="72"/>
        </w:numPr>
        <w:tabs>
          <w:tab w:pos="1380" w:val="left" w:leader="none"/>
          <w:tab w:pos="1381" w:val="left" w:leader="none"/>
        </w:tabs>
        <w:spacing w:line="240" w:lineRule="auto" w:before="0" w:after="0"/>
        <w:ind w:left="1380" w:right="0" w:hanging="836"/>
        <w:jc w:val="left"/>
        <w:rPr>
          <w:sz w:val="21"/>
        </w:rPr>
      </w:pPr>
      <w:r>
        <w:rPr>
          <w:spacing w:val="-4"/>
          <w:sz w:val="21"/>
        </w:rPr>
        <w:t>严重脊柱畸形；</w:t>
      </w:r>
    </w:p>
    <w:p>
      <w:pPr>
        <w:pStyle w:val="BodyText"/>
        <w:spacing w:before="7"/>
        <w:rPr>
          <w:sz w:val="15"/>
        </w:rPr>
      </w:pPr>
    </w:p>
    <w:p>
      <w:pPr>
        <w:pStyle w:val="ListParagraph"/>
        <w:numPr>
          <w:ilvl w:val="0"/>
          <w:numId w:val="72"/>
        </w:numPr>
        <w:tabs>
          <w:tab w:pos="1380" w:val="left" w:leader="none"/>
          <w:tab w:pos="1381" w:val="left" w:leader="none"/>
        </w:tabs>
        <w:spacing w:line="417" w:lineRule="auto" w:before="0" w:after="0"/>
        <w:ind w:left="965" w:right="311" w:hanging="420"/>
        <w:jc w:val="left"/>
        <w:rPr>
          <w:sz w:val="21"/>
        </w:rPr>
      </w:pPr>
      <w:r>
        <w:rPr>
          <w:spacing w:val="-11"/>
          <w:sz w:val="21"/>
        </w:rPr>
        <w:t>自主生活能力严重丧失，无法独立完成六项基本日常生活活动中的两项或两项</w:t>
      </w:r>
      <w:r>
        <w:rPr>
          <w:spacing w:val="-4"/>
          <w:sz w:val="21"/>
        </w:rPr>
        <w:t>以上。</w:t>
      </w:r>
    </w:p>
    <w:p>
      <w:pPr>
        <w:pStyle w:val="Heading2"/>
        <w:spacing w:line="320" w:lineRule="exact"/>
      </w:pPr>
      <w:r>
        <w:rPr>
          <w:spacing w:val="1"/>
        </w:rPr>
        <w:t>(五) 结核性脊髓炎</w:t>
      </w:r>
    </w:p>
    <w:p>
      <w:pPr>
        <w:pStyle w:val="BodyText"/>
        <w:spacing w:line="417" w:lineRule="auto" w:before="148"/>
        <w:ind w:left="120" w:right="316" w:firstLine="427"/>
      </w:pPr>
      <w:r>
        <w:rPr>
          <w:spacing w:val="-4"/>
        </w:rPr>
        <w:t>因结核杆菌引起的脊髓炎，导致永久性神经系统功能中度障碍，即：疾病首次确诊 180</w:t>
      </w:r>
      <w:r>
        <w:rPr>
          <w:spacing w:val="-2"/>
        </w:rPr>
        <w:t>天后，仍遗留下列一种或一种以上障碍：</w:t>
      </w:r>
    </w:p>
    <w:p>
      <w:pPr>
        <w:pStyle w:val="ListParagraph"/>
        <w:numPr>
          <w:ilvl w:val="0"/>
          <w:numId w:val="73"/>
        </w:numPr>
        <w:tabs>
          <w:tab w:pos="1380" w:val="left" w:leader="none"/>
          <w:tab w:pos="1381" w:val="left" w:leader="none"/>
        </w:tabs>
        <w:spacing w:line="269" w:lineRule="exact" w:before="0" w:after="0"/>
        <w:ind w:left="1380" w:right="0" w:hanging="836"/>
        <w:jc w:val="left"/>
        <w:rPr>
          <w:sz w:val="21"/>
        </w:rPr>
      </w:pPr>
      <w:r>
        <w:rPr>
          <w:spacing w:val="-2"/>
          <w:sz w:val="21"/>
        </w:rPr>
        <w:t>一肢或一肢以上肢体肌力 </w:t>
      </w:r>
      <w:r>
        <w:rPr>
          <w:sz w:val="21"/>
        </w:rPr>
        <w:t>III</w:t>
      </w:r>
      <w:r>
        <w:rPr>
          <w:spacing w:val="-5"/>
          <w:sz w:val="21"/>
        </w:rPr>
        <w:t> 级或 </w:t>
      </w:r>
      <w:r>
        <w:rPr>
          <w:sz w:val="21"/>
        </w:rPr>
        <w:t>III</w:t>
      </w:r>
      <w:r>
        <w:rPr>
          <w:spacing w:val="-4"/>
          <w:sz w:val="21"/>
        </w:rPr>
        <w:t> 级以下的运动功能障碍。</w:t>
      </w:r>
    </w:p>
    <w:p>
      <w:pPr>
        <w:pStyle w:val="BodyText"/>
        <w:spacing w:before="6"/>
        <w:rPr>
          <w:sz w:val="15"/>
        </w:rPr>
      </w:pPr>
    </w:p>
    <w:p>
      <w:pPr>
        <w:pStyle w:val="ListParagraph"/>
        <w:numPr>
          <w:ilvl w:val="0"/>
          <w:numId w:val="73"/>
        </w:numPr>
        <w:tabs>
          <w:tab w:pos="1380" w:val="left" w:leader="none"/>
          <w:tab w:pos="1381" w:val="left" w:leader="none"/>
        </w:tabs>
        <w:spacing w:line="417" w:lineRule="auto" w:before="1" w:after="0"/>
        <w:ind w:left="965" w:right="311" w:hanging="420"/>
        <w:jc w:val="left"/>
        <w:rPr>
          <w:sz w:val="21"/>
        </w:rPr>
      </w:pPr>
      <w:r>
        <w:rPr>
          <w:spacing w:val="-11"/>
          <w:sz w:val="21"/>
        </w:rPr>
        <w:t>自主生活能力部分丧失，无法独立完成六项基本日常生活活动中的两项或两项</w:t>
      </w:r>
      <w:r>
        <w:rPr>
          <w:spacing w:val="-4"/>
          <w:sz w:val="21"/>
        </w:rPr>
        <w:t>以上。</w:t>
      </w:r>
    </w:p>
    <w:p>
      <w:pPr>
        <w:spacing w:line="320" w:lineRule="exact" w:before="0"/>
        <w:ind w:left="547" w:right="0" w:firstLine="0"/>
        <w:jc w:val="left"/>
        <w:rPr>
          <w:rFonts w:ascii="微软雅黑" w:eastAsia="微软雅黑"/>
          <w:b/>
          <w:sz w:val="21"/>
        </w:rPr>
      </w:pPr>
      <w:r>
        <w:rPr>
          <w:rFonts w:ascii="微软雅黑" w:eastAsia="微软雅黑"/>
          <w:b/>
          <w:spacing w:val="-1"/>
          <w:sz w:val="21"/>
        </w:rPr>
        <w:t>该诊断必须由我们指定或认可的医疗机构的神经专科医生证实，并必须由适当的检查</w:t>
      </w:r>
    </w:p>
    <w:p>
      <w:pPr>
        <w:spacing w:before="81"/>
        <w:ind w:left="120" w:right="0" w:firstLine="0"/>
        <w:jc w:val="left"/>
        <w:rPr>
          <w:rFonts w:ascii="微软雅黑" w:eastAsia="微软雅黑"/>
          <w:b/>
          <w:sz w:val="21"/>
        </w:rPr>
      </w:pPr>
      <w:r>
        <w:rPr>
          <w:rFonts w:ascii="微软雅黑" w:eastAsia="微软雅黑"/>
          <w:b/>
          <w:spacing w:val="-3"/>
          <w:sz w:val="21"/>
        </w:rPr>
        <w:t>证明为结核性脊髓炎。</w:t>
      </w:r>
    </w:p>
    <w:p>
      <w:pPr>
        <w:spacing w:before="80"/>
        <w:ind w:left="120" w:right="0" w:firstLine="0"/>
        <w:jc w:val="left"/>
        <w:rPr>
          <w:rFonts w:ascii="微软雅黑" w:eastAsia="微软雅黑"/>
          <w:b/>
          <w:sz w:val="21"/>
        </w:rPr>
      </w:pPr>
      <w:r>
        <w:rPr>
          <w:rFonts w:ascii="微软雅黑" w:eastAsia="微软雅黑"/>
          <w:b/>
          <w:spacing w:val="-1"/>
          <w:sz w:val="21"/>
        </w:rPr>
        <w:t>(六) 糖尿病导致单足截除</w:t>
      </w:r>
    </w:p>
    <w:p>
      <w:pPr>
        <w:pStyle w:val="BodyText"/>
        <w:spacing w:line="417" w:lineRule="auto" w:before="149"/>
        <w:ind w:left="120" w:right="311" w:firstLine="427"/>
      </w:pPr>
      <w:r>
        <w:rPr>
          <w:spacing w:val="-8"/>
        </w:rPr>
        <w:t>因糖尿病引起的神经及血管病变累及足部，为了维持生命在我们认可医院内已经进行了</w:t>
      </w:r>
      <w:r>
        <w:rPr/>
        <w:t>医疗必须的由足踝或以上位置的单足截除手术 。</w:t>
      </w:r>
    </w:p>
    <w:p>
      <w:pPr>
        <w:pStyle w:val="Heading2"/>
        <w:spacing w:line="320" w:lineRule="exact"/>
        <w:ind w:left="547"/>
      </w:pPr>
      <w:r>
        <w:rPr>
          <w:spacing w:val="-3"/>
        </w:rPr>
        <w:t>切除多只脚趾或因任何其他原因引起的截除术不在保障范围内。</w:t>
      </w:r>
    </w:p>
    <w:p>
      <w:pPr>
        <w:spacing w:before="80"/>
        <w:ind w:left="120" w:right="0" w:firstLine="0"/>
        <w:jc w:val="left"/>
        <w:rPr>
          <w:rFonts w:ascii="微软雅黑" w:eastAsia="微软雅黑"/>
          <w:b/>
          <w:sz w:val="21"/>
        </w:rPr>
      </w:pPr>
      <w:r>
        <w:rPr>
          <w:rFonts w:ascii="微软雅黑" w:eastAsia="微软雅黑"/>
          <w:b/>
          <w:spacing w:val="3"/>
          <w:w w:val="105"/>
          <w:sz w:val="21"/>
        </w:rPr>
        <w:t>(七) </w:t>
      </w:r>
      <w:r>
        <w:rPr>
          <w:rFonts w:ascii="微软雅黑" w:eastAsia="微软雅黑"/>
          <w:b/>
          <w:w w:val="105"/>
          <w:sz w:val="21"/>
        </w:rPr>
        <w:t>较</w:t>
      </w:r>
      <w:r>
        <w:rPr>
          <w:rFonts w:ascii="微软雅黑" w:eastAsia="微软雅黑"/>
          <w:b/>
          <w:w w:val="105"/>
          <w:sz w:val="21"/>
        </w:rPr>
        <w:t>小</w:t>
      </w:r>
      <w:r>
        <w:rPr>
          <w:rFonts w:ascii="微软雅黑" w:eastAsia="微软雅黑"/>
          <w:b/>
          <w:w w:val="105"/>
          <w:sz w:val="21"/>
        </w:rPr>
        <w:t>面</w:t>
      </w:r>
      <w:r>
        <w:rPr>
          <w:rFonts w:ascii="微软雅黑" w:eastAsia="微软雅黑"/>
          <w:b/>
          <w:w w:val="105"/>
          <w:sz w:val="21"/>
        </w:rPr>
        <w:t>积</w:t>
      </w:r>
      <w:r>
        <w:rPr>
          <w:rFonts w:ascii="微软雅黑" w:eastAsia="微软雅黑"/>
          <w:b/>
          <w:spacing w:val="5"/>
          <w:w w:val="105"/>
          <w:sz w:val="21"/>
        </w:rPr>
        <w:t> </w:t>
      </w:r>
      <w:r>
        <w:rPr>
          <w:rFonts w:ascii="微软雅黑" w:eastAsia="微软雅黑"/>
          <w:b/>
          <w:w w:val="105"/>
          <w:sz w:val="21"/>
        </w:rPr>
        <w:t>III</w:t>
      </w:r>
      <w:r>
        <w:rPr>
          <w:rFonts w:ascii="微软雅黑" w:eastAsia="微软雅黑"/>
          <w:b/>
          <w:spacing w:val="6"/>
          <w:w w:val="105"/>
          <w:sz w:val="21"/>
        </w:rPr>
        <w:t> </w:t>
      </w:r>
      <w:r>
        <w:rPr>
          <w:rFonts w:ascii="微软雅黑" w:eastAsia="微软雅黑"/>
          <w:b/>
          <w:w w:val="105"/>
          <w:sz w:val="21"/>
        </w:rPr>
        <w:t>度</w:t>
      </w:r>
      <w:r>
        <w:rPr>
          <w:rFonts w:ascii="微软雅黑" w:eastAsia="微软雅黑"/>
          <w:b/>
          <w:w w:val="105"/>
          <w:sz w:val="21"/>
        </w:rPr>
        <w:t>烧</w:t>
      </w:r>
      <w:r>
        <w:rPr>
          <w:rFonts w:ascii="微软雅黑" w:eastAsia="微软雅黑"/>
          <w:b/>
          <w:spacing w:val="-10"/>
          <w:w w:val="105"/>
          <w:sz w:val="21"/>
        </w:rPr>
        <w:t>伤</w:t>
      </w:r>
    </w:p>
    <w:p>
      <w:pPr>
        <w:pStyle w:val="BodyText"/>
        <w:spacing w:line="417" w:lineRule="auto" w:before="149"/>
        <w:ind w:left="120" w:right="313" w:firstLine="427"/>
      </w:pPr>
      <w:r>
        <w:rPr>
          <w:spacing w:val="-8"/>
        </w:rPr>
        <w:t>指烧伤程度为 </w:t>
      </w:r>
      <w:r>
        <w:rPr/>
        <w:t>III</w:t>
      </w:r>
      <w:r>
        <w:rPr>
          <w:spacing w:val="-23"/>
        </w:rPr>
        <w:t> 度，且 </w:t>
      </w:r>
      <w:r>
        <w:rPr/>
        <w:t>III</w:t>
      </w:r>
      <w:r>
        <w:rPr>
          <w:spacing w:val="-11"/>
        </w:rPr>
        <w:t> 度烧伤面积为全身体表面积的 </w:t>
      </w:r>
      <w:r>
        <w:rPr/>
        <w:t>10</w:t>
      </w:r>
      <w:r>
        <w:rPr>
          <w:spacing w:val="-18"/>
        </w:rPr>
        <w:t>%或 </w:t>
      </w:r>
      <w:r>
        <w:rPr/>
        <w:t>10%以上，但尚未达</w:t>
      </w:r>
      <w:r>
        <w:rPr>
          <w:spacing w:val="-21"/>
        </w:rPr>
        <w:t>到 </w:t>
      </w:r>
      <w:r>
        <w:rPr/>
        <w:t>20%。体表面积根据《中国新九分法》计算。</w:t>
      </w:r>
    </w:p>
    <w:p>
      <w:pPr>
        <w:pStyle w:val="Heading2"/>
        <w:spacing w:line="320" w:lineRule="exact"/>
        <w:ind w:left="547"/>
      </w:pPr>
      <w:r>
        <w:rPr/>
        <w:t>我们对“较小面积</w:t>
      </w:r>
      <w:r>
        <w:rPr>
          <w:spacing w:val="24"/>
          <w:w w:val="130"/>
        </w:rPr>
        <w:t> </w:t>
      </w:r>
      <w:r>
        <w:rPr>
          <w:w w:val="130"/>
        </w:rPr>
        <w:t>III</w:t>
      </w:r>
      <w:r>
        <w:rPr>
          <w:spacing w:val="23"/>
          <w:w w:val="130"/>
        </w:rPr>
        <w:t> </w:t>
      </w:r>
      <w:r>
        <w:rPr/>
        <w:t>度烧伤</w:t>
      </w:r>
      <w:r>
        <w:rPr>
          <w:rFonts w:ascii="宋体" w:hAnsi="宋体" w:eastAsia="宋体" w:hint="eastAsia"/>
        </w:rPr>
        <w:t>”</w:t>
      </w:r>
      <w:r>
        <w:rPr/>
        <w:t>、</w:t>
      </w:r>
      <w:r>
        <w:rPr>
          <w:rFonts w:ascii="宋体" w:hAnsi="宋体" w:eastAsia="宋体" w:hint="eastAsia"/>
        </w:rPr>
        <w:t>“</w:t>
      </w:r>
      <w:r>
        <w:rPr/>
        <w:t>面部重建手术</w:t>
      </w:r>
      <w:r>
        <w:rPr>
          <w:rFonts w:ascii="宋体" w:hAnsi="宋体" w:eastAsia="宋体" w:hint="eastAsia"/>
        </w:rPr>
        <w:t>”</w:t>
      </w:r>
      <w:r>
        <w:rPr/>
        <w:t>和</w:t>
      </w:r>
      <w:r>
        <w:rPr>
          <w:rFonts w:ascii="宋体" w:hAnsi="宋体" w:eastAsia="宋体" w:hint="eastAsia"/>
        </w:rPr>
        <w:t>“</w:t>
      </w:r>
      <w:r>
        <w:rPr/>
        <w:t>轻度面部烧伤</w:t>
      </w:r>
      <w:r>
        <w:rPr>
          <w:rFonts w:ascii="宋体" w:hAnsi="宋体" w:eastAsia="宋体" w:hint="eastAsia"/>
        </w:rPr>
        <w:t>”</w:t>
      </w:r>
      <w:r>
        <w:rPr>
          <w:spacing w:val="-2"/>
        </w:rPr>
        <w:t>三项中的其</w:t>
      </w:r>
    </w:p>
    <w:p>
      <w:pPr>
        <w:spacing w:line="290" w:lineRule="auto" w:before="81"/>
        <w:ind w:left="120" w:right="612" w:firstLine="0"/>
        <w:jc w:val="left"/>
        <w:rPr>
          <w:rFonts w:ascii="微软雅黑" w:eastAsia="微软雅黑"/>
          <w:b/>
          <w:sz w:val="21"/>
        </w:rPr>
      </w:pPr>
      <w:r>
        <w:rPr>
          <w:rFonts w:ascii="微软雅黑" w:eastAsia="微软雅黑"/>
          <w:b/>
          <w:spacing w:val="-2"/>
          <w:sz w:val="21"/>
        </w:rPr>
        <w:t>中一项承担保险责任，给付其中一项保险金后，对其他两项疾病的保险责任同时终止。</w:t>
      </w:r>
      <w:r>
        <w:rPr>
          <w:rFonts w:ascii="微软雅黑" w:eastAsia="微软雅黑"/>
          <w:b/>
          <w:spacing w:val="-2"/>
          <w:w w:val="110"/>
          <w:sz w:val="21"/>
        </w:rPr>
        <w:t> </w:t>
      </w:r>
      <w:r>
        <w:rPr>
          <w:rFonts w:ascii="微软雅黑" w:eastAsia="微软雅黑"/>
          <w:b/>
          <w:w w:val="110"/>
          <w:sz w:val="21"/>
        </w:rPr>
        <w:t>(八) </w:t>
      </w:r>
      <w:r>
        <w:rPr>
          <w:rFonts w:ascii="微软雅黑" w:eastAsia="微软雅黑"/>
          <w:b/>
          <w:w w:val="110"/>
          <w:sz w:val="21"/>
        </w:rPr>
        <w:t>运</w:t>
      </w:r>
      <w:r>
        <w:rPr>
          <w:rFonts w:ascii="微软雅黑" w:eastAsia="微软雅黑"/>
          <w:b/>
          <w:w w:val="110"/>
          <w:sz w:val="21"/>
        </w:rPr>
        <w:t>动</w:t>
      </w:r>
      <w:r>
        <w:rPr>
          <w:rFonts w:ascii="微软雅黑" w:eastAsia="微软雅黑"/>
          <w:b/>
          <w:w w:val="110"/>
          <w:sz w:val="21"/>
        </w:rPr>
        <w:t>神</w:t>
      </w:r>
      <w:r>
        <w:rPr>
          <w:rFonts w:ascii="微软雅黑" w:eastAsia="微软雅黑"/>
          <w:b/>
          <w:w w:val="110"/>
          <w:sz w:val="21"/>
        </w:rPr>
        <w:t>经</w:t>
      </w:r>
      <w:r>
        <w:rPr>
          <w:rFonts w:ascii="微软雅黑" w:eastAsia="微软雅黑"/>
          <w:b/>
          <w:w w:val="110"/>
          <w:sz w:val="21"/>
        </w:rPr>
        <w:t>元</w:t>
      </w:r>
      <w:r>
        <w:rPr>
          <w:rFonts w:ascii="微软雅黑" w:eastAsia="微软雅黑"/>
          <w:b/>
          <w:w w:val="110"/>
          <w:sz w:val="21"/>
        </w:rPr>
        <w:t>病</w:t>
      </w:r>
    </w:p>
    <w:p>
      <w:pPr>
        <w:pStyle w:val="BodyText"/>
        <w:spacing w:before="66"/>
        <w:ind w:left="120" w:firstLine="427"/>
      </w:pPr>
      <w:r>
        <w:rPr>
          <w:spacing w:val="-8"/>
        </w:rPr>
        <w:t>指一组中枢神经系统运动神经元的进行性变性疾病，包括进行性脊肌萎缩症、进行性延</w:t>
      </w:r>
    </w:p>
    <w:p>
      <w:pPr>
        <w:pStyle w:val="BodyText"/>
        <w:spacing w:before="7"/>
        <w:rPr>
          <w:sz w:val="15"/>
        </w:rPr>
      </w:pPr>
    </w:p>
    <w:p>
      <w:pPr>
        <w:spacing w:line="357" w:lineRule="auto" w:before="0"/>
        <w:ind w:left="120" w:right="311" w:firstLine="0"/>
        <w:jc w:val="left"/>
        <w:rPr>
          <w:rFonts w:ascii="微软雅黑" w:hAnsi="微软雅黑" w:eastAsia="微软雅黑"/>
          <w:b/>
          <w:sz w:val="21"/>
        </w:rPr>
      </w:pPr>
      <w:r>
        <w:rPr>
          <w:spacing w:val="-4"/>
          <w:sz w:val="21"/>
        </w:rPr>
        <w:t>髓麻痹症、原发性侧索硬化症、肌萎缩性侧索硬化症。须满足自主生活能力部分丧失，经鉴</w:t>
      </w:r>
      <w:r>
        <w:rPr>
          <w:sz w:val="21"/>
        </w:rPr>
        <w:t>定</w:t>
      </w:r>
      <w:r>
        <w:rPr>
          <w:sz w:val="21"/>
        </w:rPr>
        <w:t>无</w:t>
      </w:r>
      <w:r>
        <w:rPr>
          <w:sz w:val="21"/>
        </w:rPr>
        <w:t>法</w:t>
      </w:r>
      <w:r>
        <w:rPr>
          <w:sz w:val="21"/>
        </w:rPr>
        <w:t>独立完成</w:t>
      </w:r>
      <w:r>
        <w:rPr>
          <w:sz w:val="21"/>
        </w:rPr>
        <w:t>六</w:t>
      </w:r>
      <w:r>
        <w:rPr>
          <w:sz w:val="21"/>
        </w:rPr>
        <w:t>项基本日</w:t>
      </w:r>
      <w:r>
        <w:rPr>
          <w:sz w:val="21"/>
        </w:rPr>
        <w:t>常</w:t>
      </w:r>
      <w:r>
        <w:rPr>
          <w:sz w:val="21"/>
        </w:rPr>
        <w:t>生</w:t>
      </w:r>
      <w:r>
        <w:rPr>
          <w:sz w:val="21"/>
        </w:rPr>
        <w:t>活活动中</w:t>
      </w:r>
      <w:r>
        <w:rPr>
          <w:sz w:val="21"/>
        </w:rPr>
        <w:t>的</w:t>
      </w:r>
      <w:r>
        <w:rPr>
          <w:sz w:val="21"/>
        </w:rPr>
        <w:t>两项。</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12"/>
          <w:sz w:val="21"/>
        </w:rPr>
        <w:t>本</w:t>
      </w:r>
      <w:r>
        <w:rPr>
          <w:rFonts w:ascii="微软雅黑" w:hAnsi="微软雅黑" w:eastAsia="微软雅黑"/>
          <w:b/>
          <w:position w:val="-2"/>
          <w:sz w:val="21"/>
        </w:rPr>
        <w:drawing>
          <wp:inline distT="0" distB="0" distL="0" distR="0">
            <wp:extent cx="123825" cy="127000"/>
            <wp:effectExtent l="0" t="0" r="0" b="0"/>
            <wp:docPr id="27" name="image2.png"/>
            <wp:cNvGraphicFramePr>
              <a:graphicFrameLocks noChangeAspect="1"/>
            </wp:cNvGraphicFramePr>
            <a:graphic>
              <a:graphicData uri="http://schemas.openxmlformats.org/drawingml/2006/picture">
                <pic:pic>
                  <pic:nvPicPr>
                    <pic:cNvPr id="28"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z w:val="21"/>
        </w:rPr>
        <w:t>重</w:t>
      </w:r>
      <w:r>
        <w:rPr>
          <w:rFonts w:ascii="微软雅黑" w:hAnsi="微软雅黑" w:eastAsia="微软雅黑"/>
          <w:b/>
          <w:spacing w:val="-10"/>
          <w:sz w:val="21"/>
        </w:rPr>
        <w:t>运</w:t>
      </w:r>
    </w:p>
    <w:p>
      <w:pPr>
        <w:pStyle w:val="Heading2"/>
        <w:spacing w:line="279" w:lineRule="exact"/>
      </w:pPr>
      <w:r>
        <w:rPr>
          <w:spacing w:val="-3"/>
        </w:rPr>
        <w:t>动神经元病”或“瘫痪”的给付标准。</w:t>
      </w:r>
    </w:p>
    <w:p>
      <w:pPr>
        <w:spacing w:before="81"/>
        <w:ind w:left="120" w:right="0" w:firstLine="0"/>
        <w:jc w:val="left"/>
        <w:rPr>
          <w:rFonts w:ascii="微软雅黑" w:eastAsia="微软雅黑"/>
          <w:b/>
          <w:sz w:val="21"/>
        </w:rPr>
      </w:pPr>
      <w:r>
        <w:rPr>
          <w:rFonts w:ascii="微软雅黑" w:eastAsia="微软雅黑"/>
          <w:b/>
          <w:spacing w:val="-1"/>
          <w:sz w:val="21"/>
        </w:rPr>
        <w:t>(九) 中度类风湿性关节炎</w:t>
      </w:r>
    </w:p>
    <w:p>
      <w:pPr>
        <w:spacing w:line="357" w:lineRule="auto" w:before="148"/>
        <w:ind w:left="120" w:right="102" w:firstLine="427"/>
        <w:jc w:val="left"/>
        <w:rPr>
          <w:rFonts w:ascii="微软雅黑" w:hAnsi="微软雅黑" w:eastAsia="微软雅黑"/>
          <w:b/>
          <w:sz w:val="21"/>
        </w:rPr>
      </w:pPr>
      <w:r>
        <w:rPr/>
        <w:drawing>
          <wp:anchor distT="0" distB="0" distL="0" distR="0" allowOverlap="1" layoutInCell="1" locked="0" behindDoc="1" simplePos="0" relativeHeight="486291456">
            <wp:simplePos x="0" y="0"/>
            <wp:positionH relativeFrom="page">
              <wp:posOffset>5226974</wp:posOffset>
            </wp:positionH>
            <wp:positionV relativeFrom="paragraph">
              <wp:posOffset>116205</wp:posOffset>
            </wp:positionV>
            <wp:extent cx="123825" cy="127000"/>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9"/>
          <w:sz w:val="21"/>
        </w:rPr>
        <w:t>根据美国风湿病学院的诊断标准，由风湿科专科医生明确诊断并符</w:t>
      </w:r>
      <w:r>
        <w:rPr>
          <w:spacing w:val="-2"/>
          <w:sz w:val="21"/>
        </w:rPr>
        <w:t>下列所有理赔条件，</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31" name="image2.png"/>
            <wp:cNvGraphicFramePr>
              <a:graphicFrameLocks noChangeAspect="1"/>
            </wp:cNvGraphicFramePr>
            <a:graphic>
              <a:graphicData uri="http://schemas.openxmlformats.org/drawingml/2006/picture">
                <pic:pic>
                  <pic:nvPicPr>
                    <pic:cNvPr id="3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重大疾</w:t>
      </w:r>
      <w:r>
        <w:rPr>
          <w:rFonts w:ascii="微软雅黑" w:hAnsi="微软雅黑" w:eastAsia="微软雅黑"/>
          <w:b/>
          <w:sz w:val="21"/>
        </w:rPr>
        <w:t>病</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z w:val="21"/>
        </w:rPr>
        <w:t>重</w:t>
      </w:r>
      <w:r>
        <w:rPr>
          <w:rFonts w:ascii="微软雅黑" w:hAnsi="微软雅黑" w:eastAsia="微软雅黑"/>
          <w:b/>
          <w:sz w:val="21"/>
        </w:rPr>
        <w:t>类风</w:t>
      </w:r>
      <w:r>
        <w:rPr>
          <w:rFonts w:ascii="微软雅黑" w:hAnsi="微软雅黑" w:eastAsia="微软雅黑"/>
          <w:b/>
          <w:sz w:val="21"/>
        </w:rPr>
        <w:t>湿</w:t>
      </w:r>
      <w:r>
        <w:rPr>
          <w:rFonts w:ascii="微软雅黑" w:hAnsi="微软雅黑" w:eastAsia="微软雅黑"/>
          <w:b/>
          <w:sz w:val="21"/>
        </w:rPr>
        <w:t>性</w:t>
      </w:r>
      <w:r>
        <w:rPr>
          <w:rFonts w:ascii="微软雅黑" w:hAnsi="微软雅黑" w:eastAsia="微软雅黑"/>
          <w:b/>
          <w:sz w:val="21"/>
        </w:rPr>
        <w:t>关节炎</w:t>
      </w:r>
      <w:r>
        <w:rPr>
          <w:rFonts w:ascii="微软雅黑" w:hAnsi="微软雅黑" w:eastAsia="微软雅黑"/>
          <w:b/>
          <w:sz w:val="21"/>
        </w:rPr>
        <w:t>”</w:t>
      </w:r>
      <w:r>
        <w:rPr>
          <w:rFonts w:ascii="微软雅黑" w:hAnsi="微软雅黑" w:eastAsia="微软雅黑"/>
          <w:b/>
          <w:sz w:val="21"/>
        </w:rPr>
        <w:t>或</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z w:val="21"/>
        </w:rPr>
        <w:t>重幼</w:t>
      </w:r>
      <w:r>
        <w:rPr>
          <w:rFonts w:ascii="微软雅黑" w:hAnsi="微软雅黑" w:eastAsia="微软雅黑"/>
          <w:b/>
          <w:sz w:val="21"/>
        </w:rPr>
        <w:t>年</w:t>
      </w:r>
      <w:r>
        <w:rPr>
          <w:rFonts w:ascii="微软雅黑" w:hAnsi="微软雅黑" w:eastAsia="微软雅黑"/>
          <w:b/>
          <w:sz w:val="21"/>
        </w:rPr>
        <w:t>型</w:t>
      </w:r>
      <w:r>
        <w:rPr>
          <w:rFonts w:ascii="微软雅黑" w:hAnsi="微软雅黑" w:eastAsia="微软雅黑"/>
          <w:b/>
          <w:sz w:val="21"/>
        </w:rPr>
        <w:t>类风湿</w:t>
      </w:r>
      <w:r>
        <w:rPr>
          <w:rFonts w:ascii="微软雅黑" w:hAnsi="微软雅黑" w:eastAsia="微软雅黑"/>
          <w:b/>
          <w:sz w:val="21"/>
        </w:rPr>
        <w:t>性</w:t>
      </w:r>
      <w:r>
        <w:rPr>
          <w:rFonts w:ascii="微软雅黑" w:hAnsi="微软雅黑" w:eastAsia="微软雅黑"/>
          <w:b/>
          <w:sz w:val="21"/>
        </w:rPr>
        <w:t>关</w:t>
      </w:r>
      <w:r>
        <w:rPr>
          <w:rFonts w:ascii="微软雅黑" w:hAnsi="微软雅黑" w:eastAsia="微软雅黑"/>
          <w:b/>
          <w:sz w:val="21"/>
        </w:rPr>
        <w:t>节</w:t>
      </w:r>
      <w:r>
        <w:rPr>
          <w:rFonts w:ascii="微软雅黑" w:hAnsi="微软雅黑" w:eastAsia="微软雅黑"/>
          <w:b/>
          <w:sz w:val="21"/>
        </w:rPr>
        <w:t>炎</w:t>
      </w:r>
      <w:r>
        <w:rPr>
          <w:rFonts w:ascii="微软雅黑" w:hAnsi="微软雅黑" w:eastAsia="微软雅黑"/>
          <w:b/>
          <w:sz w:val="21"/>
        </w:rPr>
        <w:t>”</w:t>
      </w:r>
    </w:p>
    <w:p>
      <w:pPr>
        <w:pStyle w:val="BodyText"/>
        <w:spacing w:line="278" w:lineRule="exact"/>
        <w:ind w:left="120"/>
      </w:pPr>
      <w:r>
        <w:rPr>
          <w:rFonts w:ascii="微软雅黑" w:eastAsia="微软雅黑"/>
          <w:b/>
          <w:spacing w:val="-2"/>
        </w:rPr>
        <w:t>的标准</w:t>
      </w:r>
      <w:r>
        <w:rPr>
          <w:spacing w:val="-15"/>
        </w:rPr>
        <w:t>：表现为关节严重变形，侵犯至少两个主要关节或关节组</w:t>
      </w:r>
      <w:r>
        <w:rPr>
          <w:spacing w:val="-2"/>
        </w:rPr>
        <w:t>（</w:t>
      </w:r>
      <w:r>
        <w:rPr>
          <w:spacing w:val="-28"/>
        </w:rPr>
        <w:t>如：双手</w:t>
      </w:r>
      <w:r>
        <w:rPr>
          <w:spacing w:val="-2"/>
        </w:rPr>
        <w:t>（多手指</w:t>
      </w:r>
      <w:r>
        <w:rPr>
          <w:spacing w:val="-53"/>
        </w:rPr>
        <w:t>）</w:t>
      </w:r>
      <w:r>
        <w:rPr>
          <w:spacing w:val="-5"/>
        </w:rPr>
        <w:t>关节、</w:t>
      </w:r>
    </w:p>
    <w:p>
      <w:pPr>
        <w:spacing w:after="0" w:line="278" w:lineRule="exact"/>
        <w:sectPr>
          <w:pgSz w:w="11910" w:h="16840"/>
          <w:pgMar w:header="0" w:footer="1005" w:top="1460" w:bottom="1200" w:left="1680" w:right="1480"/>
        </w:sectPr>
      </w:pPr>
    </w:p>
    <w:p>
      <w:pPr>
        <w:pStyle w:val="BodyText"/>
        <w:spacing w:line="417" w:lineRule="auto" w:before="61"/>
        <w:ind w:left="120" w:right="311"/>
        <w:jc w:val="both"/>
      </w:pPr>
      <w:r>
        <w:rPr>
          <w:spacing w:val="-2"/>
        </w:rPr>
        <w:t>双足（多足趾）关节、双腕关节、双膝关节和双髋关节</w:t>
      </w:r>
      <w:r>
        <w:rPr>
          <w:spacing w:val="-108"/>
        </w:rPr>
        <w:t>）</w:t>
      </w:r>
      <w:r>
        <w:rPr>
          <w:spacing w:val="-4"/>
        </w:rPr>
        <w:t>。且被保险人满足至少 </w:t>
      </w:r>
      <w:r>
        <w:rPr>
          <w:spacing w:val="-2"/>
        </w:rPr>
        <w:t>180</w:t>
      </w:r>
      <w:r>
        <w:rPr>
          <w:spacing w:val="-7"/>
        </w:rPr>
        <w:t> 天无法</w:t>
      </w:r>
      <w:r>
        <w:rPr>
          <w:spacing w:val="-2"/>
        </w:rPr>
        <w:t>独立完成六项基本日常生活活动中的两项或者两项以上。</w:t>
      </w:r>
    </w:p>
    <w:p>
      <w:pPr>
        <w:pStyle w:val="Heading2"/>
        <w:spacing w:line="320" w:lineRule="exact"/>
      </w:pPr>
      <w:r>
        <w:rPr/>
        <w:t>(十) 中度肌营养不良症</w:t>
      </w:r>
    </w:p>
    <w:p>
      <w:pPr>
        <w:spacing w:line="345" w:lineRule="auto" w:before="148"/>
        <w:ind w:left="120" w:right="208" w:firstLine="427"/>
        <w:jc w:val="left"/>
        <w:rPr>
          <w:sz w:val="21"/>
        </w:rPr>
      </w:pPr>
      <w:r>
        <w:rPr>
          <w:spacing w:val="-3"/>
          <w:w w:val="100"/>
          <w:sz w:val="21"/>
        </w:rPr>
        <w:t>指一组原发于肌肉的遗传性疾病，临床表现为与神经系统无关的肌肉无力和肌肉萎缩。</w:t>
      </w:r>
      <w:r>
        <w:rPr>
          <w:rFonts w:ascii="微软雅黑" w:hAnsi="微软雅黑" w:eastAsia="微软雅黑"/>
          <w:b/>
          <w:spacing w:val="2"/>
          <w:w w:val="100"/>
          <w:sz w:val="21"/>
        </w:rPr>
        <w:t>但未达到</w:t>
      </w:r>
      <w:r>
        <w:rPr>
          <w:rFonts w:ascii="微软雅黑" w:hAnsi="微软雅黑" w:eastAsia="微软雅黑"/>
          <w:b/>
          <w:spacing w:val="12"/>
          <w:w w:val="100"/>
          <w:sz w:val="21"/>
        </w:rPr>
        <w:t>本</w:t>
      </w:r>
      <w:r>
        <w:rPr>
          <w:rFonts w:ascii="微软雅黑" w:hAnsi="微软雅黑" w:eastAsia="微软雅黑"/>
          <w:b/>
          <w:spacing w:val="12"/>
          <w:w w:val="100"/>
          <w:position w:val="-2"/>
          <w:sz w:val="21"/>
        </w:rPr>
        <w:drawing>
          <wp:inline distT="0" distB="0" distL="0" distR="0">
            <wp:extent cx="123825" cy="127000"/>
            <wp:effectExtent l="0" t="0" r="0" b="0"/>
            <wp:docPr id="33" name="image2.png"/>
            <wp:cNvGraphicFramePr>
              <a:graphicFrameLocks noChangeAspect="1"/>
            </wp:cNvGraphicFramePr>
            <a:graphic>
              <a:graphicData uri="http://schemas.openxmlformats.org/drawingml/2006/picture">
                <pic:pic>
                  <pic:nvPicPr>
                    <pic:cNvPr id="3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spacing w:val="12"/>
          <w:w w:val="100"/>
          <w:position w:val="-2"/>
          <w:sz w:val="21"/>
        </w:rPr>
      </w:r>
      <w:r>
        <w:rPr>
          <w:rFonts w:ascii="微软雅黑" w:hAnsi="微软雅黑" w:eastAsia="微软雅黑"/>
          <w:b/>
          <w:spacing w:val="2"/>
          <w:w w:val="100"/>
          <w:sz w:val="21"/>
        </w:rPr>
        <w:t>同所指</w:t>
      </w:r>
      <w:r>
        <w:rPr>
          <w:rFonts w:ascii="微软雅黑" w:hAnsi="微软雅黑" w:eastAsia="微软雅黑"/>
          <w:b/>
          <w:w w:val="100"/>
          <w:sz w:val="21"/>
        </w:rPr>
        <w:t>重大</w:t>
      </w:r>
      <w:r>
        <w:rPr>
          <w:rFonts w:ascii="微软雅黑" w:hAnsi="微软雅黑" w:eastAsia="微软雅黑"/>
          <w:b/>
          <w:spacing w:val="2"/>
          <w:w w:val="100"/>
          <w:sz w:val="21"/>
        </w:rPr>
        <w:t>疾病“严重肌营养不</w:t>
      </w:r>
      <w:r>
        <w:rPr>
          <w:rFonts w:ascii="微软雅黑" w:hAnsi="微软雅黑" w:eastAsia="微软雅黑"/>
          <w:b/>
          <w:w w:val="100"/>
          <w:sz w:val="21"/>
        </w:rPr>
        <w:t>良症</w:t>
      </w:r>
      <w:r>
        <w:rPr>
          <w:rFonts w:ascii="微软雅黑" w:hAnsi="微软雅黑" w:eastAsia="微软雅黑"/>
          <w:b/>
          <w:spacing w:val="2"/>
          <w:w w:val="100"/>
          <w:sz w:val="21"/>
        </w:rPr>
        <w:t>”或“瘫痪”标</w:t>
      </w:r>
      <w:r>
        <w:rPr>
          <w:rFonts w:ascii="微软雅黑" w:hAnsi="微软雅黑" w:eastAsia="微软雅黑"/>
          <w:b/>
          <w:spacing w:val="3"/>
          <w:w w:val="100"/>
          <w:sz w:val="21"/>
        </w:rPr>
        <w:t>准</w:t>
      </w:r>
      <w:r>
        <w:rPr>
          <w:w w:val="100"/>
          <w:sz w:val="21"/>
        </w:rPr>
        <w:t>。须满</w:t>
      </w:r>
      <w:r>
        <w:rPr>
          <w:spacing w:val="2"/>
          <w:w w:val="100"/>
          <w:sz w:val="21"/>
        </w:rPr>
        <w:t>足下</w:t>
      </w:r>
      <w:r>
        <w:rPr>
          <w:w w:val="100"/>
          <w:sz w:val="21"/>
        </w:rPr>
        <w:t>列</w:t>
      </w:r>
      <w:r>
        <w:rPr>
          <w:spacing w:val="2"/>
          <w:w w:val="100"/>
          <w:sz w:val="21"/>
        </w:rPr>
        <w:t>全</w:t>
      </w:r>
      <w:r>
        <w:rPr>
          <w:w w:val="100"/>
          <w:sz w:val="21"/>
        </w:rPr>
        <w:t>部条件：</w:t>
      </w:r>
    </w:p>
    <w:p>
      <w:pPr>
        <w:pStyle w:val="ListParagraph"/>
        <w:numPr>
          <w:ilvl w:val="0"/>
          <w:numId w:val="74"/>
        </w:numPr>
        <w:tabs>
          <w:tab w:pos="1380" w:val="left" w:leader="none"/>
          <w:tab w:pos="1381" w:val="left" w:leader="none"/>
        </w:tabs>
        <w:spacing w:line="240" w:lineRule="auto" w:before="72" w:after="0"/>
        <w:ind w:left="1380" w:right="0" w:hanging="836"/>
        <w:jc w:val="left"/>
        <w:rPr>
          <w:sz w:val="21"/>
        </w:rPr>
      </w:pPr>
      <w:r>
        <w:rPr>
          <w:spacing w:val="-3"/>
          <w:sz w:val="21"/>
        </w:rPr>
        <w:t>肌肉组织活检结果满足肌营养不良症的肌肉细胞变性、坏死等阳性改变；</w:t>
      </w:r>
    </w:p>
    <w:p>
      <w:pPr>
        <w:pStyle w:val="BodyText"/>
        <w:spacing w:before="6"/>
        <w:rPr>
          <w:sz w:val="15"/>
        </w:rPr>
      </w:pPr>
    </w:p>
    <w:p>
      <w:pPr>
        <w:pStyle w:val="ListParagraph"/>
        <w:numPr>
          <w:ilvl w:val="0"/>
          <w:numId w:val="74"/>
        </w:numPr>
        <w:tabs>
          <w:tab w:pos="1380" w:val="left" w:leader="none"/>
          <w:tab w:pos="1381" w:val="left" w:leader="none"/>
        </w:tabs>
        <w:spacing w:line="417" w:lineRule="auto" w:before="0" w:after="0"/>
        <w:ind w:left="965" w:right="311" w:hanging="420"/>
        <w:jc w:val="left"/>
        <w:rPr>
          <w:sz w:val="21"/>
        </w:rPr>
      </w:pPr>
      <w:r>
        <w:rPr>
          <w:spacing w:val="-11"/>
          <w:sz w:val="21"/>
        </w:rPr>
        <w:t>自主生活能力严重丧失，经鉴定无法独立完成六项基本日常生活活动中的两项</w:t>
      </w:r>
      <w:r>
        <w:rPr>
          <w:spacing w:val="-2"/>
          <w:sz w:val="21"/>
        </w:rPr>
        <w:t>或两项以上。</w:t>
      </w:r>
    </w:p>
    <w:p>
      <w:pPr>
        <w:spacing w:line="320" w:lineRule="exact" w:before="0"/>
        <w:ind w:left="547" w:right="0" w:firstLine="0"/>
        <w:jc w:val="left"/>
        <w:rPr>
          <w:rFonts w:ascii="微软雅黑" w:hAnsi="微软雅黑" w:eastAsia="微软雅黑"/>
          <w:b/>
          <w:sz w:val="21"/>
        </w:rPr>
      </w:pPr>
      <w:r>
        <w:rPr>
          <w:rFonts w:ascii="微软雅黑" w:hAnsi="微软雅黑" w:eastAsia="微软雅黑"/>
          <w:b/>
          <w:sz w:val="21"/>
        </w:rPr>
        <w:t>我</w:t>
      </w:r>
      <w:r>
        <w:rPr>
          <w:rFonts w:ascii="微软雅黑" w:hAnsi="微软雅黑" w:eastAsia="微软雅黑"/>
          <w:b/>
          <w:sz w:val="21"/>
        </w:rPr>
        <w:t>们</w:t>
      </w:r>
      <w:r>
        <w:rPr>
          <w:rFonts w:ascii="微软雅黑" w:hAnsi="微软雅黑" w:eastAsia="微软雅黑"/>
          <w:b/>
          <w:sz w:val="21"/>
        </w:rPr>
        <w:t>承</w:t>
      </w:r>
      <w:r>
        <w:rPr>
          <w:rFonts w:ascii="微软雅黑" w:hAnsi="微软雅黑" w:eastAsia="微软雅黑"/>
          <w:b/>
          <w:sz w:val="21"/>
        </w:rPr>
        <w:t>担</w:t>
      </w:r>
      <w:r>
        <w:rPr>
          <w:rFonts w:ascii="微软雅黑" w:hAnsi="微软雅黑" w:eastAsia="微软雅黑"/>
          <w:b/>
          <w:sz w:val="21"/>
        </w:rPr>
        <w:t>本</w:t>
      </w:r>
      <w:r>
        <w:rPr>
          <w:rFonts w:ascii="微软雅黑" w:hAnsi="微软雅黑" w:eastAsia="微软雅黑"/>
          <w:b/>
          <w:sz w:val="21"/>
        </w:rPr>
        <w:t>项疾</w:t>
      </w:r>
      <w:r>
        <w:rPr>
          <w:rFonts w:ascii="微软雅黑" w:hAnsi="微软雅黑" w:eastAsia="微软雅黑"/>
          <w:b/>
          <w:sz w:val="21"/>
        </w:rPr>
        <w:t>病</w:t>
      </w:r>
      <w:r>
        <w:rPr>
          <w:rFonts w:ascii="微软雅黑" w:hAnsi="微软雅黑" w:eastAsia="微软雅黑"/>
          <w:b/>
          <w:sz w:val="21"/>
        </w:rPr>
        <w:t>责</w:t>
      </w:r>
      <w:r>
        <w:rPr>
          <w:rFonts w:ascii="微软雅黑" w:hAnsi="微软雅黑" w:eastAsia="微软雅黑"/>
          <w:b/>
          <w:sz w:val="21"/>
        </w:rPr>
        <w:t>任不受</w:t>
      </w:r>
      <w:r>
        <w:rPr>
          <w:rFonts w:ascii="微软雅黑" w:hAnsi="微软雅黑" w:eastAsia="微软雅黑"/>
          <w:b/>
          <w:spacing w:val="12"/>
          <w:sz w:val="21"/>
        </w:rPr>
        <w:t>本</w:t>
      </w:r>
      <w:r>
        <w:rPr>
          <w:rFonts w:ascii="微软雅黑" w:hAnsi="微软雅黑" w:eastAsia="微软雅黑"/>
          <w:b/>
          <w:position w:val="-1"/>
          <w:sz w:val="21"/>
        </w:rPr>
        <w:drawing>
          <wp:inline distT="0" distB="0" distL="0" distR="0">
            <wp:extent cx="123825" cy="127000"/>
            <wp:effectExtent l="0" t="0" r="0" b="0"/>
            <wp:docPr id="35" name="image2.png"/>
            <wp:cNvGraphicFramePr>
              <a:graphicFrameLocks noChangeAspect="1"/>
            </wp:cNvGraphicFramePr>
            <a:graphic>
              <a:graphicData uri="http://schemas.openxmlformats.org/drawingml/2006/picture">
                <pic:pic>
                  <pic:nvPicPr>
                    <pic:cNvPr id="3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z w:val="21"/>
        </w:rPr>
        <w:t>责</w:t>
      </w:r>
      <w:r>
        <w:rPr>
          <w:rFonts w:ascii="微软雅黑" w:hAnsi="微软雅黑" w:eastAsia="微软雅黑"/>
          <w:b/>
          <w:sz w:val="21"/>
        </w:rPr>
        <w:t>任免</w:t>
      </w:r>
      <w:r>
        <w:rPr>
          <w:rFonts w:ascii="微软雅黑" w:hAnsi="微软雅黑" w:eastAsia="微软雅黑"/>
          <w:b/>
          <w:sz w:val="21"/>
        </w:rPr>
        <w:t>除</w:t>
      </w:r>
      <w:r>
        <w:rPr>
          <w:rFonts w:ascii="微软雅黑" w:hAnsi="微软雅黑" w:eastAsia="微软雅黑"/>
          <w:b/>
          <w:sz w:val="21"/>
        </w:rPr>
        <w:t>中</w:t>
      </w:r>
      <w:r>
        <w:rPr>
          <w:rFonts w:ascii="微软雅黑" w:hAnsi="微软雅黑" w:eastAsia="微软雅黑"/>
          <w:b/>
          <w:sz w:val="21"/>
        </w:rPr>
        <w:t>“遗传</w:t>
      </w:r>
      <w:r>
        <w:rPr>
          <w:rFonts w:ascii="微软雅黑" w:hAnsi="微软雅黑" w:eastAsia="微软雅黑"/>
          <w:b/>
          <w:sz w:val="21"/>
        </w:rPr>
        <w:t>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，先天</w:t>
      </w:r>
      <w:r>
        <w:rPr>
          <w:rFonts w:ascii="微软雅黑" w:hAnsi="微软雅黑" w:eastAsia="微软雅黑"/>
          <w:b/>
          <w:sz w:val="21"/>
        </w:rPr>
        <w:t>性</w:t>
      </w:r>
      <w:r>
        <w:rPr>
          <w:rFonts w:ascii="微软雅黑" w:hAnsi="微软雅黑" w:eastAsia="微软雅黑"/>
          <w:b/>
          <w:sz w:val="21"/>
        </w:rPr>
        <w:t>畸</w:t>
      </w:r>
      <w:r>
        <w:rPr>
          <w:rFonts w:ascii="微软雅黑" w:hAnsi="微软雅黑" w:eastAsia="微软雅黑"/>
          <w:b/>
          <w:sz w:val="21"/>
        </w:rPr>
        <w:t>形、变</w:t>
      </w:r>
      <w:r>
        <w:rPr>
          <w:rFonts w:ascii="微软雅黑" w:hAnsi="微软雅黑" w:eastAsia="微软雅黑"/>
          <w:b/>
          <w:sz w:val="21"/>
        </w:rPr>
        <w:t>形</w:t>
      </w:r>
      <w:r>
        <w:rPr>
          <w:rFonts w:ascii="微软雅黑" w:hAnsi="微软雅黑" w:eastAsia="微软雅黑"/>
          <w:b/>
          <w:sz w:val="21"/>
        </w:rPr>
        <w:t>或</w:t>
      </w:r>
      <w:r>
        <w:rPr>
          <w:rFonts w:ascii="微软雅黑" w:hAnsi="微软雅黑" w:eastAsia="微软雅黑"/>
          <w:b/>
          <w:spacing w:val="-10"/>
          <w:sz w:val="21"/>
        </w:rPr>
        <w:t>染</w:t>
      </w:r>
    </w:p>
    <w:p>
      <w:pPr>
        <w:spacing w:before="81"/>
        <w:ind w:left="120" w:right="0" w:firstLine="0"/>
        <w:jc w:val="left"/>
        <w:rPr>
          <w:rFonts w:ascii="微软雅黑" w:hAnsi="微软雅黑" w:eastAsia="微软雅黑"/>
          <w:b/>
          <w:sz w:val="21"/>
        </w:rPr>
      </w:pPr>
      <w:r>
        <w:rPr>
          <w:rFonts w:ascii="微软雅黑" w:hAnsi="微软雅黑" w:eastAsia="微软雅黑"/>
          <w:b/>
          <w:spacing w:val="-2"/>
          <w:sz w:val="21"/>
        </w:rPr>
        <w:t>色体异常”的限制。</w:t>
      </w:r>
    </w:p>
    <w:p>
      <w:pPr>
        <w:spacing w:before="81"/>
        <w:ind w:left="120" w:right="0" w:firstLine="0"/>
        <w:jc w:val="left"/>
        <w:rPr>
          <w:rFonts w:ascii="微软雅黑" w:eastAsia="微软雅黑"/>
          <w:b/>
          <w:sz w:val="21"/>
        </w:rPr>
      </w:pPr>
      <w:r>
        <w:rPr>
          <w:rFonts w:ascii="微软雅黑" w:eastAsia="微软雅黑"/>
          <w:b/>
          <w:spacing w:val="-1"/>
          <w:sz w:val="21"/>
        </w:rPr>
        <w:t>(十一) 中度脑炎或脑膜炎后遗症</w:t>
      </w:r>
    </w:p>
    <w:p>
      <w:pPr>
        <w:pStyle w:val="BodyText"/>
        <w:spacing w:line="417" w:lineRule="auto" w:before="148"/>
        <w:ind w:left="120" w:right="311" w:firstLine="427"/>
        <w:jc w:val="both"/>
      </w:pPr>
      <w:r>
        <w:rPr>
          <w:spacing w:val="-2"/>
        </w:rPr>
        <w:t>指因患脑炎或脑膜炎导致的神经系统的功能障碍。神经系统的功能障碍，指疾病确诊</w:t>
      </w:r>
      <w:r>
        <w:rPr>
          <w:spacing w:val="-2"/>
        </w:rPr>
        <w:t> </w:t>
      </w:r>
      <w:r>
        <w:rPr>
          <w:spacing w:val="-4"/>
        </w:rPr>
        <w:t>180</w:t>
      </w:r>
      <w:r>
        <w:rPr>
          <w:spacing w:val="-5"/>
        </w:rPr>
        <w:t> 天后，仍存在自主活动能力完全丧失，经鉴定无法独立完成六项基本日常生活活动中的</w:t>
      </w:r>
    </w:p>
    <w:p>
      <w:pPr>
        <w:spacing w:line="320" w:lineRule="exact" w:before="0"/>
        <w:ind w:left="120" w:right="0" w:firstLine="0"/>
        <w:jc w:val="left"/>
        <w:rPr>
          <w:rFonts w:ascii="微软雅黑" w:hAnsi="微软雅黑" w:eastAsia="微软雅黑"/>
          <w:b/>
          <w:sz w:val="21"/>
        </w:rPr>
      </w:pPr>
      <w:r>
        <w:rPr>
          <w:sz w:val="21"/>
        </w:rPr>
        <w:t>两</w:t>
      </w:r>
      <w:r>
        <w:rPr>
          <w:sz w:val="21"/>
        </w:rPr>
        <w:t>项，</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12"/>
          <w:sz w:val="21"/>
        </w:rPr>
        <w:t>本</w:t>
      </w:r>
      <w:r>
        <w:rPr>
          <w:rFonts w:ascii="微软雅黑" w:hAnsi="微软雅黑" w:eastAsia="微软雅黑"/>
          <w:b/>
          <w:position w:val="-2"/>
          <w:sz w:val="21"/>
        </w:rPr>
        <w:drawing>
          <wp:inline distT="0" distB="0" distL="0" distR="0">
            <wp:extent cx="123825" cy="127000"/>
            <wp:effectExtent l="0" t="0" r="0" b="0"/>
            <wp:docPr id="37" name="image2.png"/>
            <wp:cNvGraphicFramePr>
              <a:graphicFrameLocks noChangeAspect="1"/>
            </wp:cNvGraphicFramePr>
            <a:graphic>
              <a:graphicData uri="http://schemas.openxmlformats.org/drawingml/2006/picture">
                <pic:pic>
                  <pic:nvPicPr>
                    <pic:cNvPr id="38"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同所指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“严重</w:t>
      </w:r>
      <w:r>
        <w:rPr>
          <w:rFonts w:ascii="微软雅黑" w:hAnsi="微软雅黑" w:eastAsia="微软雅黑"/>
          <w:b/>
          <w:sz w:val="21"/>
        </w:rPr>
        <w:t>脑</w:t>
      </w:r>
      <w:r>
        <w:rPr>
          <w:rFonts w:ascii="微软雅黑" w:hAnsi="微软雅黑" w:eastAsia="微软雅黑"/>
          <w:b/>
          <w:sz w:val="21"/>
        </w:rPr>
        <w:t>炎</w:t>
      </w:r>
      <w:r>
        <w:rPr>
          <w:rFonts w:ascii="微软雅黑" w:hAnsi="微软雅黑" w:eastAsia="微软雅黑"/>
          <w:b/>
          <w:sz w:val="21"/>
        </w:rPr>
        <w:t>后遗</w:t>
      </w:r>
      <w:r>
        <w:rPr>
          <w:rFonts w:ascii="微软雅黑" w:hAnsi="微软雅黑" w:eastAsia="微软雅黑"/>
          <w:b/>
          <w:sz w:val="21"/>
        </w:rPr>
        <w:t>症</w:t>
      </w:r>
      <w:r>
        <w:rPr>
          <w:rFonts w:ascii="微软雅黑" w:hAnsi="微软雅黑" w:eastAsia="微软雅黑"/>
          <w:b/>
          <w:sz w:val="21"/>
        </w:rPr>
        <w:t>”</w:t>
      </w:r>
      <w:r>
        <w:rPr>
          <w:rFonts w:ascii="微软雅黑" w:hAnsi="微软雅黑" w:eastAsia="微软雅黑"/>
          <w:b/>
          <w:sz w:val="21"/>
        </w:rPr>
        <w:t>或</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z w:val="21"/>
        </w:rPr>
        <w:t>重脑</w:t>
      </w:r>
      <w:r>
        <w:rPr>
          <w:rFonts w:ascii="微软雅黑" w:hAnsi="微软雅黑" w:eastAsia="微软雅黑"/>
          <w:b/>
          <w:sz w:val="21"/>
        </w:rPr>
        <w:t>膜</w:t>
      </w:r>
      <w:r>
        <w:rPr>
          <w:rFonts w:ascii="微软雅黑" w:hAnsi="微软雅黑" w:eastAsia="微软雅黑"/>
          <w:b/>
          <w:sz w:val="21"/>
        </w:rPr>
        <w:t>炎</w:t>
      </w:r>
      <w:r>
        <w:rPr>
          <w:rFonts w:ascii="微软雅黑" w:hAnsi="微软雅黑" w:eastAsia="微软雅黑"/>
          <w:b/>
          <w:sz w:val="21"/>
        </w:rPr>
        <w:t>后遗</w:t>
      </w:r>
      <w:r>
        <w:rPr>
          <w:rFonts w:ascii="微软雅黑" w:hAnsi="微软雅黑" w:eastAsia="微软雅黑"/>
          <w:b/>
          <w:sz w:val="21"/>
        </w:rPr>
        <w:t>症</w:t>
      </w:r>
      <w:r>
        <w:rPr>
          <w:rFonts w:ascii="微软雅黑" w:hAnsi="微软雅黑" w:eastAsia="微软雅黑"/>
          <w:b/>
          <w:sz w:val="21"/>
        </w:rPr>
        <w:t>”</w:t>
      </w:r>
      <w:r>
        <w:rPr>
          <w:rFonts w:ascii="微软雅黑" w:hAnsi="微软雅黑" w:eastAsia="微软雅黑"/>
          <w:b/>
          <w:sz w:val="21"/>
        </w:rPr>
        <w:t>或</w:t>
      </w:r>
      <w:r>
        <w:rPr>
          <w:rFonts w:ascii="微软雅黑" w:hAnsi="微软雅黑" w:eastAsia="微软雅黑"/>
          <w:b/>
          <w:sz w:val="21"/>
        </w:rPr>
        <w:t>“</w:t>
      </w:r>
      <w:r>
        <w:rPr>
          <w:rFonts w:ascii="微软雅黑" w:hAnsi="微软雅黑" w:eastAsia="微软雅黑"/>
          <w:b/>
          <w:spacing w:val="-10"/>
          <w:sz w:val="21"/>
        </w:rPr>
        <w:t>瘫</w:t>
      </w:r>
    </w:p>
    <w:p>
      <w:pPr>
        <w:spacing w:before="81"/>
        <w:ind w:left="120" w:right="0" w:firstLine="0"/>
        <w:jc w:val="left"/>
        <w:rPr>
          <w:rFonts w:ascii="微软雅黑" w:hAnsi="微软雅黑" w:eastAsia="微软雅黑"/>
          <w:b/>
          <w:sz w:val="21"/>
        </w:rPr>
      </w:pPr>
      <w:r>
        <w:rPr>
          <w:rFonts w:ascii="微软雅黑" w:hAnsi="微软雅黑" w:eastAsia="微软雅黑"/>
          <w:b/>
          <w:spacing w:val="-2"/>
          <w:sz w:val="21"/>
        </w:rPr>
        <w:t>痪”的给付标准。</w:t>
      </w:r>
    </w:p>
    <w:p>
      <w:pPr>
        <w:spacing w:before="81"/>
        <w:ind w:left="120" w:right="0" w:firstLine="0"/>
        <w:jc w:val="left"/>
        <w:rPr>
          <w:rFonts w:ascii="微软雅黑" w:eastAsia="微软雅黑"/>
          <w:b/>
          <w:sz w:val="21"/>
        </w:rPr>
      </w:pPr>
      <w:r>
        <w:rPr>
          <w:rFonts w:ascii="微软雅黑" w:eastAsia="微软雅黑"/>
          <w:b/>
          <w:sz w:val="21"/>
        </w:rPr>
        <w:t>(十二) 中度重症肌无力</w:t>
      </w:r>
    </w:p>
    <w:p>
      <w:pPr>
        <w:pStyle w:val="BodyText"/>
        <w:spacing w:line="417" w:lineRule="auto" w:before="149"/>
        <w:ind w:left="120" w:right="311" w:firstLine="427"/>
        <w:jc w:val="both"/>
      </w:pPr>
      <w:r>
        <w:rPr>
          <w:spacing w:val="-7"/>
        </w:rPr>
        <w:t>是一种神经与肌肉接头部位传递障碍的自身免疫性疾病，临床特征是局部或全身横纹肌</w:t>
      </w:r>
      <w:r>
        <w:rPr>
          <w:spacing w:val="-4"/>
        </w:rPr>
        <w:t>于活动时易于疲劳无力，颅神经眼外肌最易累及，也可涉及呼吸肌、下肢近端肌群以至全身</w:t>
      </w:r>
      <w:r>
        <w:rPr>
          <w:spacing w:val="-6"/>
        </w:rPr>
        <w:t>肌肉。该病必须由我们认可医院的专科医生明确诊断，且疾病确诊 </w:t>
      </w:r>
      <w:r>
        <w:rPr>
          <w:spacing w:val="-4"/>
        </w:rPr>
        <w:t>180</w:t>
      </w:r>
      <w:r>
        <w:rPr>
          <w:spacing w:val="-11"/>
        </w:rPr>
        <w:t> 天后，仍然存在自主</w:t>
      </w:r>
    </w:p>
    <w:p>
      <w:pPr>
        <w:pStyle w:val="BodyText"/>
        <w:spacing w:line="319" w:lineRule="exact"/>
        <w:ind w:left="120"/>
        <w:jc w:val="both"/>
        <w:rPr>
          <w:rFonts w:ascii="微软雅黑" w:eastAsia="微软雅黑"/>
          <w:b/>
        </w:rPr>
      </w:pPr>
      <w:r>
        <w:rPr>
          <w:spacing w:val="-2"/>
        </w:rPr>
        <w:t>生</w:t>
      </w:r>
      <w:r>
        <w:rPr>
          <w:spacing w:val="-2"/>
        </w:rPr>
        <w:t>活</w:t>
      </w:r>
      <w:r>
        <w:rPr>
          <w:spacing w:val="-2"/>
        </w:rPr>
        <w:t>能力部分丧失</w:t>
      </w:r>
      <w:r>
        <w:rPr>
          <w:spacing w:val="-53"/>
        </w:rPr>
        <w:t>，</w:t>
      </w:r>
      <w:r>
        <w:rPr>
          <w:spacing w:val="-2"/>
        </w:rPr>
        <w:t>经鉴</w:t>
      </w:r>
      <w:r>
        <w:rPr>
          <w:spacing w:val="-2"/>
        </w:rPr>
        <w:t>定</w:t>
      </w:r>
      <w:r>
        <w:rPr>
          <w:spacing w:val="-2"/>
        </w:rPr>
        <w:t>无</w:t>
      </w:r>
      <w:r>
        <w:rPr>
          <w:spacing w:val="-2"/>
        </w:rPr>
        <w:t>法独立完成六项基本</w:t>
      </w:r>
      <w:r>
        <w:rPr>
          <w:spacing w:val="-2"/>
        </w:rPr>
        <w:t>日</w:t>
      </w:r>
      <w:r>
        <w:rPr>
          <w:spacing w:val="-2"/>
        </w:rPr>
        <w:t>常</w:t>
      </w:r>
      <w:r>
        <w:rPr>
          <w:spacing w:val="-2"/>
        </w:rPr>
        <w:t>生活活动中的两项</w:t>
      </w:r>
      <w:r>
        <w:rPr>
          <w:spacing w:val="-53"/>
        </w:rPr>
        <w:t>，</w:t>
      </w:r>
      <w:r>
        <w:rPr>
          <w:rFonts w:ascii="微软雅黑" w:eastAsia="微软雅黑"/>
          <w:b/>
          <w:spacing w:val="-2"/>
        </w:rPr>
        <w:t>但</w:t>
      </w:r>
      <w:r>
        <w:rPr>
          <w:rFonts w:ascii="微软雅黑" w:eastAsia="微软雅黑"/>
          <w:b/>
          <w:spacing w:val="-2"/>
        </w:rPr>
        <w:t>未</w:t>
      </w:r>
      <w:r>
        <w:rPr>
          <w:rFonts w:ascii="微软雅黑" w:eastAsia="微软雅黑"/>
          <w:b/>
          <w:spacing w:val="-2"/>
        </w:rPr>
        <w:t>达</w:t>
      </w:r>
      <w:r>
        <w:rPr>
          <w:rFonts w:ascii="微软雅黑" w:eastAsia="微软雅黑"/>
          <w:b/>
          <w:spacing w:val="-2"/>
        </w:rPr>
        <w:t>到</w:t>
      </w:r>
      <w:r>
        <w:rPr>
          <w:rFonts w:ascii="微软雅黑" w:eastAsia="微软雅黑"/>
          <w:b/>
          <w:spacing w:val="-2"/>
        </w:rPr>
        <w:t>本</w:t>
      </w:r>
      <w:r>
        <w:rPr>
          <w:rFonts w:ascii="微软雅黑" w:eastAsia="微软雅黑"/>
          <w:b/>
          <w:position w:val="-1"/>
        </w:rPr>
        <w:drawing>
          <wp:inline distT="0" distB="0" distL="0" distR="0">
            <wp:extent cx="123825" cy="127000"/>
            <wp:effectExtent l="0" t="0" r="0" b="0"/>
            <wp:docPr id="39" name="image2.png"/>
            <wp:cNvGraphicFramePr>
              <a:graphicFrameLocks noChangeAspect="1"/>
            </wp:cNvGraphicFramePr>
            <a:graphic>
              <a:graphicData uri="http://schemas.openxmlformats.org/drawingml/2006/picture">
                <pic:pic>
                  <pic:nvPicPr>
                    <pic:cNvPr id="4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rPr>
      </w:r>
      <w:r>
        <w:rPr>
          <w:rFonts w:ascii="微软雅黑" w:eastAsia="微软雅黑"/>
          <w:b/>
          <w:spacing w:val="-10"/>
        </w:rPr>
        <w:t>同</w:t>
      </w:r>
    </w:p>
    <w:p>
      <w:pPr>
        <w:pStyle w:val="Heading2"/>
        <w:spacing w:line="290" w:lineRule="auto" w:before="81"/>
        <w:ind w:right="2719"/>
      </w:pPr>
      <w:r>
        <w:rPr>
          <w:spacing w:val="-2"/>
        </w:rPr>
        <w:t>所指重大疾病“全身性（型）重症肌无力”或“瘫痪”的标准。 </w:t>
      </w:r>
      <w:r>
        <w:rPr>
          <w:spacing w:val="-4"/>
          <w:w w:val="110"/>
        </w:rPr>
        <w:t>(十三) </w:t>
      </w:r>
      <w:r>
        <w:rPr>
          <w:w w:val="110"/>
        </w:rPr>
        <w:t>中</w:t>
      </w:r>
      <w:r>
        <w:rPr>
          <w:w w:val="110"/>
        </w:rPr>
        <w:t>度</w:t>
      </w:r>
      <w:r>
        <w:rPr>
          <w:w w:val="110"/>
        </w:rPr>
        <w:t>阿</w:t>
      </w:r>
      <w:r>
        <w:rPr>
          <w:w w:val="110"/>
        </w:rPr>
        <w:t>尔</w:t>
      </w:r>
      <w:r>
        <w:rPr>
          <w:w w:val="110"/>
        </w:rPr>
        <w:t>茨</w:t>
      </w:r>
      <w:r>
        <w:rPr>
          <w:w w:val="110"/>
        </w:rPr>
        <w:t>海</w:t>
      </w:r>
      <w:r>
        <w:rPr>
          <w:w w:val="110"/>
        </w:rPr>
        <w:t>默</w:t>
      </w:r>
      <w:r>
        <w:rPr>
          <w:w w:val="110"/>
        </w:rPr>
        <w:t>病</w:t>
      </w:r>
    </w:p>
    <w:p>
      <w:pPr>
        <w:pStyle w:val="BodyText"/>
        <w:spacing w:line="417" w:lineRule="auto" w:before="66"/>
        <w:ind w:left="120" w:right="102" w:firstLine="427"/>
      </w:pPr>
      <w:r>
        <w:rPr>
          <w:spacing w:val="-11"/>
        </w:rPr>
        <w:t>指因大脑进行性、不可逆性改变导致智能严重衰退或丧失，临床表现为明显的认知能力</w:t>
      </w:r>
      <w:r>
        <w:rPr>
          <w:spacing w:val="40"/>
        </w:rPr>
        <w:t> </w:t>
      </w:r>
      <w:r>
        <w:rPr>
          <w:spacing w:val="-21"/>
        </w:rPr>
        <w:t>障碍、行为异常和社交能力减退，其日常生活必须持续受到他人监护。须由头颅断层扫描</w:t>
      </w:r>
      <w:r>
        <w:rPr>
          <w:spacing w:val="-2"/>
        </w:rPr>
        <w:t>(CT)、</w:t>
      </w:r>
      <w:r>
        <w:rPr>
          <w:spacing w:val="-2"/>
        </w:rPr>
        <w:t>核磁共振检查（MRI）或正电子发射断层扫描（PET）等影像学检查证实，并且自主生活能力</w:t>
      </w:r>
    </w:p>
    <w:p>
      <w:pPr>
        <w:spacing w:line="320" w:lineRule="exact" w:before="0"/>
        <w:ind w:left="120" w:right="0" w:firstLine="0"/>
        <w:jc w:val="left"/>
        <w:rPr>
          <w:rFonts w:ascii="微软雅黑" w:eastAsia="微软雅黑"/>
          <w:b/>
          <w:sz w:val="21"/>
        </w:rPr>
      </w:pPr>
      <w:r>
        <w:rPr>
          <w:spacing w:val="-2"/>
          <w:sz w:val="21"/>
        </w:rPr>
        <w:t>严</w:t>
      </w:r>
      <w:r>
        <w:rPr>
          <w:spacing w:val="-2"/>
          <w:sz w:val="21"/>
        </w:rPr>
        <w:t>重</w:t>
      </w:r>
      <w:r>
        <w:rPr>
          <w:spacing w:val="-2"/>
          <w:sz w:val="21"/>
        </w:rPr>
        <w:t>丧</w:t>
      </w:r>
      <w:r>
        <w:rPr>
          <w:spacing w:val="-2"/>
          <w:sz w:val="21"/>
        </w:rPr>
        <w:t>失</w:t>
      </w:r>
      <w:r>
        <w:rPr>
          <w:spacing w:val="-51"/>
          <w:sz w:val="21"/>
        </w:rPr>
        <w:t>，</w:t>
      </w:r>
      <w:r>
        <w:rPr>
          <w:spacing w:val="-2"/>
          <w:sz w:val="21"/>
        </w:rPr>
        <w:t>经鉴定无</w:t>
      </w:r>
      <w:r>
        <w:rPr>
          <w:spacing w:val="-2"/>
          <w:sz w:val="21"/>
        </w:rPr>
        <w:t>法</w:t>
      </w:r>
      <w:r>
        <w:rPr>
          <w:spacing w:val="-2"/>
          <w:sz w:val="21"/>
        </w:rPr>
        <w:t>独</w:t>
      </w:r>
      <w:r>
        <w:rPr>
          <w:spacing w:val="-2"/>
          <w:sz w:val="21"/>
        </w:rPr>
        <w:t>立</w:t>
      </w:r>
      <w:r>
        <w:rPr>
          <w:spacing w:val="-2"/>
          <w:sz w:val="21"/>
        </w:rPr>
        <w:t>完</w:t>
      </w:r>
      <w:r>
        <w:rPr>
          <w:spacing w:val="-2"/>
          <w:sz w:val="21"/>
        </w:rPr>
        <w:t>成六项基本日常生活</w:t>
      </w:r>
      <w:r>
        <w:rPr>
          <w:spacing w:val="-2"/>
          <w:sz w:val="21"/>
        </w:rPr>
        <w:t>活</w:t>
      </w:r>
      <w:r>
        <w:rPr>
          <w:spacing w:val="-2"/>
          <w:sz w:val="21"/>
        </w:rPr>
        <w:t>动</w:t>
      </w:r>
      <w:r>
        <w:rPr>
          <w:spacing w:val="-2"/>
          <w:sz w:val="21"/>
        </w:rPr>
        <w:t>中的</w:t>
      </w:r>
      <w:r>
        <w:rPr>
          <w:spacing w:val="-2"/>
          <w:sz w:val="21"/>
        </w:rPr>
        <w:t>两</w:t>
      </w:r>
      <w:r>
        <w:rPr>
          <w:spacing w:val="-2"/>
          <w:sz w:val="21"/>
        </w:rPr>
        <w:t>项</w:t>
      </w:r>
      <w:r>
        <w:rPr>
          <w:spacing w:val="-53"/>
          <w:sz w:val="21"/>
        </w:rPr>
        <w:t>，</w:t>
      </w:r>
      <w:r>
        <w:rPr>
          <w:rFonts w:ascii="微软雅黑" w:eastAsia="微软雅黑"/>
          <w:b/>
          <w:spacing w:val="-2"/>
          <w:sz w:val="21"/>
        </w:rPr>
        <w:t>但</w:t>
      </w:r>
      <w:r>
        <w:rPr>
          <w:rFonts w:ascii="微软雅黑" w:eastAsia="微软雅黑"/>
          <w:b/>
          <w:spacing w:val="-2"/>
          <w:sz w:val="21"/>
        </w:rPr>
        <w:t>未</w:t>
      </w:r>
      <w:r>
        <w:rPr>
          <w:rFonts w:ascii="微软雅黑" w:eastAsia="微软雅黑"/>
          <w:b/>
          <w:spacing w:val="-2"/>
          <w:sz w:val="21"/>
        </w:rPr>
        <w:t>达</w:t>
      </w:r>
      <w:r>
        <w:rPr>
          <w:rFonts w:ascii="微软雅黑" w:eastAsia="微软雅黑"/>
          <w:b/>
          <w:spacing w:val="-2"/>
          <w:sz w:val="21"/>
        </w:rPr>
        <w:t>到本</w:t>
      </w:r>
      <w:r>
        <w:rPr>
          <w:rFonts w:ascii="微软雅黑" w:eastAsia="微软雅黑"/>
          <w:b/>
          <w:position w:val="-2"/>
          <w:sz w:val="21"/>
        </w:rPr>
        <w:drawing>
          <wp:inline distT="0" distB="0" distL="0" distR="0">
            <wp:extent cx="123825" cy="127000"/>
            <wp:effectExtent l="0" t="0" r="0" b="0"/>
            <wp:docPr id="41" name="image2.png"/>
            <wp:cNvGraphicFramePr>
              <a:graphicFrameLocks noChangeAspect="1"/>
            </wp:cNvGraphicFramePr>
            <a:graphic>
              <a:graphicData uri="http://schemas.openxmlformats.org/drawingml/2006/picture">
                <pic:pic>
                  <pic:nvPicPr>
                    <pic:cNvPr id="4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2"/>
          <w:sz w:val="21"/>
        </w:rPr>
      </w:r>
      <w:r>
        <w:rPr>
          <w:rFonts w:ascii="微软雅黑" w:eastAsia="微软雅黑"/>
          <w:b/>
          <w:spacing w:val="-2"/>
          <w:sz w:val="21"/>
        </w:rPr>
        <w:t>同</w:t>
      </w:r>
      <w:r>
        <w:rPr>
          <w:rFonts w:ascii="微软雅黑" w:eastAsia="微软雅黑"/>
          <w:b/>
          <w:spacing w:val="-2"/>
          <w:sz w:val="21"/>
        </w:rPr>
        <w:t>所</w:t>
      </w:r>
      <w:r>
        <w:rPr>
          <w:rFonts w:ascii="微软雅黑" w:eastAsia="微软雅黑"/>
          <w:b/>
          <w:spacing w:val="-2"/>
          <w:sz w:val="21"/>
        </w:rPr>
        <w:t>指</w:t>
      </w:r>
      <w:r>
        <w:rPr>
          <w:rFonts w:ascii="微软雅黑" w:eastAsia="微软雅黑"/>
          <w:b/>
          <w:spacing w:val="-2"/>
          <w:sz w:val="21"/>
        </w:rPr>
        <w:t>重</w:t>
      </w:r>
      <w:r>
        <w:rPr>
          <w:rFonts w:ascii="微软雅黑" w:eastAsia="微软雅黑"/>
          <w:b/>
          <w:spacing w:val="-10"/>
          <w:sz w:val="21"/>
        </w:rPr>
        <w:t>大</w:t>
      </w:r>
    </w:p>
    <w:p>
      <w:pPr>
        <w:spacing w:before="81"/>
        <w:ind w:left="120" w:right="0" w:firstLine="0"/>
        <w:jc w:val="left"/>
        <w:rPr>
          <w:rFonts w:ascii="微软雅黑" w:hAnsi="微软雅黑" w:eastAsia="微软雅黑"/>
          <w:b/>
          <w:sz w:val="21"/>
        </w:rPr>
      </w:pPr>
      <w:r>
        <w:rPr>
          <w:rFonts w:ascii="微软雅黑" w:hAnsi="微软雅黑" w:eastAsia="微软雅黑"/>
          <w:b/>
          <w:spacing w:val="-3"/>
          <w:sz w:val="21"/>
        </w:rPr>
        <w:t>疾病“严重阿尔茨海默病”或“瘫痪”的给付标准。</w:t>
      </w:r>
    </w:p>
    <w:p>
      <w:pPr>
        <w:spacing w:line="290" w:lineRule="auto" w:before="81"/>
        <w:ind w:left="120" w:right="104" w:firstLine="427"/>
        <w:jc w:val="left"/>
        <w:rPr>
          <w:rFonts w:ascii="微软雅黑" w:hAnsi="微软雅黑" w:eastAsia="微软雅黑"/>
          <w:b/>
          <w:sz w:val="21"/>
        </w:rPr>
      </w:pPr>
      <w:r>
        <w:rPr/>
        <w:drawing>
          <wp:anchor distT="0" distB="0" distL="0" distR="0" allowOverlap="1" layoutInCell="1" locked="0" behindDoc="1" simplePos="0" relativeHeight="486291968">
            <wp:simplePos x="0" y="0"/>
            <wp:positionH relativeFrom="page">
              <wp:posOffset>5810679</wp:posOffset>
            </wp:positionH>
            <wp:positionV relativeFrom="paragraph">
              <wp:posOffset>116308</wp:posOffset>
            </wp:positionV>
            <wp:extent cx="123825" cy="127000"/>
            <wp:effectExtent l="0" t="0" r="0" b="0"/>
            <wp:wrapNone/>
            <wp:docPr id="43" name="image2.png"/>
            <wp:cNvGraphicFramePr>
              <a:graphicFrameLocks noChangeAspect="1"/>
            </wp:cNvGraphicFramePr>
            <a:graphic>
              <a:graphicData uri="http://schemas.openxmlformats.org/drawingml/2006/picture">
                <pic:pic>
                  <pic:nvPicPr>
                    <pic:cNvPr id="44" name="image2.png"/>
                    <pic:cNvPicPr/>
                  </pic:nvPicPr>
                  <pic:blipFill>
                    <a:blip r:embed="rId7" cstate="print"/>
                    <a:stretch>
                      <a:fillRect/>
                    </a:stretch>
                  </pic:blipFill>
                  <pic:spPr>
                    <a:xfrm>
                      <a:off x="0" y="0"/>
                      <a:ext cx="123825" cy="127000"/>
                    </a:xfrm>
                    <a:prstGeom prst="rect">
                      <a:avLst/>
                    </a:prstGeom>
                  </pic:spPr>
                </pic:pic>
              </a:graphicData>
            </a:graphic>
          </wp:anchor>
        </w:drawing>
      </w:r>
      <w:r>
        <w:rPr>
          <w:rFonts w:ascii="微软雅黑" w:hAnsi="微软雅黑" w:eastAsia="微软雅黑"/>
          <w:b/>
          <w:spacing w:val="-1"/>
          <w:w w:val="100"/>
          <w:sz w:val="21"/>
        </w:rPr>
        <w:t>以下情况不在保障范围内</w:t>
      </w:r>
      <w:r>
        <w:rPr>
          <w:rFonts w:ascii="微软雅黑" w:hAnsi="微软雅黑" w:eastAsia="微软雅黑"/>
          <w:b/>
          <w:spacing w:val="-195"/>
          <w:w w:val="100"/>
          <w:sz w:val="21"/>
        </w:rPr>
        <w:t>：</w:t>
      </w:r>
      <w:r>
        <w:rPr>
          <w:rFonts w:ascii="微软雅黑" w:hAnsi="微软雅黑" w:eastAsia="微软雅黑"/>
          <w:b/>
          <w:w w:val="100"/>
          <w:sz w:val="21"/>
        </w:rPr>
        <w:t>（</w:t>
      </w:r>
      <w:r>
        <w:rPr>
          <w:rFonts w:ascii="微软雅黑" w:hAnsi="微软雅黑" w:eastAsia="微软雅黑"/>
          <w:b/>
          <w:w w:val="81"/>
          <w:sz w:val="21"/>
        </w:rPr>
        <w:t>1</w:t>
      </w:r>
      <w:r>
        <w:rPr>
          <w:rFonts w:ascii="微软雅黑" w:hAnsi="微软雅黑" w:eastAsia="微软雅黑"/>
          <w:b/>
          <w:spacing w:val="-87"/>
          <w:w w:val="100"/>
          <w:sz w:val="21"/>
        </w:rPr>
        <w:t>）</w:t>
      </w:r>
      <w:r>
        <w:rPr>
          <w:rFonts w:ascii="微软雅黑" w:hAnsi="微软雅黑" w:eastAsia="微软雅黑"/>
          <w:b/>
          <w:spacing w:val="-10"/>
          <w:w w:val="100"/>
          <w:sz w:val="21"/>
        </w:rPr>
        <w:t>存在酒精滥用、药物滥用或获得性免疫缺陷综</w:t>
      </w:r>
      <w:r>
        <w:rPr>
          <w:rFonts w:ascii="微软雅黑" w:hAnsi="微软雅黑" w:eastAsia="微软雅黑"/>
          <w:b/>
          <w:spacing w:val="-3"/>
          <w:w w:val="100"/>
          <w:sz w:val="21"/>
        </w:rPr>
        <w:t></w:t>
      </w:r>
      <w:r>
        <w:rPr>
          <w:rFonts w:ascii="微软雅黑" w:hAnsi="微软雅黑" w:eastAsia="微软雅黑"/>
          <w:b/>
          <w:spacing w:val="-87"/>
          <w:w w:val="100"/>
          <w:sz w:val="21"/>
        </w:rPr>
        <w:t>征</w:t>
      </w:r>
      <w:r>
        <w:rPr>
          <w:rFonts w:ascii="微软雅黑" w:hAnsi="微软雅黑" w:eastAsia="微软雅黑"/>
          <w:b/>
          <w:spacing w:val="-2"/>
          <w:w w:val="100"/>
          <w:sz w:val="21"/>
        </w:rPr>
        <w:t>（</w:t>
      </w:r>
      <w:r>
        <w:rPr>
          <w:rFonts w:ascii="微软雅黑" w:hAnsi="微软雅黑" w:eastAsia="微软雅黑"/>
          <w:b/>
          <w:spacing w:val="-2"/>
          <w:w w:val="81"/>
          <w:sz w:val="21"/>
        </w:rPr>
        <w:t>AIDS</w:t>
      </w:r>
      <w:r>
        <w:rPr>
          <w:rFonts w:ascii="微软雅黑" w:hAnsi="微软雅黑" w:eastAsia="微软雅黑"/>
          <w:b/>
          <w:spacing w:val="-2"/>
          <w:w w:val="100"/>
          <w:sz w:val="21"/>
        </w:rPr>
        <w:t>）</w:t>
      </w:r>
      <w:r>
        <w:rPr>
          <w:rFonts w:ascii="微软雅黑" w:hAnsi="微软雅黑" w:eastAsia="微软雅黑"/>
          <w:b/>
          <w:spacing w:val="-16"/>
          <w:w w:val="100"/>
          <w:sz w:val="21"/>
        </w:rPr>
        <w:t>情况下的痴呆；</w:t>
      </w:r>
      <w:r>
        <w:rPr>
          <w:rFonts w:ascii="微软雅黑" w:hAnsi="微软雅黑" w:eastAsia="微软雅黑"/>
          <w:b/>
          <w:spacing w:val="-1"/>
          <w:w w:val="100"/>
          <w:sz w:val="21"/>
        </w:rPr>
        <w:t>（</w:t>
      </w:r>
      <w:r>
        <w:rPr>
          <w:rFonts w:ascii="微软雅黑" w:hAnsi="微软雅黑" w:eastAsia="微软雅黑"/>
          <w:b/>
          <w:w w:val="81"/>
          <w:sz w:val="21"/>
        </w:rPr>
        <w:t>2</w:t>
      </w:r>
      <w:r>
        <w:rPr>
          <w:rFonts w:ascii="微软雅黑" w:hAnsi="微软雅黑" w:eastAsia="微软雅黑"/>
          <w:b/>
          <w:w w:val="100"/>
          <w:sz w:val="21"/>
        </w:rPr>
        <w:t>）</w:t>
      </w:r>
      <w:r>
        <w:rPr>
          <w:rFonts w:ascii="微软雅黑" w:hAnsi="微软雅黑" w:eastAsia="微软雅黑"/>
          <w:b/>
          <w:spacing w:val="-2"/>
          <w:w w:val="100"/>
          <w:sz w:val="21"/>
        </w:rPr>
        <w:t>神经官能症和精神疾病。</w:t>
      </w:r>
    </w:p>
    <w:p>
      <w:pPr>
        <w:spacing w:after="0" w:line="290" w:lineRule="auto"/>
        <w:jc w:val="left"/>
        <w:rPr>
          <w:rFonts w:ascii="微软雅黑" w:hAnsi="微软雅黑" w:eastAsia="微软雅黑"/>
          <w:sz w:val="21"/>
        </w:rPr>
        <w:sectPr>
          <w:pgSz w:w="11910" w:h="16840"/>
          <w:pgMar w:header="0" w:footer="1005" w:top="1460" w:bottom="1200" w:left="1680" w:right="1480"/>
        </w:sectPr>
      </w:pPr>
    </w:p>
    <w:p>
      <w:pPr>
        <w:spacing w:line="381" w:lineRule="exact" w:before="0"/>
        <w:ind w:left="120" w:right="0" w:firstLine="0"/>
        <w:jc w:val="left"/>
        <w:rPr>
          <w:rFonts w:ascii="微软雅黑" w:eastAsia="微软雅黑"/>
          <w:b/>
          <w:sz w:val="21"/>
        </w:rPr>
      </w:pPr>
      <w:r>
        <w:rPr>
          <w:rFonts w:ascii="微软雅黑" w:eastAsia="微软雅黑"/>
          <w:b/>
          <w:sz w:val="21"/>
        </w:rPr>
        <w:t>(十四) 中度帕金森氏症</w:t>
      </w:r>
    </w:p>
    <w:p>
      <w:pPr>
        <w:spacing w:line="357" w:lineRule="auto" w:before="148"/>
        <w:ind w:left="120" w:right="311" w:firstLine="427"/>
        <w:jc w:val="left"/>
        <w:rPr>
          <w:rFonts w:ascii="微软雅黑" w:hAnsi="微软雅黑" w:eastAsia="微软雅黑"/>
          <w:b/>
          <w:sz w:val="21"/>
        </w:rPr>
      </w:pPr>
      <w:r>
        <w:rPr/>
        <w:drawing>
          <wp:anchor distT="0" distB="0" distL="0" distR="0" allowOverlap="1" layoutInCell="1" locked="0" behindDoc="1" simplePos="0" relativeHeight="486292480">
            <wp:simplePos x="0" y="0"/>
            <wp:positionH relativeFrom="page">
              <wp:posOffset>6161333</wp:posOffset>
            </wp:positionH>
            <wp:positionV relativeFrom="paragraph">
              <wp:posOffset>116205</wp:posOffset>
            </wp:positionV>
            <wp:extent cx="123825" cy="127000"/>
            <wp:effectExtent l="0" t="0" r="0" b="0"/>
            <wp:wrapNone/>
            <wp:docPr id="45" name="image2.png"/>
            <wp:cNvGraphicFramePr>
              <a:graphicFrameLocks noChangeAspect="1"/>
            </wp:cNvGraphicFramePr>
            <a:graphic>
              <a:graphicData uri="http://schemas.openxmlformats.org/drawingml/2006/picture">
                <pic:pic>
                  <pic:nvPicPr>
                    <pic:cNvPr id="46" name="image2.png"/>
                    <pic:cNvPicPr/>
                  </pic:nvPicPr>
                  <pic:blipFill>
                    <a:blip r:embed="rId7" cstate="print"/>
                    <a:stretch>
                      <a:fillRect/>
                    </a:stretch>
                  </pic:blipFill>
                  <pic:spPr>
                    <a:xfrm>
                      <a:off x="0" y="0"/>
                      <a:ext cx="123825" cy="127000"/>
                    </a:xfrm>
                    <a:prstGeom prst="rect">
                      <a:avLst/>
                    </a:prstGeom>
                  </pic:spPr>
                </pic:pic>
              </a:graphicData>
            </a:graphic>
          </wp:anchor>
        </w:drawing>
      </w:r>
      <w:r>
        <w:rPr/>
        <w:drawing>
          <wp:anchor distT="0" distB="0" distL="0" distR="0" allowOverlap="1" layoutInCell="1" locked="0" behindDoc="1" simplePos="0" relativeHeight="486292992">
            <wp:simplePos x="0" y="0"/>
            <wp:positionH relativeFrom="page">
              <wp:posOffset>2634772</wp:posOffset>
            </wp:positionH>
            <wp:positionV relativeFrom="paragraph">
              <wp:posOffset>413385</wp:posOffset>
            </wp:positionV>
            <wp:extent cx="123825" cy="127000"/>
            <wp:effectExtent l="0" t="0" r="0" b="0"/>
            <wp:wrapNone/>
            <wp:docPr id="47" name="image2.png"/>
            <wp:cNvGraphicFramePr>
              <a:graphicFrameLocks noChangeAspect="1"/>
            </wp:cNvGraphicFramePr>
            <a:graphic>
              <a:graphicData uri="http://schemas.openxmlformats.org/drawingml/2006/picture">
                <pic:pic>
                  <pic:nvPicPr>
                    <pic:cNvPr id="48"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4"/>
          <w:sz w:val="21"/>
        </w:rPr>
        <w:t>是一种中枢神经系统的退行性疾病，临床表现为震颤麻痹、共济失调等。须同时符下</w:t>
      </w:r>
      <w:r>
        <w:rPr>
          <w:sz w:val="21"/>
        </w:rPr>
        <w:t>列所有条件，</w:t>
      </w:r>
      <w:r>
        <w:rPr>
          <w:rFonts w:ascii="微软雅黑" w:hAnsi="微软雅黑" w:eastAsia="微软雅黑"/>
          <w:b/>
          <w:sz w:val="21"/>
        </w:rPr>
        <w:t>且未达到本</w:t>
      </w:r>
      <w:r>
        <w:rPr>
          <w:rFonts w:ascii="微软雅黑" w:hAnsi="微软雅黑" w:eastAsia="微软雅黑"/>
          <w:b/>
          <w:spacing w:val="-1"/>
          <w:sz w:val="21"/>
        </w:rPr>
        <w:t>同所指重大疾病“严重原发性帕金森病”或“瘫痪”的给付标</w:t>
      </w:r>
    </w:p>
    <w:p>
      <w:pPr>
        <w:spacing w:line="278" w:lineRule="exact" w:before="0"/>
        <w:ind w:left="120" w:right="0" w:firstLine="0"/>
        <w:jc w:val="left"/>
        <w:rPr>
          <w:sz w:val="21"/>
        </w:rPr>
      </w:pPr>
      <w:r>
        <w:rPr>
          <w:rFonts w:ascii="微软雅黑" w:eastAsia="微软雅黑"/>
          <w:b/>
          <w:spacing w:val="-2"/>
          <w:sz w:val="21"/>
        </w:rPr>
        <w:t>准</w:t>
      </w:r>
      <w:r>
        <w:rPr>
          <w:spacing w:val="-10"/>
          <w:sz w:val="21"/>
        </w:rPr>
        <w:t>：</w:t>
      </w:r>
    </w:p>
    <w:p>
      <w:pPr>
        <w:pStyle w:val="ListParagraph"/>
        <w:numPr>
          <w:ilvl w:val="0"/>
          <w:numId w:val="75"/>
        </w:numPr>
        <w:tabs>
          <w:tab w:pos="1380" w:val="left" w:leader="none"/>
          <w:tab w:pos="1381" w:val="left" w:leader="none"/>
        </w:tabs>
        <w:spacing w:line="240" w:lineRule="auto" w:before="148" w:after="0"/>
        <w:ind w:left="1380" w:right="0" w:hanging="836"/>
        <w:jc w:val="left"/>
        <w:rPr>
          <w:sz w:val="21"/>
        </w:rPr>
      </w:pPr>
      <w:r>
        <w:rPr>
          <w:spacing w:val="-3"/>
          <w:sz w:val="21"/>
        </w:rPr>
        <w:t>无法通过药物控制；</w:t>
      </w:r>
    </w:p>
    <w:p>
      <w:pPr>
        <w:pStyle w:val="BodyText"/>
        <w:spacing w:before="7"/>
        <w:rPr>
          <w:sz w:val="15"/>
        </w:rPr>
      </w:pPr>
    </w:p>
    <w:p>
      <w:pPr>
        <w:pStyle w:val="ListParagraph"/>
        <w:numPr>
          <w:ilvl w:val="0"/>
          <w:numId w:val="75"/>
        </w:numPr>
        <w:tabs>
          <w:tab w:pos="1380" w:val="left" w:leader="none"/>
          <w:tab w:pos="1381" w:val="left" w:leader="none"/>
        </w:tabs>
        <w:spacing w:line="240" w:lineRule="auto" w:before="0" w:after="0"/>
        <w:ind w:left="1380" w:right="0" w:hanging="836"/>
        <w:jc w:val="left"/>
        <w:rPr>
          <w:sz w:val="21"/>
        </w:rPr>
      </w:pPr>
      <w:r>
        <w:rPr>
          <w:spacing w:val="-3"/>
          <w:sz w:val="21"/>
        </w:rPr>
        <w:t>出现逐步退化客观征状；</w:t>
      </w:r>
    </w:p>
    <w:p>
      <w:pPr>
        <w:pStyle w:val="BodyText"/>
        <w:spacing w:before="7"/>
        <w:rPr>
          <w:sz w:val="15"/>
        </w:rPr>
      </w:pPr>
    </w:p>
    <w:p>
      <w:pPr>
        <w:pStyle w:val="ListParagraph"/>
        <w:numPr>
          <w:ilvl w:val="0"/>
          <w:numId w:val="75"/>
        </w:numPr>
        <w:tabs>
          <w:tab w:pos="1380" w:val="left" w:leader="none"/>
          <w:tab w:pos="1381" w:val="left" w:leader="none"/>
        </w:tabs>
        <w:spacing w:line="357" w:lineRule="auto" w:before="0" w:after="0"/>
        <w:ind w:left="547" w:right="957" w:hanging="3"/>
        <w:jc w:val="left"/>
        <w:rPr>
          <w:rFonts w:ascii="微软雅黑" w:eastAsia="微软雅黑"/>
          <w:b/>
          <w:sz w:val="21"/>
        </w:rPr>
      </w:pPr>
      <w:r>
        <w:rPr>
          <w:spacing w:val="-2"/>
          <w:sz w:val="21"/>
        </w:rPr>
        <w:t>经鉴定至少持续180天无法独立完成六项基本日常生活活动中的两项。</w:t>
      </w:r>
      <w:r>
        <w:rPr>
          <w:rFonts w:ascii="微软雅黑" w:eastAsia="微软雅黑"/>
          <w:b/>
          <w:sz w:val="21"/>
        </w:rPr>
        <w:t>继发性帕金森综</w:t>
      </w:r>
      <w:r>
        <w:rPr>
          <w:rFonts w:ascii="微软雅黑" w:eastAsia="微软雅黑"/>
          <w:b/>
          <w:position w:val="-1"/>
          <w:sz w:val="21"/>
        </w:rPr>
        <w:drawing>
          <wp:inline distT="0" distB="0" distL="0" distR="0">
            <wp:extent cx="123825" cy="127000"/>
            <wp:effectExtent l="0" t="0" r="0" b="0"/>
            <wp:docPr id="49" name="image2.png"/>
            <wp:cNvGraphicFramePr>
              <a:graphicFrameLocks noChangeAspect="1"/>
            </wp:cNvGraphicFramePr>
            <a:graphic>
              <a:graphicData uri="http://schemas.openxmlformats.org/drawingml/2006/picture">
                <pic:pic>
                  <pic:nvPicPr>
                    <pic:cNvPr id="5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z w:val="21"/>
        </w:rPr>
        <w:t>征不在</w:t>
      </w:r>
      <w:r>
        <w:rPr>
          <w:rFonts w:ascii="微软雅黑" w:eastAsia="微软雅黑"/>
          <w:b/>
          <w:sz w:val="21"/>
        </w:rPr>
        <w:t>保障范围内。</w:t>
      </w:r>
    </w:p>
    <w:p>
      <w:pPr>
        <w:pStyle w:val="Heading2"/>
        <w:spacing w:line="278" w:lineRule="exact"/>
      </w:pPr>
      <w:r>
        <w:rPr/>
        <w:t>(十五) 视力严重受损</w:t>
      </w:r>
    </w:p>
    <w:p>
      <w:pPr>
        <w:pStyle w:val="BodyText"/>
        <w:spacing w:line="312" w:lineRule="auto" w:before="81"/>
        <w:ind w:left="120" w:right="311" w:firstLine="427"/>
        <w:jc w:val="both"/>
      </w:pPr>
      <w:r>
        <w:rPr/>
        <w:t>指</w:t>
      </w:r>
      <w:r>
        <w:rPr/>
        <w:t>因</w:t>
      </w:r>
      <w:r>
        <w:rPr/>
        <w:t>疾</w:t>
      </w:r>
      <w:r>
        <w:rPr/>
        <w:t>病或</w:t>
      </w:r>
      <w:r>
        <w:rPr/>
        <w:t>者</w:t>
      </w:r>
      <w:r>
        <w:rPr/>
        <w:t>意外</w:t>
      </w:r>
      <w:r>
        <w:rPr/>
        <w:t>伤</w:t>
      </w:r>
      <w:r>
        <w:rPr/>
        <w:t>害导致</w:t>
      </w:r>
      <w:r>
        <w:rPr/>
        <w:t>双</w:t>
      </w:r>
      <w:r>
        <w:rPr/>
        <w:t>眼</w:t>
      </w:r>
      <w:r>
        <w:rPr/>
        <w:t>视力</w:t>
      </w:r>
      <w:r>
        <w:rPr/>
        <w:t>永</w:t>
      </w:r>
      <w:r>
        <w:rPr/>
        <w:t>久不</w:t>
      </w:r>
      <w:r>
        <w:rPr/>
        <w:t>可</w:t>
      </w:r>
      <w:r>
        <w:rPr/>
        <w:t>逆性丧</w:t>
      </w:r>
      <w:r>
        <w:rPr/>
        <w:t>失</w:t>
      </w:r>
      <w:r>
        <w:rPr/>
        <w:t>，</w:t>
      </w:r>
      <w:r>
        <w:rPr>
          <w:rFonts w:ascii="微软雅黑" w:hAnsi="微软雅黑" w:eastAsia="微软雅黑"/>
          <w:b/>
        </w:rPr>
        <w:t>且</w:t>
      </w:r>
      <w:r>
        <w:rPr>
          <w:rFonts w:ascii="微软雅黑" w:hAnsi="微软雅黑" w:eastAsia="微软雅黑"/>
          <w:b/>
        </w:rPr>
        <w:t>未</w:t>
      </w:r>
      <w:r>
        <w:rPr>
          <w:rFonts w:ascii="微软雅黑" w:hAnsi="微软雅黑" w:eastAsia="微软雅黑"/>
          <w:b/>
        </w:rPr>
        <w:t>达</w:t>
      </w:r>
      <w:r>
        <w:rPr>
          <w:rFonts w:ascii="微软雅黑" w:hAnsi="微软雅黑" w:eastAsia="微软雅黑"/>
          <w:b/>
        </w:rPr>
        <w:t>到</w:t>
      </w:r>
      <w:r>
        <w:rPr>
          <w:rFonts w:ascii="微软雅黑" w:hAnsi="微软雅黑" w:eastAsia="微软雅黑"/>
          <w:b/>
          <w:spacing w:val="2"/>
        </w:rPr>
        <w:t>本</w:t>
      </w:r>
      <w:r>
        <w:rPr>
          <w:rFonts w:ascii="微软雅黑" w:hAnsi="微软雅黑" w:eastAsia="微软雅黑"/>
          <w:b/>
          <w:position w:val="-1"/>
        </w:rPr>
        <w:drawing>
          <wp:inline distT="0" distB="0" distL="0" distR="0">
            <wp:extent cx="123825" cy="127000"/>
            <wp:effectExtent l="0" t="0" r="0" b="0"/>
            <wp:docPr id="51" name="image2.png"/>
            <wp:cNvGraphicFramePr>
              <a:graphicFrameLocks noChangeAspect="1"/>
            </wp:cNvGraphicFramePr>
            <a:graphic>
              <a:graphicData uri="http://schemas.openxmlformats.org/drawingml/2006/picture">
                <pic:pic>
                  <pic:nvPicPr>
                    <pic:cNvPr id="5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rPr>
      </w:r>
      <w:r>
        <w:rPr>
          <w:rFonts w:ascii="微软雅黑" w:hAnsi="微软雅黑" w:eastAsia="微软雅黑"/>
          <w:b/>
        </w:rPr>
        <w:t>同</w:t>
      </w:r>
      <w:r>
        <w:rPr>
          <w:rFonts w:ascii="微软雅黑" w:hAnsi="微软雅黑" w:eastAsia="微软雅黑"/>
          <w:b/>
        </w:rPr>
        <w:t>所</w:t>
      </w:r>
      <w:r>
        <w:rPr>
          <w:rFonts w:ascii="微软雅黑" w:hAnsi="微软雅黑" w:eastAsia="微软雅黑"/>
          <w:b/>
        </w:rPr>
        <w:t>指</w:t>
      </w:r>
      <w:r>
        <w:rPr>
          <w:rFonts w:ascii="微软雅黑" w:hAnsi="微软雅黑" w:eastAsia="微软雅黑"/>
          <w:b/>
        </w:rPr>
        <w:t>重</w:t>
      </w:r>
      <w:r>
        <w:rPr>
          <w:rFonts w:ascii="微软雅黑" w:hAnsi="微软雅黑" w:eastAsia="微软雅黑"/>
          <w:b/>
        </w:rPr>
        <w:t>大</w:t>
      </w:r>
      <w:r>
        <w:rPr>
          <w:rFonts w:ascii="微软雅黑" w:hAnsi="微软雅黑" w:eastAsia="微软雅黑"/>
          <w:b/>
        </w:rPr>
        <w:t>疾</w:t>
      </w:r>
      <w:r>
        <w:rPr>
          <w:rFonts w:ascii="微软雅黑" w:hAnsi="微软雅黑" w:eastAsia="微软雅黑"/>
          <w:b/>
          <w:spacing w:val="-10"/>
        </w:rPr>
        <w:t>病“双目失明”的给付标准</w:t>
      </w:r>
      <w:r>
        <w:rPr>
          <w:spacing w:val="-20"/>
        </w:rPr>
        <w:t>，但满足下列条件之一：</w:t>
      </w:r>
      <w:r>
        <w:rPr>
          <w:spacing w:val="38"/>
        </w:rPr>
        <w:t>（</w:t>
      </w:r>
      <w:r>
        <w:rPr>
          <w:spacing w:val="37"/>
        </w:rPr>
        <w:t>1</w:t>
      </w:r>
      <w:r>
        <w:rPr>
          <w:spacing w:val="-5"/>
        </w:rPr>
        <w:t>）</w:t>
      </w:r>
      <w:r>
        <w:rPr>
          <w:spacing w:val="-10"/>
        </w:rPr>
        <w:t>双眼中较好眼矫正视力低于 0.1（采</w:t>
      </w:r>
      <w:r>
        <w:rPr>
          <w:spacing w:val="-8"/>
        </w:rPr>
        <w:t>用国际标准视力表，如果使用其他视力表应进行换算</w:t>
      </w:r>
      <w:r>
        <w:rPr>
          <w:spacing w:val="-66"/>
        </w:rPr>
        <w:t>）</w:t>
      </w:r>
      <w:r>
        <w:rPr>
          <w:spacing w:val="-80"/>
        </w:rPr>
        <w:t>；</w:t>
      </w:r>
      <w:r>
        <w:rPr>
          <w:spacing w:val="40"/>
        </w:rPr>
        <w:t>（</w:t>
      </w:r>
      <w:r>
        <w:rPr>
          <w:spacing w:val="37"/>
        </w:rPr>
        <w:t>2</w:t>
      </w:r>
      <w:r>
        <w:rPr>
          <w:spacing w:val="25"/>
        </w:rPr>
        <w:t>）</w:t>
      </w:r>
      <w:r>
        <w:rPr>
          <w:spacing w:val="-11"/>
        </w:rPr>
        <w:t>双眼中较好眼视野半径小于 </w:t>
      </w:r>
      <w:r>
        <w:rPr>
          <w:spacing w:val="-8"/>
        </w:rPr>
        <w:t>20</w:t>
      </w:r>
    </w:p>
    <w:p>
      <w:pPr>
        <w:pStyle w:val="BodyText"/>
        <w:spacing w:before="115"/>
        <w:ind w:left="120"/>
      </w:pPr>
      <w:r>
        <w:rPr>
          <w:spacing w:val="-5"/>
        </w:rPr>
        <w:t>度。</w:t>
      </w:r>
    </w:p>
    <w:p>
      <w:pPr>
        <w:spacing w:before="132"/>
        <w:ind w:left="547" w:right="0" w:firstLine="0"/>
        <w:jc w:val="left"/>
        <w:rPr>
          <w:rFonts w:ascii="微软雅黑" w:eastAsia="微软雅黑"/>
          <w:b/>
          <w:sz w:val="21"/>
        </w:rPr>
      </w:pPr>
      <w:r>
        <w:rPr>
          <w:rFonts w:ascii="微软雅黑" w:eastAsia="微软雅黑"/>
          <w:b/>
          <w:spacing w:val="-3"/>
          <w:sz w:val="21"/>
        </w:rPr>
        <w:t>被保险人在三周岁之前因疾病导致的视力严重受损不在保障范围内。</w:t>
      </w:r>
    </w:p>
    <w:p>
      <w:pPr>
        <w:spacing w:line="290" w:lineRule="auto" w:before="81"/>
        <w:ind w:left="120" w:right="323" w:firstLine="427"/>
        <w:jc w:val="left"/>
        <w:rPr>
          <w:rFonts w:ascii="微软雅黑" w:hAnsi="微软雅黑" w:eastAsia="微软雅黑"/>
          <w:b/>
          <w:sz w:val="21"/>
        </w:rPr>
      </w:pPr>
      <w:r>
        <w:rPr>
          <w:rFonts w:ascii="微软雅黑" w:hAnsi="微软雅黑" w:eastAsia="微软雅黑"/>
          <w:b/>
          <w:spacing w:val="-17"/>
          <w:sz w:val="21"/>
        </w:rPr>
        <w:t>我们对“视力严重受损”、“单目失明”和“角膜移植”三项中的其中一项承担保险责</w:t>
      </w:r>
      <w:r>
        <w:rPr>
          <w:rFonts w:ascii="微软雅黑" w:hAnsi="微软雅黑" w:eastAsia="微软雅黑"/>
          <w:b/>
          <w:spacing w:val="-2"/>
          <w:sz w:val="21"/>
        </w:rPr>
        <w:t>任，给付其中一项保险金后，对其它两项疾病的保险责任同时终止。</w:t>
      </w:r>
    </w:p>
    <w:p>
      <w:pPr>
        <w:spacing w:line="386" w:lineRule="exact" w:before="0"/>
        <w:ind w:left="120" w:right="0" w:firstLine="0"/>
        <w:jc w:val="left"/>
        <w:rPr>
          <w:rFonts w:ascii="微软雅黑" w:eastAsia="微软雅黑"/>
          <w:b/>
          <w:sz w:val="21"/>
        </w:rPr>
      </w:pPr>
      <w:r>
        <w:rPr>
          <w:rFonts w:ascii="微软雅黑" w:eastAsia="微软雅黑"/>
          <w:b/>
          <w:spacing w:val="-1"/>
          <w:sz w:val="21"/>
        </w:rPr>
        <w:t>(十六) 中度溃疡性结肠炎</w:t>
      </w:r>
    </w:p>
    <w:p>
      <w:pPr>
        <w:pStyle w:val="BodyText"/>
        <w:spacing w:line="417" w:lineRule="auto" w:before="148"/>
        <w:ind w:left="120" w:right="208" w:firstLine="427"/>
      </w:pPr>
      <w:r>
        <w:rPr/>
        <w:t>本</w:t>
      </w:r>
      <w:r>
        <w:rPr>
          <w:position w:val="-2"/>
        </w:rPr>
        <w:drawing>
          <wp:inline distT="0" distB="0" distL="0" distR="0">
            <wp:extent cx="123825" cy="127000"/>
            <wp:effectExtent l="0" t="0" r="0" b="0"/>
            <wp:docPr id="53" name="image2.png"/>
            <wp:cNvGraphicFramePr>
              <a:graphicFrameLocks noChangeAspect="1"/>
            </wp:cNvGraphicFramePr>
            <a:graphic>
              <a:graphicData uri="http://schemas.openxmlformats.org/drawingml/2006/picture">
                <pic:pic>
                  <pic:nvPicPr>
                    <pic:cNvPr id="54"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t>同所保</w:t>
      </w:r>
      <w:r>
        <w:rPr/>
        <w:t>障的溃疡性</w:t>
      </w:r>
      <w:r>
        <w:rPr/>
        <w:t>结</w:t>
      </w:r>
      <w:r>
        <w:rPr/>
        <w:t>肠炎是指伴</w:t>
      </w:r>
      <w:r>
        <w:rPr/>
        <w:t>有致命性电</w:t>
      </w:r>
      <w:r>
        <w:rPr/>
        <w:t>解</w:t>
      </w:r>
      <w:r>
        <w:rPr/>
        <w:t>质紊乱的急</w:t>
      </w:r>
      <w:r>
        <w:rPr/>
        <w:t>性暴发性溃</w:t>
      </w:r>
      <w:r>
        <w:rPr/>
        <w:t>疡</w:t>
      </w:r>
      <w:r>
        <w:rPr/>
        <w:t>性结肠</w:t>
      </w:r>
      <w:r>
        <w:rPr/>
        <w:t>炎，</w:t>
      </w:r>
      <w:r>
        <w:rPr>
          <w:spacing w:val="-2"/>
        </w:rPr>
        <w:t>病变累及全结肠，表现为严重的血便和系统性症状体征和肠破裂的风险，本疾病的确诊必须</w:t>
      </w:r>
      <w:r>
        <w:rPr>
          <w:spacing w:val="-5"/>
        </w:rPr>
        <w:t>经由内窥镜检查证实该疾病侵犯全部结肠及直肠及活体切片检查证实为溃疡性结肠炎。且须</w:t>
      </w:r>
    </w:p>
    <w:p>
      <w:pPr>
        <w:pStyle w:val="BodyText"/>
        <w:spacing w:line="319" w:lineRule="exact"/>
        <w:ind w:left="120"/>
        <w:rPr>
          <w:rFonts w:ascii="微软雅黑" w:hAnsi="微软雅黑" w:eastAsia="微软雅黑"/>
          <w:b/>
        </w:rPr>
      </w:pPr>
      <w:r>
        <w:rPr/>
        <w:drawing>
          <wp:anchor distT="0" distB="0" distL="0" distR="0" allowOverlap="1" layoutInCell="1" locked="0" behindDoc="1" simplePos="0" relativeHeight="486293504">
            <wp:simplePos x="0" y="0"/>
            <wp:positionH relativeFrom="page">
              <wp:posOffset>6293739</wp:posOffset>
            </wp:positionH>
            <wp:positionV relativeFrom="paragraph">
              <wp:posOffset>21903</wp:posOffset>
            </wp:positionV>
            <wp:extent cx="123825" cy="127000"/>
            <wp:effectExtent l="0" t="0" r="0" b="0"/>
            <wp:wrapNone/>
            <wp:docPr id="55" name="image2.png"/>
            <wp:cNvGraphicFramePr>
              <a:graphicFrameLocks noChangeAspect="1"/>
            </wp:cNvGraphicFramePr>
            <a:graphic>
              <a:graphicData uri="http://schemas.openxmlformats.org/drawingml/2006/picture">
                <pic:pic>
                  <pic:nvPicPr>
                    <pic:cNvPr id="56"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3"/>
        </w:rPr>
        <w:t>经肠胃专科医生连续以系统性免疫抑制剂或免疫调节剂持续治疗最少 </w:t>
      </w:r>
      <w:r>
        <w:rPr>
          <w:spacing w:val="-2"/>
        </w:rPr>
        <w:t>90</w:t>
      </w:r>
      <w:r>
        <w:rPr>
          <w:spacing w:val="-14"/>
        </w:rPr>
        <w:t> 天，</w:t>
      </w:r>
      <w:r>
        <w:rPr>
          <w:rFonts w:ascii="微软雅黑" w:hAnsi="微软雅黑" w:eastAsia="微软雅黑"/>
          <w:b/>
          <w:spacing w:val="-2"/>
        </w:rPr>
        <w:t>但未达到本</w:t>
      </w:r>
      <w:r>
        <w:rPr>
          <w:rFonts w:ascii="微软雅黑" w:hAnsi="微软雅黑" w:eastAsia="微软雅黑"/>
          <w:b/>
          <w:spacing w:val="-10"/>
        </w:rPr>
        <w:t></w:t>
      </w:r>
    </w:p>
    <w:p>
      <w:pPr>
        <w:pStyle w:val="Heading2"/>
        <w:spacing w:before="81"/>
      </w:pPr>
      <w:r>
        <w:rPr>
          <w:spacing w:val="-2"/>
        </w:rPr>
        <w:t>同</w:t>
      </w:r>
      <w:r>
        <w:rPr>
          <w:spacing w:val="-2"/>
        </w:rPr>
        <w:t>所</w:t>
      </w:r>
      <w:r>
        <w:rPr>
          <w:spacing w:val="-2"/>
        </w:rPr>
        <w:t>指</w:t>
      </w:r>
      <w:r>
        <w:rPr>
          <w:spacing w:val="-2"/>
        </w:rPr>
        <w:t>重</w:t>
      </w:r>
      <w:r>
        <w:rPr>
          <w:spacing w:val="-2"/>
        </w:rPr>
        <w:t>大</w:t>
      </w:r>
      <w:r>
        <w:rPr>
          <w:spacing w:val="-2"/>
        </w:rPr>
        <w:t>疾</w:t>
      </w:r>
      <w:r>
        <w:rPr>
          <w:spacing w:val="-2"/>
        </w:rPr>
        <w:t>病</w:t>
      </w:r>
      <w:r>
        <w:rPr>
          <w:spacing w:val="-2"/>
        </w:rPr>
        <w:t>“严重溃</w:t>
      </w:r>
      <w:r>
        <w:rPr>
          <w:spacing w:val="-2"/>
        </w:rPr>
        <w:t>疡</w:t>
      </w:r>
      <w:r>
        <w:rPr>
          <w:spacing w:val="-2"/>
        </w:rPr>
        <w:t>性</w:t>
      </w:r>
      <w:r>
        <w:rPr>
          <w:spacing w:val="-2"/>
        </w:rPr>
        <w:t>结</w:t>
      </w:r>
      <w:r>
        <w:rPr>
          <w:spacing w:val="-2"/>
        </w:rPr>
        <w:t>肠</w:t>
      </w:r>
      <w:r>
        <w:rPr>
          <w:spacing w:val="-2"/>
        </w:rPr>
        <w:t>炎</w:t>
      </w:r>
      <w:r>
        <w:rPr>
          <w:spacing w:val="-2"/>
        </w:rPr>
        <w:t>”</w:t>
      </w:r>
      <w:r>
        <w:rPr>
          <w:spacing w:val="-2"/>
        </w:rPr>
        <w:t>的</w:t>
      </w:r>
      <w:r>
        <w:rPr>
          <w:spacing w:val="-2"/>
        </w:rPr>
        <w:t>标</w:t>
      </w:r>
      <w:r>
        <w:rPr>
          <w:spacing w:val="-2"/>
        </w:rPr>
        <w:t>准，才符</w:t>
      </w:r>
      <w:r>
        <w:rPr>
          <w:position w:val="-2"/>
        </w:rPr>
        <w:drawing>
          <wp:inline distT="0" distB="0" distL="0" distR="0">
            <wp:extent cx="123825" cy="127000"/>
            <wp:effectExtent l="0" t="0" r="0" b="0"/>
            <wp:docPr id="57" name="image2.png"/>
            <wp:cNvGraphicFramePr>
              <a:graphicFrameLocks noChangeAspect="1"/>
            </wp:cNvGraphicFramePr>
            <a:graphic>
              <a:graphicData uri="http://schemas.openxmlformats.org/drawingml/2006/picture">
                <pic:pic>
                  <pic:nvPicPr>
                    <pic:cNvPr id="5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spacing w:val="-2"/>
        </w:rPr>
        <w:t>本</w:t>
      </w:r>
      <w:r>
        <w:rPr>
          <w:spacing w:val="-2"/>
        </w:rPr>
        <w:t>保</w:t>
      </w:r>
      <w:r>
        <w:rPr>
          <w:spacing w:val="-2"/>
        </w:rPr>
        <w:t>障</w:t>
      </w:r>
      <w:r>
        <w:rPr>
          <w:spacing w:val="-2"/>
        </w:rPr>
        <w:t>范</w:t>
      </w:r>
      <w:r>
        <w:rPr>
          <w:spacing w:val="-2"/>
        </w:rPr>
        <w:t>围</w:t>
      </w:r>
      <w:r>
        <w:rPr>
          <w:spacing w:val="-10"/>
        </w:rPr>
        <w:t>。</w:t>
      </w:r>
    </w:p>
    <w:p>
      <w:pPr>
        <w:spacing w:line="290" w:lineRule="auto" w:before="81"/>
        <w:ind w:left="120" w:right="1343" w:firstLine="427"/>
        <w:jc w:val="left"/>
        <w:rPr>
          <w:rFonts w:ascii="微软雅黑" w:eastAsia="微软雅黑"/>
          <w:b/>
          <w:sz w:val="21"/>
        </w:rPr>
      </w:pPr>
      <w:r>
        <w:rPr>
          <w:rFonts w:ascii="微软雅黑" w:eastAsia="微软雅黑"/>
          <w:b/>
          <w:spacing w:val="-2"/>
          <w:sz w:val="21"/>
        </w:rPr>
        <w:t>其他种类的炎性结肠炎,只发生在直肠的溃疡性结肠炎均不在保障范围内。</w:t>
      </w:r>
      <w:r>
        <w:rPr>
          <w:rFonts w:ascii="微软雅黑" w:eastAsia="微软雅黑"/>
          <w:b/>
          <w:spacing w:val="40"/>
          <w:w w:val="110"/>
          <w:sz w:val="21"/>
        </w:rPr>
        <w:t> </w:t>
      </w:r>
      <w:r>
        <w:rPr>
          <w:rFonts w:ascii="微软雅黑" w:eastAsia="微软雅黑"/>
          <w:b/>
          <w:w w:val="110"/>
          <w:sz w:val="21"/>
        </w:rPr>
        <w:t>(</w:t>
      </w:r>
      <w:r>
        <w:rPr>
          <w:rFonts w:ascii="微软雅黑" w:eastAsia="微软雅黑"/>
          <w:b/>
          <w:w w:val="105"/>
          <w:sz w:val="21"/>
        </w:rPr>
        <w:t>十七</w:t>
      </w:r>
      <w:r>
        <w:rPr>
          <w:rFonts w:ascii="微软雅黑" w:eastAsia="微软雅黑"/>
          <w:b/>
          <w:w w:val="110"/>
          <w:sz w:val="21"/>
        </w:rPr>
        <w:t>) </w:t>
      </w:r>
      <w:r>
        <w:rPr>
          <w:rFonts w:ascii="微软雅黑" w:eastAsia="微软雅黑"/>
          <w:b/>
          <w:w w:val="105"/>
          <w:sz w:val="21"/>
        </w:rPr>
        <w:t>慢</w:t>
      </w:r>
      <w:r>
        <w:rPr>
          <w:rFonts w:ascii="微软雅黑" w:eastAsia="微软雅黑"/>
          <w:b/>
          <w:w w:val="105"/>
          <w:sz w:val="21"/>
        </w:rPr>
        <w:t>性</w:t>
      </w:r>
      <w:r>
        <w:rPr>
          <w:rFonts w:ascii="微软雅黑" w:eastAsia="微软雅黑"/>
          <w:b/>
          <w:w w:val="105"/>
          <w:sz w:val="21"/>
        </w:rPr>
        <w:t>肝</w:t>
      </w:r>
      <w:r>
        <w:rPr>
          <w:rFonts w:ascii="微软雅黑" w:eastAsia="微软雅黑"/>
          <w:b/>
          <w:w w:val="105"/>
          <w:sz w:val="21"/>
        </w:rPr>
        <w:t>功</w:t>
      </w:r>
      <w:r>
        <w:rPr>
          <w:rFonts w:ascii="微软雅黑" w:eastAsia="微软雅黑"/>
          <w:b/>
          <w:w w:val="105"/>
          <w:sz w:val="21"/>
        </w:rPr>
        <w:t>能</w:t>
      </w:r>
      <w:r>
        <w:rPr>
          <w:rFonts w:ascii="微软雅黑" w:eastAsia="微软雅黑"/>
          <w:b/>
          <w:w w:val="105"/>
          <w:sz w:val="21"/>
        </w:rPr>
        <w:t>衰</w:t>
      </w:r>
      <w:r>
        <w:rPr>
          <w:rFonts w:ascii="微软雅黑" w:eastAsia="微软雅黑"/>
          <w:b/>
          <w:w w:val="105"/>
          <w:sz w:val="21"/>
        </w:rPr>
        <w:t>竭</w:t>
      </w:r>
    </w:p>
    <w:p>
      <w:pPr>
        <w:spacing w:line="290" w:lineRule="auto" w:before="0"/>
        <w:ind w:left="120" w:right="312" w:firstLine="427"/>
        <w:jc w:val="left"/>
        <w:rPr>
          <w:sz w:val="21"/>
        </w:rPr>
      </w:pPr>
      <w:r>
        <w:rPr/>
        <w:drawing>
          <wp:anchor distT="0" distB="0" distL="0" distR="0" allowOverlap="1" layoutInCell="1" locked="0" behindDoc="1" simplePos="0" relativeHeight="486294016">
            <wp:simplePos x="0" y="0"/>
            <wp:positionH relativeFrom="page">
              <wp:posOffset>4188841</wp:posOffset>
            </wp:positionH>
            <wp:positionV relativeFrom="paragraph">
              <wp:posOffset>64873</wp:posOffset>
            </wp:positionV>
            <wp:extent cx="123825" cy="127000"/>
            <wp:effectExtent l="0" t="0" r="0" b="0"/>
            <wp:wrapNone/>
            <wp:docPr id="59" name="image2.png"/>
            <wp:cNvGraphicFramePr>
              <a:graphicFrameLocks noChangeAspect="1"/>
            </wp:cNvGraphicFramePr>
            <a:graphic>
              <a:graphicData uri="http://schemas.openxmlformats.org/drawingml/2006/picture">
                <pic:pic>
                  <pic:nvPicPr>
                    <pic:cNvPr id="60"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6"/>
          <w:sz w:val="21"/>
        </w:rPr>
        <w:t>指因慢性肝脏疾病导致肝功能衰竭，</w:t>
      </w:r>
      <w:r>
        <w:rPr>
          <w:rFonts w:ascii="微软雅黑" w:hAnsi="微软雅黑" w:eastAsia="微软雅黑"/>
          <w:b/>
          <w:spacing w:val="-2"/>
          <w:sz w:val="21"/>
        </w:rPr>
        <w:t>且未达到本</w:t>
      </w:r>
      <w:r>
        <w:rPr>
          <w:rFonts w:ascii="微软雅黑" w:hAnsi="微软雅黑" w:eastAsia="微软雅黑"/>
          <w:b/>
          <w:spacing w:val="-10"/>
          <w:sz w:val="21"/>
        </w:rPr>
        <w:t>同所指重大疾病“严重慢性肝衰竭”</w:t>
      </w:r>
      <w:r>
        <w:rPr>
          <w:rFonts w:ascii="微软雅黑" w:hAnsi="微软雅黑" w:eastAsia="微软雅黑"/>
          <w:b/>
          <w:spacing w:val="-2"/>
          <w:sz w:val="21"/>
        </w:rPr>
        <w:t>的标准。</w:t>
      </w:r>
      <w:r>
        <w:rPr>
          <w:spacing w:val="-2"/>
          <w:sz w:val="21"/>
        </w:rPr>
        <w:t>须满足下列任意三个条件：</w:t>
      </w:r>
    </w:p>
    <w:p>
      <w:pPr>
        <w:pStyle w:val="ListParagraph"/>
        <w:numPr>
          <w:ilvl w:val="0"/>
          <w:numId w:val="76"/>
        </w:numPr>
        <w:tabs>
          <w:tab w:pos="1380" w:val="left" w:leader="none"/>
          <w:tab w:pos="1381" w:val="left" w:leader="none"/>
        </w:tabs>
        <w:spacing w:line="240" w:lineRule="auto" w:before="66" w:after="0"/>
        <w:ind w:left="1380" w:right="0" w:hanging="836"/>
        <w:jc w:val="left"/>
        <w:rPr>
          <w:sz w:val="21"/>
        </w:rPr>
      </w:pPr>
      <w:r>
        <w:rPr>
          <w:spacing w:val="-4"/>
          <w:sz w:val="21"/>
        </w:rPr>
        <w:t>持续性黄疸；</w:t>
      </w:r>
    </w:p>
    <w:p>
      <w:pPr>
        <w:pStyle w:val="BodyText"/>
        <w:spacing w:before="7"/>
        <w:rPr>
          <w:sz w:val="15"/>
        </w:rPr>
      </w:pPr>
    </w:p>
    <w:p>
      <w:pPr>
        <w:pStyle w:val="ListParagraph"/>
        <w:numPr>
          <w:ilvl w:val="0"/>
          <w:numId w:val="76"/>
        </w:numPr>
        <w:tabs>
          <w:tab w:pos="1380" w:val="left" w:leader="none"/>
          <w:tab w:pos="1381" w:val="left" w:leader="none"/>
        </w:tabs>
        <w:spacing w:line="240" w:lineRule="auto" w:before="0" w:after="0"/>
        <w:ind w:left="1380" w:right="0" w:hanging="836"/>
        <w:jc w:val="left"/>
        <w:rPr>
          <w:sz w:val="21"/>
        </w:rPr>
      </w:pPr>
      <w:r>
        <w:rPr>
          <w:spacing w:val="-4"/>
          <w:sz w:val="21"/>
        </w:rPr>
        <w:t>腹水；</w:t>
      </w:r>
    </w:p>
    <w:p>
      <w:pPr>
        <w:pStyle w:val="BodyText"/>
        <w:spacing w:before="7"/>
        <w:rPr>
          <w:sz w:val="15"/>
        </w:rPr>
      </w:pPr>
    </w:p>
    <w:p>
      <w:pPr>
        <w:pStyle w:val="ListParagraph"/>
        <w:numPr>
          <w:ilvl w:val="0"/>
          <w:numId w:val="76"/>
        </w:numPr>
        <w:tabs>
          <w:tab w:pos="1380" w:val="left" w:leader="none"/>
          <w:tab w:pos="1381" w:val="left" w:leader="none"/>
        </w:tabs>
        <w:spacing w:line="240" w:lineRule="auto" w:before="0" w:after="0"/>
        <w:ind w:left="1380" w:right="0" w:hanging="836"/>
        <w:jc w:val="left"/>
        <w:rPr>
          <w:sz w:val="21"/>
        </w:rPr>
      </w:pPr>
      <w:r>
        <w:rPr>
          <w:spacing w:val="-4"/>
          <w:sz w:val="21"/>
        </w:rPr>
        <w:t>肝性脑病；</w:t>
      </w:r>
    </w:p>
    <w:p>
      <w:pPr>
        <w:pStyle w:val="BodyText"/>
        <w:spacing w:before="6"/>
        <w:rPr>
          <w:sz w:val="15"/>
        </w:rPr>
      </w:pPr>
    </w:p>
    <w:p>
      <w:pPr>
        <w:pStyle w:val="ListParagraph"/>
        <w:numPr>
          <w:ilvl w:val="0"/>
          <w:numId w:val="76"/>
        </w:numPr>
        <w:tabs>
          <w:tab w:pos="1380" w:val="left" w:leader="none"/>
          <w:tab w:pos="1381" w:val="left" w:leader="none"/>
        </w:tabs>
        <w:spacing w:line="240" w:lineRule="auto" w:before="1" w:after="0"/>
        <w:ind w:left="1380" w:right="0" w:hanging="836"/>
        <w:jc w:val="left"/>
        <w:rPr>
          <w:sz w:val="21"/>
        </w:rPr>
      </w:pPr>
      <w:r>
        <w:rPr>
          <w:spacing w:val="-3"/>
          <w:sz w:val="21"/>
        </w:rPr>
        <w:t>充血性脾肿大伴脾功能亢进或食管胃底静脉曲张。</w:t>
      </w:r>
    </w:p>
    <w:p>
      <w:pPr>
        <w:spacing w:after="0" w:line="240" w:lineRule="auto"/>
        <w:jc w:val="left"/>
        <w:rPr>
          <w:sz w:val="21"/>
        </w:rPr>
        <w:sectPr>
          <w:pgSz w:w="11910" w:h="16840"/>
          <w:pgMar w:header="0" w:footer="1005" w:top="1460" w:bottom="1200" w:left="1680" w:right="1480"/>
        </w:sectPr>
      </w:pPr>
    </w:p>
    <w:p>
      <w:pPr>
        <w:pStyle w:val="Heading2"/>
        <w:spacing w:line="381" w:lineRule="exact"/>
        <w:ind w:left="547"/>
      </w:pPr>
      <w:r>
        <w:rPr>
          <w:spacing w:val="-3"/>
        </w:rPr>
        <w:t>因酗酒或药物滥用导致的肝功能衰竭不在保障范围内。</w:t>
      </w:r>
    </w:p>
    <w:p>
      <w:pPr>
        <w:spacing w:line="290" w:lineRule="auto" w:before="81"/>
        <w:ind w:left="120" w:right="323" w:firstLine="427"/>
        <w:jc w:val="both"/>
        <w:rPr>
          <w:rFonts w:ascii="微软雅黑" w:hAnsi="微软雅黑" w:eastAsia="微软雅黑"/>
          <w:b/>
          <w:sz w:val="21"/>
        </w:rPr>
      </w:pPr>
      <w:r>
        <w:rPr>
          <w:rFonts w:ascii="微软雅黑" w:hAnsi="微软雅黑" w:eastAsia="微软雅黑"/>
          <w:b/>
          <w:spacing w:val="-15"/>
          <w:sz w:val="21"/>
        </w:rPr>
        <w:t>我们对“病毒性肝炎导致的肝硬化”、“早期肝硬化”和“慢性肝功能衰竭”三项中的</w:t>
      </w:r>
      <w:r>
        <w:rPr>
          <w:rFonts w:ascii="微软雅黑" w:hAnsi="微软雅黑" w:eastAsia="微软雅黑"/>
          <w:b/>
          <w:spacing w:val="-2"/>
          <w:sz w:val="21"/>
        </w:rPr>
        <w:t>其中一项承担保险责任，给付其中一项保险金后，对其他两项疾病的保险责任同时终止。</w:t>
      </w:r>
      <w:r>
        <w:rPr>
          <w:rFonts w:ascii="微软雅黑" w:hAnsi="微软雅黑" w:eastAsia="微软雅黑"/>
          <w:b/>
          <w:spacing w:val="80"/>
          <w:w w:val="150"/>
          <w:sz w:val="21"/>
        </w:rPr>
        <w:t> </w:t>
      </w:r>
      <w:r>
        <w:rPr>
          <w:rFonts w:ascii="微软雅黑" w:hAnsi="微软雅黑" w:eastAsia="微软雅黑"/>
          <w:b/>
          <w:w w:val="105"/>
          <w:sz w:val="21"/>
        </w:rPr>
        <w:t>(十八) </w:t>
      </w:r>
      <w:r>
        <w:rPr>
          <w:rFonts w:ascii="微软雅黑" w:hAnsi="微软雅黑" w:eastAsia="微软雅黑"/>
          <w:b/>
          <w:w w:val="105"/>
          <w:sz w:val="21"/>
        </w:rPr>
        <w:t>中</w:t>
      </w:r>
      <w:r>
        <w:rPr>
          <w:rFonts w:ascii="微软雅黑" w:hAnsi="微软雅黑" w:eastAsia="微软雅黑"/>
          <w:b/>
          <w:w w:val="105"/>
          <w:sz w:val="21"/>
        </w:rPr>
        <w:t>度</w:t>
      </w:r>
      <w:r>
        <w:rPr>
          <w:rFonts w:ascii="微软雅黑" w:hAnsi="微软雅黑" w:eastAsia="微软雅黑"/>
          <w:b/>
          <w:w w:val="105"/>
          <w:sz w:val="21"/>
        </w:rPr>
        <w:t>慢</w:t>
      </w:r>
      <w:r>
        <w:rPr>
          <w:rFonts w:ascii="微软雅黑" w:hAnsi="微软雅黑" w:eastAsia="微软雅黑"/>
          <w:b/>
          <w:w w:val="105"/>
          <w:sz w:val="21"/>
        </w:rPr>
        <w:t>性</w:t>
      </w:r>
      <w:r>
        <w:rPr>
          <w:rFonts w:ascii="微软雅黑" w:hAnsi="微软雅黑" w:eastAsia="微软雅黑"/>
          <w:b/>
          <w:w w:val="105"/>
          <w:sz w:val="21"/>
        </w:rPr>
        <w:t>呼</w:t>
      </w:r>
      <w:r>
        <w:rPr>
          <w:rFonts w:ascii="微软雅黑" w:hAnsi="微软雅黑" w:eastAsia="微软雅黑"/>
          <w:b/>
          <w:w w:val="105"/>
          <w:sz w:val="21"/>
        </w:rPr>
        <w:t>吸</w:t>
      </w:r>
      <w:r>
        <w:rPr>
          <w:rFonts w:ascii="微软雅黑" w:hAnsi="微软雅黑" w:eastAsia="微软雅黑"/>
          <w:b/>
          <w:w w:val="105"/>
          <w:sz w:val="21"/>
        </w:rPr>
        <w:t>功</w:t>
      </w:r>
      <w:r>
        <w:rPr>
          <w:rFonts w:ascii="微软雅黑" w:hAnsi="微软雅黑" w:eastAsia="微软雅黑"/>
          <w:b/>
          <w:w w:val="105"/>
          <w:sz w:val="21"/>
        </w:rPr>
        <w:t>能</w:t>
      </w:r>
      <w:r>
        <w:rPr>
          <w:rFonts w:ascii="微软雅黑" w:hAnsi="微软雅黑" w:eastAsia="微软雅黑"/>
          <w:b/>
          <w:w w:val="105"/>
          <w:sz w:val="21"/>
        </w:rPr>
        <w:t>衰竭</w:t>
      </w:r>
    </w:p>
    <w:p>
      <w:pPr>
        <w:spacing w:line="312" w:lineRule="auto" w:before="0"/>
        <w:ind w:left="120" w:right="313" w:firstLine="427"/>
        <w:jc w:val="both"/>
        <w:rPr>
          <w:sz w:val="21"/>
        </w:rPr>
      </w:pPr>
      <w:r>
        <w:rPr>
          <w:sz w:val="21"/>
        </w:rPr>
        <w:t>指</w:t>
      </w:r>
      <w:r>
        <w:rPr>
          <w:sz w:val="21"/>
        </w:rPr>
        <w:t>因</w:t>
      </w:r>
      <w:r>
        <w:rPr>
          <w:sz w:val="21"/>
        </w:rPr>
        <w:t>慢</w:t>
      </w:r>
      <w:r>
        <w:rPr>
          <w:sz w:val="21"/>
        </w:rPr>
        <w:t>性呼</w:t>
      </w:r>
      <w:r>
        <w:rPr>
          <w:sz w:val="21"/>
        </w:rPr>
        <w:t>吸</w:t>
      </w:r>
      <w:r>
        <w:rPr>
          <w:sz w:val="21"/>
        </w:rPr>
        <w:t>系统</w:t>
      </w:r>
      <w:r>
        <w:rPr>
          <w:sz w:val="21"/>
        </w:rPr>
        <w:t>疾</w:t>
      </w:r>
      <w:r>
        <w:rPr>
          <w:sz w:val="21"/>
        </w:rPr>
        <w:t>病导致</w:t>
      </w:r>
      <w:r>
        <w:rPr>
          <w:sz w:val="21"/>
        </w:rPr>
        <w:t>永</w:t>
      </w:r>
      <w:r>
        <w:rPr>
          <w:sz w:val="21"/>
        </w:rPr>
        <w:t>久</w:t>
      </w:r>
      <w:r>
        <w:rPr>
          <w:sz w:val="21"/>
        </w:rPr>
        <w:t>不可</w:t>
      </w:r>
      <w:r>
        <w:rPr>
          <w:sz w:val="21"/>
        </w:rPr>
        <w:t>逆</w:t>
      </w:r>
      <w:r>
        <w:rPr>
          <w:sz w:val="21"/>
        </w:rPr>
        <w:t>的呼</w:t>
      </w:r>
      <w:r>
        <w:rPr>
          <w:sz w:val="21"/>
        </w:rPr>
        <w:t>吸</w:t>
      </w:r>
      <w:r>
        <w:rPr>
          <w:sz w:val="21"/>
        </w:rPr>
        <w:t>功能衰</w:t>
      </w:r>
      <w:r>
        <w:rPr>
          <w:sz w:val="21"/>
        </w:rPr>
        <w:t>竭</w:t>
      </w:r>
      <w:r>
        <w:rPr>
          <w:sz w:val="21"/>
        </w:rPr>
        <w:t>，</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2"/>
          <w:sz w:val="21"/>
        </w:rPr>
        <w:drawing>
          <wp:inline distT="0" distB="0" distL="0" distR="0">
            <wp:extent cx="123825" cy="127000"/>
            <wp:effectExtent l="0" t="0" r="0" b="0"/>
            <wp:docPr id="61" name="image2.png"/>
            <wp:cNvGraphicFramePr>
              <a:graphicFrameLocks noChangeAspect="1"/>
            </wp:cNvGraphicFramePr>
            <a:graphic>
              <a:graphicData uri="http://schemas.openxmlformats.org/drawingml/2006/picture">
                <pic:pic>
                  <pic:nvPicPr>
                    <pic:cNvPr id="6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pacing w:val="-2"/>
          <w:sz w:val="21"/>
        </w:rPr>
        <w:t>病“严重慢性呼吸衰竭”或“严重继发性肺动脉高压”的标准</w:t>
      </w:r>
      <w:r>
        <w:rPr>
          <w:spacing w:val="-2"/>
          <w:sz w:val="21"/>
        </w:rPr>
        <w:t>，且诊断必须满足以下所有</w:t>
      </w:r>
      <w:r>
        <w:rPr>
          <w:spacing w:val="-4"/>
          <w:sz w:val="21"/>
        </w:rPr>
        <w:t>条件：</w:t>
      </w:r>
    </w:p>
    <w:p>
      <w:pPr>
        <w:pStyle w:val="ListParagraph"/>
        <w:numPr>
          <w:ilvl w:val="0"/>
          <w:numId w:val="77"/>
        </w:numPr>
        <w:tabs>
          <w:tab w:pos="1380" w:val="left" w:leader="none"/>
          <w:tab w:pos="1381" w:val="left" w:leader="none"/>
        </w:tabs>
        <w:spacing w:line="240" w:lineRule="auto" w:before="114" w:after="0"/>
        <w:ind w:left="1380" w:right="0" w:hanging="836"/>
        <w:jc w:val="left"/>
        <w:rPr>
          <w:sz w:val="21"/>
        </w:rPr>
      </w:pPr>
      <w:r>
        <w:rPr>
          <w:spacing w:val="-2"/>
          <w:sz w:val="21"/>
        </w:rPr>
        <w:t>第一秒末用力呼吸量（</w:t>
      </w:r>
      <w:r>
        <w:rPr>
          <w:rFonts w:ascii="Cambria Math" w:eastAsia="Cambria Math"/>
          <w:spacing w:val="-2"/>
          <w:sz w:val="21"/>
        </w:rPr>
        <w:t>FEV</w:t>
      </w:r>
      <w:r>
        <w:rPr>
          <w:rFonts w:ascii="Cambria Math" w:eastAsia="Cambria Math"/>
          <w:spacing w:val="-2"/>
          <w:sz w:val="21"/>
          <w:vertAlign w:val="subscript"/>
        </w:rPr>
        <w:t>1</w:t>
      </w:r>
      <w:r>
        <w:rPr>
          <w:spacing w:val="-2"/>
          <w:sz w:val="21"/>
          <w:vertAlign w:val="baseline"/>
        </w:rPr>
        <w:t>）小于1</w:t>
      </w:r>
      <w:r>
        <w:rPr>
          <w:spacing w:val="-6"/>
          <w:sz w:val="21"/>
          <w:vertAlign w:val="baseline"/>
        </w:rPr>
        <w:t>升；</w:t>
      </w:r>
    </w:p>
    <w:p>
      <w:pPr>
        <w:pStyle w:val="ListParagraph"/>
        <w:numPr>
          <w:ilvl w:val="0"/>
          <w:numId w:val="77"/>
        </w:numPr>
        <w:tabs>
          <w:tab w:pos="1380" w:val="left" w:leader="none"/>
          <w:tab w:pos="1381" w:val="left" w:leader="none"/>
        </w:tabs>
        <w:spacing w:line="240" w:lineRule="auto" w:before="199" w:after="0"/>
        <w:ind w:left="1380" w:right="0" w:hanging="836"/>
        <w:jc w:val="left"/>
        <w:rPr>
          <w:sz w:val="21"/>
        </w:rPr>
      </w:pPr>
      <w:r>
        <w:rPr>
          <w:spacing w:val="-2"/>
          <w:sz w:val="21"/>
        </w:rPr>
        <w:t>残气容积占肺总量（TLC）的50</w:t>
      </w:r>
      <w:r>
        <w:rPr>
          <w:spacing w:val="-4"/>
          <w:sz w:val="21"/>
        </w:rPr>
        <w:t>%以上；</w:t>
      </w:r>
    </w:p>
    <w:p>
      <w:pPr>
        <w:pStyle w:val="BodyText"/>
        <w:spacing w:before="7"/>
        <w:rPr>
          <w:sz w:val="15"/>
        </w:rPr>
      </w:pPr>
    </w:p>
    <w:p>
      <w:pPr>
        <w:pStyle w:val="ListParagraph"/>
        <w:numPr>
          <w:ilvl w:val="0"/>
          <w:numId w:val="77"/>
        </w:numPr>
        <w:tabs>
          <w:tab w:pos="1380" w:val="left" w:leader="none"/>
          <w:tab w:pos="1381" w:val="left" w:leader="none"/>
        </w:tabs>
        <w:spacing w:line="357" w:lineRule="auto" w:before="0" w:after="0"/>
        <w:ind w:left="120" w:right="4704" w:firstLine="424"/>
        <w:jc w:val="left"/>
        <w:rPr>
          <w:rFonts w:ascii="微软雅黑" w:hAnsi="微软雅黑" w:eastAsia="微软雅黑"/>
          <w:b/>
          <w:sz w:val="21"/>
        </w:rPr>
      </w:pPr>
      <w:r>
        <w:rPr>
          <w:rFonts w:ascii="Cambria Math" w:hAnsi="Cambria Math" w:eastAsia="Cambria Math"/>
          <w:spacing w:val="-2"/>
          <w:sz w:val="21"/>
        </w:rPr>
        <w:t>PaO</w:t>
      </w:r>
      <w:r>
        <w:rPr>
          <w:rFonts w:ascii="Cambria Math" w:hAnsi="Cambria Math" w:eastAsia="Cambria Math"/>
          <w:spacing w:val="-2"/>
          <w:sz w:val="21"/>
          <w:vertAlign w:val="subscript"/>
        </w:rPr>
        <w:t>2</w:t>
      </w:r>
      <w:r>
        <w:rPr>
          <w:spacing w:val="-2"/>
          <w:sz w:val="21"/>
          <w:vertAlign w:val="baseline"/>
        </w:rPr>
        <w:t>&lt;60mmHg，但≧50mmHg</w:t>
      </w:r>
      <w:r>
        <w:rPr>
          <w:spacing w:val="-2"/>
          <w:sz w:val="21"/>
          <w:vertAlign w:val="baseline"/>
        </w:rPr>
        <w:t>。</w:t>
      </w:r>
      <w:r>
        <w:rPr>
          <w:spacing w:val="-2"/>
          <w:sz w:val="21"/>
          <w:vertAlign w:val="baseline"/>
        </w:rPr>
        <w:t> </w:t>
      </w:r>
      <w:r>
        <w:rPr>
          <w:rFonts w:ascii="微软雅黑" w:hAnsi="微软雅黑" w:eastAsia="微软雅黑"/>
          <w:b/>
          <w:w w:val="105"/>
          <w:sz w:val="21"/>
          <w:vertAlign w:val="baseline"/>
        </w:rPr>
        <w:t>(十九) </w:t>
      </w:r>
      <w:r>
        <w:rPr>
          <w:rFonts w:ascii="微软雅黑" w:hAnsi="微软雅黑" w:eastAsia="微软雅黑"/>
          <w:b/>
          <w:w w:val="105"/>
          <w:sz w:val="21"/>
          <w:vertAlign w:val="baseline"/>
        </w:rPr>
        <w:t>中</w:t>
      </w:r>
      <w:r>
        <w:rPr>
          <w:rFonts w:ascii="微软雅黑" w:hAnsi="微软雅黑" w:eastAsia="微软雅黑"/>
          <w:b/>
          <w:w w:val="105"/>
          <w:sz w:val="21"/>
          <w:vertAlign w:val="baseline"/>
        </w:rPr>
        <w:t>度</w:t>
      </w:r>
      <w:r>
        <w:rPr>
          <w:rFonts w:ascii="微软雅黑" w:hAnsi="微软雅黑" w:eastAsia="微软雅黑"/>
          <w:b/>
          <w:w w:val="105"/>
          <w:sz w:val="21"/>
          <w:vertAlign w:val="baseline"/>
        </w:rPr>
        <w:t>脑</w:t>
      </w:r>
      <w:r>
        <w:rPr>
          <w:rFonts w:ascii="微软雅黑" w:hAnsi="微软雅黑" w:eastAsia="微软雅黑"/>
          <w:b/>
          <w:w w:val="105"/>
          <w:sz w:val="21"/>
          <w:vertAlign w:val="baseline"/>
        </w:rPr>
        <w:t>损</w:t>
      </w:r>
      <w:r>
        <w:rPr>
          <w:rFonts w:ascii="微软雅黑" w:hAnsi="微软雅黑" w:eastAsia="微软雅黑"/>
          <w:b/>
          <w:w w:val="105"/>
          <w:sz w:val="21"/>
          <w:vertAlign w:val="baseline"/>
        </w:rPr>
        <w:t>伤</w:t>
      </w:r>
    </w:p>
    <w:p>
      <w:pPr>
        <w:pStyle w:val="BodyText"/>
        <w:spacing w:line="227" w:lineRule="exact"/>
        <w:ind w:left="547"/>
      </w:pPr>
      <w:r>
        <w:rPr>
          <w:spacing w:val="-7"/>
        </w:rPr>
        <w:t>指因头部遭受机械性外力，引起脑重要部位损伤，导致神经系统永久性的功能障碍。须</w:t>
      </w:r>
    </w:p>
    <w:p>
      <w:pPr>
        <w:pStyle w:val="BodyText"/>
        <w:spacing w:line="468" w:lineRule="exact" w:before="35"/>
        <w:ind w:left="120" w:right="311"/>
        <w:jc w:val="both"/>
        <w:rPr>
          <w:rFonts w:ascii="微软雅黑" w:hAnsi="微软雅黑" w:eastAsia="微软雅黑"/>
          <w:b/>
        </w:rPr>
      </w:pPr>
      <w:r>
        <w:rPr>
          <w:spacing w:val="-4"/>
        </w:rPr>
        <w:t>由头颅断层扫描</w:t>
      </w:r>
      <w:r>
        <w:rPr>
          <w:spacing w:val="22"/>
        </w:rPr>
        <w:t>（</w:t>
      </w:r>
      <w:r>
        <w:rPr>
          <w:spacing w:val="23"/>
        </w:rPr>
        <w:t>CT</w:t>
      </w:r>
      <w:r>
        <w:rPr>
          <w:spacing w:val="-85"/>
        </w:rPr>
        <w:t>）</w:t>
      </w:r>
      <w:r>
        <w:rPr>
          <w:spacing w:val="-4"/>
        </w:rPr>
        <w:t>、核磁共振检查（MRI）或正电子发射断层扫描（PET）等影像学检查</w:t>
      </w:r>
      <w:r>
        <w:rPr>
          <w:spacing w:val="-5"/>
        </w:rPr>
        <w:t>证实。神经系统永久性的功能障碍，指脑损伤 </w:t>
      </w:r>
      <w:r>
        <w:rPr>
          <w:spacing w:val="-4"/>
        </w:rPr>
        <w:t>180</w:t>
      </w:r>
      <w:r>
        <w:rPr>
          <w:spacing w:val="-8"/>
        </w:rPr>
        <w:t> 天后，仍完全丧失自主生活能力，经鉴定</w:t>
      </w:r>
      <w:r>
        <w:rPr>
          <w:spacing w:val="-2"/>
        </w:rPr>
        <w:t>无法独立完成六项基本日常生活活动中的两项或以上，</w:t>
      </w:r>
      <w:r>
        <w:rPr>
          <w:rFonts w:ascii="微软雅黑" w:hAnsi="微软雅黑" w:eastAsia="微软雅黑"/>
          <w:b/>
          <w:spacing w:val="-2"/>
        </w:rPr>
        <w:t>但未达到重大疾病“严重脑损伤”</w:t>
      </w:r>
      <w:r>
        <w:rPr>
          <w:rFonts w:ascii="微软雅黑" w:hAnsi="微软雅黑" w:eastAsia="微软雅黑"/>
          <w:b/>
          <w:spacing w:val="-2"/>
        </w:rPr>
        <w:t>或“瘫痪”的给付标准。</w:t>
      </w:r>
    </w:p>
    <w:p>
      <w:pPr>
        <w:pStyle w:val="Heading2"/>
        <w:spacing w:line="290" w:lineRule="auto" w:before="97"/>
        <w:ind w:right="316" w:firstLine="419"/>
        <w:jc w:val="both"/>
      </w:pPr>
      <w:r>
        <w:rPr/>
        <w:t>我们对“中度脑损伤”和 “硬脑膜下血肿手术”两项中的其中一项承担保险责任，给</w:t>
      </w:r>
      <w:r>
        <w:rPr>
          <w:spacing w:val="-2"/>
        </w:rPr>
        <w:t>付其中一项保险金后，对另一项疾病的保险责任同时终止。</w:t>
      </w:r>
    </w:p>
    <w:p>
      <w:pPr>
        <w:spacing w:line="387" w:lineRule="exact" w:before="0"/>
        <w:ind w:left="120" w:right="0" w:firstLine="0"/>
        <w:jc w:val="both"/>
        <w:rPr>
          <w:rFonts w:ascii="微软雅黑" w:eastAsia="微软雅黑"/>
          <w:b/>
          <w:sz w:val="21"/>
        </w:rPr>
      </w:pPr>
      <w:r>
        <w:rPr>
          <w:rFonts w:ascii="微软雅黑" w:eastAsia="微软雅黑"/>
          <w:b/>
          <w:spacing w:val="-1"/>
          <w:sz w:val="21"/>
        </w:rPr>
        <w:t>(二十) 早期系统性硬皮病</w:t>
      </w:r>
    </w:p>
    <w:p>
      <w:pPr>
        <w:spacing w:line="345" w:lineRule="auto" w:before="148"/>
        <w:ind w:left="120" w:right="311" w:firstLine="427"/>
        <w:jc w:val="both"/>
        <w:rPr>
          <w:sz w:val="21"/>
        </w:rPr>
      </w:pPr>
      <w:r>
        <w:rPr>
          <w:spacing w:val="-8"/>
          <w:sz w:val="21"/>
        </w:rPr>
        <w:t>指一种以局限性或弥漫性皮肤增厚和皮肤、血管、内脏器官异常纤维化为特征的结缔组</w:t>
      </w:r>
      <w:r>
        <w:rPr>
          <w:spacing w:val="-2"/>
          <w:sz w:val="21"/>
        </w:rPr>
        <w:t>织</w:t>
      </w:r>
      <w:r>
        <w:rPr>
          <w:spacing w:val="-2"/>
          <w:sz w:val="21"/>
        </w:rPr>
        <w:t>病</w:t>
      </w:r>
      <w:r>
        <w:rPr>
          <w:spacing w:val="-2"/>
          <w:sz w:val="21"/>
        </w:rPr>
        <w:t>。本病须经专科医生</w:t>
      </w:r>
      <w:r>
        <w:rPr>
          <w:spacing w:val="-2"/>
          <w:sz w:val="21"/>
        </w:rPr>
        <w:t>明</w:t>
      </w:r>
      <w:r>
        <w:rPr>
          <w:spacing w:val="-2"/>
          <w:sz w:val="21"/>
        </w:rPr>
        <w:t>确</w:t>
      </w:r>
      <w:r>
        <w:rPr>
          <w:spacing w:val="-2"/>
          <w:sz w:val="21"/>
        </w:rPr>
        <w:t>诊断，</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63" name="image2.png"/>
            <wp:cNvGraphicFramePr>
              <a:graphicFrameLocks noChangeAspect="1"/>
            </wp:cNvGraphicFramePr>
            <a:graphic>
              <a:graphicData uri="http://schemas.openxmlformats.org/drawingml/2006/picture">
                <pic:pic>
                  <pic:nvPicPr>
                    <pic:cNvPr id="6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pacing w:val="-2"/>
          <w:sz w:val="21"/>
        </w:rPr>
        <w:t>同</w:t>
      </w:r>
      <w:r>
        <w:rPr>
          <w:rFonts w:ascii="微软雅黑" w:hAnsi="微软雅黑" w:eastAsia="微软雅黑"/>
          <w:b/>
          <w:spacing w:val="-2"/>
          <w:sz w:val="21"/>
        </w:rPr>
        <w:t>所</w:t>
      </w:r>
      <w:r>
        <w:rPr>
          <w:rFonts w:ascii="微软雅黑" w:hAnsi="微软雅黑" w:eastAsia="微软雅黑"/>
          <w:b/>
          <w:spacing w:val="-2"/>
          <w:sz w:val="21"/>
        </w:rPr>
        <w:t>指</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系</w:t>
      </w:r>
      <w:r>
        <w:rPr>
          <w:rFonts w:ascii="微软雅黑" w:hAnsi="微软雅黑" w:eastAsia="微软雅黑"/>
          <w:b/>
          <w:spacing w:val="-2"/>
          <w:sz w:val="21"/>
        </w:rPr>
        <w:t>统</w:t>
      </w:r>
      <w:r>
        <w:rPr>
          <w:rFonts w:ascii="微软雅黑" w:hAnsi="微软雅黑" w:eastAsia="微软雅黑"/>
          <w:b/>
          <w:spacing w:val="-2"/>
          <w:sz w:val="21"/>
        </w:rPr>
        <w:t>性</w:t>
      </w:r>
      <w:r>
        <w:rPr>
          <w:rFonts w:ascii="微软雅黑" w:hAnsi="微软雅黑" w:eastAsia="微软雅黑"/>
          <w:b/>
          <w:spacing w:val="-2"/>
          <w:sz w:val="21"/>
        </w:rPr>
        <w:t>硬</w:t>
      </w:r>
      <w:r>
        <w:rPr>
          <w:rFonts w:ascii="微软雅黑" w:hAnsi="微软雅黑" w:eastAsia="微软雅黑"/>
          <w:b/>
          <w:spacing w:val="-2"/>
          <w:sz w:val="21"/>
        </w:rPr>
        <w:t>皮</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的</w:t>
      </w:r>
      <w:r>
        <w:rPr>
          <w:rFonts w:ascii="微软雅黑" w:hAnsi="微软雅黑" w:eastAsia="微软雅黑"/>
          <w:b/>
          <w:spacing w:val="-2"/>
          <w:sz w:val="21"/>
        </w:rPr>
        <w:t>标</w:t>
      </w:r>
      <w:r>
        <w:rPr>
          <w:rFonts w:ascii="微软雅黑" w:hAnsi="微软雅黑" w:eastAsia="微软雅黑"/>
          <w:b/>
          <w:spacing w:val="-2"/>
          <w:sz w:val="21"/>
        </w:rPr>
        <w:t>准</w:t>
      </w:r>
      <w:r>
        <w:rPr>
          <w:spacing w:val="-2"/>
          <w:sz w:val="21"/>
        </w:rPr>
        <w:t>，</w:t>
      </w:r>
      <w:r>
        <w:rPr>
          <w:spacing w:val="-2"/>
          <w:sz w:val="21"/>
        </w:rPr>
        <w:t>并须满足下列所有条件：</w:t>
      </w:r>
    </w:p>
    <w:p>
      <w:pPr>
        <w:pStyle w:val="ListParagraph"/>
        <w:numPr>
          <w:ilvl w:val="0"/>
          <w:numId w:val="78"/>
        </w:numPr>
        <w:tabs>
          <w:tab w:pos="1380" w:val="left" w:leader="none"/>
          <w:tab w:pos="1381" w:val="left" w:leader="none"/>
        </w:tabs>
        <w:spacing w:line="417" w:lineRule="auto" w:before="72" w:after="0"/>
        <w:ind w:left="965" w:right="318" w:hanging="420"/>
        <w:jc w:val="left"/>
        <w:rPr>
          <w:sz w:val="21"/>
        </w:rPr>
      </w:pPr>
      <w:r>
        <w:rPr>
          <w:spacing w:val="-2"/>
          <w:sz w:val="21"/>
        </w:rPr>
        <w:t>必须是经由我们认可医院的风湿学专科医生根据美国风湿病学会（ACR）及欧</w:t>
      </w:r>
      <w:r>
        <w:rPr>
          <w:spacing w:val="-2"/>
          <w:sz w:val="21"/>
        </w:rPr>
        <w:t>洲抗风湿病联盟(EULAR)在2013年发布的系统性硬皮病诊断标准确认达到确诊标准</w:t>
      </w:r>
    </w:p>
    <w:p>
      <w:pPr>
        <w:pStyle w:val="BodyText"/>
        <w:spacing w:line="417" w:lineRule="auto"/>
        <w:ind w:left="965" w:right="318"/>
      </w:pPr>
      <w:r>
        <w:rPr>
          <w:spacing w:val="-2"/>
        </w:rPr>
        <w:t>（总分值由每一个分类中的最高比重（分值）相加而成，总分≥9分的患者被分类</w:t>
      </w:r>
      <w:r>
        <w:rPr>
          <w:spacing w:val="-2"/>
        </w:rPr>
        <w:t>为系统性硬皮病</w:t>
      </w:r>
      <w:r>
        <w:rPr>
          <w:spacing w:val="-106"/>
        </w:rPr>
        <w:t>）</w:t>
      </w:r>
      <w:r>
        <w:rPr>
          <w:spacing w:val="-2"/>
        </w:rPr>
        <w:t>。</w:t>
      </w:r>
    </w:p>
    <w:p>
      <w:pPr>
        <w:pStyle w:val="ListParagraph"/>
        <w:numPr>
          <w:ilvl w:val="0"/>
          <w:numId w:val="78"/>
        </w:numPr>
        <w:tabs>
          <w:tab w:pos="1380" w:val="left" w:leader="none"/>
          <w:tab w:pos="1381" w:val="left" w:leader="none"/>
        </w:tabs>
        <w:spacing w:line="357" w:lineRule="auto" w:before="0" w:after="0"/>
        <w:ind w:left="547" w:right="2107" w:hanging="3"/>
        <w:jc w:val="left"/>
        <w:rPr>
          <w:rFonts w:ascii="微软雅黑" w:eastAsia="微软雅黑"/>
          <w:b/>
          <w:sz w:val="21"/>
        </w:rPr>
      </w:pPr>
      <w:r>
        <w:rPr>
          <w:spacing w:val="-2"/>
          <w:sz w:val="21"/>
        </w:rPr>
        <w:t>须提供明确的病理活检及自身抗体免疫血清学证据支持。</w:t>
      </w:r>
      <w:r>
        <w:rPr>
          <w:rFonts w:ascii="微软雅黑" w:eastAsia="微软雅黑"/>
          <w:b/>
          <w:spacing w:val="-2"/>
          <w:sz w:val="21"/>
        </w:rPr>
        <w:t>以下情况不在保障范围内：</w:t>
      </w:r>
    </w:p>
    <w:p>
      <w:pPr>
        <w:pStyle w:val="ListParagraph"/>
        <w:numPr>
          <w:ilvl w:val="0"/>
          <w:numId w:val="79"/>
        </w:numPr>
        <w:tabs>
          <w:tab w:pos="1380" w:val="left" w:leader="none"/>
          <w:tab w:pos="1381" w:val="left" w:leader="none"/>
        </w:tabs>
        <w:spacing w:line="278" w:lineRule="exact" w:before="0" w:after="0"/>
        <w:ind w:left="1380" w:right="0" w:hanging="836"/>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ListParagraph"/>
        <w:numPr>
          <w:ilvl w:val="0"/>
          <w:numId w:val="79"/>
        </w:numPr>
        <w:tabs>
          <w:tab w:pos="1380" w:val="left" w:leader="none"/>
          <w:tab w:pos="1381" w:val="left" w:leader="none"/>
        </w:tabs>
        <w:spacing w:line="240" w:lineRule="auto" w:before="81" w:after="0"/>
        <w:ind w:left="1380" w:right="0" w:hanging="836"/>
        <w:jc w:val="left"/>
        <w:rPr>
          <w:rFonts w:ascii="微软雅黑" w:eastAsia="微软雅黑"/>
          <w:b/>
          <w:sz w:val="21"/>
        </w:rPr>
      </w:pPr>
      <w:r>
        <w:rPr>
          <w:rFonts w:ascii="微软雅黑" w:eastAsia="微软雅黑"/>
          <w:b/>
          <w:spacing w:val="-2"/>
          <w:sz w:val="21"/>
        </w:rPr>
        <w:t>嗜酸性筋膜炎</w:t>
      </w:r>
    </w:p>
    <w:p>
      <w:pPr>
        <w:spacing w:after="0" w:line="240" w:lineRule="auto"/>
        <w:jc w:val="left"/>
        <w:rPr>
          <w:rFonts w:ascii="微软雅黑" w:eastAsia="微软雅黑"/>
          <w:sz w:val="21"/>
        </w:rPr>
        <w:sectPr>
          <w:pgSz w:w="11910" w:h="16840"/>
          <w:pgMar w:header="0" w:footer="1005" w:top="1460" w:bottom="1200" w:left="1680" w:right="1480"/>
        </w:sectPr>
      </w:pPr>
    </w:p>
    <w:p>
      <w:pPr>
        <w:pStyle w:val="ListParagraph"/>
        <w:numPr>
          <w:ilvl w:val="0"/>
          <w:numId w:val="79"/>
        </w:numPr>
        <w:tabs>
          <w:tab w:pos="1380" w:val="left" w:leader="none"/>
          <w:tab w:pos="1381" w:val="left" w:leader="none"/>
        </w:tabs>
        <w:spacing w:line="381" w:lineRule="exact" w:before="0" w:after="0"/>
        <w:ind w:left="1380" w:right="0" w:hanging="836"/>
        <w:jc w:val="left"/>
        <w:rPr>
          <w:rFonts w:ascii="微软雅黑" w:eastAsia="微软雅黑"/>
          <w:b/>
          <w:sz w:val="21"/>
        </w:rPr>
      </w:pPr>
      <w:r>
        <w:rPr>
          <w:rFonts w:ascii="微软雅黑" w:eastAsia="微软雅黑"/>
          <w:b/>
          <w:w w:val="80"/>
          <w:sz w:val="21"/>
        </w:rPr>
        <w:t>CREST</w:t>
      </w:r>
      <w:r>
        <w:rPr>
          <w:rFonts w:ascii="微软雅黑" w:eastAsia="微软雅黑"/>
          <w:b/>
          <w:spacing w:val="10"/>
          <w:w w:val="80"/>
          <w:sz w:val="21"/>
        </w:rPr>
        <w:t>综</w:t>
      </w:r>
      <w:r>
        <w:rPr>
          <w:rFonts w:ascii="微软雅黑" w:eastAsia="微软雅黑"/>
          <w:b/>
          <w:position w:val="-2"/>
          <w:sz w:val="21"/>
        </w:rPr>
        <w:drawing>
          <wp:inline distT="0" distB="0" distL="0" distR="0">
            <wp:extent cx="123825" cy="127000"/>
            <wp:effectExtent l="0" t="0" r="0" b="0"/>
            <wp:docPr id="65" name="image2.png"/>
            <wp:cNvGraphicFramePr>
              <a:graphicFrameLocks noChangeAspect="1"/>
            </wp:cNvGraphicFramePr>
            <a:graphic>
              <a:graphicData uri="http://schemas.openxmlformats.org/drawingml/2006/picture">
                <pic:pic>
                  <pic:nvPicPr>
                    <pic:cNvPr id="6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2"/>
          <w:sz w:val="21"/>
        </w:rPr>
      </w:r>
      <w:r>
        <w:rPr>
          <w:rFonts w:ascii="微软雅黑" w:eastAsia="微软雅黑"/>
          <w:b/>
          <w:spacing w:val="-10"/>
          <w:w w:val="80"/>
          <w:sz w:val="21"/>
        </w:rPr>
        <w:t>征</w:t>
      </w:r>
    </w:p>
    <w:p>
      <w:pPr>
        <w:pStyle w:val="BodyText"/>
        <w:spacing w:before="14"/>
        <w:rPr>
          <w:rFonts w:ascii="微软雅黑"/>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8" w:id="72"/>
      <w:bookmarkEnd w:id="72"/>
      <w:r>
        <w:rPr>
          <w:b w:val="0"/>
        </w:rPr>
      </w:r>
      <w:bookmarkStart w:name="_bookmark38" w:id="73"/>
      <w:bookmarkEnd w:id="73"/>
      <w:r>
        <w:rPr>
          <w:spacing w:val="-2"/>
        </w:rPr>
        <w:t>轻症疾病定义</w:t>
      </w:r>
    </w:p>
    <w:p>
      <w:pPr>
        <w:spacing w:line="357" w:lineRule="auto" w:before="149"/>
        <w:ind w:left="120" w:right="4202" w:firstLine="427"/>
        <w:jc w:val="left"/>
        <w:rPr>
          <w:rFonts w:ascii="微软雅黑" w:hAnsi="微软雅黑" w:eastAsia="微软雅黑"/>
          <w:b/>
          <w:sz w:val="21"/>
        </w:rPr>
      </w:pPr>
      <w:r>
        <w:rPr>
          <w:sz w:val="21"/>
        </w:rPr>
        <w:t>本</w:t>
      </w:r>
      <w:r>
        <w:rPr>
          <w:position w:val="-1"/>
          <w:sz w:val="21"/>
        </w:rPr>
        <w:drawing>
          <wp:inline distT="0" distB="0" distL="0" distR="0">
            <wp:extent cx="123825" cy="127000"/>
            <wp:effectExtent l="0" t="0" r="0" b="0"/>
            <wp:docPr id="67" name="image2.png"/>
            <wp:cNvGraphicFramePr>
              <a:graphicFrameLocks noChangeAspect="1"/>
            </wp:cNvGraphicFramePr>
            <a:graphic>
              <a:graphicData uri="http://schemas.openxmlformats.org/drawingml/2006/picture">
                <pic:pic>
                  <pic:nvPicPr>
                    <pic:cNvPr id="6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sz w:val="21"/>
        </w:rPr>
        <w:t>同所称轻症疾病，仅</w:t>
      </w:r>
      <w:r>
        <w:rPr>
          <w:sz w:val="21"/>
        </w:rPr>
        <w:t>指下列疾病之一： </w:t>
      </w:r>
      <w:r>
        <w:rPr>
          <w:rFonts w:ascii="微软雅黑" w:hAnsi="微软雅黑" w:eastAsia="微软雅黑"/>
          <w:b/>
          <w:w w:val="110"/>
          <w:sz w:val="21"/>
        </w:rPr>
        <w:t>(</w:t>
      </w:r>
      <w:r>
        <w:rPr>
          <w:rFonts w:ascii="微软雅黑" w:hAnsi="微软雅黑" w:eastAsia="微软雅黑"/>
          <w:b/>
          <w:sz w:val="21"/>
        </w:rPr>
        <w:t>一</w:t>
      </w:r>
      <w:r>
        <w:rPr>
          <w:rFonts w:ascii="微软雅黑" w:hAnsi="微软雅黑" w:eastAsia="微软雅黑"/>
          <w:b/>
          <w:w w:val="110"/>
          <w:sz w:val="21"/>
        </w:rPr>
        <w:t>) </w:t>
      </w:r>
      <w:r>
        <w:rPr>
          <w:rFonts w:ascii="微软雅黑" w:hAnsi="微软雅黑" w:eastAsia="微软雅黑"/>
          <w:b/>
          <w:sz w:val="21"/>
        </w:rPr>
        <w:t>恶性肿瘤——</w:t>
      </w:r>
      <w:r>
        <w:rPr>
          <w:rFonts w:ascii="微软雅黑" w:hAnsi="微软雅黑" w:eastAsia="微软雅黑"/>
          <w:b/>
          <w:sz w:val="21"/>
        </w:rPr>
        <w:t>轻度</w:t>
      </w:r>
    </w:p>
    <w:p>
      <w:pPr>
        <w:pStyle w:val="BodyText"/>
        <w:spacing w:line="227" w:lineRule="exact"/>
        <w:ind w:left="547"/>
      </w:pPr>
      <w:r>
        <w:rPr>
          <w:spacing w:val="-7"/>
        </w:rPr>
        <w:t>指恶性细胞不受控制的进行性增长和扩散，浸润和破坏周围正常组织，可以经血管、淋</w:t>
      </w:r>
    </w:p>
    <w:p>
      <w:pPr>
        <w:pStyle w:val="BodyText"/>
        <w:spacing w:before="6"/>
        <w:rPr>
          <w:sz w:val="15"/>
        </w:rPr>
      </w:pPr>
    </w:p>
    <w:p>
      <w:pPr>
        <w:pStyle w:val="BodyText"/>
        <w:spacing w:line="417" w:lineRule="auto"/>
        <w:ind w:left="120" w:right="311"/>
        <w:jc w:val="both"/>
      </w:pPr>
      <w:r>
        <w:rPr>
          <w:spacing w:val="-4"/>
        </w:rPr>
        <w:t>巴管和体腔扩散转移到身体其他部位，病灶经组织病理学检查（涵盖骨髓病理学检查）结果</w:t>
      </w:r>
      <w:r>
        <w:rPr>
          <w:spacing w:val="-2"/>
        </w:rPr>
        <w:t>明确诊断，临床诊断属于世界卫生组织（WHO，World</w:t>
      </w:r>
      <w:r>
        <w:rPr>
          <w:spacing w:val="-9"/>
        </w:rPr>
        <w:t> </w:t>
      </w:r>
      <w:r>
        <w:rPr>
          <w:spacing w:val="-2"/>
        </w:rPr>
        <w:t>Health</w:t>
      </w:r>
      <w:r>
        <w:rPr>
          <w:spacing w:val="-9"/>
        </w:rPr>
        <w:t> </w:t>
      </w:r>
      <w:r>
        <w:rPr>
          <w:spacing w:val="7"/>
        </w:rPr>
        <w:t>O</w:t>
      </w:r>
      <w:r>
        <w:rPr>
          <w:spacing w:val="4"/>
        </w:rPr>
        <w:t>r</w:t>
      </w:r>
      <w:r>
        <w:rPr>
          <w:spacing w:val="7"/>
        </w:rPr>
        <w:t>gan</w:t>
      </w:r>
      <w:r>
        <w:rPr>
          <w:spacing w:val="4"/>
        </w:rPr>
        <w:t>i</w:t>
      </w:r>
      <w:r>
        <w:rPr>
          <w:spacing w:val="7"/>
        </w:rPr>
        <w:t>zat</w:t>
      </w:r>
      <w:r>
        <w:rPr>
          <w:spacing w:val="4"/>
        </w:rPr>
        <w:t>i</w:t>
      </w:r>
      <w:r>
        <w:rPr>
          <w:spacing w:val="7"/>
        </w:rPr>
        <w:t>o</w:t>
      </w:r>
      <w:r>
        <w:rPr>
          <w:spacing w:val="6"/>
        </w:rPr>
        <w:t>n</w:t>
      </w:r>
      <w:r>
        <w:rPr>
          <w:spacing w:val="-101"/>
        </w:rPr>
        <w:t>）</w:t>
      </w:r>
      <w:r>
        <w:rPr>
          <w:spacing w:val="-2"/>
        </w:rPr>
        <w:t>《疾病和有关</w:t>
      </w:r>
      <w:r>
        <w:rPr>
          <w:spacing w:val="-4"/>
        </w:rPr>
        <w:t>健康问题的国际统计分类》第十次修订版（ICD-10）的恶性肿瘤类别及《国际疾病分类肿瘤</w:t>
      </w:r>
      <w:r>
        <w:rPr>
          <w:spacing w:val="-4"/>
        </w:rPr>
        <w:t>学专辑》第三版（ICD-O-3）</w:t>
      </w:r>
      <w:r>
        <w:rPr>
          <w:spacing w:val="-6"/>
        </w:rPr>
        <w:t>的肿瘤形态学编码属于 </w:t>
      </w:r>
      <w:r>
        <w:rPr>
          <w:spacing w:val="-4"/>
        </w:rPr>
        <w:t>3、6、9（恶性肿瘤）范畴，但不在“恶</w:t>
      </w:r>
      <w:r>
        <w:rPr>
          <w:spacing w:val="-2"/>
        </w:rPr>
        <w:t>性肿瘤——重度”保障范围的疾病。且特指下列六项之一：</w:t>
      </w:r>
    </w:p>
    <w:p>
      <w:pPr>
        <w:pStyle w:val="ListParagraph"/>
        <w:numPr>
          <w:ilvl w:val="0"/>
          <w:numId w:val="80"/>
        </w:numPr>
        <w:tabs>
          <w:tab w:pos="1381" w:val="left" w:leader="none"/>
        </w:tabs>
        <w:spacing w:line="269" w:lineRule="exact" w:before="0" w:after="0"/>
        <w:ind w:left="1380" w:right="0" w:hanging="836"/>
        <w:jc w:val="both"/>
        <w:rPr>
          <w:sz w:val="21"/>
        </w:rPr>
      </w:pPr>
      <w:r>
        <w:rPr>
          <w:spacing w:val="-2"/>
          <w:sz w:val="21"/>
        </w:rPr>
        <w:t>TNM</w:t>
      </w:r>
      <w:r>
        <w:rPr>
          <w:spacing w:val="-3"/>
          <w:sz w:val="21"/>
        </w:rPr>
        <w:t>分期为Ⅰ期的甲状腺癌；</w:t>
      </w:r>
    </w:p>
    <w:p>
      <w:pPr>
        <w:pStyle w:val="BodyText"/>
        <w:spacing w:before="6"/>
        <w:rPr>
          <w:sz w:val="15"/>
        </w:rPr>
      </w:pPr>
    </w:p>
    <w:p>
      <w:pPr>
        <w:pStyle w:val="ListParagraph"/>
        <w:numPr>
          <w:ilvl w:val="0"/>
          <w:numId w:val="80"/>
        </w:numPr>
        <w:tabs>
          <w:tab w:pos="1380" w:val="left" w:leader="none"/>
          <w:tab w:pos="1381" w:val="left" w:leader="none"/>
        </w:tabs>
        <w:spacing w:line="240" w:lineRule="auto" w:before="1" w:after="0"/>
        <w:ind w:left="1380" w:right="0" w:hanging="836"/>
        <w:jc w:val="left"/>
        <w:rPr>
          <w:sz w:val="21"/>
        </w:rPr>
      </w:pPr>
      <w:r>
        <w:rPr>
          <w:spacing w:val="-2"/>
          <w:position w:val="1"/>
          <w:sz w:val="21"/>
        </w:rPr>
        <w:t>TNM分期为</w:t>
      </w:r>
      <w:r>
        <w:rPr>
          <w:rFonts w:ascii="仿宋" w:eastAsia="仿宋"/>
          <w:spacing w:val="-2"/>
          <w:position w:val="1"/>
          <w:sz w:val="21"/>
        </w:rPr>
        <w:t>T</w:t>
      </w:r>
      <w:r>
        <w:rPr>
          <w:rFonts w:ascii="仿宋" w:eastAsia="仿宋"/>
          <w:spacing w:val="-2"/>
          <w:sz w:val="11"/>
        </w:rPr>
        <w:t>1</w:t>
      </w:r>
      <w:r>
        <w:rPr>
          <w:rFonts w:ascii="仿宋" w:eastAsia="仿宋"/>
          <w:spacing w:val="-2"/>
          <w:position w:val="1"/>
          <w:sz w:val="21"/>
        </w:rPr>
        <w:t>N</w:t>
      </w:r>
      <w:r>
        <w:rPr>
          <w:rFonts w:ascii="仿宋" w:eastAsia="仿宋"/>
          <w:spacing w:val="-2"/>
          <w:sz w:val="11"/>
        </w:rPr>
        <w:t>0</w:t>
      </w:r>
      <w:r>
        <w:rPr>
          <w:rFonts w:ascii="仿宋" w:eastAsia="仿宋"/>
          <w:spacing w:val="-2"/>
          <w:position w:val="1"/>
          <w:sz w:val="21"/>
        </w:rPr>
        <w:t>M</w:t>
      </w:r>
      <w:r>
        <w:rPr>
          <w:rFonts w:ascii="仿宋" w:eastAsia="仿宋"/>
          <w:spacing w:val="-2"/>
          <w:sz w:val="11"/>
        </w:rPr>
        <w:t>0</w:t>
      </w:r>
      <w:r>
        <w:rPr>
          <w:spacing w:val="-4"/>
          <w:position w:val="1"/>
          <w:sz w:val="21"/>
        </w:rPr>
        <w:t>期的前列腺癌；</w:t>
      </w:r>
    </w:p>
    <w:p>
      <w:pPr>
        <w:pStyle w:val="BodyText"/>
        <w:spacing w:before="7"/>
        <w:rPr>
          <w:sz w:val="15"/>
        </w:rPr>
      </w:pPr>
    </w:p>
    <w:p>
      <w:pPr>
        <w:pStyle w:val="ListParagraph"/>
        <w:numPr>
          <w:ilvl w:val="0"/>
          <w:numId w:val="80"/>
        </w:numPr>
        <w:tabs>
          <w:tab w:pos="1380" w:val="left" w:leader="none"/>
          <w:tab w:pos="1381" w:val="left" w:leader="none"/>
        </w:tabs>
        <w:spacing w:line="240" w:lineRule="auto" w:before="0" w:after="0"/>
        <w:ind w:left="1380" w:right="0" w:hanging="836"/>
        <w:jc w:val="left"/>
        <w:rPr>
          <w:sz w:val="21"/>
        </w:rPr>
      </w:pPr>
      <w:r>
        <w:rPr>
          <w:spacing w:val="-3"/>
          <w:sz w:val="21"/>
        </w:rPr>
        <w:t>黑色素瘤以外的未发生淋巴结和远处转移的皮肤恶性肿瘤；</w:t>
      </w:r>
    </w:p>
    <w:p>
      <w:pPr>
        <w:pStyle w:val="BodyText"/>
        <w:spacing w:before="6"/>
        <w:rPr>
          <w:sz w:val="15"/>
        </w:rPr>
      </w:pPr>
    </w:p>
    <w:p>
      <w:pPr>
        <w:pStyle w:val="ListParagraph"/>
        <w:numPr>
          <w:ilvl w:val="0"/>
          <w:numId w:val="80"/>
        </w:numPr>
        <w:tabs>
          <w:tab w:pos="1380" w:val="left" w:leader="none"/>
          <w:tab w:pos="1381" w:val="left" w:leader="none"/>
        </w:tabs>
        <w:spacing w:line="240" w:lineRule="auto" w:before="1" w:after="0"/>
        <w:ind w:left="1380" w:right="0" w:hanging="836"/>
        <w:jc w:val="left"/>
        <w:rPr>
          <w:sz w:val="21"/>
        </w:rPr>
      </w:pPr>
      <w:r>
        <w:rPr>
          <w:spacing w:val="-2"/>
          <w:sz w:val="21"/>
        </w:rPr>
        <w:t>相当于Binet分期方案A</w:t>
      </w:r>
      <w:r>
        <w:rPr>
          <w:spacing w:val="-3"/>
          <w:sz w:val="21"/>
        </w:rPr>
        <w:t>期程度的慢性淋巴细胞白血病；</w:t>
      </w:r>
    </w:p>
    <w:p>
      <w:pPr>
        <w:pStyle w:val="BodyText"/>
        <w:spacing w:before="6"/>
        <w:rPr>
          <w:sz w:val="15"/>
        </w:rPr>
      </w:pPr>
    </w:p>
    <w:p>
      <w:pPr>
        <w:pStyle w:val="ListParagraph"/>
        <w:numPr>
          <w:ilvl w:val="0"/>
          <w:numId w:val="80"/>
        </w:numPr>
        <w:tabs>
          <w:tab w:pos="1380" w:val="left" w:leader="none"/>
          <w:tab w:pos="1381" w:val="left" w:leader="none"/>
        </w:tabs>
        <w:spacing w:line="240" w:lineRule="auto" w:before="0" w:after="0"/>
        <w:ind w:left="1380" w:right="0" w:hanging="836"/>
        <w:jc w:val="left"/>
        <w:rPr>
          <w:sz w:val="21"/>
        </w:rPr>
      </w:pPr>
      <w:r>
        <w:rPr>
          <w:spacing w:val="-2"/>
          <w:sz w:val="21"/>
        </w:rPr>
        <w:t>相当于Ann</w:t>
      </w:r>
      <w:r>
        <w:rPr>
          <w:spacing w:val="19"/>
          <w:sz w:val="21"/>
        </w:rPr>
        <w:t> </w:t>
      </w:r>
      <w:r>
        <w:rPr>
          <w:spacing w:val="-2"/>
          <w:sz w:val="21"/>
        </w:rPr>
        <w:t>Arbor</w:t>
      </w:r>
      <w:r>
        <w:rPr>
          <w:spacing w:val="-3"/>
          <w:sz w:val="21"/>
        </w:rPr>
        <w:t>分期方案Ⅰ期程度的何杰金氏病；</w:t>
      </w:r>
    </w:p>
    <w:p>
      <w:pPr>
        <w:pStyle w:val="BodyText"/>
        <w:spacing w:before="7"/>
        <w:rPr>
          <w:sz w:val="15"/>
        </w:rPr>
      </w:pPr>
    </w:p>
    <w:p>
      <w:pPr>
        <w:pStyle w:val="ListParagraph"/>
        <w:numPr>
          <w:ilvl w:val="0"/>
          <w:numId w:val="80"/>
        </w:numPr>
        <w:tabs>
          <w:tab w:pos="1380" w:val="left" w:leader="none"/>
          <w:tab w:pos="1381" w:val="left" w:leader="none"/>
        </w:tabs>
        <w:spacing w:line="417" w:lineRule="auto" w:before="0" w:after="0"/>
        <w:ind w:left="965" w:right="955" w:hanging="420"/>
        <w:jc w:val="left"/>
        <w:rPr>
          <w:sz w:val="21"/>
        </w:rPr>
      </w:pPr>
      <w:r>
        <w:rPr>
          <w:sz w:val="21"/>
        </w:rPr>
        <w:t>未发生淋巴结和远处转移且WHO分级为G1级别（核分裂像&lt;10/50</w:t>
      </w:r>
      <w:r>
        <w:rPr>
          <w:spacing w:val="-27"/>
          <w:sz w:val="21"/>
        </w:rPr>
        <w:t> </w:t>
      </w:r>
      <w:r>
        <w:rPr>
          <w:sz w:val="21"/>
        </w:rPr>
        <w:t>HPF和 </w:t>
      </w:r>
      <w:r>
        <w:rPr>
          <w:spacing w:val="-2"/>
          <w:sz w:val="21"/>
        </w:rPr>
        <w:t>ki-67≤2%）的神经内分泌肿瘤。</w:t>
      </w:r>
    </w:p>
    <w:p>
      <w:pPr>
        <w:spacing w:line="320" w:lineRule="exact" w:before="0"/>
        <w:ind w:left="547"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轻</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290" w:lineRule="auto" w:before="81"/>
        <w:ind w:left="120" w:right="311" w:firstLine="427"/>
        <w:jc w:val="left"/>
        <w:rPr>
          <w:rFonts w:ascii="微软雅黑" w:eastAsia="微软雅黑"/>
          <w:b/>
          <w:sz w:val="21"/>
        </w:rPr>
      </w:pPr>
      <w:r>
        <w:rPr>
          <w:rFonts w:ascii="微软雅黑" w:eastAsia="微软雅黑"/>
          <w:b/>
          <w:w w:val="95"/>
          <w:sz w:val="21"/>
        </w:rPr>
        <w:t>ICD-O-3</w:t>
      </w:r>
      <w:r>
        <w:rPr>
          <w:rFonts w:ascii="微软雅黑" w:eastAsia="微软雅黑"/>
          <w:b/>
          <w:spacing w:val="22"/>
          <w:sz w:val="21"/>
        </w:rPr>
        <w:t> </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形</w:t>
      </w:r>
      <w:r>
        <w:rPr>
          <w:rFonts w:ascii="微软雅黑" w:eastAsia="微软雅黑"/>
          <w:b/>
          <w:w w:val="95"/>
          <w:sz w:val="21"/>
        </w:rPr>
        <w:t>态</w:t>
      </w:r>
      <w:r>
        <w:rPr>
          <w:rFonts w:ascii="微软雅黑" w:eastAsia="微软雅黑"/>
          <w:b/>
          <w:w w:val="95"/>
          <w:sz w:val="21"/>
        </w:rPr>
        <w:t>学</w:t>
      </w:r>
      <w:r>
        <w:rPr>
          <w:rFonts w:ascii="微软雅黑" w:eastAsia="微软雅黑"/>
          <w:b/>
          <w:w w:val="95"/>
          <w:sz w:val="21"/>
        </w:rPr>
        <w:t>编</w:t>
      </w:r>
      <w:r>
        <w:rPr>
          <w:rFonts w:ascii="微软雅黑" w:eastAsia="微软雅黑"/>
          <w:b/>
          <w:w w:val="95"/>
          <w:sz w:val="21"/>
        </w:rPr>
        <w:t>码</w:t>
      </w:r>
      <w:r>
        <w:rPr>
          <w:rFonts w:ascii="微软雅黑" w:eastAsia="微软雅黑"/>
          <w:b/>
          <w:w w:val="95"/>
          <w:sz w:val="21"/>
        </w:rPr>
        <w:t>属</w:t>
      </w:r>
      <w:r>
        <w:rPr>
          <w:rFonts w:ascii="微软雅黑" w:eastAsia="微软雅黑"/>
          <w:b/>
          <w:w w:val="95"/>
          <w:sz w:val="21"/>
        </w:rPr>
        <w:t>于</w:t>
      </w:r>
      <w:r>
        <w:rPr>
          <w:rFonts w:ascii="微软雅黑" w:eastAsia="微软雅黑"/>
          <w:b/>
          <w:spacing w:val="22"/>
          <w:sz w:val="21"/>
        </w:rPr>
        <w:t> </w:t>
      </w:r>
      <w:r>
        <w:rPr>
          <w:rFonts w:ascii="微软雅黑" w:eastAsia="微软雅黑"/>
          <w:b/>
          <w:w w:val="95"/>
          <w:sz w:val="21"/>
        </w:rPr>
        <w:t>0（</w:t>
      </w:r>
      <w:r>
        <w:rPr>
          <w:rFonts w:ascii="微软雅黑" w:eastAsia="微软雅黑"/>
          <w:b/>
          <w:w w:val="95"/>
          <w:sz w:val="21"/>
        </w:rPr>
        <w:t>良</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spacing w:val="-106"/>
          <w:w w:val="95"/>
          <w:sz w:val="21"/>
        </w:rPr>
        <w:t>）</w:t>
      </w:r>
      <w:r>
        <w:rPr>
          <w:rFonts w:ascii="微软雅黑" w:eastAsia="微软雅黑"/>
          <w:b/>
          <w:w w:val="95"/>
          <w:sz w:val="21"/>
        </w:rPr>
        <w:t>、1（</w:t>
      </w:r>
      <w:r>
        <w:rPr>
          <w:rFonts w:ascii="微软雅黑" w:eastAsia="微软雅黑"/>
          <w:b/>
          <w:w w:val="95"/>
          <w:sz w:val="21"/>
        </w:rPr>
        <w:t>动</w:t>
      </w:r>
      <w:r>
        <w:rPr>
          <w:rFonts w:ascii="微软雅黑" w:eastAsia="微软雅黑"/>
          <w:b/>
          <w:w w:val="95"/>
          <w:sz w:val="21"/>
        </w:rPr>
        <w:t>态</w:t>
      </w:r>
      <w:r>
        <w:rPr>
          <w:rFonts w:ascii="微软雅黑" w:eastAsia="微软雅黑"/>
          <w:b/>
          <w:w w:val="95"/>
          <w:sz w:val="21"/>
        </w:rPr>
        <w:t>未</w:t>
      </w:r>
      <w:r>
        <w:rPr>
          <w:rFonts w:ascii="微软雅黑" w:eastAsia="微软雅黑"/>
          <w:b/>
          <w:w w:val="95"/>
          <w:sz w:val="21"/>
        </w:rPr>
        <w:t>定</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spacing w:val="-108"/>
          <w:w w:val="95"/>
          <w:sz w:val="21"/>
        </w:rPr>
        <w:t>）</w:t>
      </w:r>
      <w:r>
        <w:rPr>
          <w:rFonts w:ascii="微软雅黑" w:eastAsia="微软雅黑"/>
          <w:b/>
          <w:w w:val="95"/>
          <w:sz w:val="21"/>
        </w:rPr>
        <w:t>、2（原</w:t>
      </w:r>
      <w:r>
        <w:rPr>
          <w:rFonts w:ascii="微软雅黑" w:eastAsia="微软雅黑"/>
          <w:b/>
          <w:w w:val="95"/>
          <w:sz w:val="21"/>
        </w:rPr>
        <w:t>位</w:t>
      </w:r>
      <w:r>
        <w:rPr>
          <w:rFonts w:ascii="微软雅黑" w:eastAsia="微软雅黑"/>
          <w:b/>
          <w:w w:val="95"/>
          <w:sz w:val="21"/>
        </w:rPr>
        <w:t>癌</w:t>
      </w:r>
      <w:r>
        <w:rPr>
          <w:rFonts w:ascii="微软雅黑" w:eastAsia="微软雅黑"/>
          <w:b/>
          <w:w w:val="95"/>
          <w:sz w:val="21"/>
        </w:rPr>
        <w:t>和</w:t>
      </w:r>
      <w:r>
        <w:rPr>
          <w:rFonts w:ascii="微软雅黑" w:eastAsia="微软雅黑"/>
          <w:b/>
          <w:w w:val="95"/>
          <w:sz w:val="21"/>
        </w:rPr>
        <w:t>非</w:t>
      </w:r>
      <w:r>
        <w:rPr>
          <w:rFonts w:ascii="微软雅黑" w:eastAsia="微软雅黑"/>
          <w:b/>
          <w:w w:val="95"/>
          <w:sz w:val="21"/>
        </w:rPr>
        <w:t>侵</w:t>
      </w:r>
      <w:r>
        <w:rPr>
          <w:rFonts w:ascii="微软雅黑" w:eastAsia="微软雅黑"/>
          <w:b/>
          <w:spacing w:val="-2"/>
          <w:sz w:val="21"/>
        </w:rPr>
        <w:t>袭性癌）范畴的疾病，如：</w:t>
      </w:r>
    </w:p>
    <w:p>
      <w:pPr>
        <w:pStyle w:val="ListParagraph"/>
        <w:numPr>
          <w:ilvl w:val="1"/>
          <w:numId w:val="80"/>
        </w:numPr>
        <w:tabs>
          <w:tab w:pos="1106" w:val="left" w:leader="none"/>
          <w:tab w:pos="1107" w:val="left" w:leader="none"/>
        </w:tabs>
        <w:spacing w:line="290" w:lineRule="auto" w:before="0" w:after="0"/>
        <w:ind w:left="1106" w:right="319" w:hanging="420"/>
        <w:jc w:val="left"/>
        <w:rPr>
          <w:rFonts w:ascii="微软雅黑" w:eastAsia="微软雅黑"/>
          <w:b/>
          <w:sz w:val="21"/>
        </w:rPr>
      </w:pPr>
      <w:r>
        <w:rPr>
          <w:rFonts w:ascii="微软雅黑" w:eastAsia="微软雅黑"/>
          <w:b/>
          <w:spacing w:val="-2"/>
          <w:sz w:val="21"/>
        </w:rPr>
        <w:t>原位癌，癌前病变，非浸润性癌，非侵袭性癌，肿瘤细胞未侵犯基底层，上皮内</w:t>
      </w:r>
      <w:r>
        <w:rPr>
          <w:rFonts w:ascii="微软雅黑" w:eastAsia="微软雅黑"/>
          <w:b/>
          <w:spacing w:val="-2"/>
          <w:sz w:val="21"/>
        </w:rPr>
        <w:t>瘤变，细胞不典型性增生等；</w:t>
      </w:r>
    </w:p>
    <w:p>
      <w:pPr>
        <w:pStyle w:val="ListParagraph"/>
        <w:numPr>
          <w:ilvl w:val="1"/>
          <w:numId w:val="80"/>
        </w:numPr>
        <w:tabs>
          <w:tab w:pos="1106" w:val="left" w:leader="none"/>
          <w:tab w:pos="1107" w:val="left" w:leader="none"/>
        </w:tabs>
        <w:spacing w:line="290" w:lineRule="auto" w:before="0" w:after="0"/>
        <w:ind w:left="120" w:right="890" w:firstLine="566"/>
        <w:jc w:val="left"/>
        <w:rPr>
          <w:rFonts w:ascii="微软雅黑" w:eastAsia="微软雅黑"/>
          <w:b/>
          <w:sz w:val="21"/>
        </w:rPr>
      </w:pPr>
      <w:r>
        <w:rPr>
          <w:rFonts w:ascii="微软雅黑" w:eastAsia="微软雅黑"/>
          <w:b/>
          <w:spacing w:val="-2"/>
          <w:sz w:val="21"/>
        </w:rPr>
        <w:t>交界性肿瘤，交界恶性肿瘤，肿瘤低度恶性潜能，潜在低度恶性肿瘤等。</w:t>
      </w:r>
      <w:r>
        <w:rPr>
          <w:rFonts w:ascii="微软雅黑" w:eastAsia="微软雅黑"/>
          <w:b/>
          <w:spacing w:val="-2"/>
          <w:sz w:val="21"/>
        </w:rPr>
        <w:t> </w:t>
      </w:r>
      <w:r>
        <w:rPr>
          <w:rFonts w:ascii="微软雅黑" w:eastAsia="微软雅黑"/>
          <w:b/>
          <w:w w:val="110"/>
          <w:sz w:val="21"/>
        </w:rPr>
        <w:t>(二) </w:t>
      </w:r>
      <w:r>
        <w:rPr>
          <w:rFonts w:ascii="微软雅黑" w:eastAsia="微软雅黑"/>
          <w:b/>
          <w:w w:val="110"/>
          <w:sz w:val="21"/>
        </w:rPr>
        <w:t>较</w:t>
      </w:r>
      <w:r>
        <w:rPr>
          <w:rFonts w:ascii="微软雅黑" w:eastAsia="微软雅黑"/>
          <w:b/>
          <w:w w:val="110"/>
          <w:sz w:val="21"/>
        </w:rPr>
        <w:t>轻</w:t>
      </w:r>
      <w:r>
        <w:rPr>
          <w:rFonts w:ascii="微软雅黑" w:eastAsia="微软雅黑"/>
          <w:b/>
          <w:w w:val="110"/>
          <w:sz w:val="21"/>
        </w:rPr>
        <w:t>急</w:t>
      </w:r>
      <w:r>
        <w:rPr>
          <w:rFonts w:ascii="微软雅黑" w:eastAsia="微软雅黑"/>
          <w:b/>
          <w:w w:val="110"/>
          <w:sz w:val="21"/>
        </w:rPr>
        <w:t>性</w:t>
      </w:r>
      <w:r>
        <w:rPr>
          <w:rFonts w:ascii="微软雅黑" w:eastAsia="微软雅黑"/>
          <w:b/>
          <w:w w:val="110"/>
          <w:sz w:val="21"/>
        </w:rPr>
        <w:t>心</w:t>
      </w:r>
      <w:r>
        <w:rPr>
          <w:rFonts w:ascii="微软雅黑" w:eastAsia="微软雅黑"/>
          <w:b/>
          <w:w w:val="110"/>
          <w:sz w:val="21"/>
        </w:rPr>
        <w:t>肌</w:t>
      </w:r>
      <w:r>
        <w:rPr>
          <w:rFonts w:ascii="微软雅黑" w:eastAsia="微软雅黑"/>
          <w:b/>
          <w:w w:val="110"/>
          <w:sz w:val="21"/>
        </w:rPr>
        <w:t>梗</w:t>
      </w:r>
      <w:r>
        <w:rPr>
          <w:rFonts w:ascii="微软雅黑" w:eastAsia="微软雅黑"/>
          <w:b/>
          <w:w w:val="110"/>
          <w:sz w:val="21"/>
        </w:rPr>
        <w:t>死</w:t>
      </w:r>
    </w:p>
    <w:p>
      <w:pPr>
        <w:pStyle w:val="BodyText"/>
        <w:spacing w:line="417" w:lineRule="auto" w:before="65"/>
        <w:ind w:left="120" w:right="311" w:firstLine="427"/>
        <w:jc w:val="both"/>
      </w:pPr>
      <w:r>
        <w:rPr/>
        <w:drawing>
          <wp:anchor distT="0" distB="0" distL="0" distR="0" allowOverlap="1" layoutInCell="1" locked="0" behindDoc="1" simplePos="0" relativeHeight="486294528">
            <wp:simplePos x="0" y="0"/>
            <wp:positionH relativeFrom="page">
              <wp:posOffset>4757401</wp:posOffset>
            </wp:positionH>
            <wp:positionV relativeFrom="paragraph">
              <wp:posOffset>360679</wp:posOffset>
            </wp:positionV>
            <wp:extent cx="123825" cy="127000"/>
            <wp:effectExtent l="0" t="0" r="0" b="0"/>
            <wp:wrapNone/>
            <wp:docPr id="69" name="image2.png"/>
            <wp:cNvGraphicFramePr>
              <a:graphicFrameLocks noChangeAspect="1"/>
            </wp:cNvGraphicFramePr>
            <a:graphic>
              <a:graphicData uri="http://schemas.openxmlformats.org/drawingml/2006/picture">
                <pic:pic>
                  <pic:nvPicPr>
                    <pic:cNvPr id="70"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急性心肌梗死指由于冠状动脉闭塞或梗阻引起部分心肌严重的持久性缺血造成急性心</w:t>
      </w:r>
      <w:r>
        <w:rPr>
          <w:spacing w:val="-2"/>
        </w:rPr>
        <w:t>肌坏死。急性心肌梗死的诊断必须依据国际国内诊断标准，符（1）检测到肌酸激酶同工</w:t>
      </w:r>
      <w:r>
        <w:rPr>
          <w:spacing w:val="-2"/>
        </w:rPr>
        <w:t>酶（CK-MB）或肌钙蛋白（cTn）升高和/或降低的动态变化，至少一次达到或超过心肌梗死</w:t>
      </w:r>
      <w:r>
        <w:rPr>
          <w:spacing w:val="-18"/>
        </w:rPr>
        <w:t>的临床诊断标准；</w:t>
      </w:r>
      <w:r>
        <w:rPr>
          <w:spacing w:val="30"/>
        </w:rPr>
        <w:t>（</w:t>
      </w:r>
      <w:r>
        <w:rPr>
          <w:spacing w:val="28"/>
        </w:rPr>
        <w:t>2</w:t>
      </w:r>
      <w:r>
        <w:rPr>
          <w:spacing w:val="11"/>
        </w:rPr>
        <w:t>）</w:t>
      </w:r>
      <w:r>
        <w:rPr>
          <w:spacing w:val="-6"/>
        </w:rPr>
        <w:t>同时存在下列之一的证据，包括：缺血性胸痛症状、新发生的缺血性</w:t>
      </w:r>
      <w:r>
        <w:rPr>
          <w:spacing w:val="-6"/>
        </w:rPr>
        <w:t>心电图改变、新生成的病理性 </w:t>
      </w:r>
      <w:r>
        <w:rPr>
          <w:spacing w:val="-4"/>
        </w:rPr>
        <w:t>Q</w:t>
      </w:r>
      <w:r>
        <w:rPr>
          <w:spacing w:val="-13"/>
        </w:rPr>
        <w:t> 波、影像学证据显示有新出现的心肌活性丧失或新出现局部</w:t>
      </w:r>
    </w:p>
    <w:p>
      <w:pPr>
        <w:spacing w:after="0" w:line="417" w:lineRule="auto"/>
        <w:jc w:val="both"/>
        <w:sectPr>
          <w:pgSz w:w="11910" w:h="16840"/>
          <w:pgMar w:header="0" w:footer="1005" w:top="1460" w:bottom="1200" w:left="1680" w:right="1480"/>
        </w:sectPr>
      </w:pPr>
    </w:p>
    <w:p>
      <w:pPr>
        <w:pStyle w:val="BodyText"/>
        <w:spacing w:before="61"/>
        <w:ind w:left="120"/>
      </w:pPr>
      <w:r>
        <w:rPr>
          <w:spacing w:val="-3"/>
        </w:rPr>
        <w:t>室壁运动异常、冠脉造影证实存在冠状动脉血栓。</w:t>
      </w:r>
    </w:p>
    <w:p>
      <w:pPr>
        <w:spacing w:line="290" w:lineRule="auto" w:before="132"/>
        <w:ind w:left="120" w:right="311" w:firstLine="427"/>
        <w:jc w:val="left"/>
        <w:rPr>
          <w:rFonts w:ascii="微软雅黑" w:hAnsi="微软雅黑" w:eastAsia="微软雅黑"/>
          <w:b/>
          <w:sz w:val="21"/>
        </w:rPr>
      </w:pPr>
      <w:r>
        <w:rPr>
          <w:spacing w:val="-2"/>
          <w:sz w:val="21"/>
        </w:rPr>
        <w:t>较轻急性心肌梗死指依照上述标准被明确诊断为急性心肌梗死，</w:t>
      </w:r>
      <w:r>
        <w:rPr>
          <w:rFonts w:ascii="微软雅黑" w:hAnsi="微软雅黑" w:eastAsia="微软雅黑"/>
          <w:b/>
          <w:spacing w:val="-2"/>
          <w:sz w:val="21"/>
        </w:rPr>
        <w:t>但未达到“较重急性</w:t>
      </w:r>
      <w:r>
        <w:rPr>
          <w:rFonts w:ascii="微软雅黑" w:hAnsi="微软雅黑" w:eastAsia="微软雅黑"/>
          <w:b/>
          <w:spacing w:val="-2"/>
          <w:sz w:val="21"/>
        </w:rPr>
        <w:t>心肌梗死”的给付标准。</w:t>
      </w:r>
    </w:p>
    <w:p>
      <w:pPr>
        <w:pStyle w:val="Heading2"/>
        <w:spacing w:line="290" w:lineRule="auto"/>
        <w:ind w:right="1341" w:firstLine="427"/>
      </w:pPr>
      <w:r>
        <w:rPr>
          <w:spacing w:val="-2"/>
        </w:rPr>
        <w:t>其他非冠状动脉阻塞性疾病引起的肌钙蛋白（cTn）升高不在保障范围内。 </w:t>
      </w:r>
      <w:r>
        <w:rPr/>
        <w:t>(三) 轻度脑中风后遗症</w:t>
      </w:r>
    </w:p>
    <w:p>
      <w:pPr>
        <w:pStyle w:val="BodyText"/>
        <w:spacing w:line="417" w:lineRule="auto" w:before="66"/>
        <w:ind w:left="120" w:right="311" w:firstLine="427"/>
        <w:jc w:val="both"/>
      </w:pPr>
      <w:r>
        <w:rPr>
          <w:spacing w:val="-4"/>
        </w:rPr>
        <w:t>指因脑血管的突发病变引起脑血管出血、栓塞或梗塞，须由头颅断层扫描</w:t>
      </w:r>
      <w:r>
        <w:rPr>
          <w:spacing w:val="22"/>
        </w:rPr>
        <w:t>（</w:t>
      </w:r>
      <w:r>
        <w:rPr>
          <w:spacing w:val="20"/>
        </w:rPr>
        <w:t>C</w:t>
      </w:r>
      <w:r>
        <w:rPr>
          <w:spacing w:val="23"/>
        </w:rPr>
        <w:t>T</w:t>
      </w:r>
      <w:r>
        <w:rPr>
          <w:spacing w:val="-83"/>
        </w:rPr>
        <w:t>）</w:t>
      </w:r>
      <w:r>
        <w:rPr>
          <w:spacing w:val="-4"/>
        </w:rPr>
        <w:t>、核磁</w:t>
      </w:r>
      <w:r>
        <w:rPr>
          <w:spacing w:val="-2"/>
        </w:rPr>
        <w:t>共振检查（MRI）等影像学检查证实，并导致神经系统永久性的功能障碍，但未达到“严重</w:t>
      </w:r>
      <w:r>
        <w:rPr>
          <w:spacing w:val="-2"/>
        </w:rPr>
        <w:t>脑中风后遗症”的给付标准，在疾病确诊 </w:t>
      </w:r>
      <w:r>
        <w:rPr/>
        <w:t>180</w:t>
      </w:r>
      <w:r>
        <w:rPr>
          <w:spacing w:val="-5"/>
        </w:rPr>
        <w:t> 天后，仍遗留下列至少一种障碍：</w:t>
      </w:r>
    </w:p>
    <w:p>
      <w:pPr>
        <w:pStyle w:val="ListParagraph"/>
        <w:numPr>
          <w:ilvl w:val="0"/>
          <w:numId w:val="81"/>
        </w:numPr>
        <w:tabs>
          <w:tab w:pos="1381" w:val="left" w:leader="none"/>
        </w:tabs>
        <w:spacing w:line="269" w:lineRule="exact" w:before="0" w:after="0"/>
        <w:ind w:left="1380" w:right="0" w:hanging="836"/>
        <w:jc w:val="both"/>
        <w:rPr>
          <w:sz w:val="21"/>
        </w:rPr>
      </w:pPr>
      <w:r>
        <w:rPr>
          <w:spacing w:val="-2"/>
          <w:sz w:val="21"/>
        </w:rPr>
        <w:t>一肢（含）以上肢体肌力为3</w:t>
      </w:r>
      <w:r>
        <w:rPr>
          <w:spacing w:val="-6"/>
          <w:sz w:val="21"/>
        </w:rPr>
        <w:t>级；</w:t>
      </w:r>
    </w:p>
    <w:p>
      <w:pPr>
        <w:pStyle w:val="BodyText"/>
        <w:spacing w:before="7"/>
        <w:rPr>
          <w:sz w:val="15"/>
        </w:rPr>
      </w:pPr>
    </w:p>
    <w:p>
      <w:pPr>
        <w:pStyle w:val="ListParagraph"/>
        <w:numPr>
          <w:ilvl w:val="0"/>
          <w:numId w:val="81"/>
        </w:numPr>
        <w:tabs>
          <w:tab w:pos="1381" w:val="left" w:leader="none"/>
        </w:tabs>
        <w:spacing w:line="357" w:lineRule="auto" w:before="0" w:after="0"/>
        <w:ind w:left="120" w:right="638" w:firstLine="424"/>
        <w:jc w:val="both"/>
        <w:rPr>
          <w:rFonts w:ascii="微软雅黑" w:eastAsia="微软雅黑"/>
          <w:b/>
          <w:sz w:val="21"/>
        </w:rPr>
      </w:pPr>
      <w:r>
        <w:rPr>
          <w:spacing w:val="-2"/>
          <w:sz w:val="21"/>
        </w:rPr>
        <w:t>自主生活能力部分丧失，无法独立完成六项基本日常生活活动中的两项。 </w:t>
      </w:r>
      <w:r>
        <w:rPr>
          <w:rFonts w:ascii="微软雅黑" w:eastAsia="微软雅黑"/>
          <w:b/>
          <w:w w:val="110"/>
          <w:sz w:val="21"/>
        </w:rPr>
        <w:t>(四) </w:t>
      </w:r>
      <w:r>
        <w:rPr>
          <w:rFonts w:ascii="微软雅黑" w:eastAsia="微软雅黑"/>
          <w:b/>
          <w:w w:val="110"/>
          <w:sz w:val="21"/>
        </w:rPr>
        <w:t>原</w:t>
      </w:r>
      <w:r>
        <w:rPr>
          <w:rFonts w:ascii="微软雅黑" w:eastAsia="微软雅黑"/>
          <w:b/>
          <w:w w:val="110"/>
          <w:sz w:val="21"/>
        </w:rPr>
        <w:t>位</w:t>
      </w:r>
      <w:r>
        <w:rPr>
          <w:rFonts w:ascii="微软雅黑" w:eastAsia="微软雅黑"/>
          <w:b/>
          <w:w w:val="110"/>
          <w:sz w:val="21"/>
        </w:rPr>
        <w:t>癌</w:t>
      </w:r>
    </w:p>
    <w:p>
      <w:pPr>
        <w:pStyle w:val="BodyText"/>
        <w:spacing w:line="227" w:lineRule="exact"/>
        <w:ind w:left="547"/>
      </w:pPr>
      <w:r>
        <w:rPr>
          <w:spacing w:val="-3"/>
        </w:rPr>
        <w:t>恶性细胞局限于上皮内尚未穿破基底膜浸润周围正常组织的癌细胞新生物,且须满足以</w:t>
      </w:r>
    </w:p>
    <w:p>
      <w:pPr>
        <w:pStyle w:val="BodyText"/>
        <w:spacing w:before="7"/>
        <w:rPr>
          <w:sz w:val="15"/>
        </w:rPr>
      </w:pPr>
    </w:p>
    <w:p>
      <w:pPr>
        <w:pStyle w:val="BodyText"/>
        <w:ind w:left="120"/>
      </w:pPr>
      <w:r>
        <w:rPr>
          <w:spacing w:val="-4"/>
        </w:rPr>
        <w:t>下两个条件：</w:t>
      </w:r>
    </w:p>
    <w:p>
      <w:pPr>
        <w:pStyle w:val="BodyText"/>
        <w:spacing w:before="6"/>
        <w:rPr>
          <w:sz w:val="15"/>
        </w:rPr>
      </w:pPr>
    </w:p>
    <w:p>
      <w:pPr>
        <w:pStyle w:val="ListParagraph"/>
        <w:numPr>
          <w:ilvl w:val="0"/>
          <w:numId w:val="82"/>
        </w:numPr>
        <w:tabs>
          <w:tab w:pos="1380" w:val="left" w:leader="none"/>
          <w:tab w:pos="1381" w:val="left" w:leader="none"/>
        </w:tabs>
        <w:spacing w:line="417" w:lineRule="auto" w:before="1" w:after="0"/>
        <w:ind w:left="965" w:right="323" w:hanging="420"/>
        <w:jc w:val="left"/>
        <w:rPr>
          <w:sz w:val="21"/>
        </w:rPr>
      </w:pPr>
      <w:r>
        <w:rPr>
          <w:spacing w:val="-2"/>
          <w:sz w:val="21"/>
        </w:rPr>
        <w:t>必须经对固定活组织的组织病理学检查明确诊断,属于世界卫生组织《疾病和</w:t>
      </w:r>
      <w:r>
        <w:rPr>
          <w:spacing w:val="-10"/>
          <w:sz w:val="21"/>
        </w:rPr>
        <w:t>有关健康问题的国际统计分类》</w:t>
      </w:r>
      <w:r>
        <w:rPr>
          <w:spacing w:val="-2"/>
          <w:sz w:val="21"/>
        </w:rPr>
        <w:t>（ICD-10）的原位癌范畴（D00-D09）;</w:t>
      </w:r>
    </w:p>
    <w:p>
      <w:pPr>
        <w:pStyle w:val="ListParagraph"/>
        <w:numPr>
          <w:ilvl w:val="0"/>
          <w:numId w:val="82"/>
        </w:numPr>
        <w:tabs>
          <w:tab w:pos="1380" w:val="left" w:leader="none"/>
          <w:tab w:pos="1381" w:val="left" w:leader="none"/>
        </w:tabs>
        <w:spacing w:line="357" w:lineRule="auto" w:before="0" w:after="0"/>
        <w:ind w:left="120" w:right="2318" w:firstLine="424"/>
        <w:jc w:val="left"/>
        <w:rPr>
          <w:rFonts w:ascii="微软雅黑" w:eastAsia="微软雅黑"/>
          <w:b/>
          <w:sz w:val="21"/>
        </w:rPr>
      </w:pPr>
      <w:r>
        <w:rPr>
          <w:spacing w:val="-2"/>
          <w:sz w:val="21"/>
        </w:rPr>
        <w:t>被保险人必须己经接受了针对原位癌病灶的手术治疗。</w:t>
      </w:r>
      <w:r>
        <w:rPr>
          <w:spacing w:val="-2"/>
          <w:sz w:val="21"/>
        </w:rPr>
        <w:t> </w:t>
      </w:r>
      <w:r>
        <w:rPr>
          <w:rFonts w:ascii="微软雅黑" w:eastAsia="微软雅黑"/>
          <w:b/>
          <w:w w:val="110"/>
          <w:sz w:val="21"/>
        </w:rPr>
        <w:t>(五) </w:t>
      </w:r>
      <w:r>
        <w:rPr>
          <w:rFonts w:ascii="微软雅黑" w:eastAsia="微软雅黑"/>
          <w:b/>
          <w:w w:val="110"/>
          <w:sz w:val="21"/>
        </w:rPr>
        <w:t>轻</w:t>
      </w:r>
      <w:r>
        <w:rPr>
          <w:rFonts w:ascii="微软雅黑" w:eastAsia="微软雅黑"/>
          <w:b/>
          <w:w w:val="110"/>
          <w:sz w:val="21"/>
        </w:rPr>
        <w:t>度</w:t>
      </w:r>
      <w:r>
        <w:rPr>
          <w:rFonts w:ascii="微软雅黑" w:eastAsia="微软雅黑"/>
          <w:b/>
          <w:w w:val="110"/>
          <w:sz w:val="21"/>
        </w:rPr>
        <w:t>面</w:t>
      </w:r>
      <w:r>
        <w:rPr>
          <w:rFonts w:ascii="微软雅黑" w:eastAsia="微软雅黑"/>
          <w:b/>
          <w:w w:val="110"/>
          <w:sz w:val="21"/>
        </w:rPr>
        <w:t>部</w:t>
      </w:r>
      <w:r>
        <w:rPr>
          <w:rFonts w:ascii="微软雅黑" w:eastAsia="微软雅黑"/>
          <w:b/>
          <w:w w:val="110"/>
          <w:sz w:val="21"/>
        </w:rPr>
        <w:t>烧</w:t>
      </w:r>
      <w:r>
        <w:rPr>
          <w:rFonts w:ascii="微软雅黑" w:eastAsia="微软雅黑"/>
          <w:b/>
          <w:w w:val="110"/>
          <w:sz w:val="21"/>
        </w:rPr>
        <w:t>伤</w:t>
      </w:r>
    </w:p>
    <w:p>
      <w:pPr>
        <w:pStyle w:val="BodyText"/>
        <w:spacing w:line="228" w:lineRule="exact"/>
        <w:ind w:left="547"/>
      </w:pPr>
      <w:r>
        <w:rPr>
          <w:spacing w:val="-4"/>
        </w:rPr>
        <w:t>指烧伤程度为Ⅲ度，且Ⅲ度烧伤的面积达到面部表面积的 </w:t>
      </w:r>
      <w:r>
        <w:rPr>
          <w:spacing w:val="-2"/>
        </w:rPr>
        <w:t>30</w:t>
      </w:r>
      <w:r>
        <w:rPr>
          <w:spacing w:val="-11"/>
        </w:rPr>
        <w:t>%或者 </w:t>
      </w:r>
      <w:r>
        <w:rPr>
          <w:spacing w:val="-2"/>
        </w:rPr>
        <w:t>30</w:t>
      </w:r>
      <w:r>
        <w:rPr>
          <w:spacing w:val="-3"/>
        </w:rPr>
        <w:t>%以上，但未达到</w:t>
      </w:r>
    </w:p>
    <w:p>
      <w:pPr>
        <w:pStyle w:val="BodyText"/>
        <w:spacing w:before="6"/>
        <w:rPr>
          <w:sz w:val="15"/>
        </w:rPr>
      </w:pPr>
    </w:p>
    <w:p>
      <w:pPr>
        <w:pStyle w:val="BodyText"/>
        <w:ind w:left="120"/>
      </w:pPr>
      <w:r>
        <w:rPr>
          <w:spacing w:val="-9"/>
        </w:rPr>
        <w:t>面部表面积的 </w:t>
      </w:r>
      <w:r>
        <w:rPr>
          <w:spacing w:val="-2"/>
        </w:rPr>
        <w:t>80</w:t>
      </w:r>
      <w:r>
        <w:rPr>
          <w:spacing w:val="-6"/>
        </w:rPr>
        <w:t>%。</w:t>
      </w:r>
    </w:p>
    <w:p>
      <w:pPr>
        <w:pStyle w:val="Heading2"/>
        <w:spacing w:line="290" w:lineRule="auto" w:before="132"/>
        <w:ind w:right="314" w:firstLine="427"/>
      </w:pPr>
      <w:r>
        <w:rPr/>
        <w:t>我们对“较小面积 </w:t>
      </w:r>
      <w:r>
        <w:rPr>
          <w:w w:val="130"/>
        </w:rPr>
        <w:t>III </w:t>
      </w:r>
      <w:r>
        <w:rPr/>
        <w:t>度烧伤</w:t>
      </w:r>
      <w:r>
        <w:rPr>
          <w:rFonts w:ascii="宋体" w:hAnsi="宋体" w:eastAsia="宋体" w:hint="eastAsia"/>
        </w:rPr>
        <w:t>”</w:t>
      </w:r>
      <w:r>
        <w:rPr/>
        <w:t>、</w:t>
      </w:r>
      <w:r>
        <w:rPr>
          <w:rFonts w:ascii="宋体" w:hAnsi="宋体" w:eastAsia="宋体" w:hint="eastAsia"/>
        </w:rPr>
        <w:t>“</w:t>
      </w:r>
      <w:r>
        <w:rPr/>
        <w:t>面部重建手术</w:t>
      </w:r>
      <w:r>
        <w:rPr>
          <w:rFonts w:ascii="宋体" w:hAnsi="宋体" w:eastAsia="宋体" w:hint="eastAsia"/>
        </w:rPr>
        <w:t>”</w:t>
      </w:r>
      <w:r>
        <w:rPr/>
        <w:t>和</w:t>
      </w:r>
      <w:r>
        <w:rPr>
          <w:rFonts w:ascii="宋体" w:hAnsi="宋体" w:eastAsia="宋体" w:hint="eastAsia"/>
        </w:rPr>
        <w:t>“</w:t>
      </w:r>
      <w:r>
        <w:rPr/>
        <w:t>轻度面部烧伤</w:t>
      </w:r>
      <w:r>
        <w:rPr>
          <w:rFonts w:ascii="宋体" w:hAnsi="宋体" w:eastAsia="宋体" w:hint="eastAsia"/>
        </w:rPr>
        <w:t>”</w:t>
      </w:r>
      <w:r>
        <w:rPr/>
        <w:t>三项中的其</w:t>
      </w:r>
      <w:r>
        <w:rPr>
          <w:spacing w:val="-2"/>
        </w:rPr>
        <w:t>中一项承担保险责任，给付其中一项保险金后，对其他两项疾病的保险责任同时终止。</w:t>
      </w:r>
    </w:p>
    <w:p>
      <w:pPr>
        <w:spacing w:line="386" w:lineRule="exact" w:before="0"/>
        <w:ind w:left="120" w:right="0" w:firstLine="0"/>
        <w:jc w:val="left"/>
        <w:rPr>
          <w:rFonts w:ascii="微软雅黑" w:hAnsi="微软雅黑" w:eastAsia="微软雅黑"/>
          <w:b/>
          <w:sz w:val="21"/>
        </w:rPr>
      </w:pPr>
      <w:r>
        <w:rPr>
          <w:rFonts w:ascii="微软雅黑" w:hAnsi="微软雅黑" w:eastAsia="微软雅黑"/>
          <w:b/>
          <w:spacing w:val="-1"/>
          <w:sz w:val="21"/>
        </w:rPr>
        <w:t>(六) 特定的Ⅲ度房室传导阻滞</w:t>
      </w:r>
    </w:p>
    <w:p>
      <w:pPr>
        <w:pStyle w:val="BodyText"/>
        <w:spacing w:line="417" w:lineRule="auto" w:before="148"/>
        <w:ind w:left="120" w:right="311" w:firstLine="427"/>
      </w:pPr>
      <w:r>
        <w:rPr>
          <w:spacing w:val="-9"/>
        </w:rPr>
        <w:t>指心房激动在房室交界区、房室束及其分支内发生阻滞，不能正常地传到心室的心脏传</w:t>
      </w:r>
      <w:r>
        <w:rPr>
          <w:spacing w:val="-2"/>
        </w:rPr>
        <w:t>导性疾病须满足下列所有条件：</w:t>
      </w:r>
    </w:p>
    <w:p>
      <w:pPr>
        <w:pStyle w:val="ListParagraph"/>
        <w:numPr>
          <w:ilvl w:val="0"/>
          <w:numId w:val="83"/>
        </w:numPr>
        <w:tabs>
          <w:tab w:pos="1380" w:val="left" w:leader="none"/>
          <w:tab w:pos="1381" w:val="left" w:leader="none"/>
        </w:tabs>
        <w:spacing w:line="269" w:lineRule="exact" w:before="0" w:after="0"/>
        <w:ind w:left="1380" w:right="0" w:hanging="836"/>
        <w:jc w:val="left"/>
        <w:rPr>
          <w:sz w:val="21"/>
        </w:rPr>
      </w:pPr>
      <w:r>
        <w:rPr>
          <w:spacing w:val="-2"/>
          <w:sz w:val="21"/>
        </w:rPr>
        <w:t>心电图显示房室搏动彼此独立，心室率&lt;50</w:t>
      </w:r>
      <w:r>
        <w:rPr>
          <w:spacing w:val="-4"/>
          <w:sz w:val="21"/>
        </w:rPr>
        <w:t>次/分钟；</w:t>
      </w:r>
    </w:p>
    <w:p>
      <w:pPr>
        <w:pStyle w:val="BodyText"/>
        <w:spacing w:before="7"/>
        <w:rPr>
          <w:sz w:val="15"/>
        </w:rPr>
      </w:pPr>
    </w:p>
    <w:p>
      <w:pPr>
        <w:pStyle w:val="ListParagraph"/>
        <w:numPr>
          <w:ilvl w:val="0"/>
          <w:numId w:val="83"/>
        </w:numPr>
        <w:tabs>
          <w:tab w:pos="1380" w:val="left" w:leader="none"/>
          <w:tab w:pos="1381" w:val="left" w:leader="none"/>
        </w:tabs>
        <w:spacing w:line="240" w:lineRule="auto" w:before="0" w:after="0"/>
        <w:ind w:left="1380" w:right="0" w:hanging="836"/>
        <w:jc w:val="left"/>
        <w:rPr>
          <w:sz w:val="21"/>
        </w:rPr>
      </w:pPr>
      <w:r>
        <w:rPr/>
        <w:drawing>
          <wp:anchor distT="0" distB="0" distL="0" distR="0" allowOverlap="1" layoutInCell="1" locked="0" behindDoc="1" simplePos="0" relativeHeight="486295040">
            <wp:simplePos x="0" y="0"/>
            <wp:positionH relativeFrom="page">
              <wp:posOffset>2684320</wp:posOffset>
            </wp:positionH>
            <wp:positionV relativeFrom="paragraph">
              <wp:posOffset>22224</wp:posOffset>
            </wp:positionV>
            <wp:extent cx="123825" cy="127000"/>
            <wp:effectExtent l="0" t="0" r="0" b="0"/>
            <wp:wrapNone/>
            <wp:docPr id="71" name="image2.png"/>
            <wp:cNvGraphicFramePr>
              <a:graphicFrameLocks noChangeAspect="1"/>
            </wp:cNvGraphicFramePr>
            <a:graphic>
              <a:graphicData uri="http://schemas.openxmlformats.org/drawingml/2006/picture">
                <pic:pic>
                  <pic:nvPicPr>
                    <pic:cNvPr id="72"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sz w:val="21"/>
        </w:rPr>
        <w:t>出现阿-斯综</w:t>
      </w:r>
      <w:r>
        <w:rPr>
          <w:spacing w:val="-3"/>
          <w:sz w:val="21"/>
        </w:rPr>
        <w:t>征或心力衰竭的表现；</w:t>
      </w:r>
    </w:p>
    <w:p>
      <w:pPr>
        <w:pStyle w:val="BodyText"/>
        <w:spacing w:before="7"/>
        <w:rPr>
          <w:sz w:val="15"/>
        </w:rPr>
      </w:pPr>
    </w:p>
    <w:p>
      <w:pPr>
        <w:pStyle w:val="ListParagraph"/>
        <w:numPr>
          <w:ilvl w:val="0"/>
          <w:numId w:val="83"/>
        </w:numPr>
        <w:tabs>
          <w:tab w:pos="1380" w:val="left" w:leader="none"/>
          <w:tab w:pos="1381" w:val="left" w:leader="none"/>
        </w:tabs>
        <w:spacing w:line="357" w:lineRule="auto" w:before="0" w:after="0"/>
        <w:ind w:left="120" w:right="638" w:firstLine="424"/>
        <w:jc w:val="left"/>
        <w:rPr>
          <w:rFonts w:ascii="微软雅黑" w:eastAsia="微软雅黑"/>
          <w:b/>
          <w:sz w:val="21"/>
        </w:rPr>
      </w:pPr>
      <w:r>
        <w:rPr>
          <w:spacing w:val="-2"/>
          <w:sz w:val="21"/>
        </w:rPr>
        <w:t>必须持续性依赖心脏起搏器维持心脏正常功能，且已经放置心脏起搏器。 </w:t>
      </w:r>
      <w:r>
        <w:rPr>
          <w:rFonts w:ascii="微软雅黑" w:eastAsia="微软雅黑"/>
          <w:b/>
          <w:w w:val="110"/>
          <w:sz w:val="21"/>
        </w:rPr>
        <w:t>(七) </w:t>
      </w:r>
      <w:r>
        <w:rPr>
          <w:rFonts w:ascii="微软雅黑" w:eastAsia="微软雅黑"/>
          <w:b/>
          <w:w w:val="110"/>
          <w:sz w:val="21"/>
        </w:rPr>
        <w:t>人</w:t>
      </w:r>
      <w:r>
        <w:rPr>
          <w:rFonts w:ascii="微软雅黑" w:eastAsia="微软雅黑"/>
          <w:b/>
          <w:w w:val="110"/>
          <w:sz w:val="21"/>
        </w:rPr>
        <w:t>工</w:t>
      </w:r>
      <w:r>
        <w:rPr>
          <w:rFonts w:ascii="微软雅黑" w:eastAsia="微软雅黑"/>
          <w:b/>
          <w:w w:val="110"/>
          <w:sz w:val="21"/>
        </w:rPr>
        <w:t>耳</w:t>
      </w:r>
      <w:r>
        <w:rPr>
          <w:rFonts w:ascii="微软雅黑" w:eastAsia="微软雅黑"/>
          <w:b/>
          <w:w w:val="110"/>
          <w:sz w:val="21"/>
        </w:rPr>
        <w:t>蜗</w:t>
      </w:r>
      <w:r>
        <w:rPr>
          <w:rFonts w:ascii="微软雅黑" w:eastAsia="微软雅黑"/>
          <w:b/>
          <w:w w:val="110"/>
          <w:sz w:val="21"/>
        </w:rPr>
        <w:t>植</w:t>
      </w:r>
      <w:r>
        <w:rPr>
          <w:rFonts w:ascii="微软雅黑" w:eastAsia="微软雅黑"/>
          <w:b/>
          <w:w w:val="110"/>
          <w:sz w:val="21"/>
        </w:rPr>
        <w:t>入</w:t>
      </w:r>
      <w:r>
        <w:rPr>
          <w:rFonts w:ascii="微软雅黑" w:eastAsia="微软雅黑"/>
          <w:b/>
          <w:w w:val="110"/>
          <w:sz w:val="21"/>
        </w:rPr>
        <w:t>术</w:t>
      </w:r>
    </w:p>
    <w:p>
      <w:pPr>
        <w:pStyle w:val="BodyText"/>
        <w:spacing w:line="227" w:lineRule="exact"/>
        <w:ind w:left="547"/>
      </w:pPr>
      <w:r>
        <w:rPr>
          <w:spacing w:val="-8"/>
        </w:rPr>
        <w:t>指由于耳蜗的永久损害而实际实施了人工耳蜗植入手术。诊断须经专科医师确认在医学</w:t>
      </w:r>
    </w:p>
    <w:p>
      <w:pPr>
        <w:pStyle w:val="BodyText"/>
        <w:spacing w:before="7"/>
        <w:rPr>
          <w:sz w:val="15"/>
        </w:rPr>
      </w:pPr>
    </w:p>
    <w:p>
      <w:pPr>
        <w:pStyle w:val="BodyText"/>
        <w:ind w:left="120"/>
      </w:pPr>
      <w:r>
        <w:rPr/>
        <w:drawing>
          <wp:anchor distT="0" distB="0" distL="0" distR="0" allowOverlap="1" layoutInCell="1" locked="0" behindDoc="1" simplePos="0" relativeHeight="486295552">
            <wp:simplePos x="0" y="0"/>
            <wp:positionH relativeFrom="page">
              <wp:posOffset>3419232</wp:posOffset>
            </wp:positionH>
            <wp:positionV relativeFrom="paragraph">
              <wp:posOffset>22225</wp:posOffset>
            </wp:positionV>
            <wp:extent cx="123825" cy="127000"/>
            <wp:effectExtent l="0" t="0" r="0" b="0"/>
            <wp:wrapNone/>
            <wp:docPr id="73" name="image2.png"/>
            <wp:cNvGraphicFramePr>
              <a:graphicFrameLocks noChangeAspect="1"/>
            </wp:cNvGraphicFramePr>
            <a:graphic>
              <a:graphicData uri="http://schemas.openxmlformats.org/drawingml/2006/picture">
                <pic:pic>
                  <pic:nvPicPr>
                    <pic:cNvPr id="74"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上是必要的，且在植入手术之前已经符</w:t>
      </w:r>
      <w:r>
        <w:rPr>
          <w:spacing w:val="-4"/>
        </w:rPr>
        <w:t>下列全部条件：</w:t>
      </w:r>
    </w:p>
    <w:p>
      <w:pPr>
        <w:spacing w:after="0"/>
        <w:sectPr>
          <w:pgSz w:w="11910" w:h="16840"/>
          <w:pgMar w:header="0" w:footer="1005" w:top="1460" w:bottom="1200" w:left="1680" w:right="1480"/>
        </w:sectPr>
      </w:pPr>
    </w:p>
    <w:p>
      <w:pPr>
        <w:pStyle w:val="ListParagraph"/>
        <w:numPr>
          <w:ilvl w:val="0"/>
          <w:numId w:val="84"/>
        </w:numPr>
        <w:tabs>
          <w:tab w:pos="1380" w:val="left" w:leader="none"/>
          <w:tab w:pos="1381" w:val="left" w:leader="none"/>
        </w:tabs>
        <w:spacing w:line="240" w:lineRule="auto" w:before="61" w:after="0"/>
        <w:ind w:left="1380" w:right="0" w:hanging="836"/>
        <w:jc w:val="left"/>
        <w:rPr>
          <w:sz w:val="21"/>
        </w:rPr>
      </w:pPr>
      <w:r>
        <w:rPr>
          <w:spacing w:val="-3"/>
          <w:sz w:val="21"/>
        </w:rPr>
        <w:t>双耳持续十二个月以上重度感音神经性耳聋；</w:t>
      </w:r>
    </w:p>
    <w:p>
      <w:pPr>
        <w:pStyle w:val="BodyText"/>
        <w:spacing w:before="7"/>
        <w:rPr>
          <w:sz w:val="15"/>
        </w:rPr>
      </w:pPr>
    </w:p>
    <w:p>
      <w:pPr>
        <w:pStyle w:val="ListParagraph"/>
        <w:numPr>
          <w:ilvl w:val="0"/>
          <w:numId w:val="84"/>
        </w:numPr>
        <w:tabs>
          <w:tab w:pos="1380" w:val="left" w:leader="none"/>
          <w:tab w:pos="1381" w:val="left" w:leader="none"/>
        </w:tabs>
        <w:spacing w:line="240" w:lineRule="auto" w:before="0" w:after="0"/>
        <w:ind w:left="1380" w:right="0" w:hanging="836"/>
        <w:jc w:val="left"/>
        <w:rPr>
          <w:sz w:val="21"/>
        </w:rPr>
      </w:pPr>
      <w:r>
        <w:rPr>
          <w:spacing w:val="-3"/>
          <w:sz w:val="21"/>
        </w:rPr>
        <w:t>使用相应的听力辅助设备效果不佳。</w:t>
      </w:r>
    </w:p>
    <w:p>
      <w:pPr>
        <w:pStyle w:val="Heading2"/>
        <w:spacing w:line="290" w:lineRule="auto" w:before="132"/>
        <w:ind w:right="318" w:firstLine="427"/>
      </w:pPr>
      <w:r>
        <w:rPr>
          <w:spacing w:val="-17"/>
        </w:rPr>
        <w:t>我们对“单耳失聪”、“人工耳蜗植入术”和“轻度听力受损”三项中的其中一项承担</w:t>
      </w:r>
      <w:r>
        <w:rPr>
          <w:spacing w:val="-2"/>
        </w:rPr>
        <w:t>保险责任，给付其中一项保险金后，对其它两项疾病的保险责任同时终止。</w:t>
      </w:r>
    </w:p>
    <w:p>
      <w:pPr>
        <w:spacing w:line="386" w:lineRule="exact" w:before="0"/>
        <w:ind w:left="120" w:right="0" w:firstLine="0"/>
        <w:jc w:val="left"/>
        <w:rPr>
          <w:rFonts w:ascii="微软雅黑" w:eastAsia="微软雅黑"/>
          <w:b/>
          <w:sz w:val="21"/>
        </w:rPr>
      </w:pPr>
      <w:r>
        <w:rPr>
          <w:rFonts w:ascii="微软雅黑" w:eastAsia="微软雅黑"/>
          <w:b/>
          <w:spacing w:val="-1"/>
          <w:sz w:val="21"/>
        </w:rPr>
        <w:t>(八) 轻度继发性肺动脉高压</w:t>
      </w:r>
    </w:p>
    <w:p>
      <w:pPr>
        <w:pStyle w:val="BodyText"/>
        <w:spacing w:line="417" w:lineRule="auto" w:before="148"/>
        <w:ind w:left="120" w:right="311" w:firstLine="427"/>
        <w:jc w:val="both"/>
      </w:pPr>
      <w:r>
        <w:rPr>
          <w:spacing w:val="-9"/>
        </w:rPr>
        <w:t>继发性肺动脉压力持续增高，导致右心室肥厚，已经造成永久不可逆性的体力活动能力</w:t>
      </w:r>
      <w:r>
        <w:rPr>
          <w:spacing w:val="-4"/>
        </w:rPr>
        <w:t>受限，达到美国纽约心脏病学会心功能状态分级Ⅲ级。诊断需要有心脏科专家确诊，并且心</w:t>
      </w:r>
      <w:r>
        <w:rPr>
          <w:spacing w:val="-1"/>
        </w:rPr>
        <w:t>导管检查报告显示静息状态下肺动脉平均压超过 </w:t>
      </w:r>
      <w:r>
        <w:rPr/>
        <w:t>25mmHg</w:t>
      </w:r>
      <w:r>
        <w:rPr>
          <w:spacing w:val="-5"/>
        </w:rPr>
        <w:t>、未超过 </w:t>
      </w:r>
      <w:r>
        <w:rPr/>
        <w:t>30mmHg。</w:t>
      </w:r>
    </w:p>
    <w:p>
      <w:pPr>
        <w:pStyle w:val="Heading2"/>
        <w:spacing w:line="319" w:lineRule="exact"/>
      </w:pPr>
      <w:r>
        <w:rPr/>
        <w:t>(九) 植入大脑内分流器</w:t>
      </w:r>
    </w:p>
    <w:p>
      <w:pPr>
        <w:pStyle w:val="BodyText"/>
        <w:spacing w:before="149"/>
        <w:ind w:left="547"/>
      </w:pPr>
      <w:r>
        <w:rPr>
          <w:spacing w:val="-3"/>
        </w:rPr>
        <w:t>为缓解已升高的脑脊液压力而确实已在脑室进行分流器植入手术。</w:t>
      </w:r>
    </w:p>
    <w:p>
      <w:pPr>
        <w:pStyle w:val="BodyText"/>
        <w:spacing w:before="6"/>
        <w:rPr>
          <w:sz w:val="15"/>
        </w:rPr>
      </w:pPr>
    </w:p>
    <w:p>
      <w:pPr>
        <w:spacing w:line="357" w:lineRule="auto" w:before="0"/>
        <w:ind w:left="547" w:right="104" w:firstLine="0"/>
        <w:jc w:val="left"/>
        <w:rPr>
          <w:rFonts w:ascii="微软雅黑" w:hAnsi="微软雅黑" w:eastAsia="微软雅黑"/>
          <w:b/>
          <w:sz w:val="21"/>
        </w:rPr>
      </w:pPr>
      <w:r>
        <w:rPr>
          <w:spacing w:val="-1"/>
          <w:sz w:val="21"/>
        </w:rPr>
        <w:t>诊断及治疗均须在我们认可医院内由脑神经科专科医生认为是医疗必须的情况下进行 。</w:t>
      </w:r>
      <w:r>
        <w:rPr>
          <w:rFonts w:ascii="微软雅黑" w:hAnsi="微软雅黑" w:eastAsia="微软雅黑"/>
          <w:b/>
          <w:sz w:val="21"/>
        </w:rPr>
        <w:t>因治疗“脑垂体瘤、脑囊肿、脑动脉瘤及脑 血管瘤”导致的不在保障范围内。</w:t>
      </w:r>
    </w:p>
    <w:p>
      <w:pPr>
        <w:pStyle w:val="Heading2"/>
        <w:spacing w:line="278" w:lineRule="exact"/>
      </w:pPr>
      <w:r>
        <w:rPr>
          <w:spacing w:val="-1"/>
        </w:rPr>
        <w:t>(十) 可逆性再生障碍性贫血</w:t>
      </w:r>
    </w:p>
    <w:p>
      <w:pPr>
        <w:pStyle w:val="BodyText"/>
        <w:spacing w:line="417" w:lineRule="auto" w:before="148"/>
        <w:ind w:left="120" w:right="311" w:firstLine="427"/>
      </w:pPr>
      <w:r>
        <w:rPr>
          <w:spacing w:val="-7"/>
        </w:rPr>
        <w:t>指因急性可逆性的骨髓造血功能衰竭而导致贫血、中性粒细胞减少和血小板减少，必须</w:t>
      </w:r>
      <w:r>
        <w:rPr>
          <w:spacing w:val="-2"/>
        </w:rPr>
        <w:t>由血液科医生的诊断，且病历资料显示接受了下列任一治疗：</w:t>
      </w:r>
    </w:p>
    <w:p>
      <w:pPr>
        <w:pStyle w:val="ListParagraph"/>
        <w:numPr>
          <w:ilvl w:val="0"/>
          <w:numId w:val="85"/>
        </w:numPr>
        <w:tabs>
          <w:tab w:pos="1380" w:val="left" w:leader="none"/>
          <w:tab w:pos="1381" w:val="left" w:leader="none"/>
        </w:tabs>
        <w:spacing w:line="269" w:lineRule="exact" w:before="0" w:after="0"/>
        <w:ind w:left="1380" w:right="0" w:hanging="836"/>
        <w:jc w:val="left"/>
        <w:rPr>
          <w:sz w:val="21"/>
        </w:rPr>
      </w:pPr>
      <w:r>
        <w:rPr>
          <w:spacing w:val="-2"/>
          <w:sz w:val="21"/>
        </w:rPr>
        <w:t>骨髓刺激疗法至少1</w:t>
      </w:r>
      <w:r>
        <w:rPr>
          <w:spacing w:val="-5"/>
          <w:sz w:val="21"/>
        </w:rPr>
        <w:t>个月；</w:t>
      </w:r>
    </w:p>
    <w:p>
      <w:pPr>
        <w:pStyle w:val="BodyText"/>
        <w:spacing w:before="7"/>
        <w:rPr>
          <w:sz w:val="15"/>
        </w:rPr>
      </w:pPr>
    </w:p>
    <w:p>
      <w:pPr>
        <w:pStyle w:val="ListParagraph"/>
        <w:numPr>
          <w:ilvl w:val="0"/>
          <w:numId w:val="85"/>
        </w:numPr>
        <w:tabs>
          <w:tab w:pos="1380" w:val="left" w:leader="none"/>
          <w:tab w:pos="1381" w:val="left" w:leader="none"/>
        </w:tabs>
        <w:spacing w:line="357" w:lineRule="auto" w:before="0" w:after="0"/>
        <w:ind w:left="120" w:right="4740" w:firstLine="424"/>
        <w:jc w:val="left"/>
        <w:rPr>
          <w:rFonts w:ascii="微软雅黑" w:eastAsia="微软雅黑"/>
          <w:b/>
          <w:sz w:val="21"/>
        </w:rPr>
      </w:pPr>
      <w:r>
        <w:rPr>
          <w:spacing w:val="-2"/>
          <w:sz w:val="21"/>
        </w:rPr>
        <w:t>免疫抑制剂治疗至少1个月。</w:t>
      </w:r>
      <w:r>
        <w:rPr>
          <w:spacing w:val="-2"/>
          <w:sz w:val="21"/>
        </w:rPr>
        <w:t> </w:t>
      </w:r>
      <w:r>
        <w:rPr>
          <w:rFonts w:ascii="微软雅黑" w:eastAsia="微软雅黑"/>
          <w:b/>
          <w:w w:val="110"/>
          <w:sz w:val="21"/>
        </w:rPr>
        <w:t>(十一) </w:t>
      </w:r>
      <w:r>
        <w:rPr>
          <w:rFonts w:ascii="微软雅黑" w:eastAsia="微软雅黑"/>
          <w:b/>
          <w:w w:val="110"/>
          <w:sz w:val="21"/>
        </w:rPr>
        <w:t>早</w:t>
      </w:r>
      <w:r>
        <w:rPr>
          <w:rFonts w:ascii="微软雅黑" w:eastAsia="微软雅黑"/>
          <w:b/>
          <w:w w:val="110"/>
          <w:sz w:val="21"/>
        </w:rPr>
        <w:t>期</w:t>
      </w:r>
      <w:r>
        <w:rPr>
          <w:rFonts w:ascii="微软雅黑" w:eastAsia="微软雅黑"/>
          <w:b/>
          <w:w w:val="110"/>
          <w:sz w:val="21"/>
        </w:rPr>
        <w:t>肝</w:t>
      </w:r>
      <w:r>
        <w:rPr>
          <w:rFonts w:ascii="微软雅黑" w:eastAsia="微软雅黑"/>
          <w:b/>
          <w:w w:val="110"/>
          <w:sz w:val="21"/>
        </w:rPr>
        <w:t>硬</w:t>
      </w:r>
      <w:r>
        <w:rPr>
          <w:rFonts w:ascii="微软雅黑" w:eastAsia="微软雅黑"/>
          <w:b/>
          <w:w w:val="110"/>
          <w:sz w:val="21"/>
        </w:rPr>
        <w:t>化</w:t>
      </w:r>
    </w:p>
    <w:p>
      <w:pPr>
        <w:pStyle w:val="BodyText"/>
        <w:spacing w:line="228" w:lineRule="exact"/>
        <w:ind w:left="547"/>
      </w:pPr>
      <w:r>
        <w:rPr>
          <w:spacing w:val="-10"/>
        </w:rPr>
        <w:t>肝硬化须由专科医生明确诊断。必须由活检证实有再生的肝细胞结节和典型的肝组织纤</w:t>
      </w:r>
    </w:p>
    <w:p>
      <w:pPr>
        <w:pStyle w:val="BodyText"/>
        <w:spacing w:before="7"/>
        <w:rPr>
          <w:sz w:val="15"/>
        </w:rPr>
      </w:pPr>
    </w:p>
    <w:p>
      <w:pPr>
        <w:pStyle w:val="BodyText"/>
        <w:ind w:left="120"/>
      </w:pPr>
      <w:r>
        <w:rPr>
          <w:spacing w:val="-3"/>
        </w:rPr>
        <w:t>维化。下列条件必须全部满足并至少持续一年：</w:t>
      </w:r>
    </w:p>
    <w:p>
      <w:pPr>
        <w:pStyle w:val="BodyText"/>
        <w:spacing w:before="6"/>
        <w:rPr>
          <w:sz w:val="15"/>
        </w:rPr>
      </w:pPr>
    </w:p>
    <w:p>
      <w:pPr>
        <w:pStyle w:val="ListParagraph"/>
        <w:numPr>
          <w:ilvl w:val="0"/>
          <w:numId w:val="86"/>
        </w:numPr>
        <w:tabs>
          <w:tab w:pos="1380" w:val="left" w:leader="none"/>
          <w:tab w:pos="1381" w:val="left" w:leader="none"/>
        </w:tabs>
        <w:spacing w:line="240" w:lineRule="auto" w:before="1" w:after="0"/>
        <w:ind w:left="1380" w:right="0" w:hanging="836"/>
        <w:jc w:val="left"/>
        <w:rPr>
          <w:sz w:val="21"/>
        </w:rPr>
      </w:pPr>
      <w:r>
        <w:rPr>
          <w:spacing w:val="-2"/>
          <w:sz w:val="21"/>
        </w:rPr>
        <w:t>持续性黄疸，胆红素水平升高超过50μmol/L；</w:t>
      </w:r>
    </w:p>
    <w:p>
      <w:pPr>
        <w:pStyle w:val="BodyText"/>
        <w:spacing w:before="6"/>
        <w:rPr>
          <w:sz w:val="15"/>
        </w:rPr>
      </w:pPr>
    </w:p>
    <w:p>
      <w:pPr>
        <w:pStyle w:val="ListParagraph"/>
        <w:numPr>
          <w:ilvl w:val="0"/>
          <w:numId w:val="86"/>
        </w:numPr>
        <w:tabs>
          <w:tab w:pos="1380" w:val="left" w:leader="none"/>
          <w:tab w:pos="1381" w:val="left" w:leader="none"/>
        </w:tabs>
        <w:spacing w:line="240" w:lineRule="auto" w:before="0" w:after="0"/>
        <w:ind w:left="1380" w:right="0" w:hanging="836"/>
        <w:jc w:val="left"/>
        <w:rPr>
          <w:sz w:val="21"/>
        </w:rPr>
      </w:pPr>
      <w:r>
        <w:rPr>
          <w:spacing w:val="-2"/>
          <w:sz w:val="21"/>
        </w:rPr>
        <w:t>蛋</w:t>
      </w:r>
      <w:r>
        <w:rPr>
          <w:spacing w:val="-2"/>
          <w:sz w:val="21"/>
        </w:rPr>
        <w:t>白</w:t>
      </w:r>
      <w:r>
        <w:rPr>
          <w:spacing w:val="-2"/>
          <w:sz w:val="21"/>
        </w:rPr>
        <w:t>质</w:t>
      </w:r>
      <w:r>
        <w:rPr>
          <w:position w:val="-2"/>
          <w:sz w:val="21"/>
        </w:rPr>
        <w:drawing>
          <wp:inline distT="0" distB="0" distL="0" distR="0">
            <wp:extent cx="123825" cy="127000"/>
            <wp:effectExtent l="0" t="0" r="0" b="0"/>
            <wp:docPr id="75" name="image2.png"/>
            <wp:cNvGraphicFramePr>
              <a:graphicFrameLocks noChangeAspect="1"/>
            </wp:cNvGraphicFramePr>
            <a:graphic>
              <a:graphicData uri="http://schemas.openxmlformats.org/drawingml/2006/picture">
                <pic:pic>
                  <pic:nvPicPr>
                    <pic:cNvPr id="76"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pacing w:val="-2"/>
          <w:sz w:val="21"/>
        </w:rPr>
        <w:t>成异常，白蛋白</w:t>
      </w:r>
      <w:r>
        <w:rPr>
          <w:spacing w:val="-2"/>
          <w:sz w:val="21"/>
        </w:rPr>
        <w:t>水</w:t>
      </w:r>
      <w:r>
        <w:rPr>
          <w:spacing w:val="-2"/>
          <w:sz w:val="21"/>
        </w:rPr>
        <w:t>平</w:t>
      </w:r>
      <w:r>
        <w:rPr>
          <w:spacing w:val="-2"/>
          <w:sz w:val="21"/>
        </w:rPr>
        <w:t>低</w:t>
      </w:r>
      <w:r>
        <w:rPr>
          <w:spacing w:val="-2"/>
          <w:sz w:val="21"/>
        </w:rPr>
        <w:t>于</w:t>
      </w:r>
      <w:r>
        <w:rPr>
          <w:spacing w:val="-2"/>
          <w:sz w:val="21"/>
        </w:rPr>
        <w:t>27g/L；</w:t>
      </w:r>
    </w:p>
    <w:p>
      <w:pPr>
        <w:pStyle w:val="BodyText"/>
        <w:spacing w:before="7"/>
        <w:rPr>
          <w:sz w:val="15"/>
        </w:rPr>
      </w:pPr>
    </w:p>
    <w:p>
      <w:pPr>
        <w:pStyle w:val="ListParagraph"/>
        <w:numPr>
          <w:ilvl w:val="0"/>
          <w:numId w:val="86"/>
        </w:numPr>
        <w:tabs>
          <w:tab w:pos="1380" w:val="left" w:leader="none"/>
          <w:tab w:pos="1381" w:val="left" w:leader="none"/>
        </w:tabs>
        <w:spacing w:line="417" w:lineRule="auto" w:before="0" w:after="0"/>
        <w:ind w:left="965" w:right="323" w:hanging="420"/>
        <w:jc w:val="left"/>
        <w:rPr>
          <w:sz w:val="21"/>
        </w:rPr>
      </w:pPr>
      <w:r>
        <w:rPr>
          <w:spacing w:val="-2"/>
          <w:sz w:val="21"/>
        </w:rPr>
        <w:t>异常凝血功能，凝血酶原时间超过正常上限的2倍或以上，或者国际正常化比</w:t>
      </w:r>
      <w:r>
        <w:rPr>
          <w:spacing w:val="-2"/>
          <w:sz w:val="21"/>
        </w:rPr>
        <w:t>率（INR）在2.0以上。</w:t>
      </w:r>
    </w:p>
    <w:p>
      <w:pPr>
        <w:pStyle w:val="Heading2"/>
        <w:spacing w:line="320" w:lineRule="exact"/>
        <w:ind w:left="547"/>
      </w:pPr>
      <w:r>
        <w:rPr>
          <w:spacing w:val="-13"/>
        </w:rPr>
        <w:t>我们对“病毒性肝炎导致的肝硬化”、“早期肝硬化”和“慢性肝功能衰竭”三项中的</w:t>
      </w:r>
    </w:p>
    <w:p>
      <w:pPr>
        <w:spacing w:line="290" w:lineRule="auto" w:before="82"/>
        <w:ind w:left="120" w:right="401" w:firstLine="0"/>
        <w:jc w:val="left"/>
        <w:rPr>
          <w:rFonts w:ascii="微软雅黑" w:eastAsia="微软雅黑"/>
          <w:b/>
          <w:sz w:val="21"/>
        </w:rPr>
      </w:pPr>
      <w:r>
        <w:rPr>
          <w:rFonts w:ascii="微软雅黑" w:eastAsia="微软雅黑"/>
          <w:b/>
          <w:spacing w:val="-2"/>
          <w:sz w:val="21"/>
        </w:rPr>
        <w:t>其中一项承担保险责任，给付其中一项保险金后，对其他两项疾病的保险责任同时终止。</w:t>
      </w:r>
      <w:r>
        <w:rPr>
          <w:rFonts w:ascii="微软雅黑" w:eastAsia="微软雅黑"/>
          <w:b/>
          <w:spacing w:val="40"/>
          <w:w w:val="105"/>
          <w:sz w:val="21"/>
        </w:rPr>
        <w:t> </w:t>
      </w:r>
      <w:r>
        <w:rPr>
          <w:rFonts w:ascii="微软雅黑" w:eastAsia="微软雅黑"/>
          <w:b/>
          <w:w w:val="105"/>
          <w:sz w:val="21"/>
        </w:rPr>
        <w:t>(十二) </w:t>
      </w:r>
      <w:r>
        <w:rPr>
          <w:rFonts w:ascii="微软雅黑" w:eastAsia="微软雅黑"/>
          <w:b/>
          <w:w w:val="105"/>
          <w:sz w:val="21"/>
        </w:rPr>
        <w:t>糖</w:t>
      </w:r>
      <w:r>
        <w:rPr>
          <w:rFonts w:ascii="微软雅黑" w:eastAsia="微软雅黑"/>
          <w:b/>
          <w:w w:val="105"/>
          <w:sz w:val="21"/>
        </w:rPr>
        <w:t>尿</w:t>
      </w:r>
      <w:r>
        <w:rPr>
          <w:rFonts w:ascii="微软雅黑" w:eastAsia="微软雅黑"/>
          <w:b/>
          <w:w w:val="105"/>
          <w:sz w:val="21"/>
        </w:rPr>
        <w:t>病</w:t>
      </w:r>
      <w:r>
        <w:rPr>
          <w:rFonts w:ascii="微软雅黑" w:eastAsia="微软雅黑"/>
          <w:b/>
          <w:w w:val="105"/>
          <w:sz w:val="21"/>
        </w:rPr>
        <w:t>视</w:t>
      </w:r>
      <w:r>
        <w:rPr>
          <w:rFonts w:ascii="微软雅黑" w:eastAsia="微软雅黑"/>
          <w:b/>
          <w:w w:val="105"/>
          <w:sz w:val="21"/>
        </w:rPr>
        <w:t>网</w:t>
      </w:r>
      <w:r>
        <w:rPr>
          <w:rFonts w:ascii="微软雅黑" w:eastAsia="微软雅黑"/>
          <w:b/>
          <w:w w:val="105"/>
          <w:sz w:val="21"/>
        </w:rPr>
        <w:t>膜</w:t>
      </w:r>
      <w:r>
        <w:rPr>
          <w:rFonts w:ascii="微软雅黑" w:eastAsia="微软雅黑"/>
          <w:b/>
          <w:w w:val="105"/>
          <w:sz w:val="21"/>
        </w:rPr>
        <w:t>晚</w:t>
      </w:r>
      <w:r>
        <w:rPr>
          <w:rFonts w:ascii="微软雅黑" w:eastAsia="微软雅黑"/>
          <w:b/>
          <w:w w:val="105"/>
          <w:sz w:val="21"/>
        </w:rPr>
        <w:t>期</w:t>
      </w:r>
      <w:r>
        <w:rPr>
          <w:rFonts w:ascii="微软雅黑" w:eastAsia="微软雅黑"/>
          <w:b/>
          <w:w w:val="105"/>
          <w:sz w:val="21"/>
        </w:rPr>
        <w:t>增生性</w:t>
      </w:r>
      <w:r>
        <w:rPr>
          <w:rFonts w:ascii="微软雅黑" w:eastAsia="微软雅黑"/>
          <w:b/>
          <w:w w:val="105"/>
          <w:sz w:val="21"/>
        </w:rPr>
        <w:t>病</w:t>
      </w:r>
      <w:r>
        <w:rPr>
          <w:rFonts w:ascii="微软雅黑" w:eastAsia="微软雅黑"/>
          <w:b/>
          <w:w w:val="105"/>
          <w:sz w:val="21"/>
        </w:rPr>
        <w:t>变</w:t>
      </w:r>
    </w:p>
    <w:p>
      <w:pPr>
        <w:pStyle w:val="BodyText"/>
        <w:spacing w:before="66"/>
        <w:ind w:left="547"/>
      </w:pPr>
      <w:r>
        <w:rPr/>
        <w:drawing>
          <wp:anchor distT="0" distB="0" distL="0" distR="0" allowOverlap="1" layoutInCell="1" locked="0" behindDoc="1" simplePos="0" relativeHeight="486296064">
            <wp:simplePos x="0" y="0"/>
            <wp:positionH relativeFrom="page">
              <wp:posOffset>4624811</wp:posOffset>
            </wp:positionH>
            <wp:positionV relativeFrom="paragraph">
              <wp:posOffset>64135</wp:posOffset>
            </wp:positionV>
            <wp:extent cx="123825" cy="127000"/>
            <wp:effectExtent l="0" t="0" r="0" b="0"/>
            <wp:wrapNone/>
            <wp:docPr id="77" name="image2.png"/>
            <wp:cNvGraphicFramePr>
              <a:graphicFrameLocks noChangeAspect="1"/>
            </wp:cNvGraphicFramePr>
            <a:graphic>
              <a:graphicData uri="http://schemas.openxmlformats.org/drawingml/2006/picture">
                <pic:pic>
                  <pic:nvPicPr>
                    <pic:cNvPr id="78"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因糖尿病而并发视网膜晚期增生性血管病变，并必须符</w:t>
      </w:r>
      <w:r>
        <w:rPr>
          <w:spacing w:val="-3"/>
        </w:rPr>
        <w:t>下列所有理赔条件：</w:t>
      </w:r>
    </w:p>
    <w:p>
      <w:pPr>
        <w:pStyle w:val="BodyText"/>
        <w:spacing w:before="7"/>
        <w:rPr>
          <w:sz w:val="15"/>
        </w:rPr>
      </w:pPr>
    </w:p>
    <w:p>
      <w:pPr>
        <w:pStyle w:val="ListParagraph"/>
        <w:numPr>
          <w:ilvl w:val="0"/>
          <w:numId w:val="87"/>
        </w:numPr>
        <w:tabs>
          <w:tab w:pos="1380" w:val="left" w:leader="none"/>
          <w:tab w:pos="1381" w:val="left" w:leader="none"/>
        </w:tabs>
        <w:spacing w:line="240" w:lineRule="auto" w:before="0" w:after="0"/>
        <w:ind w:left="1380" w:right="0" w:hanging="836"/>
        <w:jc w:val="left"/>
        <w:rPr>
          <w:sz w:val="21"/>
        </w:rPr>
      </w:pPr>
      <w:r>
        <w:rPr>
          <w:spacing w:val="-3"/>
          <w:sz w:val="21"/>
        </w:rPr>
        <w:t>确诊糖尿病视网膜病变时被保险人已患有糖尿病；</w:t>
      </w:r>
    </w:p>
    <w:p>
      <w:pPr>
        <w:pStyle w:val="BodyText"/>
        <w:spacing w:before="6"/>
        <w:rPr>
          <w:sz w:val="15"/>
        </w:rPr>
      </w:pPr>
    </w:p>
    <w:p>
      <w:pPr>
        <w:pStyle w:val="ListParagraph"/>
        <w:numPr>
          <w:ilvl w:val="0"/>
          <w:numId w:val="87"/>
        </w:numPr>
        <w:tabs>
          <w:tab w:pos="1380" w:val="left" w:leader="none"/>
          <w:tab w:pos="1381" w:val="left" w:leader="none"/>
        </w:tabs>
        <w:spacing w:line="240" w:lineRule="auto" w:before="1" w:after="0"/>
        <w:ind w:left="1380" w:right="0" w:hanging="836"/>
        <w:jc w:val="left"/>
        <w:rPr>
          <w:sz w:val="21"/>
        </w:rPr>
      </w:pPr>
      <w:r>
        <w:rPr>
          <w:spacing w:val="-2"/>
          <w:sz w:val="21"/>
        </w:rPr>
        <w:t>双眼最佳矫正视力低于0.3（</w:t>
      </w:r>
      <w:r>
        <w:rPr>
          <w:spacing w:val="-3"/>
          <w:sz w:val="21"/>
        </w:rPr>
        <w:t>采用国际标准视力表，如果使用其他视力表应进</w:t>
      </w:r>
    </w:p>
    <w:p>
      <w:pPr>
        <w:spacing w:after="0" w:line="240" w:lineRule="auto"/>
        <w:jc w:val="left"/>
        <w:rPr>
          <w:sz w:val="21"/>
        </w:rPr>
        <w:sectPr>
          <w:pgSz w:w="11910" w:h="16840"/>
          <w:pgMar w:header="0" w:footer="1005" w:top="1460" w:bottom="1200" w:left="1680" w:right="1480"/>
        </w:sectPr>
      </w:pPr>
    </w:p>
    <w:p>
      <w:pPr>
        <w:pStyle w:val="BodyText"/>
        <w:spacing w:before="61"/>
        <w:ind w:left="965"/>
      </w:pPr>
      <w:r>
        <w:rPr>
          <w:spacing w:val="-2"/>
        </w:rPr>
        <w:t>行换算</w:t>
      </w:r>
      <w:r>
        <w:rPr>
          <w:spacing w:val="-111"/>
        </w:rPr>
        <w:t>）</w:t>
      </w:r>
      <w:r>
        <w:rPr>
          <w:spacing w:val="-5"/>
        </w:rPr>
        <w:t>；</w:t>
      </w:r>
    </w:p>
    <w:p>
      <w:pPr>
        <w:pStyle w:val="BodyText"/>
        <w:spacing w:before="7"/>
        <w:rPr>
          <w:sz w:val="15"/>
        </w:rPr>
      </w:pPr>
    </w:p>
    <w:p>
      <w:pPr>
        <w:pStyle w:val="ListParagraph"/>
        <w:numPr>
          <w:ilvl w:val="0"/>
          <w:numId w:val="87"/>
        </w:numPr>
        <w:tabs>
          <w:tab w:pos="1380" w:val="left" w:leader="none"/>
          <w:tab w:pos="1381" w:val="left" w:leader="none"/>
        </w:tabs>
        <w:spacing w:line="240" w:lineRule="auto" w:before="0" w:after="0"/>
        <w:ind w:left="1380" w:right="0" w:hanging="836"/>
        <w:jc w:val="left"/>
        <w:rPr>
          <w:sz w:val="21"/>
        </w:rPr>
      </w:pPr>
      <w:r>
        <w:rPr>
          <w:spacing w:val="-3"/>
          <w:sz w:val="21"/>
        </w:rPr>
        <w:t>被保险人已确实进行了激光治疗等以改善视力障碍；</w:t>
      </w:r>
    </w:p>
    <w:p>
      <w:pPr>
        <w:pStyle w:val="BodyText"/>
        <w:spacing w:before="7"/>
        <w:rPr>
          <w:sz w:val="15"/>
        </w:rPr>
      </w:pPr>
    </w:p>
    <w:p>
      <w:pPr>
        <w:pStyle w:val="ListParagraph"/>
        <w:numPr>
          <w:ilvl w:val="0"/>
          <w:numId w:val="87"/>
        </w:numPr>
        <w:tabs>
          <w:tab w:pos="1380" w:val="left" w:leader="none"/>
          <w:tab w:pos="1381" w:val="left" w:leader="none"/>
        </w:tabs>
        <w:spacing w:line="417" w:lineRule="auto" w:before="0" w:after="0"/>
        <w:ind w:left="965" w:right="311" w:hanging="420"/>
        <w:jc w:val="left"/>
        <w:rPr>
          <w:sz w:val="21"/>
        </w:rPr>
      </w:pPr>
      <w:r>
        <w:rPr>
          <w:spacing w:val="-10"/>
          <w:sz w:val="21"/>
        </w:rPr>
        <w:t>糖尿病视网膜病变的诊断、视力障碍的程度及治疗的医疗之必要性必须由我们</w:t>
      </w:r>
      <w:r>
        <w:rPr>
          <w:spacing w:val="-2"/>
          <w:sz w:val="21"/>
        </w:rPr>
        <w:t>认可医院的眼科专科医生确定。</w:t>
      </w:r>
    </w:p>
    <w:p>
      <w:pPr>
        <w:pStyle w:val="Heading2"/>
        <w:spacing w:line="320" w:lineRule="exact"/>
      </w:pPr>
      <w:r>
        <w:rPr>
          <w:spacing w:val="-1"/>
        </w:rPr>
        <w:t>(十三) 硬脑膜下血肿手术</w:t>
      </w:r>
    </w:p>
    <w:p>
      <w:pPr>
        <w:pStyle w:val="BodyText"/>
        <w:spacing w:line="417" w:lineRule="auto" w:before="148"/>
        <w:ind w:left="120" w:right="311" w:firstLine="427"/>
      </w:pPr>
      <w:r>
        <w:rPr>
          <w:spacing w:val="-8"/>
        </w:rPr>
        <w:t>为清除或引流因意外导致的血肿，需于头部进行开颅或钻孔手术。开颅或钻孔手术必须</w:t>
      </w:r>
      <w:r>
        <w:rPr>
          <w:spacing w:val="-2"/>
        </w:rPr>
        <w:t>由专科医生认为是医学上必需的情况下进行。</w:t>
      </w:r>
    </w:p>
    <w:p>
      <w:pPr>
        <w:pStyle w:val="Heading2"/>
        <w:spacing w:line="320" w:lineRule="exact"/>
        <w:ind w:left="547"/>
      </w:pPr>
      <w:r>
        <w:rPr>
          <w:spacing w:val="-1"/>
        </w:rPr>
        <w:t>我们对“硬脑膜下血肿手术”和“中度脑损伤”两项中的其中一项承担保险责任，给</w:t>
      </w:r>
    </w:p>
    <w:p>
      <w:pPr>
        <w:spacing w:line="290" w:lineRule="auto" w:before="81"/>
        <w:ind w:left="120" w:right="3142" w:firstLine="0"/>
        <w:jc w:val="left"/>
        <w:rPr>
          <w:rFonts w:ascii="微软雅黑" w:eastAsia="微软雅黑"/>
          <w:b/>
          <w:sz w:val="21"/>
        </w:rPr>
      </w:pPr>
      <w:r>
        <w:rPr>
          <w:rFonts w:ascii="微软雅黑" w:eastAsia="微软雅黑"/>
          <w:b/>
          <w:spacing w:val="-2"/>
          <w:sz w:val="21"/>
        </w:rPr>
        <w:t>付其中一项保险金后，对另一项疾病的保险责任同时终止。 </w:t>
      </w:r>
      <w:r>
        <w:rPr>
          <w:rFonts w:ascii="微软雅黑" w:eastAsia="微软雅黑"/>
          <w:b/>
          <w:w w:val="110"/>
          <w:sz w:val="21"/>
        </w:rPr>
        <w:t>(十四) </w:t>
      </w:r>
      <w:r>
        <w:rPr>
          <w:rFonts w:ascii="微软雅黑" w:eastAsia="微软雅黑"/>
          <w:b/>
          <w:w w:val="110"/>
          <w:sz w:val="21"/>
        </w:rPr>
        <w:t>严</w:t>
      </w:r>
      <w:r>
        <w:rPr>
          <w:rFonts w:ascii="微软雅黑" w:eastAsia="微软雅黑"/>
          <w:b/>
          <w:w w:val="110"/>
          <w:sz w:val="21"/>
        </w:rPr>
        <w:t>重</w:t>
      </w:r>
      <w:r>
        <w:rPr>
          <w:rFonts w:ascii="微软雅黑" w:eastAsia="微软雅黑"/>
          <w:b/>
          <w:w w:val="110"/>
          <w:sz w:val="21"/>
        </w:rPr>
        <w:t>的</w:t>
      </w:r>
      <w:r>
        <w:rPr>
          <w:rFonts w:ascii="微软雅黑" w:eastAsia="微软雅黑"/>
          <w:b/>
          <w:w w:val="110"/>
          <w:sz w:val="21"/>
        </w:rPr>
        <w:t>骨</w:t>
      </w:r>
      <w:r>
        <w:rPr>
          <w:rFonts w:ascii="微软雅黑" w:eastAsia="微软雅黑"/>
          <w:b/>
          <w:w w:val="110"/>
          <w:sz w:val="21"/>
        </w:rPr>
        <w:t>质</w:t>
      </w:r>
      <w:r>
        <w:rPr>
          <w:rFonts w:ascii="微软雅黑" w:eastAsia="微软雅黑"/>
          <w:b/>
          <w:w w:val="110"/>
          <w:sz w:val="21"/>
        </w:rPr>
        <w:t>疏</w:t>
      </w:r>
      <w:r>
        <w:rPr>
          <w:rFonts w:ascii="微软雅黑" w:eastAsia="微软雅黑"/>
          <w:b/>
          <w:w w:val="110"/>
          <w:sz w:val="21"/>
        </w:rPr>
        <w:t>松</w:t>
      </w:r>
    </w:p>
    <w:p>
      <w:pPr>
        <w:pStyle w:val="BodyText"/>
        <w:spacing w:line="417" w:lineRule="auto" w:before="67"/>
        <w:ind w:left="120" w:right="311" w:firstLine="427"/>
        <w:jc w:val="both"/>
      </w:pPr>
      <w:r>
        <w:rPr>
          <w:spacing w:val="-8"/>
        </w:rPr>
        <w:t>严重的骨质疏松，并因此而直接导致脊椎、骨盆、桡骨、尺骨、肱骨、胫骨、股骨骨折。</w:t>
      </w:r>
      <w:r>
        <w:rPr>
          <w:spacing w:val="-2"/>
        </w:rPr>
        <w:t>骨</w:t>
      </w:r>
      <w:r>
        <w:rPr>
          <w:spacing w:val="-2"/>
        </w:rPr>
        <w:t>质</w:t>
      </w:r>
      <w:r>
        <w:rPr>
          <w:spacing w:val="-2"/>
        </w:rPr>
        <w:t>疏松的诊断必须由我</w:t>
      </w:r>
      <w:r>
        <w:rPr>
          <w:spacing w:val="-2"/>
        </w:rPr>
        <w:t>们</w:t>
      </w:r>
      <w:r>
        <w:rPr>
          <w:spacing w:val="-2"/>
        </w:rPr>
        <w:t>认</w:t>
      </w:r>
      <w:r>
        <w:rPr>
          <w:spacing w:val="-2"/>
        </w:rPr>
        <w:t>可医院</w:t>
      </w:r>
      <w:r>
        <w:rPr>
          <w:position w:val="-1"/>
        </w:rPr>
        <w:drawing>
          <wp:inline distT="0" distB="0" distL="0" distR="0">
            <wp:extent cx="123825" cy="127000"/>
            <wp:effectExtent l="0" t="0" r="0" b="0"/>
            <wp:docPr id="79" name="image2.png"/>
            <wp:cNvGraphicFramePr>
              <a:graphicFrameLocks noChangeAspect="1"/>
            </wp:cNvGraphicFramePr>
            <a:graphic>
              <a:graphicData uri="http://schemas.openxmlformats.org/drawingml/2006/picture">
                <pic:pic>
                  <pic:nvPicPr>
                    <pic:cNvPr id="80"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格的专科医</w:t>
      </w:r>
      <w:r>
        <w:rPr>
          <w:spacing w:val="-2"/>
        </w:rPr>
        <w:t>生</w:t>
      </w:r>
      <w:r>
        <w:rPr>
          <w:spacing w:val="-2"/>
        </w:rPr>
        <w:t>做</w:t>
      </w:r>
      <w:r>
        <w:rPr>
          <w:spacing w:val="-2"/>
        </w:rPr>
        <w:t>出</w:t>
      </w:r>
      <w:r>
        <w:rPr>
          <w:spacing w:val="-97"/>
        </w:rPr>
        <w:t>，</w:t>
      </w:r>
      <w:r>
        <w:rPr>
          <w:spacing w:val="-2"/>
        </w:rPr>
        <w:t>并符</w:t>
      </w:r>
      <w:r>
        <w:rPr>
          <w:position w:val="-1"/>
        </w:rPr>
        <w:drawing>
          <wp:inline distT="0" distB="0" distL="0" distR="0">
            <wp:extent cx="123825" cy="127000"/>
            <wp:effectExtent l="0" t="0" r="0" b="0"/>
            <wp:docPr id="81" name="image2.png"/>
            <wp:cNvGraphicFramePr>
              <a:graphicFrameLocks noChangeAspect="1"/>
            </wp:cNvGraphicFramePr>
            <a:graphic>
              <a:graphicData uri="http://schemas.openxmlformats.org/drawingml/2006/picture">
                <pic:pic>
                  <pic:nvPicPr>
                    <pic:cNvPr id="82"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世界卫生组</w:t>
      </w:r>
      <w:r>
        <w:rPr>
          <w:spacing w:val="-2"/>
        </w:rPr>
        <w:t>织</w:t>
      </w:r>
      <w:r>
        <w:rPr>
          <w:spacing w:val="-2"/>
        </w:rPr>
        <w:t>关</w:t>
      </w:r>
      <w:r>
        <w:rPr>
          <w:spacing w:val="-2"/>
        </w:rPr>
        <w:t>于骨质</w:t>
      </w:r>
      <w:r>
        <w:rPr>
          <w:spacing w:val="-2"/>
        </w:rPr>
        <w:t>疏</w:t>
      </w:r>
      <w:r>
        <w:rPr>
          <w:spacing w:val="-2"/>
        </w:rPr>
        <w:t>松的诊断标准*。</w:t>
      </w:r>
    </w:p>
    <w:p>
      <w:pPr>
        <w:spacing w:line="357" w:lineRule="auto" w:before="0"/>
        <w:ind w:left="120" w:right="2049" w:firstLine="427"/>
        <w:jc w:val="both"/>
        <w:rPr>
          <w:rFonts w:ascii="微软雅黑" w:eastAsia="微软雅黑"/>
          <w:b/>
          <w:sz w:val="21"/>
        </w:rPr>
      </w:pPr>
      <w:r>
        <w:rPr>
          <w:spacing w:val="-2"/>
          <w:sz w:val="21"/>
        </w:rPr>
        <w:t>*世界卫生组织关于骨质疏松的定义：骨密度检测，T</w:t>
      </w:r>
      <w:r>
        <w:rPr>
          <w:spacing w:val="-6"/>
          <w:sz w:val="21"/>
        </w:rPr>
        <w:t> 值小于-</w:t>
      </w:r>
      <w:r>
        <w:rPr>
          <w:spacing w:val="-2"/>
          <w:sz w:val="21"/>
        </w:rPr>
        <w:t>2.5。 </w:t>
      </w:r>
      <w:r>
        <w:rPr>
          <w:rFonts w:ascii="微软雅黑" w:eastAsia="微软雅黑"/>
          <w:b/>
          <w:sz w:val="21"/>
        </w:rPr>
        <w:t>(十五) 深度昏迷 72 小时</w:t>
      </w:r>
    </w:p>
    <w:p>
      <w:pPr>
        <w:pStyle w:val="BodyText"/>
        <w:spacing w:line="227" w:lineRule="exact"/>
        <w:ind w:left="547"/>
      </w:pPr>
      <w:r>
        <w:rPr>
          <w:spacing w:val="-9"/>
        </w:rPr>
        <w:t>指因疾病或意外伤害导致意识丧失，对外界刺激和体内需求均无反应，昏迷程度按照格</w:t>
      </w:r>
    </w:p>
    <w:p>
      <w:pPr>
        <w:spacing w:line="468" w:lineRule="exact" w:before="34"/>
        <w:ind w:left="120" w:right="313" w:firstLine="0"/>
        <w:jc w:val="both"/>
        <w:rPr>
          <w:rFonts w:ascii="微软雅黑" w:hAnsi="微软雅黑" w:eastAsia="微软雅黑"/>
          <w:b/>
          <w:sz w:val="21"/>
        </w:rPr>
      </w:pPr>
      <w:r>
        <w:rPr>
          <w:w w:val="95"/>
          <w:sz w:val="21"/>
        </w:rPr>
        <w:t>拉</w:t>
      </w:r>
      <w:r>
        <w:rPr>
          <w:w w:val="95"/>
          <w:sz w:val="21"/>
        </w:rPr>
        <w:t>斯</w:t>
      </w:r>
      <w:r>
        <w:rPr>
          <w:w w:val="95"/>
          <w:sz w:val="21"/>
        </w:rPr>
        <w:t>哥昏迷分级（Glasgow coma scale）结果为 5 分或 5 分以下，且已经持续</w:t>
      </w:r>
      <w:r>
        <w:rPr>
          <w:w w:val="95"/>
          <w:sz w:val="21"/>
        </w:rPr>
        <w:t>使</w:t>
      </w:r>
      <w:r>
        <w:rPr>
          <w:w w:val="95"/>
          <w:sz w:val="21"/>
        </w:rPr>
        <w:t>用</w:t>
      </w:r>
      <w:r>
        <w:rPr>
          <w:w w:val="95"/>
          <w:sz w:val="21"/>
        </w:rPr>
        <w:t>呼吸机</w:t>
      </w:r>
      <w:r>
        <w:rPr>
          <w:w w:val="95"/>
          <w:sz w:val="21"/>
        </w:rPr>
        <w:t>及</w:t>
      </w:r>
      <w:r>
        <w:rPr>
          <w:sz w:val="21"/>
        </w:rPr>
        <w:t>其他生命维持系统达到</w:t>
      </w:r>
      <w:r>
        <w:rPr>
          <w:spacing w:val="-18"/>
          <w:sz w:val="21"/>
        </w:rPr>
        <w:t> </w:t>
      </w:r>
      <w:r>
        <w:rPr>
          <w:sz w:val="21"/>
        </w:rPr>
        <w:t>72</w:t>
      </w:r>
      <w:r>
        <w:rPr>
          <w:spacing w:val="-22"/>
          <w:sz w:val="21"/>
        </w:rPr>
        <w:t> </w:t>
      </w:r>
      <w:r>
        <w:rPr>
          <w:sz w:val="21"/>
        </w:rPr>
        <w:t>小时，</w:t>
      </w:r>
      <w:r>
        <w:rPr>
          <w:rFonts w:ascii="微软雅黑" w:hAnsi="微软雅黑" w:eastAsia="微软雅黑"/>
          <w:b/>
          <w:sz w:val="21"/>
        </w:rPr>
        <w:t>但未达到</w:t>
      </w:r>
      <w:r>
        <w:rPr>
          <w:rFonts w:ascii="微软雅黑" w:hAnsi="微软雅黑" w:eastAsia="微软雅黑"/>
          <w:b/>
          <w:spacing w:val="10"/>
          <w:sz w:val="21"/>
        </w:rPr>
        <w:t>本</w:t>
      </w:r>
      <w:r>
        <w:rPr>
          <w:rFonts w:ascii="微软雅黑" w:hAnsi="微软雅黑" w:eastAsia="微软雅黑"/>
          <w:b/>
          <w:position w:val="-2"/>
          <w:sz w:val="21"/>
        </w:rPr>
        <w:drawing>
          <wp:inline distT="0" distB="0" distL="0" distR="0">
            <wp:extent cx="123825" cy="127000"/>
            <wp:effectExtent l="0" t="0" r="0" b="0"/>
            <wp:docPr id="83" name="image2.png"/>
            <wp:cNvGraphicFramePr>
              <a:graphicFrameLocks noChangeAspect="1"/>
            </wp:cNvGraphicFramePr>
            <a:graphic>
              <a:graphicData uri="http://schemas.openxmlformats.org/drawingml/2006/picture">
                <pic:pic>
                  <pic:nvPicPr>
                    <pic:cNvPr id="8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所指重大疾病“深度昏迷”96</w:t>
      </w:r>
      <w:r>
        <w:rPr>
          <w:rFonts w:ascii="微软雅黑" w:hAnsi="微软雅黑" w:eastAsia="微软雅黑"/>
          <w:b/>
          <w:spacing w:val="20"/>
          <w:sz w:val="21"/>
        </w:rPr>
        <w:t> </w:t>
      </w:r>
      <w:r>
        <w:rPr>
          <w:rFonts w:ascii="微软雅黑" w:hAnsi="微软雅黑" w:eastAsia="微软雅黑"/>
          <w:b/>
          <w:sz w:val="21"/>
        </w:rPr>
        <w:t>小时的标</w:t>
      </w:r>
      <w:r>
        <w:rPr>
          <w:rFonts w:ascii="微软雅黑" w:hAnsi="微软雅黑" w:eastAsia="微软雅黑"/>
          <w:b/>
          <w:spacing w:val="-6"/>
          <w:sz w:val="21"/>
        </w:rPr>
        <w:t>准。</w:t>
      </w:r>
    </w:p>
    <w:p>
      <w:pPr>
        <w:pStyle w:val="Heading2"/>
        <w:spacing w:line="290" w:lineRule="auto" w:before="97"/>
        <w:ind w:right="3348" w:firstLine="427"/>
      </w:pPr>
      <w:r>
        <w:rPr>
          <w:spacing w:val="-2"/>
        </w:rPr>
        <w:t>因酗酒或药物滥用导致的深度昏迷不在保障范围内。 </w:t>
      </w:r>
      <w:r>
        <w:rPr>
          <w:w w:val="110"/>
        </w:rPr>
        <w:t>(十六) </w:t>
      </w:r>
      <w:r>
        <w:rPr>
          <w:w w:val="110"/>
        </w:rPr>
        <w:t>轻</w:t>
      </w:r>
      <w:r>
        <w:rPr>
          <w:w w:val="110"/>
        </w:rPr>
        <w:t>度</w:t>
      </w:r>
      <w:r>
        <w:rPr>
          <w:w w:val="110"/>
        </w:rPr>
        <w:t>听</w:t>
      </w:r>
      <w:r>
        <w:rPr>
          <w:w w:val="110"/>
        </w:rPr>
        <w:t>力</w:t>
      </w:r>
      <w:r>
        <w:rPr>
          <w:w w:val="110"/>
        </w:rPr>
        <w:t>受</w:t>
      </w:r>
      <w:r>
        <w:rPr>
          <w:w w:val="110"/>
        </w:rPr>
        <w:t>损</w:t>
      </w:r>
    </w:p>
    <w:p>
      <w:pPr>
        <w:pStyle w:val="BodyText"/>
        <w:spacing w:before="67"/>
        <w:ind w:left="547"/>
      </w:pPr>
      <w:r>
        <w:rPr>
          <w:spacing w:val="-9"/>
        </w:rPr>
        <w:t>指因疾病或者意外伤害导致双耳听力永久不可逆性丧失，在 </w:t>
      </w:r>
      <w:r>
        <w:rPr>
          <w:spacing w:val="-2"/>
        </w:rPr>
        <w:t>500</w:t>
      </w:r>
      <w:r>
        <w:rPr>
          <w:spacing w:val="-39"/>
        </w:rPr>
        <w:t> 赫兹、</w:t>
      </w:r>
      <w:r>
        <w:rPr>
          <w:spacing w:val="-2"/>
        </w:rPr>
        <w:t>1000</w:t>
      </w:r>
      <w:r>
        <w:rPr>
          <w:spacing w:val="-20"/>
        </w:rPr>
        <w:t> 赫兹和 </w:t>
      </w:r>
      <w:r>
        <w:rPr>
          <w:spacing w:val="-4"/>
        </w:rPr>
        <w:t>2000</w:t>
      </w:r>
    </w:p>
    <w:p>
      <w:pPr>
        <w:pStyle w:val="BodyText"/>
        <w:spacing w:before="6"/>
        <w:rPr>
          <w:sz w:val="15"/>
        </w:rPr>
      </w:pPr>
    </w:p>
    <w:p>
      <w:pPr>
        <w:pStyle w:val="BodyText"/>
        <w:spacing w:line="417" w:lineRule="auto" w:before="1"/>
        <w:ind w:left="120" w:right="311"/>
        <w:jc w:val="both"/>
      </w:pPr>
      <w:r>
        <w:rPr>
          <w:spacing w:val="-4"/>
        </w:rPr>
        <w:t>赫兹语音频率下，平均听阈大于 </w:t>
      </w:r>
      <w:r>
        <w:rPr>
          <w:spacing w:val="-2"/>
        </w:rPr>
        <w:t>70</w:t>
      </w:r>
      <w:r>
        <w:rPr>
          <w:spacing w:val="-6"/>
        </w:rPr>
        <w:t> 分贝，且经纯音听力测试、声导抗检测或者听觉诱发电</w:t>
      </w:r>
      <w:r>
        <w:rPr>
          <w:spacing w:val="-2"/>
        </w:rPr>
        <w:t>位检测等证实。</w:t>
      </w:r>
    </w:p>
    <w:p>
      <w:pPr>
        <w:spacing w:line="320" w:lineRule="exact" w:before="0"/>
        <w:ind w:left="547" w:right="0" w:firstLine="0"/>
        <w:jc w:val="left"/>
        <w:rPr>
          <w:rFonts w:ascii="微软雅黑" w:eastAsia="微软雅黑"/>
          <w:b/>
          <w:sz w:val="21"/>
        </w:rPr>
      </w:pPr>
      <w:r>
        <w:rPr>
          <w:rFonts w:ascii="微软雅黑" w:eastAsia="微软雅黑"/>
          <w:b/>
          <w:spacing w:val="-3"/>
          <w:sz w:val="21"/>
        </w:rPr>
        <w:t>被保险人在三周岁之前因疾病导致的轻度听力受损不在保障范围内。</w:t>
      </w:r>
    </w:p>
    <w:p>
      <w:pPr>
        <w:spacing w:line="290" w:lineRule="auto" w:before="81"/>
        <w:ind w:left="120" w:right="323" w:firstLine="427"/>
        <w:jc w:val="left"/>
        <w:rPr>
          <w:rFonts w:ascii="微软雅黑" w:hAnsi="微软雅黑" w:eastAsia="微软雅黑"/>
          <w:b/>
          <w:sz w:val="21"/>
        </w:rPr>
      </w:pPr>
      <w:r>
        <w:rPr>
          <w:rFonts w:ascii="微软雅黑" w:hAnsi="微软雅黑" w:eastAsia="微软雅黑"/>
          <w:b/>
          <w:spacing w:val="-17"/>
          <w:sz w:val="21"/>
        </w:rPr>
        <w:t>我们对“单耳失聪”、“人工耳蜗植入术”和“轻度听力受损”三项中的其中一项承担</w:t>
      </w:r>
      <w:r>
        <w:rPr>
          <w:rFonts w:ascii="微软雅黑" w:hAnsi="微软雅黑" w:eastAsia="微软雅黑"/>
          <w:b/>
          <w:spacing w:val="-2"/>
          <w:sz w:val="21"/>
        </w:rPr>
        <w:t>保险责任，给付其中一项保险金后，对其它两项疾病的保险责任同时终止。</w:t>
      </w:r>
    </w:p>
    <w:p>
      <w:pPr>
        <w:spacing w:line="386" w:lineRule="exact" w:before="0"/>
        <w:ind w:left="120" w:right="0" w:firstLine="0"/>
        <w:jc w:val="left"/>
        <w:rPr>
          <w:rFonts w:ascii="微软雅黑" w:eastAsia="微软雅黑"/>
          <w:b/>
          <w:sz w:val="21"/>
        </w:rPr>
      </w:pPr>
      <w:r>
        <w:rPr>
          <w:rFonts w:ascii="微软雅黑" w:eastAsia="微软雅黑"/>
          <w:b/>
          <w:spacing w:val="2"/>
          <w:sz w:val="21"/>
        </w:rPr>
        <w:t>(十七) 单耳失聪</w:t>
      </w:r>
    </w:p>
    <w:p>
      <w:pPr>
        <w:spacing w:line="290" w:lineRule="auto" w:before="81"/>
        <w:ind w:left="120" w:right="311" w:firstLine="427"/>
        <w:jc w:val="both"/>
        <w:rPr>
          <w:sz w:val="21"/>
        </w:rPr>
      </w:pPr>
      <w:r>
        <w:rPr/>
        <w:drawing>
          <wp:anchor distT="0" distB="0" distL="0" distR="0" allowOverlap="1" layoutInCell="1" locked="0" behindDoc="1" simplePos="0" relativeHeight="486296576">
            <wp:simplePos x="0" y="0"/>
            <wp:positionH relativeFrom="page">
              <wp:posOffset>5393054</wp:posOffset>
            </wp:positionH>
            <wp:positionV relativeFrom="paragraph">
              <wp:posOffset>116308</wp:posOffset>
            </wp:positionV>
            <wp:extent cx="123825" cy="127000"/>
            <wp:effectExtent l="0" t="0" r="0" b="0"/>
            <wp:wrapNone/>
            <wp:docPr id="85" name="image2.png"/>
            <wp:cNvGraphicFramePr>
              <a:graphicFrameLocks noChangeAspect="1"/>
            </wp:cNvGraphicFramePr>
            <a:graphic>
              <a:graphicData uri="http://schemas.openxmlformats.org/drawingml/2006/picture">
                <pic:pic>
                  <pic:nvPicPr>
                    <pic:cNvPr id="86"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5"/>
          <w:sz w:val="21"/>
        </w:rPr>
        <w:t>指因疾病或者意外伤害导致单耳听力永久不可逆性丧失，</w:t>
      </w:r>
      <w:r>
        <w:rPr>
          <w:rFonts w:ascii="微软雅黑" w:hAnsi="微软雅黑" w:eastAsia="微软雅黑"/>
          <w:b/>
          <w:spacing w:val="-2"/>
          <w:sz w:val="21"/>
        </w:rPr>
        <w:t>且未达到本</w:t>
      </w:r>
      <w:r>
        <w:rPr>
          <w:rFonts w:ascii="微软雅黑" w:hAnsi="微软雅黑" w:eastAsia="微软雅黑"/>
          <w:b/>
          <w:spacing w:val="-11"/>
          <w:sz w:val="21"/>
        </w:rPr>
        <w:t>同重大疾病“双</w:t>
      </w:r>
      <w:r>
        <w:rPr>
          <w:rFonts w:ascii="微软雅黑" w:hAnsi="微软雅黑" w:eastAsia="微软雅黑"/>
          <w:b/>
          <w:spacing w:val="-2"/>
          <w:sz w:val="21"/>
        </w:rPr>
        <w:t>耳失聪”的给付标准</w:t>
      </w:r>
      <w:r>
        <w:rPr>
          <w:spacing w:val="-12"/>
          <w:sz w:val="21"/>
        </w:rPr>
        <w:t>，在 </w:t>
      </w:r>
      <w:r>
        <w:rPr>
          <w:spacing w:val="-2"/>
          <w:sz w:val="21"/>
        </w:rPr>
        <w:t>500</w:t>
      </w:r>
      <w:r>
        <w:rPr>
          <w:spacing w:val="-9"/>
          <w:sz w:val="21"/>
        </w:rPr>
        <w:t> 赫兹、</w:t>
      </w:r>
      <w:r>
        <w:rPr>
          <w:spacing w:val="-2"/>
          <w:sz w:val="21"/>
        </w:rPr>
        <w:t>1000</w:t>
      </w:r>
      <w:r>
        <w:rPr>
          <w:spacing w:val="-14"/>
          <w:sz w:val="21"/>
        </w:rPr>
        <w:t> 赫兹和 </w:t>
      </w:r>
      <w:r>
        <w:rPr>
          <w:spacing w:val="-2"/>
          <w:sz w:val="21"/>
        </w:rPr>
        <w:t>2000</w:t>
      </w:r>
      <w:r>
        <w:rPr>
          <w:spacing w:val="-9"/>
          <w:sz w:val="21"/>
        </w:rPr>
        <w:t> 赫兹语音频率下，平均听阈大于 </w:t>
      </w:r>
      <w:r>
        <w:rPr>
          <w:spacing w:val="-5"/>
          <w:sz w:val="21"/>
        </w:rPr>
        <w:t>90</w:t>
      </w:r>
    </w:p>
    <w:p>
      <w:pPr>
        <w:spacing w:after="0" w:line="290" w:lineRule="auto"/>
        <w:jc w:val="both"/>
        <w:rPr>
          <w:sz w:val="21"/>
        </w:rPr>
        <w:sectPr>
          <w:pgSz w:w="11910" w:h="16840"/>
          <w:pgMar w:header="0" w:footer="1005" w:top="1460" w:bottom="1200" w:left="1680" w:right="1480"/>
        </w:sectPr>
      </w:pPr>
    </w:p>
    <w:p>
      <w:pPr>
        <w:spacing w:line="357" w:lineRule="auto" w:before="61"/>
        <w:ind w:left="547" w:right="2106" w:hanging="428"/>
        <w:jc w:val="left"/>
        <w:rPr>
          <w:rFonts w:ascii="微软雅黑" w:eastAsia="微软雅黑"/>
          <w:b/>
          <w:sz w:val="21"/>
        </w:rPr>
      </w:pPr>
      <w:r>
        <w:rPr>
          <w:spacing w:val="-2"/>
          <w:sz w:val="21"/>
        </w:rPr>
        <w:t>分贝，且经纯音听力测试、声导抗检测或者听觉诱发电位检测等证实。</w:t>
      </w:r>
      <w:r>
        <w:rPr>
          <w:rFonts w:ascii="微软雅黑" w:eastAsia="微软雅黑"/>
          <w:b/>
          <w:spacing w:val="-2"/>
          <w:sz w:val="21"/>
        </w:rPr>
        <w:t>被保险人在三周岁之前因疾病导致的单耳失聪不在保障范围内。</w:t>
      </w:r>
    </w:p>
    <w:p>
      <w:pPr>
        <w:pStyle w:val="Heading2"/>
        <w:spacing w:line="279" w:lineRule="exact"/>
        <w:ind w:left="547"/>
      </w:pPr>
      <w:r>
        <w:rPr>
          <w:spacing w:val="-15"/>
        </w:rPr>
        <w:t>我们对“单耳失聪”、“人工耳蜗植入术”和“轻度听力受损”三项中的其中一项承担</w:t>
      </w:r>
    </w:p>
    <w:p>
      <w:pPr>
        <w:spacing w:line="290" w:lineRule="auto" w:before="81"/>
        <w:ind w:left="120" w:right="1665" w:firstLine="0"/>
        <w:jc w:val="left"/>
        <w:rPr>
          <w:rFonts w:ascii="微软雅黑" w:eastAsia="微软雅黑"/>
          <w:b/>
          <w:sz w:val="21"/>
        </w:rPr>
      </w:pPr>
      <w:r>
        <w:rPr>
          <w:rFonts w:ascii="微软雅黑" w:eastAsia="微软雅黑"/>
          <w:b/>
          <w:spacing w:val="-2"/>
          <w:sz w:val="21"/>
        </w:rPr>
        <w:t>保险责任，给付其中一项保险金后，对其它两项疾病的保险责任同时终止。 </w:t>
      </w:r>
      <w:r>
        <w:rPr>
          <w:rFonts w:ascii="微软雅黑" w:eastAsia="微软雅黑"/>
          <w:b/>
          <w:w w:val="105"/>
          <w:sz w:val="21"/>
        </w:rPr>
        <w:t>(十八) </w:t>
      </w:r>
      <w:r>
        <w:rPr>
          <w:rFonts w:ascii="微软雅黑" w:eastAsia="微软雅黑"/>
          <w:b/>
          <w:w w:val="105"/>
          <w:sz w:val="21"/>
        </w:rPr>
        <w:t>因</w:t>
      </w:r>
      <w:r>
        <w:rPr>
          <w:rFonts w:ascii="微软雅黑" w:eastAsia="微软雅黑"/>
          <w:b/>
          <w:w w:val="105"/>
          <w:sz w:val="21"/>
        </w:rPr>
        <w:t>肾</w:t>
      </w:r>
      <w:r>
        <w:rPr>
          <w:rFonts w:ascii="微软雅黑" w:eastAsia="微软雅黑"/>
          <w:b/>
          <w:w w:val="105"/>
          <w:sz w:val="21"/>
        </w:rPr>
        <w:t>上</w:t>
      </w:r>
      <w:r>
        <w:rPr>
          <w:rFonts w:ascii="微软雅黑" w:eastAsia="微软雅黑"/>
          <w:b/>
          <w:w w:val="105"/>
          <w:sz w:val="21"/>
        </w:rPr>
        <w:t>腺</w:t>
      </w:r>
      <w:r>
        <w:rPr>
          <w:rFonts w:ascii="微软雅黑" w:eastAsia="微软雅黑"/>
          <w:b/>
          <w:w w:val="105"/>
          <w:sz w:val="21"/>
        </w:rPr>
        <w:t>皮</w:t>
      </w:r>
      <w:r>
        <w:rPr>
          <w:rFonts w:ascii="微软雅黑" w:eastAsia="微软雅黑"/>
          <w:b/>
          <w:w w:val="105"/>
          <w:sz w:val="21"/>
        </w:rPr>
        <w:t>脂</w:t>
      </w:r>
      <w:r>
        <w:rPr>
          <w:rFonts w:ascii="微软雅黑" w:eastAsia="微软雅黑"/>
          <w:b/>
          <w:w w:val="105"/>
          <w:sz w:val="21"/>
        </w:rPr>
        <w:t>腺</w:t>
      </w:r>
      <w:r>
        <w:rPr>
          <w:rFonts w:ascii="微软雅黑" w:eastAsia="微软雅黑"/>
          <w:b/>
          <w:w w:val="105"/>
          <w:sz w:val="21"/>
        </w:rPr>
        <w:t>瘤</w:t>
      </w:r>
      <w:r>
        <w:rPr>
          <w:rFonts w:ascii="微软雅黑" w:eastAsia="微软雅黑"/>
          <w:b/>
          <w:w w:val="105"/>
          <w:sz w:val="21"/>
        </w:rPr>
        <w:t>切除肾</w:t>
      </w:r>
      <w:r>
        <w:rPr>
          <w:rFonts w:ascii="微软雅黑" w:eastAsia="微软雅黑"/>
          <w:b/>
          <w:w w:val="105"/>
          <w:sz w:val="21"/>
        </w:rPr>
        <w:t>上</w:t>
      </w:r>
      <w:r>
        <w:rPr>
          <w:rFonts w:ascii="微软雅黑" w:eastAsia="微软雅黑"/>
          <w:b/>
          <w:w w:val="105"/>
          <w:sz w:val="21"/>
        </w:rPr>
        <w:t>腺</w:t>
      </w:r>
    </w:p>
    <w:p>
      <w:pPr>
        <w:pStyle w:val="BodyText"/>
        <w:spacing w:line="417" w:lineRule="auto" w:before="66"/>
        <w:ind w:left="120" w:right="321" w:firstLine="427"/>
      </w:pPr>
      <w:r>
        <w:rPr>
          <w:spacing w:val="-2"/>
        </w:rPr>
        <w:t>因肾上腺皮质腺瘤所导致的醛固酮分泌过多而产生的继发性恶性高血压而实际接受了</w:t>
      </w:r>
      <w:r>
        <w:rPr>
          <w:spacing w:val="-2"/>
        </w:rPr>
        <w:t>肾上腺切除术治疗。</w:t>
      </w:r>
    </w:p>
    <w:p>
      <w:pPr>
        <w:spacing w:line="357" w:lineRule="auto" w:before="0"/>
        <w:ind w:left="120" w:right="839" w:firstLine="427"/>
        <w:jc w:val="left"/>
        <w:rPr>
          <w:rFonts w:ascii="微软雅黑" w:eastAsia="微软雅黑"/>
          <w:b/>
          <w:sz w:val="21"/>
        </w:rPr>
      </w:pPr>
      <w:r>
        <w:rPr>
          <w:spacing w:val="-2"/>
          <w:sz w:val="21"/>
        </w:rPr>
        <w:t>此诊断及治疗均须在我们认可医院内由专科医生认为是医疗必须的情况下进行。</w:t>
      </w:r>
      <w:r>
        <w:rPr>
          <w:spacing w:val="-2"/>
          <w:sz w:val="21"/>
        </w:rPr>
        <w:t> </w:t>
      </w:r>
      <w:r>
        <w:rPr>
          <w:rFonts w:ascii="微软雅黑" w:eastAsia="微软雅黑"/>
          <w:b/>
          <w:spacing w:val="-1"/>
          <w:w w:val="105"/>
          <w:sz w:val="21"/>
        </w:rPr>
        <w:t>(十九) </w:t>
      </w:r>
      <w:r>
        <w:rPr>
          <w:rFonts w:ascii="微软雅黑" w:eastAsia="微软雅黑"/>
          <w:b/>
          <w:w w:val="105"/>
          <w:sz w:val="21"/>
        </w:rPr>
        <w:t>脑</w:t>
      </w:r>
      <w:r>
        <w:rPr>
          <w:rFonts w:ascii="微软雅黑" w:eastAsia="微软雅黑"/>
          <w:b/>
          <w:w w:val="105"/>
          <w:sz w:val="21"/>
        </w:rPr>
        <w:t>垂</w:t>
      </w:r>
      <w:r>
        <w:rPr>
          <w:rFonts w:ascii="微软雅黑" w:eastAsia="微软雅黑"/>
          <w:b/>
          <w:w w:val="105"/>
          <w:sz w:val="21"/>
        </w:rPr>
        <w:t>体</w:t>
      </w:r>
      <w:r>
        <w:rPr>
          <w:rFonts w:ascii="微软雅黑" w:eastAsia="微软雅黑"/>
          <w:b/>
          <w:w w:val="105"/>
          <w:sz w:val="21"/>
        </w:rPr>
        <w:t>瘤</w:t>
      </w:r>
      <w:r>
        <w:rPr>
          <w:rFonts w:ascii="微软雅黑" w:eastAsia="微软雅黑"/>
          <w:b/>
          <w:w w:val="105"/>
          <w:sz w:val="21"/>
        </w:rPr>
        <w:t>、</w:t>
      </w:r>
      <w:r>
        <w:rPr>
          <w:rFonts w:ascii="微软雅黑" w:eastAsia="微软雅黑"/>
          <w:b/>
          <w:w w:val="105"/>
          <w:sz w:val="21"/>
        </w:rPr>
        <w:t>脑</w:t>
      </w:r>
      <w:r>
        <w:rPr>
          <w:rFonts w:ascii="微软雅黑" w:eastAsia="微软雅黑"/>
          <w:b/>
          <w:w w:val="105"/>
          <w:sz w:val="21"/>
        </w:rPr>
        <w:t>囊</w:t>
      </w:r>
      <w:r>
        <w:rPr>
          <w:rFonts w:ascii="微软雅黑" w:eastAsia="微软雅黑"/>
          <w:b/>
          <w:w w:val="105"/>
          <w:sz w:val="21"/>
        </w:rPr>
        <w:t>肿</w:t>
      </w:r>
      <w:r>
        <w:rPr>
          <w:rFonts w:ascii="微软雅黑" w:eastAsia="微软雅黑"/>
          <w:b/>
          <w:w w:val="105"/>
          <w:sz w:val="21"/>
        </w:rPr>
        <w:t>、脑动</w:t>
      </w:r>
      <w:r>
        <w:rPr>
          <w:rFonts w:ascii="微软雅黑" w:eastAsia="微软雅黑"/>
          <w:b/>
          <w:w w:val="105"/>
          <w:sz w:val="21"/>
        </w:rPr>
        <w:t>脉</w:t>
      </w:r>
      <w:r>
        <w:rPr>
          <w:rFonts w:ascii="微软雅黑" w:eastAsia="微软雅黑"/>
          <w:b/>
          <w:w w:val="105"/>
          <w:sz w:val="21"/>
        </w:rPr>
        <w:t>瘤</w:t>
      </w:r>
      <w:r>
        <w:rPr>
          <w:rFonts w:ascii="微软雅黑" w:eastAsia="微软雅黑"/>
          <w:b/>
          <w:w w:val="105"/>
          <w:sz w:val="21"/>
        </w:rPr>
        <w:t>及</w:t>
      </w:r>
      <w:r>
        <w:rPr>
          <w:rFonts w:ascii="微软雅黑" w:eastAsia="微软雅黑"/>
          <w:b/>
          <w:w w:val="105"/>
          <w:sz w:val="21"/>
        </w:rPr>
        <w:t>脑</w:t>
      </w:r>
      <w:r>
        <w:rPr>
          <w:rFonts w:ascii="微软雅黑" w:eastAsia="微软雅黑"/>
          <w:b/>
          <w:w w:val="105"/>
          <w:sz w:val="21"/>
        </w:rPr>
        <w:t>血</w:t>
      </w:r>
      <w:r>
        <w:rPr>
          <w:rFonts w:ascii="微软雅黑" w:eastAsia="微软雅黑"/>
          <w:b/>
          <w:w w:val="105"/>
          <w:sz w:val="21"/>
        </w:rPr>
        <w:t>管</w:t>
      </w:r>
      <w:r>
        <w:rPr>
          <w:rFonts w:ascii="微软雅黑" w:eastAsia="微软雅黑"/>
          <w:b/>
          <w:w w:val="105"/>
          <w:sz w:val="21"/>
        </w:rPr>
        <w:t>瘤</w:t>
      </w:r>
    </w:p>
    <w:p>
      <w:pPr>
        <w:pStyle w:val="BodyText"/>
        <w:spacing w:line="228" w:lineRule="exact"/>
        <w:ind w:left="547"/>
      </w:pPr>
      <w:r>
        <w:rPr>
          <w:spacing w:val="-18"/>
        </w:rPr>
        <w:t>指经头颅断层扫描</w:t>
      </w:r>
      <w:r>
        <w:rPr>
          <w:spacing w:val="19"/>
        </w:rPr>
        <w:t>（CT</w:t>
      </w:r>
      <w:r>
        <w:rPr>
          <w:spacing w:val="-89"/>
        </w:rPr>
        <w:t>）</w:t>
      </w:r>
      <w:r>
        <w:rPr>
          <w:spacing w:val="-30"/>
        </w:rPr>
        <w:t>、核磁共振检查</w:t>
      </w:r>
      <w:r>
        <w:rPr>
          <w:spacing w:val="-8"/>
        </w:rPr>
        <w:t>（MRI）</w:t>
      </w:r>
      <w:r>
        <w:rPr>
          <w:spacing w:val="-9"/>
        </w:rPr>
        <w:t>或者其他影像学检查被确诊为下列病变，</w:t>
      </w:r>
    </w:p>
    <w:p>
      <w:pPr>
        <w:spacing w:line="331" w:lineRule="auto" w:before="132"/>
        <w:ind w:left="120" w:right="313" w:firstLine="0"/>
        <w:jc w:val="left"/>
        <w:rPr>
          <w:sz w:val="21"/>
        </w:rPr>
      </w:pPr>
      <w:r>
        <w:rPr>
          <w:spacing w:val="-2"/>
          <w:sz w:val="21"/>
        </w:rPr>
        <w:t>并</w:t>
      </w:r>
      <w:r>
        <w:rPr>
          <w:spacing w:val="-2"/>
          <w:sz w:val="21"/>
        </w:rPr>
        <w:t>实</w:t>
      </w:r>
      <w:r>
        <w:rPr>
          <w:spacing w:val="-2"/>
          <w:sz w:val="21"/>
        </w:rPr>
        <w:t>际接受了手术或者放</w:t>
      </w:r>
      <w:r>
        <w:rPr>
          <w:spacing w:val="-2"/>
          <w:sz w:val="21"/>
        </w:rPr>
        <w:t>射</w:t>
      </w:r>
      <w:r>
        <w:rPr>
          <w:spacing w:val="-2"/>
          <w:sz w:val="21"/>
        </w:rPr>
        <w:t>治</w:t>
      </w:r>
      <w:r>
        <w:rPr>
          <w:spacing w:val="-2"/>
          <w:sz w:val="21"/>
        </w:rPr>
        <w:t>疗，</w:t>
      </w:r>
      <w:r>
        <w:rPr>
          <w:rFonts w:ascii="微软雅黑" w:hAnsi="微软雅黑" w:eastAsia="微软雅黑"/>
          <w:b/>
          <w:spacing w:val="-2"/>
          <w:sz w:val="21"/>
        </w:rPr>
        <w:t>且</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position w:val="-2"/>
          <w:sz w:val="21"/>
        </w:rPr>
        <w:drawing>
          <wp:inline distT="0" distB="0" distL="0" distR="0">
            <wp:extent cx="123825" cy="127000"/>
            <wp:effectExtent l="0" t="0" r="0" b="0"/>
            <wp:docPr id="87" name="image2.png"/>
            <wp:cNvGraphicFramePr>
              <a:graphicFrameLocks noChangeAspect="1"/>
            </wp:cNvGraphicFramePr>
            <a:graphic>
              <a:graphicData uri="http://schemas.openxmlformats.org/drawingml/2006/picture">
                <pic:pic>
                  <pic:nvPicPr>
                    <pic:cNvPr id="88"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pacing w:val="-2"/>
          <w:sz w:val="21"/>
        </w:rPr>
        <w:t>同</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颅</w:t>
      </w:r>
      <w:r>
        <w:rPr>
          <w:rFonts w:ascii="微软雅黑" w:hAnsi="微软雅黑" w:eastAsia="微软雅黑"/>
          <w:b/>
          <w:spacing w:val="-2"/>
          <w:sz w:val="21"/>
        </w:rPr>
        <w:t>脑</w:t>
      </w:r>
      <w:r>
        <w:rPr>
          <w:rFonts w:ascii="微软雅黑" w:hAnsi="微软雅黑" w:eastAsia="微软雅黑"/>
          <w:b/>
          <w:spacing w:val="-2"/>
          <w:sz w:val="21"/>
        </w:rPr>
        <w:t>手</w:t>
      </w:r>
      <w:r>
        <w:rPr>
          <w:rFonts w:ascii="微软雅黑" w:hAnsi="微软雅黑" w:eastAsia="微软雅黑"/>
          <w:b/>
          <w:spacing w:val="-2"/>
          <w:sz w:val="21"/>
        </w:rPr>
        <w:t>术</w:t>
      </w:r>
      <w:r>
        <w:rPr>
          <w:rFonts w:ascii="微软雅黑" w:hAnsi="微软雅黑" w:eastAsia="微软雅黑"/>
          <w:b/>
          <w:spacing w:val="-2"/>
          <w:sz w:val="21"/>
        </w:rPr>
        <w:t>”的</w:t>
      </w:r>
      <w:r>
        <w:rPr>
          <w:rFonts w:ascii="微软雅黑" w:hAnsi="微软雅黑" w:eastAsia="微软雅黑"/>
          <w:b/>
          <w:spacing w:val="-2"/>
          <w:sz w:val="21"/>
        </w:rPr>
        <w:t>给</w:t>
      </w:r>
      <w:r>
        <w:rPr>
          <w:rFonts w:ascii="微软雅黑" w:hAnsi="微软雅黑" w:eastAsia="微软雅黑"/>
          <w:b/>
          <w:spacing w:val="-2"/>
          <w:sz w:val="21"/>
        </w:rPr>
        <w:t>付</w:t>
      </w:r>
      <w:r>
        <w:rPr>
          <w:rFonts w:ascii="微软雅黑" w:hAnsi="微软雅黑" w:eastAsia="微软雅黑"/>
          <w:b/>
          <w:spacing w:val="-2"/>
          <w:sz w:val="21"/>
        </w:rPr>
        <w:t>标</w:t>
      </w:r>
      <w:r>
        <w:rPr>
          <w:rFonts w:ascii="微软雅黑" w:hAnsi="微软雅黑" w:eastAsia="微软雅黑"/>
          <w:b/>
          <w:spacing w:val="-2"/>
          <w:sz w:val="21"/>
        </w:rPr>
        <w:t>准</w:t>
      </w:r>
      <w:r>
        <w:rPr>
          <w:spacing w:val="-135"/>
          <w:sz w:val="21"/>
        </w:rPr>
        <w:t>。</w:t>
      </w:r>
      <w:r>
        <w:rPr>
          <w:spacing w:val="-2"/>
          <w:sz w:val="21"/>
        </w:rPr>
        <w:t>（1）</w:t>
      </w:r>
      <w:r>
        <w:rPr>
          <w:spacing w:val="-18"/>
          <w:sz w:val="21"/>
        </w:rPr>
        <w:t>脑垂体瘤；</w:t>
      </w:r>
      <w:r>
        <w:rPr>
          <w:spacing w:val="25"/>
          <w:sz w:val="21"/>
        </w:rPr>
        <w:t>（</w:t>
      </w:r>
      <w:r>
        <w:rPr>
          <w:spacing w:val="26"/>
          <w:sz w:val="21"/>
        </w:rPr>
        <w:t>2</w:t>
      </w:r>
      <w:r>
        <w:rPr>
          <w:spacing w:val="23"/>
          <w:sz w:val="21"/>
        </w:rPr>
        <w:t>）</w:t>
      </w:r>
      <w:r>
        <w:rPr>
          <w:spacing w:val="-23"/>
          <w:sz w:val="21"/>
        </w:rPr>
        <w:t>脑囊肿；</w:t>
      </w:r>
      <w:r>
        <w:rPr>
          <w:spacing w:val="22"/>
          <w:sz w:val="21"/>
        </w:rPr>
        <w:t>（</w:t>
      </w:r>
      <w:r>
        <w:rPr>
          <w:spacing w:val="25"/>
          <w:sz w:val="21"/>
        </w:rPr>
        <w:t>3）</w:t>
      </w:r>
      <w:r>
        <w:rPr>
          <w:spacing w:val="-2"/>
          <w:sz w:val="21"/>
        </w:rPr>
        <w:t>脑动脉瘤、脑血管瘤。</w:t>
      </w:r>
    </w:p>
    <w:p>
      <w:pPr>
        <w:pStyle w:val="Heading2"/>
        <w:spacing w:line="290" w:lineRule="auto" w:before="30"/>
        <w:ind w:right="319" w:firstLine="427"/>
        <w:jc w:val="both"/>
      </w:pPr>
      <w:r>
        <w:rPr>
          <w:spacing w:val="-8"/>
        </w:rPr>
        <w:t>我们对“轻度脑中风后遗症”、 “微创颅脑手术”和“脑垂体瘤、脑囊肿、脑动脉瘤</w:t>
      </w:r>
      <w:r>
        <w:rPr>
          <w:spacing w:val="-2"/>
        </w:rPr>
        <w:t>及脑血管瘤”三项中的其中一项承担保险责任，给付其中一项保险金后，对其他两项疾病</w:t>
      </w:r>
      <w:r>
        <w:rPr>
          <w:spacing w:val="-2"/>
        </w:rPr>
        <w:t>的保险责任同时终止。</w:t>
      </w:r>
    </w:p>
    <w:p>
      <w:pPr>
        <w:spacing w:line="386" w:lineRule="exact" w:before="0"/>
        <w:ind w:left="120" w:right="0" w:firstLine="0"/>
        <w:jc w:val="both"/>
        <w:rPr>
          <w:rFonts w:ascii="微软雅黑" w:eastAsia="微软雅黑"/>
          <w:b/>
          <w:sz w:val="21"/>
        </w:rPr>
      </w:pPr>
      <w:r>
        <w:rPr>
          <w:rFonts w:ascii="微软雅黑" w:eastAsia="微软雅黑"/>
          <w:b/>
          <w:sz w:val="21"/>
        </w:rPr>
        <w:t>(二十) 面部重建手术</w:t>
      </w:r>
    </w:p>
    <w:p>
      <w:pPr>
        <w:pStyle w:val="BodyText"/>
        <w:spacing w:line="417" w:lineRule="auto" w:before="148"/>
        <w:ind w:left="120" w:right="311" w:firstLine="427"/>
        <w:jc w:val="both"/>
      </w:pPr>
      <w:r>
        <w:rPr>
          <w:spacing w:val="-8"/>
        </w:rPr>
        <w:t>因疾病或意外伤害导致面部毁容，确实进行整形或者重建手术</w:t>
      </w:r>
      <w:r>
        <w:rPr>
          <w:spacing w:val="-2"/>
        </w:rPr>
        <w:t>（颈部以上的面部构造不</w:t>
      </w:r>
      <w:r>
        <w:rPr>
          <w:spacing w:val="-2"/>
        </w:rPr>
        <w:t>完整、缺失或者受损而对其形态及外观进行修复或者重建</w:t>
      </w:r>
      <w:r>
        <w:rPr>
          <w:spacing w:val="-108"/>
        </w:rPr>
        <w:t>）</w:t>
      </w:r>
      <w:r>
        <w:rPr>
          <w:spacing w:val="-2"/>
        </w:rPr>
        <w:t>，同时必须由专科医生认为该面</w:t>
      </w:r>
      <w:r>
        <w:rPr>
          <w:spacing w:val="-4"/>
        </w:rPr>
        <w:t>部毁容是需要接受住院治疗，及其后接受该手术，而对该面部毁容所进行的治疗亦是医疗所</w:t>
      </w:r>
      <w:r>
        <w:rPr>
          <w:spacing w:val="-6"/>
        </w:rPr>
        <w:t>需。</w:t>
      </w:r>
    </w:p>
    <w:p>
      <w:pPr>
        <w:spacing w:line="320" w:lineRule="exact" w:before="0"/>
        <w:ind w:left="547" w:right="0" w:firstLine="0"/>
        <w:jc w:val="left"/>
        <w:rPr>
          <w:rFonts w:ascii="微软雅黑" w:eastAsia="微软雅黑"/>
          <w:b/>
          <w:sz w:val="21"/>
        </w:rPr>
      </w:pPr>
      <w:r>
        <w:rPr>
          <w:rFonts w:ascii="微软雅黑" w:eastAsia="微软雅黑"/>
          <w:b/>
          <w:spacing w:val="-1"/>
          <w:sz w:val="21"/>
        </w:rPr>
        <w:t>因纯粹整容原因、独立的牙齿修复、独立的鼻骨骨折或者独立的皮肤伤口所进行的手</w:t>
      </w:r>
    </w:p>
    <w:p>
      <w:pPr>
        <w:spacing w:before="81"/>
        <w:ind w:left="120" w:right="0" w:firstLine="0"/>
        <w:jc w:val="left"/>
        <w:rPr>
          <w:rFonts w:ascii="微软雅黑" w:eastAsia="微软雅黑"/>
          <w:b/>
          <w:sz w:val="21"/>
        </w:rPr>
      </w:pPr>
      <w:r>
        <w:rPr>
          <w:rFonts w:ascii="微软雅黑" w:eastAsia="微软雅黑"/>
          <w:b/>
          <w:spacing w:val="-4"/>
          <w:sz w:val="21"/>
        </w:rPr>
        <w:t>术均不受此保障。</w:t>
      </w:r>
    </w:p>
    <w:p>
      <w:pPr>
        <w:spacing w:line="290" w:lineRule="auto" w:before="81"/>
        <w:ind w:left="120" w:right="314" w:firstLine="427"/>
        <w:jc w:val="left"/>
        <w:rPr>
          <w:rFonts w:ascii="微软雅黑" w:hAnsi="微软雅黑" w:eastAsia="微软雅黑"/>
          <w:b/>
          <w:sz w:val="21"/>
        </w:rPr>
      </w:pPr>
      <w:r>
        <w:rPr>
          <w:rFonts w:ascii="微软雅黑" w:hAnsi="微软雅黑" w:eastAsia="微软雅黑"/>
          <w:b/>
          <w:sz w:val="21"/>
        </w:rPr>
        <w:t>我们对“较小面积 </w:t>
      </w:r>
      <w:r>
        <w:rPr>
          <w:rFonts w:ascii="微软雅黑" w:hAnsi="微软雅黑" w:eastAsia="微软雅黑"/>
          <w:b/>
          <w:w w:val="130"/>
          <w:sz w:val="21"/>
        </w:rPr>
        <w:t>III </w:t>
      </w:r>
      <w:r>
        <w:rPr>
          <w:rFonts w:ascii="微软雅黑" w:hAnsi="微软雅黑" w:eastAsia="微软雅黑"/>
          <w:b/>
          <w:sz w:val="21"/>
        </w:rPr>
        <w:t>度烧伤</w:t>
      </w:r>
      <w:r>
        <w:rPr>
          <w:b/>
          <w:sz w:val="21"/>
        </w:rPr>
        <w:t>”</w:t>
      </w:r>
      <w:r>
        <w:rPr>
          <w:rFonts w:ascii="微软雅黑" w:hAnsi="微软雅黑" w:eastAsia="微软雅黑"/>
          <w:b/>
          <w:sz w:val="21"/>
        </w:rPr>
        <w:t>、</w:t>
      </w:r>
      <w:r>
        <w:rPr>
          <w:b/>
          <w:sz w:val="21"/>
        </w:rPr>
        <w:t>“</w:t>
      </w:r>
      <w:r>
        <w:rPr>
          <w:rFonts w:ascii="微软雅黑" w:hAnsi="微软雅黑" w:eastAsia="微软雅黑"/>
          <w:b/>
          <w:sz w:val="21"/>
        </w:rPr>
        <w:t>面部重建手术</w:t>
      </w:r>
      <w:r>
        <w:rPr>
          <w:b/>
          <w:sz w:val="21"/>
        </w:rPr>
        <w:t>”</w:t>
      </w:r>
      <w:r>
        <w:rPr>
          <w:rFonts w:ascii="微软雅黑" w:hAnsi="微软雅黑" w:eastAsia="微软雅黑"/>
          <w:b/>
          <w:sz w:val="21"/>
        </w:rPr>
        <w:t>和</w:t>
      </w:r>
      <w:r>
        <w:rPr>
          <w:b/>
          <w:sz w:val="21"/>
        </w:rPr>
        <w:t>“</w:t>
      </w:r>
      <w:r>
        <w:rPr>
          <w:rFonts w:ascii="微软雅黑" w:hAnsi="微软雅黑" w:eastAsia="微软雅黑"/>
          <w:b/>
          <w:sz w:val="21"/>
        </w:rPr>
        <w:t>轻度面部烧伤</w:t>
      </w:r>
      <w:r>
        <w:rPr>
          <w:b/>
          <w:sz w:val="21"/>
        </w:rPr>
        <w:t>”</w:t>
      </w:r>
      <w:r>
        <w:rPr>
          <w:rFonts w:ascii="微软雅黑" w:hAnsi="微软雅黑" w:eastAsia="微软雅黑"/>
          <w:b/>
          <w:sz w:val="21"/>
        </w:rPr>
        <w:t>三项中的其</w:t>
      </w:r>
      <w:r>
        <w:rPr>
          <w:rFonts w:ascii="微软雅黑" w:hAnsi="微软雅黑" w:eastAsia="微软雅黑"/>
          <w:b/>
          <w:spacing w:val="-2"/>
          <w:sz w:val="21"/>
        </w:rPr>
        <w:t>中一项承担保险责任，给付其中一项保险金后，对其他两项疾病的保险责任同时终止。</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二十一) 单个肢体缺失</w:t>
      </w:r>
    </w:p>
    <w:p>
      <w:pPr>
        <w:spacing w:line="290" w:lineRule="auto" w:before="82"/>
        <w:ind w:left="120" w:right="311" w:firstLine="427"/>
        <w:jc w:val="left"/>
        <w:rPr>
          <w:sz w:val="21"/>
        </w:rPr>
      </w:pPr>
      <w:r>
        <w:rPr>
          <w:sz w:val="21"/>
        </w:rPr>
        <w:t>指</w:t>
      </w:r>
      <w:r>
        <w:rPr>
          <w:sz w:val="21"/>
        </w:rPr>
        <w:t>一</w:t>
      </w:r>
      <w:r>
        <w:rPr>
          <w:sz w:val="21"/>
        </w:rPr>
        <w:t>个</w:t>
      </w:r>
      <w:r>
        <w:rPr>
          <w:sz w:val="21"/>
        </w:rPr>
        <w:t>肢</w:t>
      </w:r>
      <w:r>
        <w:rPr>
          <w:sz w:val="21"/>
        </w:rPr>
        <w:t>体自</w:t>
      </w:r>
      <w:r>
        <w:rPr>
          <w:sz w:val="21"/>
        </w:rPr>
        <w:t>腕</w:t>
      </w:r>
      <w:r>
        <w:rPr>
          <w:sz w:val="21"/>
        </w:rPr>
        <w:t>关节</w:t>
      </w:r>
      <w:r>
        <w:rPr>
          <w:sz w:val="21"/>
        </w:rPr>
        <w:t>或</w:t>
      </w:r>
      <w:r>
        <w:rPr>
          <w:sz w:val="21"/>
        </w:rPr>
        <w:t>踝关</w:t>
      </w:r>
      <w:r>
        <w:rPr>
          <w:sz w:val="21"/>
        </w:rPr>
        <w:t>节</w:t>
      </w:r>
      <w:r>
        <w:rPr>
          <w:sz w:val="21"/>
        </w:rPr>
        <w:t>近</w:t>
      </w:r>
      <w:r>
        <w:rPr>
          <w:sz w:val="21"/>
        </w:rPr>
        <w:t>端</w:t>
      </w:r>
      <w:r>
        <w:rPr>
          <w:sz w:val="21"/>
        </w:rPr>
        <w:t>（靠</w:t>
      </w:r>
      <w:r>
        <w:rPr>
          <w:sz w:val="21"/>
        </w:rPr>
        <w:t>近</w:t>
      </w:r>
      <w:r>
        <w:rPr>
          <w:sz w:val="21"/>
        </w:rPr>
        <w:t>躯干</w:t>
      </w:r>
      <w:r>
        <w:rPr>
          <w:sz w:val="21"/>
        </w:rPr>
        <w:t>端</w:t>
      </w:r>
      <w:r>
        <w:rPr>
          <w:sz w:val="21"/>
        </w:rPr>
        <w:t>）以</w:t>
      </w:r>
      <w:r>
        <w:rPr>
          <w:sz w:val="21"/>
        </w:rPr>
        <w:t>上</w:t>
      </w:r>
      <w:r>
        <w:rPr>
          <w:sz w:val="21"/>
        </w:rPr>
        <w:t>完</w:t>
      </w:r>
      <w:r>
        <w:rPr>
          <w:sz w:val="21"/>
        </w:rPr>
        <w:t>全</w:t>
      </w:r>
      <w:r>
        <w:rPr>
          <w:sz w:val="21"/>
        </w:rPr>
        <w:t>性断</w:t>
      </w:r>
      <w:r>
        <w:rPr>
          <w:sz w:val="21"/>
        </w:rPr>
        <w:t>离</w:t>
      </w:r>
      <w:r>
        <w:rPr>
          <w:sz w:val="21"/>
        </w:rPr>
        <w:t>，</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89" name="image2.png"/>
            <wp:cNvGraphicFramePr>
              <a:graphicFrameLocks noChangeAspect="1"/>
            </wp:cNvGraphicFramePr>
            <a:graphic>
              <a:graphicData uri="http://schemas.openxmlformats.org/drawingml/2006/picture">
                <pic:pic>
                  <pic:nvPicPr>
                    <pic:cNvPr id="9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pacing w:val="-2"/>
          <w:sz w:val="21"/>
        </w:rPr>
        <w:t>所指重大疾病“多个肢体缺失”的给付标准</w:t>
      </w:r>
      <w:r>
        <w:rPr>
          <w:spacing w:val="-2"/>
          <w:sz w:val="21"/>
        </w:rPr>
        <w:t>。</w:t>
      </w:r>
    </w:p>
    <w:p>
      <w:pPr>
        <w:pStyle w:val="Heading2"/>
        <w:spacing w:line="290" w:lineRule="auto"/>
        <w:ind w:right="319" w:firstLine="427"/>
      </w:pPr>
      <w:r>
        <w:rPr>
          <w:spacing w:val="-2"/>
        </w:rPr>
        <w:t>因“糖尿病导致单足切除”或者因“恶性肿瘤——</w:t>
      </w:r>
      <w:r>
        <w:rPr>
          <w:spacing w:val="-2"/>
        </w:rPr>
        <w:t>重度导致肢体切除”导致的单个肢</w:t>
      </w:r>
      <w:r>
        <w:rPr>
          <w:spacing w:val="-2"/>
        </w:rPr>
        <w:t>体缺失不在本项保障范围内。</w:t>
      </w:r>
    </w:p>
    <w:p>
      <w:pPr>
        <w:spacing w:line="386"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2"/>
          <w:sz w:val="21"/>
        </w:rPr>
        <w:t>二十二) 角膜移植</w:t>
      </w:r>
    </w:p>
    <w:p>
      <w:pPr>
        <w:spacing w:after="0" w:line="386" w:lineRule="exact"/>
        <w:jc w:val="left"/>
        <w:rPr>
          <w:rFonts w:ascii="微软雅黑" w:eastAsia="微软雅黑"/>
          <w:sz w:val="21"/>
        </w:rPr>
        <w:sectPr>
          <w:pgSz w:w="11910" w:h="16840"/>
          <w:pgMar w:header="0" w:footer="1005" w:top="1460" w:bottom="1200" w:left="1680" w:right="1480"/>
        </w:sectPr>
      </w:pPr>
    </w:p>
    <w:p>
      <w:pPr>
        <w:pStyle w:val="BodyText"/>
        <w:spacing w:line="417" w:lineRule="auto" w:before="61"/>
        <w:ind w:left="120" w:right="311" w:firstLine="427"/>
      </w:pPr>
      <w:r>
        <w:rPr>
          <w:spacing w:val="-8"/>
        </w:rPr>
        <w:t>指为增进视力或治疗某些角膜疾患，已经实施了异体的角膜移植手术。此手术必须在我</w:t>
      </w:r>
      <w:r>
        <w:rPr>
          <w:spacing w:val="-2"/>
        </w:rPr>
        <w:t>们认可医院内由专科医生认为是医疗必须的情况下进行。</w:t>
      </w:r>
    </w:p>
    <w:p>
      <w:pPr>
        <w:pStyle w:val="Heading2"/>
        <w:spacing w:line="320" w:lineRule="exact"/>
        <w:ind w:left="547"/>
      </w:pPr>
      <w:r>
        <w:rPr>
          <w:spacing w:val="-15"/>
        </w:rPr>
        <w:t>我们对“视力严重受损”、“单目失明”和“角膜移植”三项中的其中一项承担保险责</w:t>
      </w:r>
    </w:p>
    <w:p>
      <w:pPr>
        <w:spacing w:line="290" w:lineRule="auto" w:before="81"/>
        <w:ind w:left="120" w:right="2297" w:firstLine="0"/>
        <w:jc w:val="left"/>
        <w:rPr>
          <w:rFonts w:ascii="微软雅黑" w:eastAsia="微软雅黑"/>
          <w:b/>
          <w:sz w:val="21"/>
        </w:rPr>
      </w:pPr>
      <w:r>
        <w:rPr>
          <w:rFonts w:ascii="微软雅黑" w:eastAsia="微软雅黑"/>
          <w:b/>
          <w:spacing w:val="-2"/>
          <w:sz w:val="21"/>
        </w:rPr>
        <w:t>任，给付其中一项保险金后，对其它两项疾病的保险责任同时终止。 </w:t>
      </w:r>
      <w:r>
        <w:rPr>
          <w:rFonts w:ascii="微软雅黑" w:eastAsia="微软雅黑"/>
          <w:b/>
          <w:w w:val="105"/>
          <w:sz w:val="21"/>
        </w:rPr>
        <w:t>(</w:t>
      </w:r>
      <w:r>
        <w:rPr>
          <w:rFonts w:ascii="微软雅黑" w:eastAsia="微软雅黑"/>
          <w:b/>
          <w:w w:val="105"/>
          <w:sz w:val="21"/>
        </w:rPr>
        <w:t>二</w:t>
      </w:r>
      <w:r>
        <w:rPr>
          <w:rFonts w:ascii="微软雅黑" w:eastAsia="微软雅黑"/>
          <w:b/>
          <w:w w:val="105"/>
          <w:sz w:val="21"/>
        </w:rPr>
        <w:t>十</w:t>
      </w:r>
      <w:r>
        <w:rPr>
          <w:rFonts w:ascii="微软雅黑" w:eastAsia="微软雅黑"/>
          <w:b/>
          <w:w w:val="105"/>
          <w:sz w:val="21"/>
        </w:rPr>
        <w:t>三) </w:t>
      </w:r>
      <w:r>
        <w:rPr>
          <w:rFonts w:ascii="微软雅黑" w:eastAsia="微软雅黑"/>
          <w:b/>
          <w:w w:val="105"/>
          <w:sz w:val="21"/>
        </w:rPr>
        <w:t>病</w:t>
      </w:r>
      <w:r>
        <w:rPr>
          <w:rFonts w:ascii="微软雅黑" w:eastAsia="微软雅黑"/>
          <w:b/>
          <w:w w:val="105"/>
          <w:sz w:val="21"/>
        </w:rPr>
        <w:t>毒</w:t>
      </w:r>
      <w:r>
        <w:rPr>
          <w:rFonts w:ascii="微软雅黑" w:eastAsia="微软雅黑"/>
          <w:b/>
          <w:w w:val="105"/>
          <w:sz w:val="21"/>
        </w:rPr>
        <w:t>性</w:t>
      </w:r>
      <w:r>
        <w:rPr>
          <w:rFonts w:ascii="微软雅黑" w:eastAsia="微软雅黑"/>
          <w:b/>
          <w:w w:val="105"/>
          <w:sz w:val="21"/>
        </w:rPr>
        <w:t>肝</w:t>
      </w:r>
      <w:r>
        <w:rPr>
          <w:rFonts w:ascii="微软雅黑" w:eastAsia="微软雅黑"/>
          <w:b/>
          <w:w w:val="105"/>
          <w:sz w:val="21"/>
        </w:rPr>
        <w:t>炎</w:t>
      </w:r>
      <w:r>
        <w:rPr>
          <w:rFonts w:ascii="微软雅黑" w:eastAsia="微软雅黑"/>
          <w:b/>
          <w:w w:val="105"/>
          <w:sz w:val="21"/>
        </w:rPr>
        <w:t>导</w:t>
      </w:r>
      <w:r>
        <w:rPr>
          <w:rFonts w:ascii="微软雅黑" w:eastAsia="微软雅黑"/>
          <w:b/>
          <w:w w:val="105"/>
          <w:sz w:val="21"/>
        </w:rPr>
        <w:t>致</w:t>
      </w:r>
      <w:r>
        <w:rPr>
          <w:rFonts w:ascii="微软雅黑" w:eastAsia="微软雅黑"/>
          <w:b/>
          <w:w w:val="105"/>
          <w:sz w:val="21"/>
        </w:rPr>
        <w:t>的</w:t>
      </w:r>
      <w:r>
        <w:rPr>
          <w:rFonts w:ascii="微软雅黑" w:eastAsia="微软雅黑"/>
          <w:b/>
          <w:w w:val="105"/>
          <w:sz w:val="21"/>
        </w:rPr>
        <w:t>肝</w:t>
      </w:r>
      <w:r>
        <w:rPr>
          <w:rFonts w:ascii="微软雅黑" w:eastAsia="微软雅黑"/>
          <w:b/>
          <w:w w:val="105"/>
          <w:sz w:val="21"/>
        </w:rPr>
        <w:t>硬</w:t>
      </w:r>
      <w:r>
        <w:rPr>
          <w:rFonts w:ascii="微软雅黑" w:eastAsia="微软雅黑"/>
          <w:b/>
          <w:w w:val="105"/>
          <w:sz w:val="21"/>
        </w:rPr>
        <w:t>化</w:t>
      </w:r>
    </w:p>
    <w:p>
      <w:pPr>
        <w:spacing w:line="312" w:lineRule="auto" w:before="0"/>
        <w:ind w:left="120" w:right="210" w:firstLine="427"/>
        <w:jc w:val="left"/>
        <w:rPr>
          <w:sz w:val="21"/>
        </w:rPr>
      </w:pPr>
      <w:r>
        <w:rPr>
          <w:spacing w:val="2"/>
          <w:w w:val="100"/>
          <w:sz w:val="21"/>
        </w:rPr>
        <w:t>因肝炎</w:t>
      </w:r>
      <w:r>
        <w:rPr>
          <w:w w:val="100"/>
          <w:sz w:val="21"/>
        </w:rPr>
        <w:t>病</w:t>
      </w:r>
      <w:r>
        <w:rPr>
          <w:spacing w:val="2"/>
          <w:w w:val="100"/>
          <w:sz w:val="21"/>
        </w:rPr>
        <w:t>毒</w:t>
      </w:r>
      <w:r>
        <w:rPr>
          <w:w w:val="100"/>
          <w:sz w:val="21"/>
        </w:rPr>
        <w:t>感</w:t>
      </w:r>
      <w:r>
        <w:rPr>
          <w:spacing w:val="2"/>
          <w:w w:val="100"/>
          <w:sz w:val="21"/>
        </w:rPr>
        <w:t>染的</w:t>
      </w:r>
      <w:r>
        <w:rPr>
          <w:w w:val="100"/>
          <w:sz w:val="21"/>
        </w:rPr>
        <w:t>肝</w:t>
      </w:r>
      <w:r>
        <w:rPr>
          <w:spacing w:val="2"/>
          <w:w w:val="100"/>
          <w:sz w:val="21"/>
        </w:rPr>
        <w:t>脏</w:t>
      </w:r>
      <w:r>
        <w:rPr>
          <w:w w:val="100"/>
          <w:sz w:val="21"/>
        </w:rPr>
        <w:t>慢</w:t>
      </w:r>
      <w:r>
        <w:rPr>
          <w:spacing w:val="2"/>
          <w:w w:val="100"/>
          <w:sz w:val="21"/>
        </w:rPr>
        <w:t>性炎症</w:t>
      </w:r>
      <w:r>
        <w:rPr>
          <w:w w:val="100"/>
          <w:sz w:val="21"/>
        </w:rPr>
        <w:t>并</w:t>
      </w:r>
      <w:r>
        <w:rPr>
          <w:spacing w:val="2"/>
          <w:w w:val="100"/>
          <w:sz w:val="21"/>
        </w:rPr>
        <w:t>发</w:t>
      </w:r>
      <w:r>
        <w:rPr>
          <w:w w:val="100"/>
          <w:sz w:val="21"/>
        </w:rPr>
        <w:t>展</w:t>
      </w:r>
      <w:r>
        <w:rPr>
          <w:spacing w:val="2"/>
          <w:w w:val="100"/>
          <w:sz w:val="21"/>
        </w:rPr>
        <w:t>为肝</w:t>
      </w:r>
      <w:r>
        <w:rPr>
          <w:w w:val="100"/>
          <w:sz w:val="21"/>
        </w:rPr>
        <w:t>硬</w:t>
      </w:r>
      <w:r>
        <w:rPr>
          <w:spacing w:val="2"/>
          <w:w w:val="100"/>
          <w:sz w:val="21"/>
        </w:rPr>
        <w:t>化</w:t>
      </w:r>
      <w:r>
        <w:rPr>
          <w:spacing w:val="5"/>
          <w:w w:val="100"/>
          <w:sz w:val="21"/>
        </w:rPr>
        <w:t>。</w:t>
      </w:r>
      <w:r>
        <w:rPr>
          <w:rFonts w:ascii="微软雅黑" w:hAnsi="微软雅黑" w:eastAsia="微软雅黑"/>
          <w:b/>
          <w:spacing w:val="2"/>
          <w:w w:val="100"/>
          <w:sz w:val="21"/>
        </w:rPr>
        <w:t>且未达到</w:t>
      </w:r>
      <w:r>
        <w:rPr>
          <w:rFonts w:ascii="微软雅黑" w:hAnsi="微软雅黑" w:eastAsia="微软雅黑"/>
          <w:b/>
          <w:spacing w:val="12"/>
          <w:w w:val="100"/>
          <w:sz w:val="21"/>
        </w:rPr>
        <w:t>本</w:t>
      </w:r>
      <w:r>
        <w:rPr>
          <w:rFonts w:ascii="微软雅黑" w:hAnsi="微软雅黑" w:eastAsia="微软雅黑"/>
          <w:b/>
          <w:spacing w:val="12"/>
          <w:w w:val="100"/>
          <w:position w:val="-1"/>
          <w:sz w:val="21"/>
        </w:rPr>
        <w:drawing>
          <wp:inline distT="0" distB="0" distL="0" distR="0">
            <wp:extent cx="123825" cy="127000"/>
            <wp:effectExtent l="0" t="0" r="0" b="0"/>
            <wp:docPr id="91" name="image2.png"/>
            <wp:cNvGraphicFramePr>
              <a:graphicFrameLocks noChangeAspect="1"/>
            </wp:cNvGraphicFramePr>
            <a:graphic>
              <a:graphicData uri="http://schemas.openxmlformats.org/drawingml/2006/picture">
                <pic:pic>
                  <pic:nvPicPr>
                    <pic:cNvPr id="9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spacing w:val="12"/>
          <w:w w:val="100"/>
          <w:position w:val="-1"/>
          <w:sz w:val="21"/>
        </w:rPr>
      </w:r>
      <w:r>
        <w:rPr>
          <w:rFonts w:ascii="微软雅黑" w:hAnsi="微软雅黑" w:eastAsia="微软雅黑"/>
          <w:b/>
          <w:spacing w:val="2"/>
          <w:w w:val="100"/>
          <w:sz w:val="21"/>
        </w:rPr>
        <w:t>同所指重大疾病“严</w:t>
      </w:r>
      <w:r>
        <w:rPr>
          <w:rFonts w:ascii="微软雅黑" w:hAnsi="微软雅黑" w:eastAsia="微软雅黑"/>
          <w:b/>
          <w:spacing w:val="1"/>
          <w:w w:val="100"/>
          <w:sz w:val="21"/>
        </w:rPr>
        <w:t>重慢性肝衰竭</w:t>
      </w:r>
      <w:r>
        <w:rPr>
          <w:rFonts w:ascii="微软雅黑" w:hAnsi="微软雅黑" w:eastAsia="微软雅黑"/>
          <w:b/>
          <w:spacing w:val="-8"/>
          <w:sz w:val="21"/>
        </w:rPr>
        <w:t>  </w:t>
      </w:r>
      <w:r>
        <w:rPr>
          <w:rFonts w:ascii="微软雅黑" w:hAnsi="微软雅黑" w:eastAsia="微软雅黑"/>
          <w:b/>
          <w:w w:val="100"/>
          <w:sz w:val="21"/>
        </w:rPr>
        <w:t>”或“恶性肿瘤</w:t>
      </w:r>
      <w:r>
        <w:rPr>
          <w:rFonts w:ascii="微软雅黑" w:hAnsi="微软雅黑" w:eastAsia="微软雅黑"/>
          <w:b/>
          <w:spacing w:val="2"/>
          <w:w w:val="93"/>
          <w:sz w:val="21"/>
        </w:rPr>
        <w:t>——</w:t>
      </w:r>
      <w:r>
        <w:rPr>
          <w:rFonts w:ascii="微软雅黑" w:hAnsi="微软雅黑" w:eastAsia="微软雅黑"/>
          <w:b/>
          <w:w w:val="100"/>
          <w:sz w:val="21"/>
        </w:rPr>
        <w:t>重度”的给付标准</w:t>
      </w:r>
      <w:r>
        <w:rPr>
          <w:spacing w:val="-8"/>
          <w:w w:val="100"/>
          <w:sz w:val="21"/>
        </w:rPr>
        <w:t>。理赔时须满足下列全部条件：</w:t>
      </w:r>
      <w:r>
        <w:rPr>
          <w:spacing w:val="2"/>
          <w:w w:val="100"/>
          <w:sz w:val="21"/>
        </w:rPr>
        <w:t>（</w:t>
      </w:r>
      <w:r>
        <w:rPr>
          <w:spacing w:val="-3"/>
          <w:w w:val="100"/>
          <w:sz w:val="21"/>
        </w:rPr>
        <w:t>1</w:t>
      </w:r>
      <w:r>
        <w:rPr>
          <w:spacing w:val="-3"/>
          <w:w w:val="100"/>
          <w:sz w:val="21"/>
        </w:rPr>
        <w:t>）</w:t>
      </w:r>
      <w:r>
        <w:rPr>
          <w:spacing w:val="-3"/>
          <w:w w:val="100"/>
          <w:sz w:val="21"/>
        </w:rPr>
        <w:t>被保人有感染慢性肝炎病毒的血清学及实验室检查报告等临床证据</w:t>
      </w:r>
      <w:r>
        <w:rPr>
          <w:spacing w:val="-154"/>
          <w:w w:val="100"/>
          <w:sz w:val="21"/>
        </w:rPr>
        <w:t>；</w:t>
      </w:r>
      <w:r>
        <w:rPr>
          <w:spacing w:val="-1"/>
          <w:w w:val="100"/>
          <w:sz w:val="21"/>
        </w:rPr>
        <w:t>（</w:t>
      </w:r>
      <w:r>
        <w:rPr>
          <w:w w:val="100"/>
          <w:sz w:val="21"/>
        </w:rPr>
        <w:t>2</w:t>
      </w:r>
      <w:r>
        <w:rPr>
          <w:spacing w:val="-51"/>
          <w:w w:val="100"/>
          <w:sz w:val="21"/>
        </w:rPr>
        <w:t>）</w:t>
      </w:r>
      <w:r>
        <w:rPr>
          <w:spacing w:val="-3"/>
          <w:w w:val="100"/>
          <w:sz w:val="21"/>
        </w:rPr>
        <w:t>必须由我们认可医</w:t>
      </w:r>
    </w:p>
    <w:p>
      <w:pPr>
        <w:pStyle w:val="BodyText"/>
        <w:spacing w:line="417" w:lineRule="auto" w:before="114"/>
        <w:ind w:left="120" w:right="311"/>
        <w:jc w:val="both"/>
      </w:pPr>
      <w:r>
        <w:rPr>
          <w:spacing w:val="-7"/>
        </w:rPr>
        <w:t>院的消化科专科医生基于肝脏组织病理学检查报告、临床表现及病史对肝炎病毒感染导致肝</w:t>
      </w:r>
      <w:r>
        <w:rPr>
          <w:spacing w:val="-9"/>
        </w:rPr>
        <w:t>硬化作出明确诊断；</w:t>
      </w:r>
      <w:r>
        <w:rPr>
          <w:spacing w:val="27"/>
        </w:rPr>
        <w:t>（</w:t>
      </w:r>
      <w:r>
        <w:rPr>
          <w:spacing w:val="25"/>
        </w:rPr>
        <w:t>3）</w:t>
      </w:r>
      <w:r>
        <w:rPr>
          <w:spacing w:val="-2"/>
        </w:rPr>
        <w:t>病理学检查报告证明肝脏病变按 </w:t>
      </w:r>
      <w:r>
        <w:rPr/>
        <w:t>Metavir</w:t>
      </w:r>
      <w:r>
        <w:rPr>
          <w:spacing w:val="-8"/>
        </w:rPr>
        <w:t> 分级表中属 </w:t>
      </w:r>
      <w:r>
        <w:rPr/>
        <w:t>F4</w:t>
      </w:r>
      <w:r>
        <w:rPr>
          <w:spacing w:val="-7"/>
        </w:rPr>
        <w:t> 阶段或</w:t>
      </w:r>
      <w:r>
        <w:rPr/>
        <w:t> Knodell</w:t>
      </w:r>
      <w:r>
        <w:rPr>
          <w:spacing w:val="-5"/>
        </w:rPr>
        <w:t> 肝纤维化标准达到 </w:t>
      </w:r>
      <w:r>
        <w:rPr/>
        <w:t>4</w:t>
      </w:r>
      <w:r>
        <w:rPr>
          <w:spacing w:val="-6"/>
        </w:rPr>
        <w:t> 分。</w:t>
      </w:r>
    </w:p>
    <w:p>
      <w:pPr>
        <w:pStyle w:val="Heading2"/>
        <w:spacing w:line="320" w:lineRule="exact"/>
        <w:ind w:left="547"/>
      </w:pPr>
      <w:r>
        <w:rPr>
          <w:spacing w:val="-3"/>
        </w:rPr>
        <w:t>由酒精或药物滥用而引起的本疾病不在保障范围内。</w:t>
      </w:r>
    </w:p>
    <w:p>
      <w:pPr>
        <w:spacing w:line="290" w:lineRule="auto" w:before="81"/>
        <w:ind w:left="120" w:right="315" w:firstLine="427"/>
        <w:jc w:val="both"/>
        <w:rPr>
          <w:rFonts w:ascii="微软雅黑" w:hAnsi="微软雅黑" w:eastAsia="微软雅黑"/>
          <w:b/>
          <w:sz w:val="21"/>
        </w:rPr>
      </w:pPr>
      <w:r>
        <w:rPr>
          <w:rFonts w:ascii="微软雅黑" w:hAnsi="微软雅黑" w:eastAsia="微软雅黑"/>
          <w:b/>
          <w:spacing w:val="-13"/>
          <w:sz w:val="21"/>
        </w:rPr>
        <w:t>我们对“病毒性肝炎导致的肝硬化”、“早期肝硬化”和“慢性肝功能衰竭”三项中的</w:t>
      </w:r>
      <w:r>
        <w:rPr>
          <w:rFonts w:ascii="微软雅黑" w:hAnsi="微软雅黑" w:eastAsia="微软雅黑"/>
          <w:b/>
          <w:spacing w:val="-2"/>
          <w:sz w:val="21"/>
        </w:rPr>
        <w:t>其中一项承担保险责任，给付其中一项保险金后，对其他两项疾病的保险责任同时终止。</w:t>
      </w:r>
      <w:r>
        <w:rPr>
          <w:rFonts w:ascii="微软雅黑" w:hAnsi="微软雅黑" w:eastAsia="微软雅黑"/>
          <w:b/>
          <w:spacing w:val="80"/>
          <w:w w:val="150"/>
          <w:sz w:val="21"/>
        </w:rPr>
        <w:t> </w:t>
      </w:r>
      <w:r>
        <w:rPr>
          <w:rFonts w:ascii="微软雅黑" w:hAnsi="微软雅黑" w:eastAsia="微软雅黑"/>
          <w:b/>
          <w:w w:val="105"/>
          <w:sz w:val="21"/>
        </w:rPr>
        <w:t>(</w:t>
      </w:r>
      <w:r>
        <w:rPr>
          <w:rFonts w:ascii="微软雅黑" w:hAnsi="微软雅黑" w:eastAsia="微软雅黑"/>
          <w:b/>
          <w:w w:val="105"/>
          <w:sz w:val="21"/>
        </w:rPr>
        <w:t>二</w:t>
      </w:r>
      <w:r>
        <w:rPr>
          <w:rFonts w:ascii="微软雅黑" w:hAnsi="微软雅黑" w:eastAsia="微软雅黑"/>
          <w:b/>
          <w:w w:val="105"/>
          <w:sz w:val="21"/>
        </w:rPr>
        <w:t>十</w:t>
      </w:r>
      <w:r>
        <w:rPr>
          <w:rFonts w:ascii="微软雅黑" w:hAnsi="微软雅黑" w:eastAsia="微软雅黑"/>
          <w:b/>
          <w:w w:val="105"/>
          <w:sz w:val="21"/>
        </w:rPr>
        <w:t>四) </w:t>
      </w:r>
      <w:r>
        <w:rPr>
          <w:rFonts w:ascii="微软雅黑" w:hAnsi="微软雅黑" w:eastAsia="微软雅黑"/>
          <w:b/>
          <w:w w:val="105"/>
          <w:sz w:val="21"/>
        </w:rPr>
        <w:t>特</w:t>
      </w:r>
      <w:r>
        <w:rPr>
          <w:rFonts w:ascii="微软雅黑" w:hAnsi="微软雅黑" w:eastAsia="微软雅黑"/>
          <w:b/>
          <w:w w:val="105"/>
          <w:sz w:val="21"/>
        </w:rPr>
        <w:t>定</w:t>
      </w:r>
      <w:r>
        <w:rPr>
          <w:rFonts w:ascii="微软雅黑" w:hAnsi="微软雅黑" w:eastAsia="微软雅黑"/>
          <w:b/>
          <w:w w:val="105"/>
          <w:sz w:val="21"/>
        </w:rPr>
        <w:t>周</w:t>
      </w:r>
      <w:r>
        <w:rPr>
          <w:rFonts w:ascii="微软雅黑" w:hAnsi="微软雅黑" w:eastAsia="微软雅黑"/>
          <w:b/>
          <w:w w:val="105"/>
          <w:sz w:val="21"/>
        </w:rPr>
        <w:t>围</w:t>
      </w:r>
      <w:r>
        <w:rPr>
          <w:rFonts w:ascii="微软雅黑" w:hAnsi="微软雅黑" w:eastAsia="微软雅黑"/>
          <w:b/>
          <w:w w:val="105"/>
          <w:sz w:val="21"/>
        </w:rPr>
        <w:t>动</w:t>
      </w:r>
      <w:r>
        <w:rPr>
          <w:rFonts w:ascii="微软雅黑" w:hAnsi="微软雅黑" w:eastAsia="微软雅黑"/>
          <w:b/>
          <w:w w:val="105"/>
          <w:sz w:val="21"/>
        </w:rPr>
        <w:t>脉</w:t>
      </w:r>
      <w:r>
        <w:rPr>
          <w:rFonts w:ascii="微软雅黑" w:hAnsi="微软雅黑" w:eastAsia="微软雅黑"/>
          <w:b/>
          <w:w w:val="105"/>
          <w:sz w:val="21"/>
        </w:rPr>
        <w:t>疾</w:t>
      </w:r>
      <w:r>
        <w:rPr>
          <w:rFonts w:ascii="微软雅黑" w:hAnsi="微软雅黑" w:eastAsia="微软雅黑"/>
          <w:b/>
          <w:w w:val="105"/>
          <w:sz w:val="21"/>
        </w:rPr>
        <w:t>病</w:t>
      </w:r>
      <w:r>
        <w:rPr>
          <w:rFonts w:ascii="微软雅黑" w:hAnsi="微软雅黑" w:eastAsia="微软雅黑"/>
          <w:b/>
          <w:w w:val="105"/>
          <w:sz w:val="21"/>
        </w:rPr>
        <w:t>的血管</w:t>
      </w:r>
      <w:r>
        <w:rPr>
          <w:rFonts w:ascii="微软雅黑" w:hAnsi="微软雅黑" w:eastAsia="微软雅黑"/>
          <w:b/>
          <w:w w:val="105"/>
          <w:sz w:val="21"/>
        </w:rPr>
        <w:t>介</w:t>
      </w:r>
      <w:r>
        <w:rPr>
          <w:rFonts w:ascii="微软雅黑" w:hAnsi="微软雅黑" w:eastAsia="微软雅黑"/>
          <w:b/>
          <w:w w:val="105"/>
          <w:sz w:val="21"/>
        </w:rPr>
        <w:t>入</w:t>
      </w:r>
      <w:r>
        <w:rPr>
          <w:rFonts w:ascii="微软雅黑" w:hAnsi="微软雅黑" w:eastAsia="微软雅黑"/>
          <w:b/>
          <w:w w:val="105"/>
          <w:sz w:val="21"/>
        </w:rPr>
        <w:t>治</w:t>
      </w:r>
      <w:r>
        <w:rPr>
          <w:rFonts w:ascii="微软雅黑" w:hAnsi="微软雅黑" w:eastAsia="微软雅黑"/>
          <w:b/>
          <w:w w:val="105"/>
          <w:sz w:val="21"/>
        </w:rPr>
        <w:t>疗</w:t>
      </w:r>
    </w:p>
    <w:p>
      <w:pPr>
        <w:pStyle w:val="BodyText"/>
        <w:spacing w:before="66"/>
        <w:ind w:left="547"/>
      </w:pPr>
      <w:r>
        <w:rPr>
          <w:spacing w:val="-3"/>
        </w:rPr>
        <w:t>指为治疗一条或者一条以上的下列动脉狭窄而实施的血管介入治疗：</w:t>
      </w:r>
    </w:p>
    <w:p>
      <w:pPr>
        <w:pStyle w:val="BodyText"/>
        <w:spacing w:before="7"/>
        <w:rPr>
          <w:sz w:val="15"/>
        </w:rPr>
      </w:pPr>
    </w:p>
    <w:p>
      <w:pPr>
        <w:pStyle w:val="ListParagraph"/>
        <w:numPr>
          <w:ilvl w:val="0"/>
          <w:numId w:val="88"/>
        </w:numPr>
        <w:tabs>
          <w:tab w:pos="1380" w:val="left" w:leader="none"/>
          <w:tab w:pos="1381" w:val="left" w:leader="none"/>
        </w:tabs>
        <w:spacing w:line="240" w:lineRule="auto" w:before="0" w:after="0"/>
        <w:ind w:left="1380" w:right="0" w:hanging="836"/>
        <w:jc w:val="left"/>
        <w:rPr>
          <w:sz w:val="21"/>
        </w:rPr>
      </w:pPr>
      <w:r>
        <w:rPr>
          <w:spacing w:val="-3"/>
          <w:sz w:val="21"/>
        </w:rPr>
        <w:t>为下肢或者上肢供血的动脉；</w:t>
      </w:r>
    </w:p>
    <w:p>
      <w:pPr>
        <w:pStyle w:val="BodyText"/>
        <w:spacing w:before="7"/>
        <w:rPr>
          <w:sz w:val="15"/>
        </w:rPr>
      </w:pPr>
    </w:p>
    <w:p>
      <w:pPr>
        <w:pStyle w:val="ListParagraph"/>
        <w:numPr>
          <w:ilvl w:val="0"/>
          <w:numId w:val="88"/>
        </w:numPr>
        <w:tabs>
          <w:tab w:pos="1380" w:val="left" w:leader="none"/>
          <w:tab w:pos="1381" w:val="left" w:leader="none"/>
        </w:tabs>
        <w:spacing w:line="240" w:lineRule="auto" w:before="0" w:after="0"/>
        <w:ind w:left="1380" w:right="0" w:hanging="836"/>
        <w:jc w:val="left"/>
        <w:rPr>
          <w:sz w:val="21"/>
        </w:rPr>
      </w:pPr>
      <w:r>
        <w:rPr>
          <w:spacing w:val="-4"/>
          <w:sz w:val="21"/>
        </w:rPr>
        <w:t>肾动脉；</w:t>
      </w:r>
    </w:p>
    <w:p>
      <w:pPr>
        <w:pStyle w:val="BodyText"/>
        <w:spacing w:before="6"/>
        <w:rPr>
          <w:sz w:val="15"/>
        </w:rPr>
      </w:pPr>
    </w:p>
    <w:p>
      <w:pPr>
        <w:pStyle w:val="ListParagraph"/>
        <w:numPr>
          <w:ilvl w:val="0"/>
          <w:numId w:val="88"/>
        </w:numPr>
        <w:tabs>
          <w:tab w:pos="1380" w:val="left" w:leader="none"/>
          <w:tab w:pos="1381" w:val="left" w:leader="none"/>
        </w:tabs>
        <w:spacing w:line="417" w:lineRule="auto" w:before="1" w:after="0"/>
        <w:ind w:left="547" w:right="6094" w:hanging="3"/>
        <w:jc w:val="left"/>
        <w:rPr>
          <w:sz w:val="21"/>
        </w:rPr>
      </w:pPr>
      <w:r>
        <w:rPr>
          <w:spacing w:val="-2"/>
          <w:sz w:val="21"/>
        </w:rPr>
        <w:t>肠系膜动脉。</w:t>
      </w:r>
      <w:r>
        <w:rPr>
          <w:spacing w:val="-2"/>
          <w:sz w:val="21"/>
        </w:rPr>
        <w:t>须满足下列全部条件：</w:t>
      </w:r>
    </w:p>
    <w:p>
      <w:pPr>
        <w:pStyle w:val="ListParagraph"/>
        <w:numPr>
          <w:ilvl w:val="0"/>
          <w:numId w:val="89"/>
        </w:numPr>
        <w:tabs>
          <w:tab w:pos="1380" w:val="left" w:leader="none"/>
          <w:tab w:pos="1381" w:val="left" w:leader="none"/>
        </w:tabs>
        <w:spacing w:line="269" w:lineRule="exact" w:before="0" w:after="0"/>
        <w:ind w:left="1380" w:right="0" w:hanging="836"/>
        <w:jc w:val="left"/>
        <w:rPr>
          <w:sz w:val="21"/>
        </w:rPr>
      </w:pPr>
      <w:r>
        <w:rPr>
          <w:spacing w:val="-2"/>
          <w:sz w:val="21"/>
        </w:rPr>
        <w:t>经血管造影术证实一条或者一条以上的上述动脉狭窄达到50</w:t>
      </w:r>
      <w:r>
        <w:rPr>
          <w:spacing w:val="-4"/>
          <w:sz w:val="21"/>
        </w:rPr>
        <w:t>%或者以上；</w:t>
      </w:r>
    </w:p>
    <w:p>
      <w:pPr>
        <w:pStyle w:val="BodyText"/>
        <w:spacing w:before="6"/>
        <w:rPr>
          <w:sz w:val="15"/>
        </w:rPr>
      </w:pPr>
    </w:p>
    <w:p>
      <w:pPr>
        <w:pStyle w:val="ListParagraph"/>
        <w:numPr>
          <w:ilvl w:val="0"/>
          <w:numId w:val="89"/>
        </w:numPr>
        <w:tabs>
          <w:tab w:pos="1380" w:val="left" w:leader="none"/>
          <w:tab w:pos="1381" w:val="left" w:leader="none"/>
        </w:tabs>
        <w:spacing w:line="417" w:lineRule="auto" w:before="0" w:after="0"/>
        <w:ind w:left="965" w:right="325" w:hanging="420"/>
        <w:jc w:val="left"/>
        <w:rPr>
          <w:sz w:val="21"/>
        </w:rPr>
      </w:pPr>
      <w:r>
        <w:rPr>
          <w:spacing w:val="-2"/>
          <w:sz w:val="21"/>
        </w:rPr>
        <w:t>对一条或者一条以上的上述动脉施行了血管介入治疗，如血管成形术及/或者</w:t>
      </w:r>
      <w:r>
        <w:rPr>
          <w:spacing w:val="-2"/>
          <w:sz w:val="21"/>
        </w:rPr>
        <w:t>进行植入支架或者动脉粥样瘤清除手术。</w:t>
      </w:r>
    </w:p>
    <w:p>
      <w:pPr>
        <w:pStyle w:val="BodyText"/>
        <w:spacing w:line="417" w:lineRule="auto"/>
        <w:ind w:left="120" w:right="317" w:firstLine="427"/>
      </w:pPr>
      <w:r>
        <w:rPr>
          <w:spacing w:val="-2"/>
        </w:rPr>
        <w:t>此诊断及治疗均须在我们认可医院内由血管疾病的专科医生认为是医疗必须的情况下</w:t>
      </w:r>
      <w:r>
        <w:rPr>
          <w:spacing w:val="-4"/>
        </w:rPr>
        <w:t>进行。</w:t>
      </w:r>
    </w:p>
    <w:p>
      <w:pPr>
        <w:pStyle w:val="Heading2"/>
        <w:spacing w:line="320" w:lineRule="exact"/>
      </w:pPr>
      <w:r>
        <w:rPr/>
        <w:t>(</w:t>
      </w:r>
      <w:r>
        <w:rPr>
          <w:spacing w:val="-1"/>
        </w:rPr>
        <w:t>二十五) 原发性肺动脉高压</w:t>
      </w:r>
    </w:p>
    <w:p>
      <w:pPr>
        <w:pStyle w:val="BodyText"/>
        <w:spacing w:line="417" w:lineRule="auto" w:before="148"/>
        <w:ind w:left="120" w:right="311" w:firstLine="427"/>
        <w:jc w:val="both"/>
      </w:pPr>
      <w:r>
        <w:rPr>
          <w:spacing w:val="-7"/>
        </w:rPr>
        <w:t>指由于原发性肺动脉高压进行性发展，已经造成永久不可逆性的体力活动能力受限，达</w:t>
      </w:r>
      <w:r>
        <w:rPr>
          <w:w w:val="95"/>
        </w:rPr>
        <w:t>到</w:t>
      </w:r>
      <w:r>
        <w:rPr>
          <w:w w:val="95"/>
        </w:rPr>
        <w:t>美</w:t>
      </w:r>
      <w:r>
        <w:rPr>
          <w:w w:val="95"/>
        </w:rPr>
        <w:t>国纽约心脏病学会心</w:t>
      </w:r>
      <w:r>
        <w:rPr>
          <w:w w:val="95"/>
        </w:rPr>
        <w:t>功</w:t>
      </w:r>
      <w:r>
        <w:rPr>
          <w:w w:val="95"/>
        </w:rPr>
        <w:t>能</w:t>
      </w:r>
      <w:r>
        <w:rPr>
          <w:w w:val="95"/>
        </w:rPr>
        <w:t>状态分级</w:t>
      </w:r>
      <w:r>
        <w:rPr>
          <w:spacing w:val="40"/>
        </w:rPr>
        <w:t> </w:t>
      </w:r>
      <w:r>
        <w:rPr>
          <w:w w:val="95"/>
        </w:rPr>
        <w:t>III</w:t>
      </w:r>
      <w:r>
        <w:rPr>
          <w:spacing w:val="40"/>
        </w:rPr>
        <w:t> </w:t>
      </w:r>
      <w:r>
        <w:rPr>
          <w:w w:val="95"/>
        </w:rPr>
        <w:t>级及以</w:t>
      </w:r>
      <w:r>
        <w:rPr>
          <w:w w:val="95"/>
        </w:rPr>
        <w:t>上</w:t>
      </w:r>
      <w:r>
        <w:rPr>
          <w:w w:val="95"/>
        </w:rPr>
        <w:t>，但尚未</w:t>
      </w:r>
      <w:r>
        <w:rPr>
          <w:w w:val="95"/>
        </w:rPr>
        <w:t>达</w:t>
      </w:r>
      <w:r>
        <w:rPr>
          <w:w w:val="95"/>
        </w:rPr>
        <w:t>到</w:t>
      </w:r>
      <w:r>
        <w:rPr/>
        <w:t> </w:t>
      </w:r>
      <w:r>
        <w:rPr>
          <w:w w:val="95"/>
        </w:rPr>
        <w:t>IV</w:t>
      </w:r>
      <w:r>
        <w:rPr>
          <w:spacing w:val="40"/>
        </w:rPr>
        <w:t> </w:t>
      </w:r>
      <w:r>
        <w:rPr>
          <w:w w:val="95"/>
        </w:rPr>
        <w:t>级，且</w:t>
      </w:r>
      <w:r>
        <w:rPr>
          <w:w w:val="95"/>
        </w:rPr>
        <w:t>静</w:t>
      </w:r>
      <w:r>
        <w:rPr>
          <w:w w:val="95"/>
        </w:rPr>
        <w:t>息</w:t>
      </w:r>
      <w:r>
        <w:rPr>
          <w:w w:val="95"/>
        </w:rPr>
        <w:t>状态下</w:t>
      </w:r>
      <w:r>
        <w:rPr>
          <w:w w:val="95"/>
        </w:rPr>
        <w:t>肺</w:t>
      </w:r>
      <w:r>
        <w:rPr>
          <w:spacing w:val="-3"/>
        </w:rPr>
        <w:t>动脉平均压超过 </w:t>
      </w:r>
      <w:r>
        <w:rPr/>
        <w:t>25mmHg</w:t>
      </w:r>
      <w:r>
        <w:rPr>
          <w:spacing w:val="-4"/>
        </w:rPr>
        <w:t>，但尚未超过 </w:t>
      </w:r>
      <w:r>
        <w:rPr/>
        <w:t>36mmHg。</w:t>
      </w:r>
    </w:p>
    <w:p>
      <w:pPr>
        <w:pStyle w:val="Heading2"/>
        <w:spacing w:line="319" w:lineRule="exact"/>
      </w:pPr>
      <w:r>
        <w:rPr/>
        <w:t>(</w:t>
      </w:r>
      <w:r>
        <w:rPr>
          <w:spacing w:val="2"/>
        </w:rPr>
        <w:t>二十六) 肝叶切除</w:t>
      </w:r>
    </w:p>
    <w:p>
      <w:pPr>
        <w:spacing w:after="0" w:line="319" w:lineRule="exact"/>
        <w:sectPr>
          <w:pgSz w:w="11910" w:h="16840"/>
          <w:pgMar w:header="0" w:footer="1005" w:top="1460" w:bottom="1200" w:left="1680" w:right="1480"/>
        </w:sectPr>
      </w:pPr>
    </w:p>
    <w:p>
      <w:pPr>
        <w:pStyle w:val="BodyText"/>
        <w:spacing w:before="61"/>
        <w:ind w:left="547"/>
      </w:pPr>
      <w:r>
        <w:rPr>
          <w:spacing w:val="-9"/>
        </w:rPr>
        <w:t>指因疾病或意外伤害导致肝脏严重损害，已经实施了肝左叶切除手术或肝右叶切除手术</w:t>
      </w:r>
    </w:p>
    <w:p>
      <w:pPr>
        <w:pStyle w:val="BodyText"/>
        <w:spacing w:before="7"/>
        <w:rPr>
          <w:sz w:val="15"/>
        </w:rPr>
      </w:pPr>
    </w:p>
    <w:p>
      <w:pPr>
        <w:spacing w:line="357" w:lineRule="auto" w:before="0"/>
        <w:ind w:left="547" w:right="1792" w:hanging="428"/>
        <w:jc w:val="left"/>
        <w:rPr>
          <w:rFonts w:ascii="微软雅黑" w:eastAsia="微软雅黑"/>
          <w:b/>
          <w:sz w:val="21"/>
        </w:rPr>
      </w:pPr>
      <w:r>
        <w:rPr>
          <w:spacing w:val="-2"/>
          <w:sz w:val="21"/>
        </w:rPr>
        <w:t>（备注：本定义是按肝脏的传统解剖分段法将肝脏分为肝左叶和肝右叶</w:t>
      </w:r>
      <w:r>
        <w:rPr>
          <w:spacing w:val="-106"/>
          <w:sz w:val="21"/>
        </w:rPr>
        <w:t>）</w:t>
      </w:r>
      <w:r>
        <w:rPr>
          <w:spacing w:val="-2"/>
          <w:sz w:val="21"/>
        </w:rPr>
        <w:t>。</w:t>
      </w:r>
      <w:r>
        <w:rPr>
          <w:rFonts w:ascii="微软雅黑" w:eastAsia="微软雅黑"/>
          <w:b/>
          <w:spacing w:val="-2"/>
          <w:sz w:val="21"/>
        </w:rPr>
        <w:t>下列情况不在保障范围内：</w:t>
      </w:r>
    </w:p>
    <w:p>
      <w:pPr>
        <w:pStyle w:val="ListParagraph"/>
        <w:numPr>
          <w:ilvl w:val="0"/>
          <w:numId w:val="90"/>
        </w:numPr>
        <w:tabs>
          <w:tab w:pos="1380" w:val="left" w:leader="none"/>
          <w:tab w:pos="1381" w:val="left" w:leader="none"/>
        </w:tabs>
        <w:spacing w:line="278" w:lineRule="exact" w:before="0" w:after="0"/>
        <w:ind w:left="1380" w:right="0" w:hanging="836"/>
        <w:jc w:val="left"/>
        <w:rPr>
          <w:rFonts w:ascii="微软雅黑" w:eastAsia="微软雅黑"/>
          <w:b/>
          <w:sz w:val="21"/>
        </w:rPr>
      </w:pPr>
      <w:r>
        <w:rPr>
          <w:rFonts w:ascii="微软雅黑" w:eastAsia="微软雅黑"/>
          <w:b/>
          <w:spacing w:val="-3"/>
          <w:sz w:val="21"/>
        </w:rPr>
        <w:t>肝区切除、肝段切除手术；</w:t>
      </w:r>
    </w:p>
    <w:p>
      <w:pPr>
        <w:pStyle w:val="ListParagraph"/>
        <w:numPr>
          <w:ilvl w:val="0"/>
          <w:numId w:val="90"/>
        </w:numPr>
        <w:tabs>
          <w:tab w:pos="1380" w:val="left" w:leader="none"/>
          <w:tab w:pos="1381" w:val="left" w:leader="none"/>
        </w:tabs>
        <w:spacing w:line="240" w:lineRule="auto" w:before="81" w:after="0"/>
        <w:ind w:left="1380" w:right="0" w:hanging="836"/>
        <w:jc w:val="left"/>
        <w:rPr>
          <w:rFonts w:ascii="微软雅黑" w:eastAsia="微软雅黑"/>
          <w:b/>
          <w:sz w:val="21"/>
        </w:rPr>
      </w:pPr>
      <w:r>
        <w:rPr>
          <w:rFonts w:ascii="微软雅黑" w:eastAsia="微软雅黑"/>
          <w:b/>
          <w:spacing w:val="-3"/>
          <w:sz w:val="21"/>
        </w:rPr>
        <w:t>因酒精或者滥用药物引致的疾病或者紊乱；</w:t>
      </w:r>
    </w:p>
    <w:p>
      <w:pPr>
        <w:pStyle w:val="ListParagraph"/>
        <w:numPr>
          <w:ilvl w:val="0"/>
          <w:numId w:val="90"/>
        </w:numPr>
        <w:tabs>
          <w:tab w:pos="1380" w:val="left" w:leader="none"/>
          <w:tab w:pos="1381" w:val="left" w:leader="none"/>
        </w:tabs>
        <w:spacing w:line="240" w:lineRule="auto" w:before="81" w:after="0"/>
        <w:ind w:left="1380" w:right="0" w:hanging="836"/>
        <w:jc w:val="left"/>
        <w:rPr>
          <w:rFonts w:ascii="微软雅黑" w:hAnsi="微软雅黑" w:eastAsia="微软雅黑"/>
          <w:b/>
          <w:sz w:val="21"/>
        </w:rPr>
      </w:pPr>
      <w:r>
        <w:rPr>
          <w:rFonts w:ascii="微软雅黑" w:hAnsi="微软雅黑" w:eastAsia="微软雅黑"/>
          <w:b/>
          <w:w w:val="95"/>
          <w:sz w:val="21"/>
        </w:rPr>
        <w:t>因</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——重度”</w:t>
      </w:r>
      <w:r>
        <w:rPr>
          <w:rFonts w:ascii="微软雅黑" w:hAnsi="微软雅黑" w:eastAsia="微软雅黑"/>
          <w:b/>
          <w:w w:val="95"/>
          <w:sz w:val="21"/>
        </w:rPr>
        <w:t>进</w:t>
      </w:r>
      <w:r>
        <w:rPr>
          <w:rFonts w:ascii="微软雅黑" w:hAnsi="微软雅黑" w:eastAsia="微软雅黑"/>
          <w:b/>
          <w:w w:val="95"/>
          <w:sz w:val="21"/>
        </w:rPr>
        <w:t>行</w:t>
      </w:r>
      <w:r>
        <w:rPr>
          <w:rFonts w:ascii="微软雅黑" w:hAnsi="微软雅黑" w:eastAsia="微软雅黑"/>
          <w:b/>
          <w:w w:val="95"/>
          <w:sz w:val="21"/>
        </w:rPr>
        <w:t>的</w:t>
      </w:r>
      <w:r>
        <w:rPr>
          <w:rFonts w:ascii="微软雅黑" w:hAnsi="微软雅黑" w:eastAsia="微软雅黑"/>
          <w:b/>
          <w:w w:val="95"/>
          <w:sz w:val="21"/>
        </w:rPr>
        <w:t>肝</w:t>
      </w:r>
      <w:r>
        <w:rPr>
          <w:rFonts w:ascii="微软雅黑" w:hAnsi="微软雅黑" w:eastAsia="微软雅黑"/>
          <w:b/>
          <w:w w:val="95"/>
          <w:sz w:val="21"/>
        </w:rPr>
        <w:t>切</w:t>
      </w:r>
      <w:r>
        <w:rPr>
          <w:rFonts w:ascii="微软雅黑" w:hAnsi="微软雅黑" w:eastAsia="微软雅黑"/>
          <w:b/>
          <w:w w:val="95"/>
          <w:sz w:val="21"/>
        </w:rPr>
        <w:t>除</w:t>
      </w:r>
      <w:r>
        <w:rPr>
          <w:rFonts w:ascii="微软雅黑" w:hAnsi="微软雅黑" w:eastAsia="微软雅黑"/>
          <w:b/>
          <w:w w:val="95"/>
          <w:sz w:val="21"/>
        </w:rPr>
        <w:t>手</w:t>
      </w:r>
      <w:r>
        <w:rPr>
          <w:rFonts w:ascii="微软雅黑" w:hAnsi="微软雅黑" w:eastAsia="微软雅黑"/>
          <w:b/>
          <w:w w:val="95"/>
          <w:sz w:val="21"/>
        </w:rPr>
        <w:t>术</w:t>
      </w:r>
      <w:r>
        <w:rPr>
          <w:rFonts w:ascii="微软雅黑" w:hAnsi="微软雅黑" w:eastAsia="微软雅黑"/>
          <w:b/>
          <w:spacing w:val="-10"/>
          <w:w w:val="95"/>
          <w:sz w:val="21"/>
        </w:rPr>
        <w:t>；</w:t>
      </w:r>
    </w:p>
    <w:p>
      <w:pPr>
        <w:pStyle w:val="ListParagraph"/>
        <w:numPr>
          <w:ilvl w:val="0"/>
          <w:numId w:val="90"/>
        </w:numPr>
        <w:tabs>
          <w:tab w:pos="1380" w:val="left" w:leader="none"/>
          <w:tab w:pos="1381" w:val="left" w:leader="none"/>
        </w:tabs>
        <w:spacing w:line="290" w:lineRule="auto" w:before="81" w:after="0"/>
        <w:ind w:left="120" w:right="3778" w:firstLine="424"/>
        <w:jc w:val="left"/>
        <w:rPr>
          <w:rFonts w:ascii="微软雅黑" w:eastAsia="微软雅黑"/>
          <w:b/>
          <w:sz w:val="21"/>
        </w:rPr>
      </w:pPr>
      <w:r>
        <w:rPr>
          <w:rFonts w:ascii="微软雅黑" w:eastAsia="微软雅黑"/>
          <w:b/>
          <w:spacing w:val="-2"/>
          <w:sz w:val="21"/>
        </w:rPr>
        <w:t>作为器官捐献者而实施的肝切除手术。</w:t>
      </w:r>
      <w:r>
        <w:rPr>
          <w:rFonts w:ascii="微软雅黑" w:eastAsia="微软雅黑"/>
          <w:b/>
          <w:spacing w:val="-2"/>
          <w:sz w:val="21"/>
        </w:rPr>
        <w:t> </w:t>
      </w:r>
      <w:r>
        <w:rPr>
          <w:rFonts w:ascii="微软雅黑" w:eastAsia="微软雅黑"/>
          <w:b/>
          <w:w w:val="110"/>
          <w:sz w:val="21"/>
        </w:rPr>
        <w:t>(</w:t>
      </w:r>
      <w:r>
        <w:rPr>
          <w:rFonts w:ascii="微软雅黑" w:eastAsia="微软雅黑"/>
          <w:b/>
          <w:w w:val="110"/>
          <w:sz w:val="21"/>
        </w:rPr>
        <w:t>二</w:t>
      </w:r>
      <w:r>
        <w:rPr>
          <w:rFonts w:ascii="微软雅黑" w:eastAsia="微软雅黑"/>
          <w:b/>
          <w:w w:val="110"/>
          <w:sz w:val="21"/>
        </w:rPr>
        <w:t>十</w:t>
      </w:r>
      <w:r>
        <w:rPr>
          <w:rFonts w:ascii="微软雅黑" w:eastAsia="微软雅黑"/>
          <w:b/>
          <w:w w:val="110"/>
          <w:sz w:val="21"/>
        </w:rPr>
        <w:t>七) </w:t>
      </w:r>
      <w:r>
        <w:rPr>
          <w:rFonts w:ascii="微软雅黑" w:eastAsia="微软雅黑"/>
          <w:b/>
          <w:w w:val="110"/>
          <w:sz w:val="21"/>
        </w:rPr>
        <w:t>早</w:t>
      </w:r>
      <w:r>
        <w:rPr>
          <w:rFonts w:ascii="微软雅黑" w:eastAsia="微软雅黑"/>
          <w:b/>
          <w:w w:val="110"/>
          <w:sz w:val="21"/>
        </w:rPr>
        <w:t>期</w:t>
      </w:r>
      <w:r>
        <w:rPr>
          <w:rFonts w:ascii="微软雅黑" w:eastAsia="微软雅黑"/>
          <w:b/>
          <w:w w:val="110"/>
          <w:sz w:val="21"/>
        </w:rPr>
        <w:t>象</w:t>
      </w:r>
      <w:r>
        <w:rPr>
          <w:rFonts w:ascii="微软雅黑" w:eastAsia="微软雅黑"/>
          <w:b/>
          <w:w w:val="110"/>
          <w:sz w:val="21"/>
        </w:rPr>
        <w:t>皮</w:t>
      </w:r>
      <w:r>
        <w:rPr>
          <w:rFonts w:ascii="微软雅黑" w:eastAsia="微软雅黑"/>
          <w:b/>
          <w:w w:val="110"/>
          <w:sz w:val="21"/>
        </w:rPr>
        <w:t>病</w:t>
      </w:r>
    </w:p>
    <w:p>
      <w:pPr>
        <w:spacing w:line="290" w:lineRule="auto" w:before="0"/>
        <w:ind w:left="120" w:right="311" w:firstLine="427"/>
        <w:jc w:val="left"/>
        <w:rPr>
          <w:sz w:val="21"/>
        </w:rPr>
      </w:pPr>
      <w:r>
        <w:rPr>
          <w:sz w:val="21"/>
        </w:rPr>
        <w:t>指</w:t>
      </w:r>
      <w:r>
        <w:rPr>
          <w:sz w:val="21"/>
        </w:rPr>
        <w:t>因</w:t>
      </w:r>
      <w:r>
        <w:rPr>
          <w:sz w:val="21"/>
        </w:rPr>
        <w:t>丝</w:t>
      </w:r>
      <w:r>
        <w:rPr>
          <w:sz w:val="21"/>
        </w:rPr>
        <w:t>虫</w:t>
      </w:r>
      <w:r>
        <w:rPr>
          <w:sz w:val="21"/>
        </w:rPr>
        <w:t>感染</w:t>
      </w:r>
      <w:r>
        <w:rPr>
          <w:sz w:val="21"/>
        </w:rPr>
        <w:t>导</w:t>
      </w:r>
      <w:r>
        <w:rPr>
          <w:sz w:val="21"/>
        </w:rPr>
        <w:t>致淋</w:t>
      </w:r>
      <w:r>
        <w:rPr>
          <w:sz w:val="21"/>
        </w:rPr>
        <w:t>巴</w:t>
      </w:r>
      <w:r>
        <w:rPr>
          <w:sz w:val="21"/>
        </w:rPr>
        <w:t>管阻</w:t>
      </w:r>
      <w:r>
        <w:rPr>
          <w:sz w:val="21"/>
        </w:rPr>
        <w:t>塞</w:t>
      </w:r>
      <w:r>
        <w:rPr>
          <w:sz w:val="21"/>
        </w:rPr>
        <w:t>而</w:t>
      </w:r>
      <w:r>
        <w:rPr>
          <w:sz w:val="21"/>
        </w:rPr>
        <w:t>造</w:t>
      </w:r>
      <w:r>
        <w:rPr>
          <w:sz w:val="21"/>
        </w:rPr>
        <w:t>成身</w:t>
      </w:r>
      <w:r>
        <w:rPr>
          <w:sz w:val="21"/>
        </w:rPr>
        <w:t>体</w:t>
      </w:r>
      <w:r>
        <w:rPr>
          <w:sz w:val="21"/>
        </w:rPr>
        <w:t>组织</w:t>
      </w:r>
      <w:r>
        <w:rPr>
          <w:sz w:val="21"/>
        </w:rPr>
        <w:t>出</w:t>
      </w:r>
      <w:r>
        <w:rPr>
          <w:sz w:val="21"/>
        </w:rPr>
        <w:t>现严</w:t>
      </w:r>
      <w:r>
        <w:rPr>
          <w:sz w:val="21"/>
        </w:rPr>
        <w:t>重</w:t>
      </w:r>
      <w:r>
        <w:rPr>
          <w:sz w:val="21"/>
        </w:rPr>
        <w:t>淋</w:t>
      </w:r>
      <w:r>
        <w:rPr>
          <w:sz w:val="21"/>
        </w:rPr>
        <w:t>巴</w:t>
      </w:r>
      <w:r>
        <w:rPr>
          <w:sz w:val="21"/>
        </w:rPr>
        <w:t>水肿，</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93" name="image2.png"/>
            <wp:cNvGraphicFramePr>
              <a:graphicFrameLocks noChangeAspect="1"/>
            </wp:cNvGraphicFramePr>
            <a:graphic>
              <a:graphicData uri="http://schemas.openxmlformats.org/drawingml/2006/picture">
                <pic:pic>
                  <pic:nvPicPr>
                    <pic:cNvPr id="9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指重大疾病“丝虫病所致象皮肿”的标准</w:t>
      </w:r>
      <w:r>
        <w:rPr>
          <w:spacing w:val="-2"/>
          <w:sz w:val="21"/>
        </w:rPr>
        <w:t>，但需达到国际淋巴学会分级为 </w:t>
      </w:r>
      <w:r>
        <w:rPr>
          <w:sz w:val="21"/>
        </w:rPr>
        <w:t>2</w:t>
      </w:r>
      <w:r>
        <w:rPr>
          <w:spacing w:val="-6"/>
          <w:sz w:val="21"/>
        </w:rPr>
        <w:t> 级淋巴液肿，</w:t>
      </w:r>
    </w:p>
    <w:p>
      <w:pPr>
        <w:pStyle w:val="BodyText"/>
        <w:spacing w:line="417" w:lineRule="auto" w:before="66"/>
        <w:ind w:left="120" w:right="311"/>
      </w:pPr>
      <w:r>
        <w:rPr>
          <w:spacing w:val="-4"/>
        </w:rPr>
        <w:t>其临床表现为肿胀为凹陷性，肢体抬高休息时肿胀不消失，有中度纤维化。此病症须经我们</w:t>
      </w:r>
      <w:r>
        <w:rPr>
          <w:spacing w:val="-2"/>
        </w:rPr>
        <w:t>认可医院的专科医生根据临床表现和微丝蚴的化验结果确诊。</w:t>
      </w:r>
    </w:p>
    <w:p>
      <w:pPr>
        <w:pStyle w:val="Heading2"/>
        <w:spacing w:line="320" w:lineRule="exact"/>
        <w:ind w:left="547"/>
      </w:pPr>
      <w:r>
        <w:rPr>
          <w:spacing w:val="-1"/>
        </w:rPr>
        <w:t>由性接触传染的疾病、创伤、手术后疤痕、充血性心力衰竭或先天性淋巴系统异常引</w:t>
      </w:r>
    </w:p>
    <w:p>
      <w:pPr>
        <w:spacing w:line="290" w:lineRule="auto" w:before="81"/>
        <w:ind w:left="120" w:right="1245" w:firstLine="0"/>
        <w:jc w:val="left"/>
        <w:rPr>
          <w:rFonts w:ascii="微软雅黑" w:eastAsia="微软雅黑"/>
          <w:b/>
          <w:sz w:val="21"/>
        </w:rPr>
      </w:pPr>
      <w:r>
        <w:rPr>
          <w:rFonts w:ascii="微软雅黑" w:eastAsia="微软雅黑"/>
          <w:b/>
          <w:spacing w:val="-2"/>
          <w:sz w:val="21"/>
        </w:rPr>
        <w:t>起的淋巴水肿，以及急性淋巴管炎或其他原因引起的淋巴水肿不在保障范围内。 </w:t>
      </w:r>
      <w:r>
        <w:rPr>
          <w:rFonts w:ascii="微软雅黑" w:eastAsia="微软雅黑"/>
          <w:b/>
          <w:w w:val="110"/>
          <w:sz w:val="21"/>
        </w:rPr>
        <w:t>(</w:t>
      </w:r>
      <w:r>
        <w:rPr>
          <w:rFonts w:ascii="微软雅黑" w:eastAsia="微软雅黑"/>
          <w:b/>
          <w:w w:val="110"/>
          <w:sz w:val="21"/>
        </w:rPr>
        <w:t>二</w:t>
      </w:r>
      <w:r>
        <w:rPr>
          <w:rFonts w:ascii="微软雅黑" w:eastAsia="微软雅黑"/>
          <w:b/>
          <w:w w:val="110"/>
          <w:sz w:val="21"/>
        </w:rPr>
        <w:t>十</w:t>
      </w:r>
      <w:r>
        <w:rPr>
          <w:rFonts w:ascii="微软雅黑" w:eastAsia="微软雅黑"/>
          <w:b/>
          <w:spacing w:val="-7"/>
          <w:w w:val="110"/>
          <w:sz w:val="21"/>
        </w:rPr>
        <w:t>八) </w:t>
      </w:r>
      <w:r>
        <w:rPr>
          <w:rFonts w:ascii="微软雅黑" w:eastAsia="微软雅黑"/>
          <w:b/>
          <w:w w:val="110"/>
          <w:sz w:val="21"/>
        </w:rPr>
        <w:t>早</w:t>
      </w:r>
      <w:r>
        <w:rPr>
          <w:rFonts w:ascii="微软雅黑" w:eastAsia="微软雅黑"/>
          <w:b/>
          <w:w w:val="110"/>
          <w:sz w:val="21"/>
        </w:rPr>
        <w:t>期</w:t>
      </w:r>
      <w:r>
        <w:rPr>
          <w:rFonts w:ascii="微软雅黑" w:eastAsia="微软雅黑"/>
          <w:b/>
          <w:w w:val="110"/>
          <w:sz w:val="21"/>
        </w:rPr>
        <w:t>原</w:t>
      </w:r>
      <w:r>
        <w:rPr>
          <w:rFonts w:ascii="微软雅黑" w:eastAsia="微软雅黑"/>
          <w:b/>
          <w:w w:val="110"/>
          <w:sz w:val="21"/>
        </w:rPr>
        <w:t>发</w:t>
      </w:r>
      <w:r>
        <w:rPr>
          <w:rFonts w:ascii="微软雅黑" w:eastAsia="微软雅黑"/>
          <w:b/>
          <w:w w:val="110"/>
          <w:sz w:val="21"/>
        </w:rPr>
        <w:t>性</w:t>
      </w:r>
      <w:r>
        <w:rPr>
          <w:rFonts w:ascii="微软雅黑" w:eastAsia="微软雅黑"/>
          <w:b/>
          <w:w w:val="110"/>
          <w:sz w:val="21"/>
        </w:rPr>
        <w:t>心</w:t>
      </w:r>
      <w:r>
        <w:rPr>
          <w:rFonts w:ascii="微软雅黑" w:eastAsia="微软雅黑"/>
          <w:b/>
          <w:w w:val="110"/>
          <w:sz w:val="21"/>
        </w:rPr>
        <w:t>肌</w:t>
      </w:r>
      <w:r>
        <w:rPr>
          <w:rFonts w:ascii="微软雅黑" w:eastAsia="微软雅黑"/>
          <w:b/>
          <w:w w:val="110"/>
          <w:sz w:val="21"/>
        </w:rPr>
        <w:t>病</w:t>
      </w:r>
    </w:p>
    <w:p>
      <w:pPr>
        <w:spacing w:line="290" w:lineRule="auto" w:before="0"/>
        <w:ind w:left="120" w:right="311" w:firstLine="427"/>
        <w:jc w:val="left"/>
        <w:rPr>
          <w:sz w:val="21"/>
        </w:rPr>
      </w:pPr>
      <w:r>
        <w:rPr>
          <w:sz w:val="21"/>
        </w:rPr>
        <w:t>被</w:t>
      </w:r>
      <w:r>
        <w:rPr>
          <w:sz w:val="21"/>
        </w:rPr>
        <w:t>诊</w:t>
      </w:r>
      <w:r>
        <w:rPr>
          <w:sz w:val="21"/>
        </w:rPr>
        <w:t>断</w:t>
      </w:r>
      <w:r>
        <w:rPr>
          <w:sz w:val="21"/>
        </w:rPr>
        <w:t>为原发性</w:t>
      </w:r>
      <w:r>
        <w:rPr>
          <w:sz w:val="21"/>
        </w:rPr>
        <w:t>心</w:t>
      </w:r>
      <w:r>
        <w:rPr>
          <w:sz w:val="21"/>
        </w:rPr>
        <w:t>肌病，并</w:t>
      </w:r>
      <w:r>
        <w:rPr>
          <w:spacing w:val="6"/>
          <w:sz w:val="21"/>
        </w:rPr>
        <w:t>符</w:t>
      </w:r>
      <w:r>
        <w:rPr>
          <w:position w:val="-2"/>
          <w:sz w:val="21"/>
        </w:rPr>
        <w:drawing>
          <wp:inline distT="0" distB="0" distL="0" distR="0">
            <wp:extent cx="123825" cy="127000"/>
            <wp:effectExtent l="0" t="0" r="0" b="0"/>
            <wp:docPr id="95" name="image2.png"/>
            <wp:cNvGraphicFramePr>
              <a:graphicFrameLocks noChangeAspect="1"/>
            </wp:cNvGraphicFramePr>
            <a:graphic>
              <a:graphicData uri="http://schemas.openxmlformats.org/drawingml/2006/picture">
                <pic:pic>
                  <pic:nvPicPr>
                    <pic:cNvPr id="96"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下列所有</w:t>
      </w:r>
      <w:r>
        <w:rPr>
          <w:sz w:val="21"/>
        </w:rPr>
        <w:t>条</w:t>
      </w:r>
      <w:r>
        <w:rPr>
          <w:sz w:val="21"/>
        </w:rPr>
        <w:t>件，</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6"/>
          <w:sz w:val="21"/>
        </w:rPr>
        <w:t>本</w:t>
      </w:r>
      <w:r>
        <w:rPr>
          <w:rFonts w:ascii="微软雅黑" w:hAnsi="微软雅黑" w:eastAsia="微软雅黑"/>
          <w:b/>
          <w:position w:val="-2"/>
          <w:sz w:val="21"/>
        </w:rPr>
        <w:drawing>
          <wp:inline distT="0" distB="0" distL="0" distR="0">
            <wp:extent cx="123825" cy="127000"/>
            <wp:effectExtent l="0" t="0" r="0" b="0"/>
            <wp:docPr id="97" name="image2.png"/>
            <wp:cNvGraphicFramePr>
              <a:graphicFrameLocks noChangeAspect="1"/>
            </wp:cNvGraphicFramePr>
            <a:graphic>
              <a:graphicData uri="http://schemas.openxmlformats.org/drawingml/2006/picture">
                <pic:pic>
                  <pic:nvPicPr>
                    <pic:cNvPr id="98"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z w:val="21"/>
        </w:rPr>
        <w:t>重</w:t>
      </w:r>
      <w:r>
        <w:rPr>
          <w:rFonts w:ascii="微软雅黑" w:hAnsi="微软雅黑" w:eastAsia="微软雅黑"/>
          <w:b/>
          <w:spacing w:val="-2"/>
          <w:sz w:val="21"/>
        </w:rPr>
        <w:t>的原发性心肌病”的标准</w:t>
      </w:r>
      <w:r>
        <w:rPr>
          <w:spacing w:val="-2"/>
          <w:sz w:val="21"/>
        </w:rPr>
        <w:t>：</w:t>
      </w:r>
    </w:p>
    <w:p>
      <w:pPr>
        <w:pStyle w:val="ListParagraph"/>
        <w:numPr>
          <w:ilvl w:val="0"/>
          <w:numId w:val="91"/>
        </w:numPr>
        <w:tabs>
          <w:tab w:pos="1380" w:val="left" w:leader="none"/>
          <w:tab w:pos="1381" w:val="left" w:leader="none"/>
        </w:tabs>
        <w:spacing w:line="240" w:lineRule="auto" w:before="66" w:after="0"/>
        <w:ind w:left="1380" w:right="0" w:hanging="836"/>
        <w:jc w:val="left"/>
        <w:rPr>
          <w:sz w:val="21"/>
        </w:rPr>
      </w:pPr>
      <w:r>
        <w:rPr>
          <w:spacing w:val="-12"/>
          <w:sz w:val="21"/>
        </w:rPr>
        <w:t>导致心室功能受损，其受损程度达到美国纽约心脏病学会心功能状态分级Ⅲ级</w:t>
      </w:r>
    </w:p>
    <w:p>
      <w:pPr>
        <w:pStyle w:val="BodyText"/>
        <w:spacing w:before="7"/>
        <w:rPr>
          <w:sz w:val="15"/>
        </w:rPr>
      </w:pPr>
    </w:p>
    <w:p>
      <w:pPr>
        <w:pStyle w:val="BodyText"/>
        <w:ind w:left="965"/>
      </w:pPr>
      <w:r>
        <w:rPr>
          <w:spacing w:val="-2"/>
        </w:rPr>
        <w:t>（注</w:t>
      </w:r>
      <w:r>
        <w:rPr>
          <w:spacing w:val="-108"/>
        </w:rPr>
        <w:t>）</w:t>
      </w:r>
      <w:r>
        <w:rPr>
          <w:spacing w:val="-3"/>
        </w:rPr>
        <w:t>，或其同等级别。</w:t>
      </w:r>
    </w:p>
    <w:p>
      <w:pPr>
        <w:pStyle w:val="BodyText"/>
        <w:spacing w:before="6"/>
        <w:rPr>
          <w:sz w:val="15"/>
        </w:rPr>
      </w:pPr>
    </w:p>
    <w:p>
      <w:pPr>
        <w:pStyle w:val="ListParagraph"/>
        <w:numPr>
          <w:ilvl w:val="0"/>
          <w:numId w:val="91"/>
        </w:numPr>
        <w:tabs>
          <w:tab w:pos="1381" w:val="left" w:leader="none"/>
        </w:tabs>
        <w:spacing w:line="417" w:lineRule="auto" w:before="1" w:after="0"/>
        <w:ind w:left="965" w:right="311" w:hanging="420"/>
        <w:jc w:val="both"/>
        <w:rPr>
          <w:sz w:val="21"/>
        </w:rPr>
      </w:pPr>
      <w:r>
        <w:rPr>
          <w:spacing w:val="-6"/>
          <w:sz w:val="21"/>
        </w:rPr>
        <w:t>原发性心肌病的诊断必须由我们认可医院的心脏专科医生确认，并提供心脏超</w:t>
      </w:r>
      <w:r>
        <w:rPr>
          <w:spacing w:val="-11"/>
          <w:sz w:val="21"/>
        </w:rPr>
        <w:t>声检查结果报告。本保障范围内的心肌病仅包括扩张型心肌病、肥厚型心肌病及限</w:t>
      </w:r>
      <w:r>
        <w:rPr>
          <w:spacing w:val="-2"/>
          <w:sz w:val="21"/>
        </w:rPr>
        <w:t>制型心肌病。</w:t>
      </w:r>
    </w:p>
    <w:p>
      <w:pPr>
        <w:pStyle w:val="Heading2"/>
        <w:spacing w:line="319" w:lineRule="exact"/>
        <w:ind w:left="547"/>
      </w:pPr>
      <w:r>
        <w:rPr>
          <w:spacing w:val="-3"/>
        </w:rPr>
        <w:t>继发于全身性疾病或其他器官系统疾病及酒精滥用造成的心肌病变不在保障范围内。</w:t>
      </w:r>
    </w:p>
    <w:p>
      <w:pPr>
        <w:pStyle w:val="BodyText"/>
        <w:spacing w:line="417" w:lineRule="auto" w:before="148"/>
        <w:ind w:left="120" w:right="208" w:firstLine="427"/>
      </w:pPr>
      <w:r>
        <w:rPr>
          <w:spacing w:val="-2"/>
        </w:rPr>
        <w:t>注：美国纽约心脏病学会心功能状态分级Ⅲ级是指体力活动明显受限，休息时无症状，</w:t>
      </w:r>
      <w:r>
        <w:rPr>
          <w:spacing w:val="-2"/>
        </w:rPr>
        <w:t>轻于日常的活动即可引起充血性心力衰竭的症状。</w:t>
      </w:r>
    </w:p>
    <w:p>
      <w:pPr>
        <w:pStyle w:val="Heading2"/>
        <w:spacing w:line="320" w:lineRule="exact"/>
      </w:pPr>
      <w:r>
        <w:rPr/>
        <w:t>(</w:t>
      </w:r>
      <w:r>
        <w:rPr/>
        <w:t>二十九) 心包膜切除术</w:t>
      </w:r>
    </w:p>
    <w:p>
      <w:pPr>
        <w:spacing w:line="290" w:lineRule="auto" w:before="81"/>
        <w:ind w:left="120" w:right="311" w:firstLine="427"/>
        <w:jc w:val="left"/>
        <w:rPr>
          <w:rFonts w:ascii="微软雅黑" w:hAnsi="微软雅黑" w:eastAsia="微软雅黑"/>
          <w:b/>
          <w:sz w:val="21"/>
        </w:rPr>
      </w:pPr>
      <w:r>
        <w:rPr>
          <w:sz w:val="21"/>
        </w:rPr>
        <w:t>指</w:t>
      </w:r>
      <w:r>
        <w:rPr>
          <w:sz w:val="21"/>
        </w:rPr>
        <w:t>为</w:t>
      </w:r>
      <w:r>
        <w:rPr>
          <w:sz w:val="21"/>
        </w:rPr>
        <w:t>治</w:t>
      </w:r>
      <w:r>
        <w:rPr>
          <w:sz w:val="21"/>
        </w:rPr>
        <w:t>疗心包膜</w:t>
      </w:r>
      <w:r>
        <w:rPr>
          <w:sz w:val="21"/>
        </w:rPr>
        <w:t>疾</w:t>
      </w:r>
      <w:r>
        <w:rPr>
          <w:sz w:val="21"/>
        </w:rPr>
        <w:t>病，已经</w:t>
      </w:r>
      <w:r>
        <w:rPr>
          <w:sz w:val="21"/>
        </w:rPr>
        <w:t>实</w:t>
      </w:r>
      <w:r>
        <w:rPr>
          <w:sz w:val="21"/>
        </w:rPr>
        <w:t>施</w:t>
      </w:r>
      <w:r>
        <w:rPr>
          <w:sz w:val="21"/>
        </w:rPr>
        <w:t>了心包膜</w:t>
      </w:r>
      <w:r>
        <w:rPr>
          <w:sz w:val="21"/>
        </w:rPr>
        <w:t>切</w:t>
      </w:r>
      <w:r>
        <w:rPr>
          <w:sz w:val="21"/>
        </w:rPr>
        <w:t>除术，</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2"/>
          <w:sz w:val="21"/>
        </w:rPr>
        <w:drawing>
          <wp:inline distT="0" distB="0" distL="0" distR="0">
            <wp:extent cx="123825" cy="127000"/>
            <wp:effectExtent l="0" t="0" r="0" b="0"/>
            <wp:docPr id="99" name="image2.png"/>
            <wp:cNvGraphicFramePr>
              <a:graphicFrameLocks noChangeAspect="1"/>
            </wp:cNvGraphicFramePr>
            <a:graphic>
              <a:graphicData uri="http://schemas.openxmlformats.org/drawingml/2006/picture">
                <pic:pic>
                  <pic:nvPicPr>
                    <pic:cNvPr id="10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w:t>
      </w:r>
      <w:r>
        <w:rPr>
          <w:rFonts w:ascii="微软雅黑" w:hAnsi="微软雅黑" w:eastAsia="微软雅黑"/>
          <w:b/>
          <w:sz w:val="21"/>
        </w:rPr>
        <w:t>严</w:t>
      </w:r>
      <w:r>
        <w:rPr>
          <w:rFonts w:ascii="微软雅黑" w:hAnsi="微软雅黑" w:eastAsia="微软雅黑"/>
          <w:b/>
          <w:spacing w:val="-2"/>
          <w:sz w:val="21"/>
        </w:rPr>
        <w:t>重慢性缩窄性心包炎”的标准</w:t>
      </w:r>
      <w:r>
        <w:rPr>
          <w:spacing w:val="-2"/>
          <w:sz w:val="21"/>
        </w:rPr>
        <w:t>。手术必须在心脏科医生认为是医学上必需的情况下进行。</w:t>
      </w:r>
      <w:r>
        <w:rPr>
          <w:spacing w:val="80"/>
          <w:w w:val="110"/>
          <w:sz w:val="21"/>
        </w:rPr>
        <w:t> </w:t>
      </w:r>
      <w:r>
        <w:rPr>
          <w:rFonts w:ascii="微软雅黑" w:hAnsi="微软雅黑" w:eastAsia="微软雅黑"/>
          <w:b/>
          <w:w w:val="110"/>
          <w:sz w:val="21"/>
        </w:rPr>
        <w:t>(三十) </w:t>
      </w:r>
      <w:r>
        <w:rPr>
          <w:rFonts w:ascii="微软雅黑" w:hAnsi="微软雅黑" w:eastAsia="微软雅黑"/>
          <w:b/>
          <w:w w:val="110"/>
          <w:sz w:val="21"/>
        </w:rPr>
        <w:t>微</w:t>
      </w:r>
      <w:r>
        <w:rPr>
          <w:rFonts w:ascii="微软雅黑" w:hAnsi="微软雅黑" w:eastAsia="微软雅黑"/>
          <w:b/>
          <w:w w:val="110"/>
          <w:sz w:val="21"/>
        </w:rPr>
        <w:t>创</w:t>
      </w:r>
      <w:r>
        <w:rPr>
          <w:rFonts w:ascii="微软雅黑" w:hAnsi="微软雅黑" w:eastAsia="微软雅黑"/>
          <w:b/>
          <w:w w:val="110"/>
          <w:sz w:val="21"/>
        </w:rPr>
        <w:t>颅</w:t>
      </w:r>
      <w:r>
        <w:rPr>
          <w:rFonts w:ascii="微软雅黑" w:hAnsi="微软雅黑" w:eastAsia="微软雅黑"/>
          <w:b/>
          <w:w w:val="110"/>
          <w:sz w:val="21"/>
        </w:rPr>
        <w:t>脑</w:t>
      </w:r>
      <w:r>
        <w:rPr>
          <w:rFonts w:ascii="微软雅黑" w:hAnsi="微软雅黑" w:eastAsia="微软雅黑"/>
          <w:b/>
          <w:w w:val="110"/>
          <w:sz w:val="21"/>
        </w:rPr>
        <w:t>手</w:t>
      </w:r>
      <w:r>
        <w:rPr>
          <w:rFonts w:ascii="微软雅黑" w:hAnsi="微软雅黑" w:eastAsia="微软雅黑"/>
          <w:b/>
          <w:w w:val="110"/>
          <w:sz w:val="21"/>
        </w:rPr>
        <w:t>术</w:t>
      </w:r>
    </w:p>
    <w:p>
      <w:pPr>
        <w:pStyle w:val="BodyText"/>
        <w:spacing w:before="66"/>
        <w:ind w:left="547"/>
      </w:pPr>
      <w:r>
        <w:rPr>
          <w:spacing w:val="-7"/>
        </w:rPr>
        <w:t>因疾病被保险人确已实施全麻下的颅骨钻孔手术或者经鼻蝶窦入颅手术。因外伤而实施</w:t>
      </w:r>
    </w:p>
    <w:p>
      <w:pPr>
        <w:spacing w:after="0"/>
        <w:sectPr>
          <w:pgSz w:w="11910" w:h="16840"/>
          <w:pgMar w:header="0" w:footer="1005" w:top="1460" w:bottom="1200" w:left="1680" w:right="1480"/>
        </w:sectPr>
      </w:pPr>
    </w:p>
    <w:p>
      <w:pPr>
        <w:pStyle w:val="BodyText"/>
        <w:spacing w:before="61"/>
        <w:ind w:left="120"/>
      </w:pPr>
      <w:r>
        <w:rPr>
          <w:spacing w:val="-3"/>
        </w:rPr>
        <w:t>的脑外科手术不在保障范围内。</w:t>
      </w:r>
    </w:p>
    <w:p>
      <w:pPr>
        <w:pStyle w:val="Heading2"/>
        <w:spacing w:line="290" w:lineRule="auto" w:before="132"/>
        <w:ind w:right="319" w:firstLine="427"/>
        <w:jc w:val="both"/>
      </w:pPr>
      <w:r>
        <w:rPr>
          <w:spacing w:val="-8"/>
        </w:rPr>
        <w:t>我们对“轻度脑中风后遗症”、 “微创颅脑手术”和“脑垂体瘤、脑囊肿、脑动脉瘤</w:t>
      </w:r>
      <w:r>
        <w:rPr>
          <w:spacing w:val="-2"/>
        </w:rPr>
        <w:t>及脑血管瘤”三项中的其中一项承担保险责任，给付其中一项保险金后，对其他两项疾病</w:t>
      </w:r>
      <w:r>
        <w:rPr>
          <w:spacing w:val="-2"/>
        </w:rPr>
        <w:t>的保险责任同时终止。</w:t>
      </w:r>
    </w:p>
    <w:p>
      <w:pPr>
        <w:spacing w:line="386" w:lineRule="exact" w:before="0"/>
        <w:ind w:left="120" w:right="0" w:firstLine="0"/>
        <w:jc w:val="both"/>
        <w:rPr>
          <w:rFonts w:ascii="微软雅黑" w:eastAsia="微软雅黑"/>
          <w:b/>
          <w:sz w:val="21"/>
        </w:rPr>
      </w:pPr>
      <w:r>
        <w:rPr>
          <w:rFonts w:ascii="微软雅黑" w:eastAsia="微软雅黑"/>
          <w:b/>
          <w:sz w:val="21"/>
        </w:rPr>
        <w:t>(</w:t>
      </w:r>
      <w:r>
        <w:rPr>
          <w:rFonts w:ascii="微软雅黑" w:eastAsia="微软雅黑"/>
          <w:b/>
          <w:spacing w:val="-1"/>
          <w:sz w:val="21"/>
        </w:rPr>
        <w:t>三十一) 冠状动脉介入手术</w:t>
      </w:r>
    </w:p>
    <w:p>
      <w:pPr>
        <w:spacing w:line="357" w:lineRule="auto" w:before="148"/>
        <w:ind w:left="120" w:right="311" w:firstLine="427"/>
        <w:jc w:val="both"/>
        <w:rPr>
          <w:rFonts w:ascii="微软雅黑" w:hAnsi="微软雅黑" w:eastAsia="微软雅黑"/>
          <w:b/>
          <w:sz w:val="21"/>
        </w:rPr>
      </w:pPr>
      <w:r>
        <w:rPr>
          <w:spacing w:val="-7"/>
          <w:sz w:val="21"/>
        </w:rPr>
        <w:t>为了治疗明显的冠状动脉狭窄性疾病，首次实际实施了冠状动脉球囊扩张成形术、冠状</w:t>
      </w:r>
      <w:r>
        <w:rPr>
          <w:sz w:val="21"/>
        </w:rPr>
        <w:t>动</w:t>
      </w:r>
      <w:r>
        <w:rPr>
          <w:sz w:val="21"/>
        </w:rPr>
        <w:t>脉</w:t>
      </w:r>
      <w:r>
        <w:rPr>
          <w:sz w:val="21"/>
        </w:rPr>
        <w:t>粥肿</w:t>
      </w:r>
      <w:r>
        <w:rPr>
          <w:sz w:val="21"/>
        </w:rPr>
        <w:t>斑</w:t>
      </w:r>
      <w:r>
        <w:rPr>
          <w:sz w:val="21"/>
        </w:rPr>
        <w:t>块切</w:t>
      </w:r>
      <w:r>
        <w:rPr>
          <w:sz w:val="21"/>
        </w:rPr>
        <w:t>除</w:t>
      </w:r>
      <w:r>
        <w:rPr>
          <w:sz w:val="21"/>
        </w:rPr>
        <w:t>术或者激</w:t>
      </w:r>
      <w:r>
        <w:rPr>
          <w:sz w:val="21"/>
        </w:rPr>
        <w:t>光</w:t>
      </w:r>
      <w:r>
        <w:rPr>
          <w:sz w:val="21"/>
        </w:rPr>
        <w:t>冠状</w:t>
      </w:r>
      <w:r>
        <w:rPr>
          <w:sz w:val="21"/>
        </w:rPr>
        <w:t>动</w:t>
      </w:r>
      <w:r>
        <w:rPr>
          <w:sz w:val="21"/>
        </w:rPr>
        <w:t>脉成</w:t>
      </w:r>
      <w:r>
        <w:rPr>
          <w:sz w:val="21"/>
        </w:rPr>
        <w:t>形</w:t>
      </w:r>
      <w:r>
        <w:rPr>
          <w:sz w:val="21"/>
        </w:rPr>
        <w:t>术。</w:t>
      </w:r>
      <w:r>
        <w:rPr>
          <w:rFonts w:ascii="微软雅黑" w:hAnsi="微软雅黑" w:eastAsia="微软雅黑"/>
          <w:b/>
          <w:sz w:val="21"/>
        </w:rPr>
        <w:t>并</w:t>
      </w:r>
      <w:r>
        <w:rPr>
          <w:rFonts w:ascii="微软雅黑" w:hAnsi="微软雅黑" w:eastAsia="微软雅黑"/>
          <w:b/>
          <w:sz w:val="21"/>
        </w:rPr>
        <w:t>且</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12"/>
          <w:sz w:val="21"/>
        </w:rPr>
        <w:t>本</w:t>
      </w:r>
      <w:r>
        <w:rPr>
          <w:rFonts w:ascii="微软雅黑" w:hAnsi="微软雅黑" w:eastAsia="微软雅黑"/>
          <w:b/>
          <w:position w:val="-2"/>
          <w:sz w:val="21"/>
        </w:rPr>
        <w:drawing>
          <wp:inline distT="0" distB="0" distL="0" distR="0">
            <wp:extent cx="123825" cy="127000"/>
            <wp:effectExtent l="0" t="0" r="0" b="0"/>
            <wp:docPr id="101" name="image2.png"/>
            <wp:cNvGraphicFramePr>
              <a:graphicFrameLocks noChangeAspect="1"/>
            </wp:cNvGraphicFramePr>
            <a:graphic>
              <a:graphicData uri="http://schemas.openxmlformats.org/drawingml/2006/picture">
                <pic:pic>
                  <pic:nvPicPr>
                    <pic:cNvPr id="10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w:t>
      </w:r>
      <w:r>
        <w:rPr>
          <w:rFonts w:ascii="微软雅黑" w:hAnsi="微软雅黑" w:eastAsia="微软雅黑"/>
          <w:b/>
          <w:sz w:val="21"/>
        </w:rPr>
        <w:t>较</w:t>
      </w:r>
      <w:r>
        <w:rPr>
          <w:rFonts w:ascii="微软雅黑" w:hAnsi="微软雅黑" w:eastAsia="微软雅黑"/>
          <w:b/>
          <w:sz w:val="21"/>
        </w:rPr>
        <w:t>重</w:t>
      </w:r>
      <w:r>
        <w:rPr>
          <w:rFonts w:ascii="微软雅黑" w:hAnsi="微软雅黑" w:eastAsia="微软雅黑"/>
          <w:b/>
          <w:spacing w:val="-10"/>
          <w:sz w:val="21"/>
        </w:rPr>
        <w:t>急</w:t>
      </w:r>
    </w:p>
    <w:p>
      <w:pPr>
        <w:spacing w:line="278" w:lineRule="exact" w:before="0"/>
        <w:ind w:left="120" w:right="0" w:firstLine="0"/>
        <w:jc w:val="left"/>
        <w:rPr>
          <w:rFonts w:ascii="微软雅黑" w:hAnsi="微软雅黑" w:eastAsia="微软雅黑"/>
          <w:b/>
          <w:sz w:val="21"/>
        </w:rPr>
      </w:pPr>
      <w:r>
        <w:rPr>
          <w:rFonts w:ascii="微软雅黑" w:hAnsi="微软雅黑" w:eastAsia="微软雅黑"/>
          <w:b/>
          <w:spacing w:val="-3"/>
          <w:sz w:val="21"/>
        </w:rPr>
        <w:t>性心肌梗死”和“严重冠状动脉粥样硬化性心脏病”的给付标准。</w:t>
      </w:r>
    </w:p>
    <w:p>
      <w:pPr>
        <w:spacing w:line="290" w:lineRule="auto" w:before="81"/>
        <w:ind w:left="120" w:right="401" w:firstLine="419"/>
        <w:jc w:val="both"/>
        <w:rPr>
          <w:rFonts w:ascii="微软雅黑" w:hAnsi="微软雅黑" w:eastAsia="微软雅黑"/>
          <w:b/>
          <w:sz w:val="21"/>
        </w:rPr>
      </w:pPr>
      <w:r>
        <w:rPr>
          <w:rFonts w:ascii="微软雅黑" w:hAnsi="微软雅黑" w:eastAsia="微软雅黑"/>
          <w:b/>
          <w:spacing w:val="-2"/>
          <w:sz w:val="21"/>
        </w:rPr>
        <w:t>我们对“较轻急性心肌梗死”，“冠状动脉介入手术”和“激光心肌血运重建术”三</w:t>
      </w:r>
      <w:r>
        <w:rPr>
          <w:rFonts w:ascii="微软雅黑" w:hAnsi="微软雅黑" w:eastAsia="微软雅黑"/>
          <w:b/>
          <w:spacing w:val="-2"/>
          <w:sz w:val="21"/>
        </w:rPr>
        <w:t>项中的其中一项承担保险责任，给付其中一项保险金后，对其他两项疾病的保险责任同时</w:t>
      </w:r>
      <w:r>
        <w:rPr>
          <w:rFonts w:ascii="微软雅黑" w:hAnsi="微软雅黑" w:eastAsia="微软雅黑"/>
          <w:b/>
          <w:spacing w:val="-4"/>
          <w:sz w:val="21"/>
        </w:rPr>
        <w:t>终止。</w:t>
      </w:r>
    </w:p>
    <w:p>
      <w:pPr>
        <w:spacing w:line="387" w:lineRule="exact" w:before="0"/>
        <w:ind w:left="120" w:right="0" w:firstLine="0"/>
        <w:jc w:val="both"/>
        <w:rPr>
          <w:rFonts w:ascii="微软雅黑" w:eastAsia="微软雅黑"/>
          <w:b/>
          <w:sz w:val="21"/>
        </w:rPr>
      </w:pPr>
      <w:r>
        <w:rPr>
          <w:rFonts w:ascii="微软雅黑" w:eastAsia="微软雅黑"/>
          <w:b/>
          <w:sz w:val="21"/>
        </w:rPr>
        <w:t>(</w:t>
      </w:r>
      <w:r>
        <w:rPr>
          <w:rFonts w:ascii="微软雅黑" w:eastAsia="微软雅黑"/>
          <w:b/>
          <w:sz w:val="21"/>
        </w:rPr>
        <w:t>三十二) 主动脉内手术（非开胸或开腹手术</w:t>
      </w:r>
      <w:r>
        <w:rPr>
          <w:rFonts w:ascii="微软雅黑" w:eastAsia="微软雅黑"/>
          <w:b/>
          <w:spacing w:val="-10"/>
          <w:sz w:val="21"/>
        </w:rPr>
        <w:t>）</w:t>
      </w:r>
    </w:p>
    <w:p>
      <w:pPr>
        <w:spacing w:line="312" w:lineRule="auto" w:before="81"/>
        <w:ind w:left="120" w:right="311" w:firstLine="427"/>
        <w:jc w:val="both"/>
        <w:rPr>
          <w:sz w:val="21"/>
        </w:rPr>
      </w:pPr>
      <w:r>
        <w:rPr>
          <w:sz w:val="21"/>
        </w:rPr>
        <w:t>为</w:t>
      </w:r>
      <w:r>
        <w:rPr>
          <w:sz w:val="21"/>
        </w:rPr>
        <w:t>了</w:t>
      </w:r>
      <w:r>
        <w:rPr>
          <w:sz w:val="21"/>
        </w:rPr>
        <w:t>治</w:t>
      </w:r>
      <w:r>
        <w:rPr>
          <w:sz w:val="21"/>
        </w:rPr>
        <w:t>疗</w:t>
      </w:r>
      <w:r>
        <w:rPr>
          <w:sz w:val="21"/>
        </w:rPr>
        <w:t>主动</w:t>
      </w:r>
      <w:r>
        <w:rPr>
          <w:sz w:val="21"/>
        </w:rPr>
        <w:t>脉</w:t>
      </w:r>
      <w:r>
        <w:rPr>
          <w:sz w:val="21"/>
        </w:rPr>
        <w:t>疾病</w:t>
      </w:r>
      <w:r>
        <w:rPr>
          <w:sz w:val="21"/>
        </w:rPr>
        <w:t>实</w:t>
      </w:r>
      <w:r>
        <w:rPr>
          <w:sz w:val="21"/>
        </w:rPr>
        <w:t>际实</w:t>
      </w:r>
      <w:r>
        <w:rPr>
          <w:sz w:val="21"/>
        </w:rPr>
        <w:t>施</w:t>
      </w:r>
      <w:r>
        <w:rPr>
          <w:sz w:val="21"/>
        </w:rPr>
        <w:t>了</w:t>
      </w:r>
      <w:r>
        <w:rPr>
          <w:sz w:val="21"/>
        </w:rPr>
        <w:t>经</w:t>
      </w:r>
      <w:r>
        <w:rPr>
          <w:sz w:val="21"/>
        </w:rPr>
        <w:t>皮经</w:t>
      </w:r>
      <w:r>
        <w:rPr>
          <w:sz w:val="21"/>
        </w:rPr>
        <w:t>导</w:t>
      </w:r>
      <w:r>
        <w:rPr>
          <w:sz w:val="21"/>
        </w:rPr>
        <w:t>管进</w:t>
      </w:r>
      <w:r>
        <w:rPr>
          <w:sz w:val="21"/>
        </w:rPr>
        <w:t>行</w:t>
      </w:r>
      <w:r>
        <w:rPr>
          <w:sz w:val="21"/>
        </w:rPr>
        <w:t>的主</w:t>
      </w:r>
      <w:r>
        <w:rPr>
          <w:sz w:val="21"/>
        </w:rPr>
        <w:t>动</w:t>
      </w:r>
      <w:r>
        <w:rPr>
          <w:sz w:val="21"/>
        </w:rPr>
        <w:t>脉</w:t>
      </w:r>
      <w:r>
        <w:rPr>
          <w:sz w:val="21"/>
        </w:rPr>
        <w:t>内</w:t>
      </w:r>
      <w:r>
        <w:rPr>
          <w:sz w:val="21"/>
        </w:rPr>
        <w:t>手术，</w:t>
      </w:r>
      <w:r>
        <w:rPr>
          <w:rFonts w:ascii="微软雅黑" w:hAnsi="微软雅黑" w:eastAsia="微软雅黑"/>
          <w:b/>
          <w:sz w:val="21"/>
        </w:rPr>
        <w:t>且</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103" name="image2.png"/>
            <wp:cNvGraphicFramePr>
              <a:graphicFrameLocks noChangeAspect="1"/>
            </wp:cNvGraphicFramePr>
            <a:graphic>
              <a:graphicData uri="http://schemas.openxmlformats.org/drawingml/2006/picture">
                <pic:pic>
                  <pic:nvPicPr>
                    <pic:cNvPr id="10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z w:val="21"/>
        </w:rPr>
        <w:t>约</w:t>
      </w:r>
      <w:r>
        <w:rPr>
          <w:rFonts w:ascii="微软雅黑" w:hAnsi="微软雅黑" w:eastAsia="微软雅黑"/>
          <w:b/>
          <w:spacing w:val="-2"/>
          <w:sz w:val="21"/>
        </w:rPr>
        <w:t>定的重大疾病“主动脉手术”的赔付标准</w:t>
      </w:r>
      <w:r>
        <w:rPr>
          <w:spacing w:val="-2"/>
          <w:sz w:val="21"/>
        </w:rPr>
        <w:t>。主动脉指升主动脉、主动脉弓和降主动脉（含</w:t>
      </w:r>
      <w:r>
        <w:rPr>
          <w:spacing w:val="-2"/>
          <w:sz w:val="21"/>
        </w:rPr>
        <w:t>胸主动脉和腹主动脉</w:t>
      </w:r>
      <w:r>
        <w:rPr>
          <w:spacing w:val="-106"/>
          <w:sz w:val="21"/>
        </w:rPr>
        <w:t>）</w:t>
      </w:r>
      <w:r>
        <w:rPr>
          <w:spacing w:val="-3"/>
          <w:sz w:val="21"/>
        </w:rPr>
        <w:t>，不包括升主动脉、主动脉弓和降主动脉的分支血管。</w:t>
      </w:r>
    </w:p>
    <w:p>
      <w:pPr>
        <w:pStyle w:val="Heading2"/>
        <w:spacing w:before="48"/>
      </w:pPr>
      <w:r>
        <w:rPr/>
        <w:t>(</w:t>
      </w:r>
      <w:r>
        <w:rPr>
          <w:spacing w:val="2"/>
        </w:rPr>
        <w:t>三十三) 单目失明</w:t>
      </w:r>
    </w:p>
    <w:p>
      <w:pPr>
        <w:spacing w:line="290" w:lineRule="auto" w:before="81"/>
        <w:ind w:left="120" w:right="313" w:firstLine="427"/>
        <w:jc w:val="both"/>
        <w:rPr>
          <w:sz w:val="21"/>
        </w:rPr>
      </w:pPr>
      <w:r>
        <w:rPr>
          <w:sz w:val="21"/>
        </w:rPr>
        <w:t>指</w:t>
      </w:r>
      <w:r>
        <w:rPr>
          <w:sz w:val="21"/>
        </w:rPr>
        <w:t>因</w:t>
      </w:r>
      <w:r>
        <w:rPr>
          <w:sz w:val="21"/>
        </w:rPr>
        <w:t>疾</w:t>
      </w:r>
      <w:r>
        <w:rPr>
          <w:sz w:val="21"/>
        </w:rPr>
        <w:t>病或</w:t>
      </w:r>
      <w:r>
        <w:rPr>
          <w:sz w:val="21"/>
        </w:rPr>
        <w:t>意</w:t>
      </w:r>
      <w:r>
        <w:rPr>
          <w:sz w:val="21"/>
        </w:rPr>
        <w:t>外伤</w:t>
      </w:r>
      <w:r>
        <w:rPr>
          <w:sz w:val="21"/>
        </w:rPr>
        <w:t>害</w:t>
      </w:r>
      <w:r>
        <w:rPr>
          <w:sz w:val="21"/>
        </w:rPr>
        <w:t>导致单</w:t>
      </w:r>
      <w:r>
        <w:rPr>
          <w:sz w:val="21"/>
        </w:rPr>
        <w:t>眼</w:t>
      </w:r>
      <w:r>
        <w:rPr>
          <w:sz w:val="21"/>
        </w:rPr>
        <w:t>视</w:t>
      </w:r>
      <w:r>
        <w:rPr>
          <w:sz w:val="21"/>
        </w:rPr>
        <w:t>力永</w:t>
      </w:r>
      <w:r>
        <w:rPr>
          <w:sz w:val="21"/>
        </w:rPr>
        <w:t>久</w:t>
      </w:r>
      <w:r>
        <w:rPr>
          <w:sz w:val="21"/>
        </w:rPr>
        <w:t>不可</w:t>
      </w:r>
      <w:r>
        <w:rPr>
          <w:sz w:val="21"/>
        </w:rPr>
        <w:t>逆</w:t>
      </w:r>
      <w:r>
        <w:rPr>
          <w:sz w:val="21"/>
        </w:rPr>
        <w:t>性丧失，</w:t>
      </w:r>
      <w:r>
        <w:rPr>
          <w:rFonts w:ascii="微软雅黑" w:hAnsi="微软雅黑" w:eastAsia="微软雅黑"/>
          <w:b/>
          <w:sz w:val="21"/>
        </w:rPr>
        <w:t>但</w:t>
      </w:r>
      <w:r>
        <w:rPr>
          <w:rFonts w:ascii="微软雅黑" w:hAnsi="微软雅黑" w:eastAsia="微软雅黑"/>
          <w:b/>
          <w:sz w:val="21"/>
        </w:rPr>
        <w:t>未</w:t>
      </w:r>
      <w:r>
        <w:rPr>
          <w:rFonts w:ascii="微软雅黑" w:hAnsi="微软雅黑" w:eastAsia="微软雅黑"/>
          <w:b/>
          <w:sz w:val="21"/>
        </w:rPr>
        <w:t>达</w:t>
      </w:r>
      <w:r>
        <w:rPr>
          <w:rFonts w:ascii="微软雅黑" w:hAnsi="微软雅黑" w:eastAsia="微软雅黑"/>
          <w:b/>
          <w:sz w:val="21"/>
        </w:rPr>
        <w:t>到</w:t>
      </w:r>
      <w:r>
        <w:rPr>
          <w:rFonts w:ascii="微软雅黑" w:hAnsi="微软雅黑" w:eastAsia="微软雅黑"/>
          <w:b/>
          <w:spacing w:val="2"/>
          <w:sz w:val="21"/>
        </w:rPr>
        <w:t>本</w:t>
      </w:r>
      <w:r>
        <w:rPr>
          <w:rFonts w:ascii="微软雅黑" w:hAnsi="微软雅黑" w:eastAsia="微软雅黑"/>
          <w:b/>
          <w:position w:val="-1"/>
          <w:sz w:val="21"/>
        </w:rPr>
        <w:drawing>
          <wp:inline distT="0" distB="0" distL="0" distR="0">
            <wp:extent cx="123825" cy="127000"/>
            <wp:effectExtent l="0" t="0" r="0" b="0"/>
            <wp:docPr id="105" name="image2.png"/>
            <wp:cNvGraphicFramePr>
              <a:graphicFrameLocks noChangeAspect="1"/>
            </wp:cNvGraphicFramePr>
            <a:graphic>
              <a:graphicData uri="http://schemas.openxmlformats.org/drawingml/2006/picture">
                <pic:pic>
                  <pic:nvPicPr>
                    <pic:cNvPr id="10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w:t>
      </w:r>
      <w:r>
        <w:rPr>
          <w:rFonts w:ascii="微软雅黑" w:hAnsi="微软雅黑" w:eastAsia="微软雅黑"/>
          <w:b/>
          <w:sz w:val="21"/>
        </w:rPr>
        <w:t>所</w:t>
      </w:r>
      <w:r>
        <w:rPr>
          <w:rFonts w:ascii="微软雅黑" w:hAnsi="微软雅黑" w:eastAsia="微软雅黑"/>
          <w:b/>
          <w:sz w:val="21"/>
        </w:rPr>
        <w:t>指</w:t>
      </w:r>
      <w:r>
        <w:rPr>
          <w:rFonts w:ascii="微软雅黑" w:hAnsi="微软雅黑" w:eastAsia="微软雅黑"/>
          <w:b/>
          <w:sz w:val="21"/>
        </w:rPr>
        <w:t>重</w:t>
      </w:r>
      <w:r>
        <w:rPr>
          <w:rFonts w:ascii="微软雅黑" w:hAnsi="微软雅黑" w:eastAsia="微软雅黑"/>
          <w:b/>
          <w:sz w:val="21"/>
        </w:rPr>
        <w:t>大</w:t>
      </w:r>
      <w:r>
        <w:rPr>
          <w:rFonts w:ascii="微软雅黑" w:hAnsi="微软雅黑" w:eastAsia="微软雅黑"/>
          <w:b/>
          <w:sz w:val="21"/>
        </w:rPr>
        <w:t>疾</w:t>
      </w:r>
      <w:r>
        <w:rPr>
          <w:rFonts w:ascii="微软雅黑" w:hAnsi="微软雅黑" w:eastAsia="微软雅黑"/>
          <w:b/>
          <w:sz w:val="21"/>
        </w:rPr>
        <w:t>病</w:t>
      </w:r>
      <w:r>
        <w:rPr>
          <w:rFonts w:ascii="微软雅黑" w:hAnsi="微软雅黑" w:eastAsia="微软雅黑"/>
          <w:b/>
          <w:sz w:val="21"/>
        </w:rPr>
        <w:t> </w:t>
      </w:r>
      <w:r>
        <w:rPr>
          <w:rFonts w:ascii="微软雅黑" w:hAnsi="微软雅黑" w:eastAsia="微软雅黑"/>
          <w:b/>
          <w:spacing w:val="-10"/>
          <w:sz w:val="21"/>
        </w:rPr>
        <w:t>“双目失明”的给付标准</w:t>
      </w:r>
      <w:r>
        <w:rPr>
          <w:spacing w:val="-16"/>
          <w:sz w:val="21"/>
        </w:rPr>
        <w:t>，但患眼须满足下列至少一项条件：</w:t>
      </w:r>
      <w:r>
        <w:rPr>
          <w:spacing w:val="25"/>
          <w:sz w:val="21"/>
        </w:rPr>
        <w:t>（</w:t>
      </w:r>
      <w:r>
        <w:rPr>
          <w:spacing w:val="23"/>
          <w:sz w:val="21"/>
        </w:rPr>
        <w:t>1</w:t>
      </w:r>
      <w:r>
        <w:rPr>
          <w:spacing w:val="9"/>
          <w:sz w:val="21"/>
        </w:rPr>
        <w:t>）</w:t>
      </w:r>
      <w:r>
        <w:rPr>
          <w:spacing w:val="-21"/>
          <w:sz w:val="21"/>
        </w:rPr>
        <w:t>眼球缺失或摘除；</w:t>
      </w:r>
      <w:r>
        <w:rPr>
          <w:spacing w:val="24"/>
          <w:sz w:val="21"/>
        </w:rPr>
        <w:t>（</w:t>
      </w:r>
      <w:r>
        <w:rPr>
          <w:spacing w:val="26"/>
          <w:sz w:val="21"/>
        </w:rPr>
        <w:t>2</w:t>
      </w:r>
      <w:r>
        <w:rPr>
          <w:spacing w:val="6"/>
          <w:sz w:val="21"/>
        </w:rPr>
        <w:t>）</w:t>
      </w:r>
      <w:r>
        <w:rPr>
          <w:spacing w:val="-10"/>
          <w:sz w:val="21"/>
        </w:rPr>
        <w:t>矫</w:t>
      </w:r>
    </w:p>
    <w:p>
      <w:pPr>
        <w:pStyle w:val="BodyText"/>
        <w:spacing w:line="417" w:lineRule="auto" w:before="67"/>
        <w:ind w:left="120" w:right="311"/>
        <w:jc w:val="both"/>
      </w:pPr>
      <w:r>
        <w:rPr>
          <w:spacing w:val="-8"/>
        </w:rPr>
        <w:t>正视力低于 0.02（采用国际标准视力表，如果使用其它视力表应进行换算</w:t>
      </w:r>
      <w:r>
        <w:rPr>
          <w:spacing w:val="-67"/>
        </w:rPr>
        <w:t>）</w:t>
      </w:r>
      <w:r>
        <w:rPr>
          <w:spacing w:val="-79"/>
        </w:rPr>
        <w:t>；</w:t>
      </w:r>
      <w:r>
        <w:rPr>
          <w:spacing w:val="38"/>
        </w:rPr>
        <w:t>（</w:t>
      </w:r>
      <w:r>
        <w:rPr>
          <w:spacing w:val="36"/>
        </w:rPr>
        <w:t>3</w:t>
      </w:r>
      <w:r>
        <w:rPr>
          <w:spacing w:val="29"/>
        </w:rPr>
        <w:t>）</w:t>
      </w:r>
      <w:r>
        <w:rPr>
          <w:spacing w:val="-8"/>
        </w:rPr>
        <w:t>视野半径</w:t>
      </w:r>
      <w:r>
        <w:rPr>
          <w:spacing w:val="-10"/>
        </w:rPr>
        <w:t>小于 </w:t>
      </w:r>
      <w:r>
        <w:rPr>
          <w:spacing w:val="-2"/>
        </w:rPr>
        <w:t>5</w:t>
      </w:r>
      <w:r>
        <w:rPr>
          <w:spacing w:val="-13"/>
        </w:rPr>
        <w:t> 度。诊断须在我们认可的医院内由眼科专科医生确认，并且提供理赔当时的视力丧失</w:t>
      </w:r>
      <w:r>
        <w:rPr>
          <w:spacing w:val="-2"/>
        </w:rPr>
        <w:t>诊断及检查证据。</w:t>
      </w:r>
    </w:p>
    <w:p>
      <w:pPr>
        <w:spacing w:line="319" w:lineRule="exact" w:before="0"/>
        <w:ind w:left="540" w:right="0" w:firstLine="0"/>
        <w:jc w:val="left"/>
        <w:rPr>
          <w:rFonts w:ascii="微软雅黑" w:eastAsia="微软雅黑"/>
          <w:b/>
          <w:sz w:val="21"/>
        </w:rPr>
      </w:pPr>
      <w:r>
        <w:rPr>
          <w:rFonts w:ascii="微软雅黑" w:eastAsia="微软雅黑"/>
          <w:b/>
          <w:spacing w:val="-3"/>
          <w:sz w:val="21"/>
        </w:rPr>
        <w:t>被保险人在三周岁之前因疾病导致的单目失明不在保障范围内。</w:t>
      </w:r>
    </w:p>
    <w:p>
      <w:pPr>
        <w:spacing w:before="80"/>
        <w:ind w:left="540" w:right="0" w:firstLine="0"/>
        <w:jc w:val="left"/>
        <w:rPr>
          <w:rFonts w:ascii="微软雅黑" w:eastAsia="微软雅黑"/>
          <w:b/>
          <w:sz w:val="21"/>
        </w:rPr>
      </w:pPr>
      <w:r>
        <w:rPr>
          <w:rFonts w:ascii="微软雅黑" w:eastAsia="微软雅黑"/>
          <w:b/>
          <w:spacing w:val="-3"/>
          <w:sz w:val="21"/>
        </w:rPr>
        <w:t>因糖尿病视网膜晚期增生性病变所致视力丧失不在保障范围内。</w:t>
      </w:r>
    </w:p>
    <w:p>
      <w:pPr>
        <w:spacing w:line="290" w:lineRule="auto" w:before="81"/>
        <w:ind w:left="120" w:right="323" w:firstLine="427"/>
        <w:jc w:val="left"/>
        <w:rPr>
          <w:rFonts w:ascii="微软雅黑" w:hAnsi="微软雅黑" w:eastAsia="微软雅黑"/>
          <w:b/>
          <w:sz w:val="21"/>
        </w:rPr>
      </w:pPr>
      <w:r>
        <w:rPr>
          <w:rFonts w:ascii="微软雅黑" w:hAnsi="微软雅黑" w:eastAsia="微软雅黑"/>
          <w:b/>
          <w:spacing w:val="-17"/>
          <w:sz w:val="21"/>
        </w:rPr>
        <w:t>我们对“视力严重受损”、“单目失明”和“角膜移植”三项中的其中一项承担保险责</w:t>
      </w:r>
      <w:r>
        <w:rPr>
          <w:rFonts w:ascii="微软雅黑" w:hAnsi="微软雅黑" w:eastAsia="微软雅黑"/>
          <w:b/>
          <w:spacing w:val="-2"/>
          <w:sz w:val="21"/>
        </w:rPr>
        <w:t>任，给付其中一项保险金后，对其它两项疾病的保险责任同时终止。</w:t>
      </w:r>
    </w:p>
    <w:p>
      <w:pPr>
        <w:spacing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z w:val="21"/>
        </w:rPr>
        <w:t>三十四) 植入心脏起搏器</w:t>
      </w:r>
    </w:p>
    <w:p>
      <w:pPr>
        <w:pStyle w:val="BodyText"/>
        <w:spacing w:line="417" w:lineRule="auto" w:before="148"/>
        <w:ind w:left="120" w:right="211" w:firstLine="427"/>
      </w:pPr>
      <w:r>
        <w:rPr>
          <w:spacing w:val="-6"/>
        </w:rPr>
        <w:t>因严重心律失常而确实已经实施永久性心脏起搏器的植入手术。理赔时须提供完整病历</w:t>
      </w:r>
      <w:r>
        <w:rPr>
          <w:spacing w:val="-2"/>
        </w:rPr>
        <w:t>资料及手术记录，诊断及治疗均须在我们认可医院专科医生认为是医疗必须的情况下进行。</w:t>
      </w:r>
    </w:p>
    <w:p>
      <w:pPr>
        <w:spacing w:line="320" w:lineRule="exact" w:before="0"/>
        <w:ind w:left="547" w:right="0" w:firstLine="0"/>
        <w:jc w:val="left"/>
        <w:rPr>
          <w:rFonts w:ascii="微软雅黑" w:hAnsi="微软雅黑" w:eastAsia="微软雅黑"/>
          <w:b/>
          <w:sz w:val="21"/>
        </w:rPr>
      </w:pPr>
      <w:r>
        <w:rPr>
          <w:rFonts w:ascii="微软雅黑" w:hAnsi="微软雅黑" w:eastAsia="微软雅黑"/>
          <w:b/>
          <w:spacing w:val="-82"/>
          <w:sz w:val="21"/>
        </w:rPr>
        <w:t>因</w:t>
      </w:r>
      <w:r>
        <w:rPr>
          <w:rFonts w:ascii="微软雅黑" w:hAnsi="微软雅黑" w:eastAsia="微软雅黑"/>
          <w:b/>
          <w:w w:val="130"/>
          <w:sz w:val="21"/>
        </w:rPr>
        <w:t>“III</w:t>
      </w:r>
      <w:r>
        <w:rPr>
          <w:rFonts w:ascii="微软雅黑" w:hAnsi="微软雅黑" w:eastAsia="微软雅黑"/>
          <w:b/>
          <w:spacing w:val="-27"/>
          <w:w w:val="130"/>
          <w:sz w:val="21"/>
        </w:rPr>
        <w:t> </w:t>
      </w:r>
      <w:r>
        <w:rPr>
          <w:rFonts w:ascii="微软雅黑" w:hAnsi="微软雅黑" w:eastAsia="微软雅黑"/>
          <w:b/>
          <w:sz w:val="21"/>
        </w:rPr>
        <w:t>度房室传导阻滞</w:t>
      </w:r>
      <w:r>
        <w:rPr>
          <w:b/>
          <w:sz w:val="21"/>
        </w:rPr>
        <w:t>”</w:t>
      </w:r>
      <w:r>
        <w:rPr>
          <w:rFonts w:ascii="微软雅黑" w:hAnsi="微软雅黑" w:eastAsia="微软雅黑"/>
          <w:b/>
          <w:sz w:val="21"/>
        </w:rPr>
        <w:t>和</w:t>
      </w:r>
      <w:r>
        <w:rPr>
          <w:b/>
          <w:sz w:val="21"/>
        </w:rPr>
        <w:t>“</w:t>
      </w:r>
      <w:r>
        <w:rPr>
          <w:rFonts w:ascii="微软雅黑" w:hAnsi="微软雅黑" w:eastAsia="微软雅黑"/>
          <w:b/>
          <w:spacing w:val="-3"/>
          <w:sz w:val="21"/>
        </w:rPr>
        <w:t>特定的 </w:t>
      </w:r>
      <w:r>
        <w:rPr>
          <w:rFonts w:ascii="微软雅黑" w:hAnsi="微软雅黑" w:eastAsia="微软雅黑"/>
          <w:b/>
          <w:w w:val="130"/>
          <w:sz w:val="21"/>
        </w:rPr>
        <w:t>III</w:t>
      </w:r>
      <w:r>
        <w:rPr>
          <w:rFonts w:ascii="微软雅黑" w:hAnsi="微软雅黑" w:eastAsia="微软雅黑"/>
          <w:b/>
          <w:spacing w:val="-27"/>
          <w:w w:val="130"/>
          <w:sz w:val="21"/>
        </w:rPr>
        <w:t> </w:t>
      </w:r>
      <w:r>
        <w:rPr>
          <w:rFonts w:ascii="微软雅黑" w:hAnsi="微软雅黑" w:eastAsia="微软雅黑"/>
          <w:b/>
          <w:sz w:val="21"/>
        </w:rPr>
        <w:t>度房室传导阻滞</w:t>
      </w:r>
      <w:r>
        <w:rPr>
          <w:b/>
          <w:sz w:val="21"/>
        </w:rPr>
        <w:t>”</w:t>
      </w:r>
      <w:r>
        <w:rPr>
          <w:rFonts w:ascii="微软雅黑" w:hAnsi="微软雅黑" w:eastAsia="微软雅黑"/>
          <w:b/>
          <w:spacing w:val="-1"/>
          <w:sz w:val="21"/>
        </w:rPr>
        <w:t>所致安装心脏起搏器不在</w:t>
      </w:r>
    </w:p>
    <w:p>
      <w:pPr>
        <w:spacing w:before="81"/>
        <w:ind w:left="120" w:right="0" w:firstLine="0"/>
        <w:jc w:val="left"/>
        <w:rPr>
          <w:rFonts w:ascii="微软雅黑" w:eastAsia="微软雅黑"/>
          <w:b/>
          <w:sz w:val="21"/>
        </w:rPr>
      </w:pPr>
      <w:r>
        <w:rPr>
          <w:rFonts w:ascii="微软雅黑" w:eastAsia="微软雅黑"/>
          <w:b/>
          <w:spacing w:val="-2"/>
          <w:sz w:val="21"/>
        </w:rPr>
        <w:t>保障范围内。</w:t>
      </w:r>
    </w:p>
    <w:p>
      <w:pPr>
        <w:spacing w:after="0"/>
        <w:jc w:val="left"/>
        <w:rPr>
          <w:rFonts w:ascii="微软雅黑" w:eastAsia="微软雅黑"/>
          <w:sz w:val="21"/>
        </w:rPr>
        <w:sectPr>
          <w:pgSz w:w="11910" w:h="16840"/>
          <w:pgMar w:header="0" w:footer="1005" w:top="1460" w:bottom="1200" w:left="1680" w:right="1480"/>
        </w:sectPr>
      </w:pPr>
    </w:p>
    <w:p>
      <w:pPr>
        <w:spacing w:line="381" w:lineRule="exact" w:before="0"/>
        <w:ind w:left="120" w:right="0" w:firstLine="0"/>
        <w:jc w:val="left"/>
        <w:rPr>
          <w:rFonts w:ascii="微软雅黑" w:eastAsia="微软雅黑"/>
          <w:b/>
          <w:sz w:val="21"/>
        </w:rPr>
      </w:pPr>
      <w:r>
        <w:rPr>
          <w:rFonts w:ascii="微软雅黑" w:eastAsia="微软雅黑"/>
          <w:b/>
          <w:sz w:val="21"/>
        </w:rPr>
        <w:t>(</w:t>
      </w:r>
      <w:r>
        <w:rPr>
          <w:rFonts w:ascii="微软雅黑" w:eastAsia="微软雅黑"/>
          <w:b/>
          <w:spacing w:val="-1"/>
          <w:sz w:val="21"/>
        </w:rPr>
        <w:t>三十五) 心脏瓣膜介入手术</w:t>
      </w:r>
    </w:p>
    <w:p>
      <w:pPr>
        <w:pStyle w:val="BodyText"/>
        <w:spacing w:line="417" w:lineRule="auto" w:before="148"/>
        <w:ind w:left="120" w:right="311" w:firstLine="427"/>
      </w:pPr>
      <w:r>
        <w:rPr>
          <w:spacing w:val="-12"/>
        </w:rPr>
        <w:t>为了治疗心脏瓣膜疾病，实际实施了经皮经导管介入手术进行的心脏瓣膜置换或者修复</w:t>
      </w:r>
      <w:r>
        <w:rPr>
          <w:spacing w:val="-4"/>
        </w:rPr>
        <w:t>手术。</w:t>
      </w:r>
    </w:p>
    <w:p>
      <w:pPr>
        <w:pStyle w:val="Heading2"/>
        <w:spacing w:line="320" w:lineRule="exact"/>
      </w:pPr>
      <w:r>
        <w:rPr/>
        <w:t>(</w:t>
      </w:r>
      <w:r>
        <w:rPr/>
        <w:t>三十六) 双侧睾丸切除术</w:t>
      </w:r>
    </w:p>
    <w:p>
      <w:pPr>
        <w:spacing w:line="357" w:lineRule="auto" w:before="148"/>
        <w:ind w:left="547" w:right="1050" w:firstLine="0"/>
        <w:jc w:val="left"/>
        <w:rPr>
          <w:rFonts w:ascii="微软雅黑" w:eastAsia="微软雅黑"/>
          <w:b/>
          <w:sz w:val="21"/>
        </w:rPr>
      </w:pPr>
      <w:r>
        <w:rPr>
          <w:spacing w:val="-2"/>
          <w:sz w:val="21"/>
        </w:rPr>
        <w:t>指为治疗疾病实际接受了经腹部切开或腹腔镜进行的双侧睾丸完全切除手术。</w:t>
      </w:r>
      <w:r>
        <w:rPr>
          <w:rFonts w:ascii="微软雅黑" w:eastAsia="微软雅黑"/>
          <w:b/>
          <w:spacing w:val="-2"/>
          <w:sz w:val="21"/>
        </w:rPr>
        <w:t>下列情况不在保障范围内：</w:t>
      </w:r>
    </w:p>
    <w:p>
      <w:pPr>
        <w:pStyle w:val="ListParagraph"/>
        <w:numPr>
          <w:ilvl w:val="0"/>
          <w:numId w:val="92"/>
        </w:numPr>
        <w:tabs>
          <w:tab w:pos="1380" w:val="left" w:leader="none"/>
          <w:tab w:pos="1381" w:val="left" w:leader="none"/>
        </w:tabs>
        <w:spacing w:line="278" w:lineRule="exact" w:before="0" w:after="0"/>
        <w:ind w:left="1380" w:right="0" w:hanging="836"/>
        <w:jc w:val="left"/>
        <w:rPr>
          <w:rFonts w:ascii="微软雅黑" w:eastAsia="微软雅黑"/>
          <w:b/>
          <w:sz w:val="21"/>
        </w:rPr>
      </w:pPr>
      <w:r>
        <w:rPr>
          <w:rFonts w:ascii="微软雅黑" w:eastAsia="微软雅黑"/>
          <w:b/>
          <w:spacing w:val="-2"/>
          <w:sz w:val="21"/>
        </w:rPr>
        <w:t>部分睾丸切除；</w:t>
      </w:r>
    </w:p>
    <w:p>
      <w:pPr>
        <w:pStyle w:val="ListParagraph"/>
        <w:numPr>
          <w:ilvl w:val="0"/>
          <w:numId w:val="92"/>
        </w:numPr>
        <w:tabs>
          <w:tab w:pos="1380" w:val="left" w:leader="none"/>
          <w:tab w:pos="1381" w:val="left" w:leader="none"/>
        </w:tabs>
        <w:spacing w:line="240" w:lineRule="auto" w:before="81" w:after="0"/>
        <w:ind w:left="1380" w:right="0" w:hanging="836"/>
        <w:jc w:val="left"/>
        <w:rPr>
          <w:rFonts w:ascii="微软雅黑" w:eastAsia="微软雅黑"/>
          <w:b/>
          <w:sz w:val="21"/>
        </w:rPr>
      </w:pPr>
      <w:r>
        <w:rPr>
          <w:rFonts w:ascii="微软雅黑" w:eastAsia="微软雅黑"/>
          <w:b/>
          <w:spacing w:val="-2"/>
          <w:sz w:val="21"/>
        </w:rPr>
        <w:t>变性手术；</w:t>
      </w:r>
    </w:p>
    <w:p>
      <w:pPr>
        <w:pStyle w:val="ListParagraph"/>
        <w:numPr>
          <w:ilvl w:val="0"/>
          <w:numId w:val="92"/>
        </w:numPr>
        <w:tabs>
          <w:tab w:pos="1380" w:val="left" w:leader="none"/>
          <w:tab w:pos="1381" w:val="left" w:leader="none"/>
        </w:tabs>
        <w:spacing w:line="290" w:lineRule="auto" w:before="81" w:after="0"/>
        <w:ind w:left="120" w:right="3144" w:firstLine="424"/>
        <w:jc w:val="left"/>
        <w:rPr>
          <w:rFonts w:ascii="微软雅黑" w:hAnsi="微软雅黑" w:eastAsia="微软雅黑"/>
          <w:b/>
          <w:sz w:val="21"/>
        </w:rPr>
      </w:pPr>
      <w:r>
        <w:rPr>
          <w:rFonts w:ascii="微软雅黑" w:hAnsi="微软雅黑" w:eastAsia="微软雅黑"/>
          <w:b/>
          <w:spacing w:val="-2"/>
          <w:sz w:val="21"/>
        </w:rPr>
        <w:t>因“恶性肿瘤——重度”进行的睾丸切除术。</w:t>
      </w:r>
      <w:r>
        <w:rPr>
          <w:rFonts w:ascii="微软雅黑" w:hAnsi="微软雅黑" w:eastAsia="微软雅黑"/>
          <w:b/>
          <w:spacing w:val="-2"/>
          <w:sz w:val="21"/>
        </w:rPr>
        <w:t> </w:t>
      </w:r>
      <w:r>
        <w:rPr>
          <w:rFonts w:ascii="微软雅黑" w:hAnsi="微软雅黑" w:eastAsia="微软雅黑"/>
          <w:b/>
          <w:w w:val="110"/>
          <w:sz w:val="21"/>
        </w:rPr>
        <w:t>(</w:t>
      </w:r>
      <w:r>
        <w:rPr>
          <w:rFonts w:ascii="微软雅黑" w:hAnsi="微软雅黑" w:eastAsia="微软雅黑"/>
          <w:b/>
          <w:sz w:val="21"/>
        </w:rPr>
        <w:t>三十七</w:t>
      </w:r>
      <w:r>
        <w:rPr>
          <w:rFonts w:ascii="微软雅黑" w:hAnsi="微软雅黑" w:eastAsia="微软雅黑"/>
          <w:b/>
          <w:w w:val="110"/>
          <w:sz w:val="21"/>
        </w:rPr>
        <w:t>) </w:t>
      </w:r>
      <w:r>
        <w:rPr>
          <w:rFonts w:ascii="微软雅黑" w:hAnsi="微软雅黑" w:eastAsia="微软雅黑"/>
          <w:b/>
          <w:sz w:val="21"/>
        </w:rPr>
        <w:t>双侧卵巢切除术</w:t>
      </w:r>
    </w:p>
    <w:p>
      <w:pPr>
        <w:spacing w:line="357" w:lineRule="auto" w:before="67"/>
        <w:ind w:left="547" w:right="1050" w:firstLine="0"/>
        <w:jc w:val="left"/>
        <w:rPr>
          <w:rFonts w:ascii="微软雅黑" w:eastAsia="微软雅黑"/>
          <w:b/>
          <w:sz w:val="21"/>
        </w:rPr>
      </w:pPr>
      <w:r>
        <w:rPr>
          <w:spacing w:val="-2"/>
          <w:sz w:val="21"/>
        </w:rPr>
        <w:t>指为治疗疾病实际接受了经腹部切开或腹腔镜进行的双侧卵巢完全切除手术。</w:t>
      </w:r>
      <w:r>
        <w:rPr>
          <w:rFonts w:ascii="微软雅黑" w:eastAsia="微软雅黑"/>
          <w:b/>
          <w:spacing w:val="-2"/>
          <w:sz w:val="21"/>
        </w:rPr>
        <w:t>下列情况不在保障范围内：</w:t>
      </w:r>
    </w:p>
    <w:p>
      <w:pPr>
        <w:pStyle w:val="ListParagraph"/>
        <w:numPr>
          <w:ilvl w:val="0"/>
          <w:numId w:val="93"/>
        </w:numPr>
        <w:tabs>
          <w:tab w:pos="1380" w:val="left" w:leader="none"/>
          <w:tab w:pos="1381" w:val="left" w:leader="none"/>
        </w:tabs>
        <w:spacing w:line="278" w:lineRule="exact" w:before="0" w:after="0"/>
        <w:ind w:left="1380" w:right="0" w:hanging="836"/>
        <w:jc w:val="left"/>
        <w:rPr>
          <w:rFonts w:ascii="微软雅黑" w:eastAsia="微软雅黑"/>
          <w:b/>
          <w:sz w:val="21"/>
        </w:rPr>
      </w:pPr>
      <w:r>
        <w:rPr>
          <w:rFonts w:ascii="微软雅黑" w:eastAsia="微软雅黑"/>
          <w:b/>
          <w:spacing w:val="-2"/>
          <w:sz w:val="21"/>
        </w:rPr>
        <w:t>部分卵巢切除；</w:t>
      </w:r>
    </w:p>
    <w:p>
      <w:pPr>
        <w:pStyle w:val="ListParagraph"/>
        <w:numPr>
          <w:ilvl w:val="0"/>
          <w:numId w:val="93"/>
        </w:numPr>
        <w:tabs>
          <w:tab w:pos="1380" w:val="left" w:leader="none"/>
          <w:tab w:pos="1381" w:val="left" w:leader="none"/>
        </w:tabs>
        <w:spacing w:line="240" w:lineRule="auto" w:before="81" w:after="0"/>
        <w:ind w:left="1380" w:right="0" w:hanging="836"/>
        <w:jc w:val="left"/>
        <w:rPr>
          <w:rFonts w:ascii="微软雅黑" w:eastAsia="微软雅黑"/>
          <w:b/>
          <w:sz w:val="21"/>
        </w:rPr>
      </w:pPr>
      <w:r>
        <w:rPr>
          <w:rFonts w:ascii="微软雅黑" w:eastAsia="微软雅黑"/>
          <w:b/>
          <w:spacing w:val="-2"/>
          <w:sz w:val="21"/>
        </w:rPr>
        <w:t>变性手术；</w:t>
      </w:r>
    </w:p>
    <w:p>
      <w:pPr>
        <w:pStyle w:val="ListParagraph"/>
        <w:numPr>
          <w:ilvl w:val="0"/>
          <w:numId w:val="93"/>
        </w:numPr>
        <w:tabs>
          <w:tab w:pos="1380" w:val="left" w:leader="none"/>
          <w:tab w:pos="1381" w:val="left" w:leader="none"/>
        </w:tabs>
        <w:spacing w:line="240" w:lineRule="auto" w:before="81" w:after="0"/>
        <w:ind w:left="1380" w:right="0" w:hanging="836"/>
        <w:jc w:val="left"/>
        <w:rPr>
          <w:rFonts w:ascii="微软雅黑" w:hAnsi="微软雅黑" w:eastAsia="微软雅黑"/>
          <w:b/>
          <w:sz w:val="21"/>
        </w:rPr>
      </w:pPr>
      <w:r>
        <w:rPr>
          <w:rFonts w:ascii="微软雅黑" w:hAnsi="微软雅黑" w:eastAsia="微软雅黑"/>
          <w:b/>
          <w:w w:val="95"/>
          <w:sz w:val="21"/>
        </w:rPr>
        <w:t>因</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——重度”</w:t>
      </w:r>
      <w:r>
        <w:rPr>
          <w:rFonts w:ascii="微软雅黑" w:hAnsi="微软雅黑" w:eastAsia="微软雅黑"/>
          <w:b/>
          <w:w w:val="95"/>
          <w:sz w:val="21"/>
        </w:rPr>
        <w:t>进</w:t>
      </w:r>
      <w:r>
        <w:rPr>
          <w:rFonts w:ascii="微软雅黑" w:hAnsi="微软雅黑" w:eastAsia="微软雅黑"/>
          <w:b/>
          <w:w w:val="95"/>
          <w:sz w:val="21"/>
        </w:rPr>
        <w:t>行</w:t>
      </w:r>
      <w:r>
        <w:rPr>
          <w:rFonts w:ascii="微软雅黑" w:hAnsi="微软雅黑" w:eastAsia="微软雅黑"/>
          <w:b/>
          <w:w w:val="95"/>
          <w:sz w:val="21"/>
        </w:rPr>
        <w:t>的</w:t>
      </w:r>
      <w:r>
        <w:rPr>
          <w:rFonts w:ascii="微软雅黑" w:hAnsi="微软雅黑" w:eastAsia="微软雅黑"/>
          <w:b/>
          <w:w w:val="95"/>
          <w:sz w:val="21"/>
        </w:rPr>
        <w:t>卵</w:t>
      </w:r>
      <w:r>
        <w:rPr>
          <w:rFonts w:ascii="微软雅黑" w:hAnsi="微软雅黑" w:eastAsia="微软雅黑"/>
          <w:b/>
          <w:w w:val="95"/>
          <w:sz w:val="21"/>
        </w:rPr>
        <w:t>巢</w:t>
      </w:r>
      <w:r>
        <w:rPr>
          <w:rFonts w:ascii="微软雅黑" w:hAnsi="微软雅黑" w:eastAsia="微软雅黑"/>
          <w:b/>
          <w:w w:val="95"/>
          <w:sz w:val="21"/>
        </w:rPr>
        <w:t>切</w:t>
      </w:r>
      <w:r>
        <w:rPr>
          <w:rFonts w:ascii="微软雅黑" w:hAnsi="微软雅黑" w:eastAsia="微软雅黑"/>
          <w:b/>
          <w:w w:val="95"/>
          <w:sz w:val="21"/>
        </w:rPr>
        <w:t>除</w:t>
      </w:r>
      <w:r>
        <w:rPr>
          <w:rFonts w:ascii="微软雅黑" w:hAnsi="微软雅黑" w:eastAsia="微软雅黑"/>
          <w:b/>
          <w:w w:val="95"/>
          <w:sz w:val="21"/>
        </w:rPr>
        <w:t>术</w:t>
      </w:r>
      <w:r>
        <w:rPr>
          <w:rFonts w:ascii="微软雅黑" w:hAnsi="微软雅黑" w:eastAsia="微软雅黑"/>
          <w:b/>
          <w:spacing w:val="-10"/>
          <w:w w:val="95"/>
          <w:sz w:val="21"/>
        </w:rPr>
        <w:t>；</w:t>
      </w:r>
    </w:p>
    <w:p>
      <w:pPr>
        <w:pStyle w:val="ListParagraph"/>
        <w:numPr>
          <w:ilvl w:val="0"/>
          <w:numId w:val="93"/>
        </w:numPr>
        <w:tabs>
          <w:tab w:pos="1380" w:val="left" w:leader="none"/>
          <w:tab w:pos="1381" w:val="left" w:leader="none"/>
        </w:tabs>
        <w:spacing w:line="290" w:lineRule="auto" w:before="81" w:after="0"/>
        <w:ind w:left="120" w:right="5674" w:firstLine="424"/>
        <w:jc w:val="left"/>
        <w:rPr>
          <w:rFonts w:ascii="微软雅黑" w:eastAsia="微软雅黑"/>
          <w:b/>
          <w:sz w:val="21"/>
        </w:rPr>
      </w:pPr>
      <w:r>
        <w:rPr>
          <w:rFonts w:ascii="微软雅黑" w:eastAsia="微软雅黑"/>
          <w:b/>
          <w:spacing w:val="-2"/>
          <w:sz w:val="21"/>
        </w:rPr>
        <w:t>预防性卵巢切除。</w:t>
      </w:r>
      <w:r>
        <w:rPr>
          <w:rFonts w:ascii="微软雅黑" w:eastAsia="微软雅黑"/>
          <w:b/>
          <w:spacing w:val="-2"/>
          <w:sz w:val="21"/>
        </w:rPr>
        <w:t>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w w:val="110"/>
          <w:sz w:val="21"/>
        </w:rPr>
        <w:t>八) </w:t>
      </w:r>
      <w:r>
        <w:rPr>
          <w:rFonts w:ascii="微软雅黑" w:eastAsia="微软雅黑"/>
          <w:b/>
          <w:w w:val="110"/>
          <w:sz w:val="21"/>
        </w:rPr>
        <w:t>肾</w:t>
      </w:r>
      <w:r>
        <w:rPr>
          <w:rFonts w:ascii="微软雅黑" w:eastAsia="微软雅黑"/>
          <w:b/>
          <w:w w:val="110"/>
          <w:sz w:val="21"/>
        </w:rPr>
        <w:t>脏</w:t>
      </w:r>
      <w:r>
        <w:rPr>
          <w:rFonts w:ascii="微软雅黑" w:eastAsia="微软雅黑"/>
          <w:b/>
          <w:w w:val="110"/>
          <w:sz w:val="21"/>
        </w:rPr>
        <w:t>切</w:t>
      </w:r>
      <w:r>
        <w:rPr>
          <w:rFonts w:ascii="微软雅黑" w:eastAsia="微软雅黑"/>
          <w:b/>
          <w:w w:val="110"/>
          <w:sz w:val="21"/>
        </w:rPr>
        <w:t>除</w:t>
      </w:r>
    </w:p>
    <w:p>
      <w:pPr>
        <w:spacing w:line="357" w:lineRule="auto" w:before="67"/>
        <w:ind w:left="547" w:right="839" w:firstLine="0"/>
        <w:jc w:val="left"/>
        <w:rPr>
          <w:rFonts w:ascii="微软雅黑" w:eastAsia="微软雅黑"/>
          <w:b/>
          <w:sz w:val="21"/>
        </w:rPr>
      </w:pPr>
      <w:r>
        <w:rPr>
          <w:spacing w:val="-2"/>
          <w:sz w:val="21"/>
        </w:rPr>
        <w:t>指因疾病或意外伤害导致肾脏严重损害，已经实施了至少单侧全肾的切除手术。</w:t>
      </w:r>
      <w:r>
        <w:rPr>
          <w:rFonts w:ascii="微软雅黑" w:eastAsia="微软雅黑"/>
          <w:b/>
          <w:spacing w:val="-2"/>
          <w:sz w:val="21"/>
        </w:rPr>
        <w:t>下列情况不在保障范围内：</w:t>
      </w:r>
    </w:p>
    <w:p>
      <w:pPr>
        <w:pStyle w:val="ListParagraph"/>
        <w:numPr>
          <w:ilvl w:val="0"/>
          <w:numId w:val="94"/>
        </w:numPr>
        <w:tabs>
          <w:tab w:pos="1380" w:val="left" w:leader="none"/>
          <w:tab w:pos="1381" w:val="left" w:leader="none"/>
        </w:tabs>
        <w:spacing w:line="278" w:lineRule="exact" w:before="0" w:after="0"/>
        <w:ind w:left="1380" w:right="0" w:hanging="836"/>
        <w:jc w:val="left"/>
        <w:rPr>
          <w:rFonts w:ascii="微软雅黑" w:eastAsia="微软雅黑"/>
          <w:b/>
          <w:sz w:val="21"/>
        </w:rPr>
      </w:pPr>
      <w:r>
        <w:rPr>
          <w:rFonts w:ascii="微软雅黑" w:eastAsia="微软雅黑"/>
          <w:b/>
          <w:spacing w:val="-2"/>
          <w:sz w:val="21"/>
        </w:rPr>
        <w:t>部分肾切除手术；</w:t>
      </w:r>
    </w:p>
    <w:p>
      <w:pPr>
        <w:pStyle w:val="ListParagraph"/>
        <w:numPr>
          <w:ilvl w:val="0"/>
          <w:numId w:val="94"/>
        </w:numPr>
        <w:tabs>
          <w:tab w:pos="1380" w:val="left" w:leader="none"/>
          <w:tab w:pos="1381" w:val="left" w:leader="none"/>
        </w:tabs>
        <w:spacing w:line="240" w:lineRule="auto" w:before="81" w:after="0"/>
        <w:ind w:left="1380" w:right="0" w:hanging="836"/>
        <w:jc w:val="left"/>
        <w:rPr>
          <w:rFonts w:ascii="微软雅黑" w:hAnsi="微软雅黑" w:eastAsia="微软雅黑"/>
          <w:b/>
          <w:sz w:val="21"/>
        </w:rPr>
      </w:pPr>
      <w:r>
        <w:rPr>
          <w:rFonts w:ascii="微软雅黑" w:hAnsi="微软雅黑" w:eastAsia="微软雅黑"/>
          <w:b/>
          <w:w w:val="95"/>
          <w:sz w:val="21"/>
        </w:rPr>
        <w:t>因</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——重度”</w:t>
      </w:r>
      <w:r>
        <w:rPr>
          <w:rFonts w:ascii="微软雅黑" w:hAnsi="微软雅黑" w:eastAsia="微软雅黑"/>
          <w:b/>
          <w:w w:val="95"/>
          <w:sz w:val="21"/>
        </w:rPr>
        <w:t>进</w:t>
      </w:r>
      <w:r>
        <w:rPr>
          <w:rFonts w:ascii="微软雅黑" w:hAnsi="微软雅黑" w:eastAsia="微软雅黑"/>
          <w:b/>
          <w:w w:val="95"/>
          <w:sz w:val="21"/>
        </w:rPr>
        <w:t>行</w:t>
      </w:r>
      <w:r>
        <w:rPr>
          <w:rFonts w:ascii="微软雅黑" w:hAnsi="微软雅黑" w:eastAsia="微软雅黑"/>
          <w:b/>
          <w:w w:val="95"/>
          <w:sz w:val="21"/>
        </w:rPr>
        <w:t>的</w:t>
      </w:r>
      <w:r>
        <w:rPr>
          <w:rFonts w:ascii="微软雅黑" w:hAnsi="微软雅黑" w:eastAsia="微软雅黑"/>
          <w:b/>
          <w:w w:val="95"/>
          <w:sz w:val="21"/>
        </w:rPr>
        <w:t>肾</w:t>
      </w:r>
      <w:r>
        <w:rPr>
          <w:rFonts w:ascii="微软雅黑" w:hAnsi="微软雅黑" w:eastAsia="微软雅黑"/>
          <w:b/>
          <w:w w:val="95"/>
          <w:sz w:val="21"/>
        </w:rPr>
        <w:t>切</w:t>
      </w:r>
      <w:r>
        <w:rPr>
          <w:rFonts w:ascii="微软雅黑" w:hAnsi="微软雅黑" w:eastAsia="微软雅黑"/>
          <w:b/>
          <w:w w:val="95"/>
          <w:sz w:val="21"/>
        </w:rPr>
        <w:t>除</w:t>
      </w:r>
      <w:r>
        <w:rPr>
          <w:rFonts w:ascii="微软雅黑" w:hAnsi="微软雅黑" w:eastAsia="微软雅黑"/>
          <w:b/>
          <w:w w:val="95"/>
          <w:sz w:val="21"/>
        </w:rPr>
        <w:t>手</w:t>
      </w:r>
      <w:r>
        <w:rPr>
          <w:rFonts w:ascii="微软雅黑" w:hAnsi="微软雅黑" w:eastAsia="微软雅黑"/>
          <w:b/>
          <w:w w:val="95"/>
          <w:sz w:val="21"/>
        </w:rPr>
        <w:t>术</w:t>
      </w:r>
      <w:r>
        <w:rPr>
          <w:rFonts w:ascii="微软雅黑" w:hAnsi="微软雅黑" w:eastAsia="微软雅黑"/>
          <w:b/>
          <w:spacing w:val="-10"/>
          <w:w w:val="95"/>
          <w:sz w:val="21"/>
        </w:rPr>
        <w:t>；</w:t>
      </w:r>
    </w:p>
    <w:p>
      <w:pPr>
        <w:pStyle w:val="ListParagraph"/>
        <w:numPr>
          <w:ilvl w:val="0"/>
          <w:numId w:val="94"/>
        </w:numPr>
        <w:tabs>
          <w:tab w:pos="1380" w:val="left" w:leader="none"/>
          <w:tab w:pos="1381" w:val="left" w:leader="none"/>
        </w:tabs>
        <w:spacing w:line="290" w:lineRule="auto" w:before="80" w:after="0"/>
        <w:ind w:left="120" w:right="3778" w:firstLine="424"/>
        <w:jc w:val="left"/>
        <w:rPr>
          <w:rFonts w:ascii="微软雅黑" w:eastAsia="微软雅黑"/>
          <w:b/>
          <w:sz w:val="21"/>
        </w:rPr>
      </w:pPr>
      <w:r>
        <w:rPr>
          <w:rFonts w:ascii="微软雅黑" w:eastAsia="微软雅黑"/>
          <w:b/>
          <w:spacing w:val="-2"/>
          <w:sz w:val="21"/>
        </w:rPr>
        <w:t>作为器官捐献者而实施的肾切除手术。</w:t>
      </w:r>
      <w:r>
        <w:rPr>
          <w:rFonts w:ascii="微软雅黑" w:eastAsia="微软雅黑"/>
          <w:b/>
          <w:spacing w:val="-2"/>
          <w:sz w:val="21"/>
        </w:rPr>
        <w:t> </w:t>
      </w:r>
      <w:r>
        <w:rPr>
          <w:rFonts w:ascii="微软雅黑" w:eastAsia="微软雅黑"/>
          <w:b/>
          <w:w w:val="110"/>
          <w:sz w:val="21"/>
        </w:rPr>
        <w:t>(</w:t>
      </w:r>
      <w:r>
        <w:rPr>
          <w:rFonts w:ascii="微软雅黑" w:eastAsia="微软雅黑"/>
          <w:b/>
          <w:w w:val="110"/>
          <w:sz w:val="21"/>
        </w:rPr>
        <w:t>三</w:t>
      </w:r>
      <w:r>
        <w:rPr>
          <w:rFonts w:ascii="微软雅黑" w:eastAsia="微软雅黑"/>
          <w:b/>
          <w:w w:val="110"/>
          <w:sz w:val="21"/>
        </w:rPr>
        <w:t>十</w:t>
      </w:r>
      <w:r>
        <w:rPr>
          <w:rFonts w:ascii="微软雅黑" w:eastAsia="微软雅黑"/>
          <w:b/>
          <w:w w:val="110"/>
          <w:sz w:val="21"/>
        </w:rPr>
        <w:t>九) </w:t>
      </w:r>
      <w:r>
        <w:rPr>
          <w:rFonts w:ascii="微软雅黑" w:eastAsia="微软雅黑"/>
          <w:b/>
          <w:w w:val="110"/>
          <w:sz w:val="21"/>
        </w:rPr>
        <w:t>单</w:t>
      </w:r>
      <w:r>
        <w:rPr>
          <w:rFonts w:ascii="微软雅黑" w:eastAsia="微软雅黑"/>
          <w:b/>
          <w:w w:val="110"/>
          <w:sz w:val="21"/>
        </w:rPr>
        <w:t>侧</w:t>
      </w:r>
      <w:r>
        <w:rPr>
          <w:rFonts w:ascii="微软雅黑" w:eastAsia="微软雅黑"/>
          <w:b/>
          <w:w w:val="110"/>
          <w:sz w:val="21"/>
        </w:rPr>
        <w:t>肺</w:t>
      </w:r>
      <w:r>
        <w:rPr>
          <w:rFonts w:ascii="微软雅黑" w:eastAsia="微软雅黑"/>
          <w:b/>
          <w:w w:val="110"/>
          <w:sz w:val="21"/>
        </w:rPr>
        <w:t>脏</w:t>
      </w:r>
      <w:r>
        <w:rPr>
          <w:rFonts w:ascii="微软雅黑" w:eastAsia="微软雅黑"/>
          <w:b/>
          <w:w w:val="110"/>
          <w:sz w:val="21"/>
        </w:rPr>
        <w:t>切</w:t>
      </w:r>
      <w:r>
        <w:rPr>
          <w:rFonts w:ascii="微软雅黑" w:eastAsia="微软雅黑"/>
          <w:b/>
          <w:w w:val="110"/>
          <w:sz w:val="21"/>
        </w:rPr>
        <w:t>除</w:t>
      </w:r>
    </w:p>
    <w:p>
      <w:pPr>
        <w:spacing w:line="357" w:lineRule="auto" w:before="67"/>
        <w:ind w:left="547" w:right="1470" w:firstLine="0"/>
        <w:jc w:val="left"/>
        <w:rPr>
          <w:rFonts w:ascii="微软雅黑" w:eastAsia="微软雅黑"/>
          <w:b/>
          <w:sz w:val="21"/>
        </w:rPr>
      </w:pPr>
      <w:r>
        <w:rPr>
          <w:spacing w:val="-2"/>
          <w:sz w:val="21"/>
        </w:rPr>
        <w:t>指因疾病或意外伤害导致肺部严重损害，已经实施了单侧全肺切除手术。</w:t>
      </w:r>
      <w:r>
        <w:rPr>
          <w:rFonts w:ascii="微软雅黑" w:eastAsia="微软雅黑"/>
          <w:b/>
          <w:spacing w:val="-2"/>
          <w:sz w:val="21"/>
        </w:rPr>
        <w:t>下列情况不在保障范围内：</w:t>
      </w:r>
    </w:p>
    <w:p>
      <w:pPr>
        <w:pStyle w:val="ListParagraph"/>
        <w:numPr>
          <w:ilvl w:val="0"/>
          <w:numId w:val="95"/>
        </w:numPr>
        <w:tabs>
          <w:tab w:pos="1380" w:val="left" w:leader="none"/>
          <w:tab w:pos="1381" w:val="left" w:leader="none"/>
        </w:tabs>
        <w:spacing w:line="279" w:lineRule="exact" w:before="0" w:after="0"/>
        <w:ind w:left="1380" w:right="0" w:hanging="836"/>
        <w:jc w:val="left"/>
        <w:rPr>
          <w:rFonts w:ascii="微软雅黑" w:eastAsia="微软雅黑"/>
          <w:b/>
          <w:sz w:val="21"/>
        </w:rPr>
      </w:pPr>
      <w:r>
        <w:rPr>
          <w:rFonts w:ascii="微软雅黑" w:eastAsia="微软雅黑"/>
          <w:b/>
          <w:spacing w:val="-3"/>
          <w:sz w:val="21"/>
        </w:rPr>
        <w:t>肺叶切除、肺段切除手术；</w:t>
      </w:r>
    </w:p>
    <w:p>
      <w:pPr>
        <w:pStyle w:val="ListParagraph"/>
        <w:numPr>
          <w:ilvl w:val="0"/>
          <w:numId w:val="95"/>
        </w:numPr>
        <w:tabs>
          <w:tab w:pos="1380" w:val="left" w:leader="none"/>
          <w:tab w:pos="1381" w:val="left" w:leader="none"/>
        </w:tabs>
        <w:spacing w:line="240" w:lineRule="auto" w:before="81" w:after="0"/>
        <w:ind w:left="1380" w:right="0" w:hanging="836"/>
        <w:jc w:val="left"/>
        <w:rPr>
          <w:rFonts w:ascii="微软雅黑" w:hAnsi="微软雅黑" w:eastAsia="微软雅黑"/>
          <w:b/>
          <w:sz w:val="21"/>
        </w:rPr>
      </w:pPr>
      <w:r>
        <w:rPr>
          <w:rFonts w:ascii="微软雅黑" w:hAnsi="微软雅黑" w:eastAsia="微软雅黑"/>
          <w:b/>
          <w:w w:val="95"/>
          <w:sz w:val="21"/>
        </w:rPr>
        <w:t>因</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——重度”</w:t>
      </w:r>
      <w:r>
        <w:rPr>
          <w:rFonts w:ascii="微软雅黑" w:hAnsi="微软雅黑" w:eastAsia="微软雅黑"/>
          <w:b/>
          <w:w w:val="95"/>
          <w:sz w:val="21"/>
        </w:rPr>
        <w:t>进</w:t>
      </w:r>
      <w:r>
        <w:rPr>
          <w:rFonts w:ascii="微软雅黑" w:hAnsi="微软雅黑" w:eastAsia="微软雅黑"/>
          <w:b/>
          <w:w w:val="95"/>
          <w:sz w:val="21"/>
        </w:rPr>
        <w:t>行</w:t>
      </w:r>
      <w:r>
        <w:rPr>
          <w:rFonts w:ascii="微软雅黑" w:hAnsi="微软雅黑" w:eastAsia="微软雅黑"/>
          <w:b/>
          <w:w w:val="95"/>
          <w:sz w:val="21"/>
        </w:rPr>
        <w:t>的</w:t>
      </w:r>
      <w:r>
        <w:rPr>
          <w:rFonts w:ascii="微软雅黑" w:hAnsi="微软雅黑" w:eastAsia="微软雅黑"/>
          <w:b/>
          <w:w w:val="95"/>
          <w:sz w:val="21"/>
        </w:rPr>
        <w:t>肺</w:t>
      </w:r>
      <w:r>
        <w:rPr>
          <w:rFonts w:ascii="微软雅黑" w:hAnsi="微软雅黑" w:eastAsia="微软雅黑"/>
          <w:b/>
          <w:w w:val="95"/>
          <w:sz w:val="21"/>
        </w:rPr>
        <w:t>切</w:t>
      </w:r>
      <w:r>
        <w:rPr>
          <w:rFonts w:ascii="微软雅黑" w:hAnsi="微软雅黑" w:eastAsia="微软雅黑"/>
          <w:b/>
          <w:w w:val="95"/>
          <w:sz w:val="21"/>
        </w:rPr>
        <w:t>除</w:t>
      </w:r>
      <w:r>
        <w:rPr>
          <w:rFonts w:ascii="微软雅黑" w:hAnsi="微软雅黑" w:eastAsia="微软雅黑"/>
          <w:b/>
          <w:w w:val="95"/>
          <w:sz w:val="21"/>
        </w:rPr>
        <w:t>手</w:t>
      </w:r>
      <w:r>
        <w:rPr>
          <w:rFonts w:ascii="微软雅黑" w:hAnsi="微软雅黑" w:eastAsia="微软雅黑"/>
          <w:b/>
          <w:w w:val="95"/>
          <w:sz w:val="21"/>
        </w:rPr>
        <w:t>术</w:t>
      </w:r>
      <w:r>
        <w:rPr>
          <w:rFonts w:ascii="微软雅黑" w:hAnsi="微软雅黑" w:eastAsia="微软雅黑"/>
          <w:b/>
          <w:spacing w:val="-10"/>
          <w:w w:val="95"/>
          <w:sz w:val="21"/>
        </w:rPr>
        <w:t>；</w:t>
      </w:r>
    </w:p>
    <w:p>
      <w:pPr>
        <w:pStyle w:val="ListParagraph"/>
        <w:numPr>
          <w:ilvl w:val="0"/>
          <w:numId w:val="95"/>
        </w:numPr>
        <w:tabs>
          <w:tab w:pos="1380" w:val="left" w:leader="none"/>
          <w:tab w:pos="1381" w:val="left" w:leader="none"/>
        </w:tabs>
        <w:spacing w:line="290" w:lineRule="auto" w:before="81" w:after="0"/>
        <w:ind w:left="120" w:right="3778" w:firstLine="424"/>
        <w:jc w:val="left"/>
        <w:rPr>
          <w:rFonts w:ascii="微软雅黑" w:eastAsia="微软雅黑"/>
          <w:b/>
          <w:sz w:val="21"/>
        </w:rPr>
      </w:pPr>
      <w:r>
        <w:rPr>
          <w:rFonts w:ascii="微软雅黑" w:eastAsia="微软雅黑"/>
          <w:b/>
          <w:spacing w:val="-2"/>
          <w:sz w:val="21"/>
        </w:rPr>
        <w:t>作为器官捐献者而实施的肺切除手术。</w:t>
      </w:r>
      <w:r>
        <w:rPr>
          <w:rFonts w:ascii="微软雅黑" w:eastAsia="微软雅黑"/>
          <w:b/>
          <w:spacing w:val="-2"/>
          <w:sz w:val="21"/>
        </w:rPr>
        <w:t> </w:t>
      </w:r>
      <w:r>
        <w:rPr>
          <w:rFonts w:ascii="微软雅黑" w:eastAsia="微软雅黑"/>
          <w:b/>
          <w:spacing w:val="-4"/>
          <w:w w:val="110"/>
          <w:sz w:val="21"/>
        </w:rPr>
        <w:t>(四十) </w:t>
      </w:r>
      <w:r>
        <w:rPr>
          <w:rFonts w:ascii="微软雅黑" w:eastAsia="微软雅黑"/>
          <w:b/>
          <w:w w:val="110"/>
          <w:sz w:val="21"/>
        </w:rPr>
        <w:t>激</w:t>
      </w:r>
      <w:r>
        <w:rPr>
          <w:rFonts w:ascii="微软雅黑" w:eastAsia="微软雅黑"/>
          <w:b/>
          <w:w w:val="110"/>
          <w:sz w:val="21"/>
        </w:rPr>
        <w:t>光</w:t>
      </w:r>
      <w:r>
        <w:rPr>
          <w:rFonts w:ascii="微软雅黑" w:eastAsia="微软雅黑"/>
          <w:b/>
          <w:w w:val="110"/>
          <w:sz w:val="21"/>
        </w:rPr>
        <w:t>心</w:t>
      </w:r>
      <w:r>
        <w:rPr>
          <w:rFonts w:ascii="微软雅黑" w:eastAsia="微软雅黑"/>
          <w:b/>
          <w:w w:val="110"/>
          <w:sz w:val="21"/>
        </w:rPr>
        <w:t>肌</w:t>
      </w:r>
      <w:r>
        <w:rPr>
          <w:rFonts w:ascii="微软雅黑" w:eastAsia="微软雅黑"/>
          <w:b/>
          <w:w w:val="110"/>
          <w:sz w:val="21"/>
        </w:rPr>
        <w:t>血</w:t>
      </w:r>
      <w:r>
        <w:rPr>
          <w:rFonts w:ascii="微软雅黑" w:eastAsia="微软雅黑"/>
          <w:b/>
          <w:w w:val="110"/>
          <w:sz w:val="21"/>
        </w:rPr>
        <w:t>运</w:t>
      </w:r>
      <w:r>
        <w:rPr>
          <w:rFonts w:ascii="微软雅黑" w:eastAsia="微软雅黑"/>
          <w:b/>
          <w:w w:val="110"/>
          <w:sz w:val="21"/>
        </w:rPr>
        <w:t>重</w:t>
      </w:r>
      <w:r>
        <w:rPr>
          <w:rFonts w:ascii="微软雅黑" w:eastAsia="微软雅黑"/>
          <w:b/>
          <w:w w:val="110"/>
          <w:sz w:val="21"/>
        </w:rPr>
        <w:t>建</w:t>
      </w:r>
      <w:r>
        <w:rPr>
          <w:rFonts w:ascii="微软雅黑" w:eastAsia="微软雅黑"/>
          <w:b/>
          <w:w w:val="110"/>
          <w:sz w:val="21"/>
        </w:rPr>
        <w:t>术</w:t>
      </w:r>
    </w:p>
    <w:p>
      <w:pPr>
        <w:pStyle w:val="BodyText"/>
        <w:spacing w:before="66"/>
        <w:ind w:left="547"/>
      </w:pPr>
      <w:r>
        <w:rPr>
          <w:spacing w:val="-10"/>
        </w:rPr>
        <w:t>指患有顽固性心绞痛，经持续药物治疗后无改善，冠状动脉搭桥手术及经皮血管成形手</w:t>
      </w:r>
    </w:p>
    <w:p>
      <w:pPr>
        <w:spacing w:after="0"/>
        <w:sectPr>
          <w:pgSz w:w="11910" w:h="16840"/>
          <w:pgMar w:header="0" w:footer="1005" w:top="1460" w:bottom="1200" w:left="1680" w:right="1480"/>
        </w:sectPr>
      </w:pPr>
    </w:p>
    <w:p>
      <w:pPr>
        <w:spacing w:line="357" w:lineRule="auto" w:before="61"/>
        <w:ind w:left="120" w:right="311" w:firstLine="0"/>
        <w:jc w:val="left"/>
        <w:rPr>
          <w:rFonts w:ascii="微软雅黑" w:hAnsi="微软雅黑" w:eastAsia="微软雅黑"/>
          <w:b/>
          <w:sz w:val="21"/>
        </w:rPr>
      </w:pPr>
      <w:r>
        <w:rPr>
          <w:spacing w:val="-2"/>
          <w:sz w:val="21"/>
        </w:rPr>
        <w:t>术</w:t>
      </w:r>
      <w:r>
        <w:rPr>
          <w:spacing w:val="-2"/>
          <w:sz w:val="21"/>
        </w:rPr>
        <w:t>已</w:t>
      </w:r>
      <w:r>
        <w:rPr>
          <w:spacing w:val="-2"/>
          <w:sz w:val="21"/>
        </w:rPr>
        <w:t>失败或者被认为不适</w:t>
      </w:r>
      <w:r>
        <w:rPr>
          <w:position w:val="-2"/>
          <w:sz w:val="21"/>
        </w:rPr>
        <w:drawing>
          <wp:inline distT="0" distB="0" distL="0" distR="0">
            <wp:extent cx="123825" cy="127000"/>
            <wp:effectExtent l="0" t="0" r="0" b="0"/>
            <wp:docPr id="107" name="image2.png"/>
            <wp:cNvGraphicFramePr>
              <a:graphicFrameLocks noChangeAspect="1"/>
            </wp:cNvGraphicFramePr>
            <a:graphic>
              <a:graphicData uri="http://schemas.openxmlformats.org/drawingml/2006/picture">
                <pic:pic>
                  <pic:nvPicPr>
                    <pic:cNvPr id="10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pacing w:val="-96"/>
          <w:sz w:val="21"/>
        </w:rPr>
        <w:t>，</w:t>
      </w:r>
      <w:r>
        <w:rPr>
          <w:spacing w:val="-2"/>
          <w:sz w:val="21"/>
        </w:rPr>
        <w:t>在我们认可医院内实际</w:t>
      </w:r>
      <w:r>
        <w:rPr>
          <w:spacing w:val="-2"/>
          <w:sz w:val="21"/>
        </w:rPr>
        <w:t>进</w:t>
      </w:r>
      <w:r>
        <w:rPr>
          <w:spacing w:val="-2"/>
          <w:sz w:val="21"/>
        </w:rPr>
        <w:t>行</w:t>
      </w:r>
      <w:r>
        <w:rPr>
          <w:spacing w:val="-2"/>
          <w:sz w:val="21"/>
        </w:rPr>
        <w:t>了开胸手术下或者胸</w:t>
      </w:r>
      <w:r>
        <w:rPr>
          <w:spacing w:val="-2"/>
          <w:sz w:val="21"/>
        </w:rPr>
        <w:t>腔</w:t>
      </w:r>
      <w:r>
        <w:rPr>
          <w:spacing w:val="-2"/>
          <w:sz w:val="21"/>
        </w:rPr>
        <w:t>镜</w:t>
      </w:r>
      <w:r>
        <w:rPr>
          <w:spacing w:val="-2"/>
          <w:sz w:val="21"/>
        </w:rPr>
        <w:t>下的激</w:t>
      </w:r>
      <w:r>
        <w:rPr>
          <w:spacing w:val="-2"/>
          <w:sz w:val="21"/>
        </w:rPr>
        <w:t>光</w:t>
      </w:r>
      <w:r>
        <w:rPr>
          <w:sz w:val="21"/>
        </w:rPr>
        <w:t>心肌血运重建术</w:t>
      </w:r>
      <w:r>
        <w:rPr>
          <w:sz w:val="21"/>
        </w:rPr>
        <w:t>，</w:t>
      </w:r>
      <w:r>
        <w:rPr>
          <w:rFonts w:ascii="微软雅黑" w:hAnsi="微软雅黑" w:eastAsia="微软雅黑"/>
          <w:b/>
          <w:sz w:val="21"/>
        </w:rPr>
        <w:t>并且未达到本</w:t>
      </w:r>
      <w:r>
        <w:rPr>
          <w:rFonts w:ascii="微软雅黑" w:hAnsi="微软雅黑" w:eastAsia="微软雅黑"/>
          <w:b/>
          <w:position w:val="-2"/>
          <w:sz w:val="21"/>
        </w:rPr>
        <w:drawing>
          <wp:inline distT="0" distB="0" distL="0" distR="0">
            <wp:extent cx="123825" cy="127000"/>
            <wp:effectExtent l="0" t="0" r="0" b="0"/>
            <wp:docPr id="109" name="image2.png"/>
            <wp:cNvGraphicFramePr>
              <a:graphicFrameLocks noChangeAspect="1"/>
            </wp:cNvGraphicFramePr>
            <a:graphic>
              <a:graphicData uri="http://schemas.openxmlformats.org/drawingml/2006/picture">
                <pic:pic>
                  <pic:nvPicPr>
                    <pic:cNvPr id="11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同所指重大疾病“较重急性心肌梗死”的</w:t>
      </w:r>
      <w:r>
        <w:rPr>
          <w:rFonts w:ascii="微软雅黑" w:hAnsi="微软雅黑" w:eastAsia="微软雅黑"/>
          <w:b/>
          <w:sz w:val="21"/>
        </w:rPr>
        <w:t>给付标准。</w:t>
      </w:r>
    </w:p>
    <w:p>
      <w:pPr>
        <w:spacing w:line="279" w:lineRule="exact" w:before="0"/>
        <w:ind w:left="540" w:right="0" w:firstLine="0"/>
        <w:jc w:val="left"/>
        <w:rPr>
          <w:rFonts w:ascii="微软雅黑" w:hAnsi="微软雅黑" w:eastAsia="微软雅黑"/>
          <w:b/>
          <w:sz w:val="21"/>
        </w:rPr>
      </w:pPr>
      <w:r>
        <w:rPr>
          <w:rFonts w:ascii="微软雅黑" w:hAnsi="微软雅黑" w:eastAsia="微软雅黑"/>
          <w:b/>
          <w:spacing w:val="-3"/>
          <w:sz w:val="21"/>
        </w:rPr>
        <w:t>我们对“较轻急性心肌梗死”，“冠状动脉介入手术”和“激光心肌血运重建术”三</w:t>
      </w:r>
    </w:p>
    <w:p>
      <w:pPr>
        <w:spacing w:line="290" w:lineRule="auto" w:before="81"/>
        <w:ind w:left="120" w:right="401" w:firstLine="0"/>
        <w:jc w:val="left"/>
        <w:rPr>
          <w:rFonts w:ascii="微软雅黑" w:eastAsia="微软雅黑"/>
          <w:b/>
          <w:sz w:val="21"/>
        </w:rPr>
      </w:pPr>
      <w:r>
        <w:rPr>
          <w:rFonts w:ascii="微软雅黑" w:eastAsia="微软雅黑"/>
          <w:b/>
          <w:spacing w:val="-2"/>
          <w:sz w:val="21"/>
        </w:rPr>
        <w:t>项中的其中一项承担保险责任，给付其中一项保险金后，对其他两项疾病的保险责任同时</w:t>
      </w:r>
      <w:r>
        <w:rPr>
          <w:rFonts w:ascii="微软雅黑" w:eastAsia="微软雅黑"/>
          <w:b/>
          <w:spacing w:val="-4"/>
          <w:sz w:val="21"/>
        </w:rPr>
        <w:t>终止。</w:t>
      </w:r>
    </w:p>
    <w:p>
      <w:pPr>
        <w:spacing w:line="290" w:lineRule="auto" w:before="0"/>
        <w:ind w:left="120" w:right="114" w:firstLine="412"/>
        <w:jc w:val="left"/>
        <w:rPr>
          <w:rFonts w:ascii="微软雅黑" w:eastAsia="微软雅黑"/>
          <w:b/>
          <w:sz w:val="21"/>
        </w:rPr>
      </w:pPr>
      <w:r>
        <w:rPr>
          <w:rFonts w:ascii="微软雅黑" w:eastAsia="微软雅黑"/>
          <w:b/>
          <w:spacing w:val="-2"/>
          <w:sz w:val="21"/>
        </w:rPr>
        <w:t>第</w:t>
      </w:r>
      <w:r>
        <w:rPr>
          <w:rFonts w:ascii="Calibri" w:eastAsia="Calibri"/>
          <w:b/>
          <w:spacing w:val="-2"/>
          <w:sz w:val="21"/>
        </w:rPr>
        <w:t>1</w:t>
      </w:r>
      <w:r>
        <w:rPr>
          <w:rFonts w:ascii="微软雅黑" w:eastAsia="微软雅黑"/>
          <w:b/>
          <w:spacing w:val="-2"/>
          <w:sz w:val="21"/>
        </w:rPr>
        <w:t>至第</w:t>
      </w:r>
      <w:r>
        <w:rPr>
          <w:rFonts w:ascii="Calibri" w:eastAsia="Calibri"/>
          <w:b/>
          <w:spacing w:val="-2"/>
          <w:sz w:val="21"/>
        </w:rPr>
        <w:t>3</w:t>
      </w:r>
      <w:r>
        <w:rPr>
          <w:rFonts w:ascii="微软雅黑" w:eastAsia="微软雅黑"/>
          <w:b/>
          <w:spacing w:val="-2"/>
          <w:sz w:val="21"/>
        </w:rPr>
        <w:t>项为中国保险行业协会与中国医师协会共同制定的轻症疾病保险的疾病定义，</w:t>
      </w:r>
      <w:r>
        <w:rPr>
          <w:rFonts w:ascii="微软雅黑" w:eastAsia="微软雅黑"/>
          <w:b/>
          <w:spacing w:val="-2"/>
          <w:sz w:val="21"/>
        </w:rPr>
        <w:t>第</w:t>
      </w:r>
      <w:r>
        <w:rPr>
          <w:rFonts w:ascii="Calibri" w:eastAsia="Calibri"/>
          <w:b/>
          <w:spacing w:val="-2"/>
          <w:sz w:val="21"/>
        </w:rPr>
        <w:t>4</w:t>
      </w:r>
      <w:r>
        <w:rPr>
          <w:rFonts w:ascii="微软雅黑" w:eastAsia="微软雅黑"/>
          <w:b/>
          <w:spacing w:val="-2"/>
          <w:sz w:val="21"/>
        </w:rPr>
        <w:t>至第</w:t>
      </w:r>
      <w:r>
        <w:rPr>
          <w:rFonts w:ascii="Calibri" w:eastAsia="Calibri"/>
          <w:b/>
          <w:spacing w:val="-2"/>
          <w:sz w:val="21"/>
        </w:rPr>
        <w:t>40</w:t>
      </w:r>
      <w:r>
        <w:rPr>
          <w:rFonts w:ascii="微软雅黑" w:eastAsia="微软雅黑"/>
          <w:b/>
          <w:spacing w:val="-2"/>
          <w:sz w:val="21"/>
        </w:rPr>
        <w:t>项为我公司增加的疾病种类并自行制定的疾病定义。</w:t>
      </w:r>
    </w:p>
    <w:p>
      <w:pPr>
        <w:pStyle w:val="BodyText"/>
        <w:spacing w:before="5"/>
        <w:rPr>
          <w:rFonts w:ascii="微软雅黑"/>
          <w:b/>
          <w:sz w:val="25"/>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39" w:id="74"/>
      <w:bookmarkEnd w:id="74"/>
      <w:r>
        <w:rPr>
          <w:b w:val="0"/>
        </w:rPr>
      </w:r>
      <w:bookmarkStart w:name="_bookmark39" w:id="75"/>
      <w:bookmarkEnd w:id="75"/>
      <w:r>
        <w:rPr>
          <w:spacing w:val="-2"/>
        </w:rPr>
        <w:t>少儿特定疾病定义</w:t>
      </w:r>
    </w:p>
    <w:p>
      <w:pPr>
        <w:pStyle w:val="BodyText"/>
        <w:spacing w:before="148"/>
        <w:ind w:left="478"/>
      </w:pPr>
      <w:r>
        <w:rPr>
          <w:spacing w:val="-2"/>
        </w:rPr>
        <w:t>本</w:t>
      </w:r>
      <w:r>
        <w:rPr>
          <w:position w:val="-1"/>
        </w:rPr>
        <w:drawing>
          <wp:inline distT="0" distB="0" distL="0" distR="0">
            <wp:extent cx="123825" cy="127000"/>
            <wp:effectExtent l="0" t="0" r="0" b="0"/>
            <wp:docPr id="111" name="image2.png"/>
            <wp:cNvGraphicFramePr>
              <a:graphicFrameLocks noChangeAspect="1"/>
            </wp:cNvGraphicFramePr>
            <a:graphic>
              <a:graphicData uri="http://schemas.openxmlformats.org/drawingml/2006/picture">
                <pic:pic>
                  <pic:nvPicPr>
                    <pic:cNvPr id="112"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同所称少儿特定疾病，仅指下列疾病或手术之</w:t>
      </w:r>
      <w:r>
        <w:rPr>
          <w:spacing w:val="-2"/>
        </w:rPr>
        <w:t>一</w:t>
      </w:r>
      <w:r>
        <w:rPr>
          <w:spacing w:val="-10"/>
        </w:rPr>
        <w:t>：</w:t>
      </w:r>
    </w:p>
    <w:p>
      <w:pPr>
        <w:pStyle w:val="Heading2"/>
        <w:numPr>
          <w:ilvl w:val="0"/>
          <w:numId w:val="96"/>
        </w:numPr>
        <w:tabs>
          <w:tab w:pos="933" w:val="left" w:leader="none"/>
        </w:tabs>
        <w:spacing w:line="240" w:lineRule="auto" w:before="132" w:after="0"/>
        <w:ind w:left="932" w:right="0" w:hanging="530"/>
        <w:jc w:val="left"/>
      </w:pPr>
      <w:r>
        <w:rPr>
          <w:w w:val="95"/>
        </w:rPr>
        <w:t>白</w:t>
      </w:r>
      <w:r>
        <w:rPr>
          <w:w w:val="95"/>
        </w:rPr>
        <w:t>血</w:t>
      </w:r>
      <w:r>
        <w:rPr>
          <w:w w:val="95"/>
        </w:rPr>
        <w:t>病</w:t>
      </w:r>
      <w:r>
        <w:rPr>
          <w:w w:val="95"/>
        </w:rPr>
        <w:t>——</w:t>
      </w:r>
      <w:r>
        <w:rPr>
          <w:w w:val="95"/>
        </w:rPr>
        <w:t>重</w:t>
      </w:r>
      <w:r>
        <w:rPr>
          <w:spacing w:val="-10"/>
          <w:w w:val="95"/>
        </w:rPr>
        <w:t>度</w:t>
      </w:r>
    </w:p>
    <w:p>
      <w:pPr>
        <w:pStyle w:val="BodyText"/>
        <w:spacing w:line="417" w:lineRule="auto" w:before="148"/>
        <w:ind w:left="403" w:right="311" w:firstLine="420"/>
        <w:jc w:val="both"/>
      </w:pPr>
      <w:r>
        <w:rPr>
          <w:spacing w:val="-8"/>
        </w:rPr>
        <w:t>白血病——重度是一种造血系统的“恶性肿瘤——重度”，其主要表现为白血病细胞</w:t>
      </w:r>
      <w:r>
        <w:rPr>
          <w:spacing w:val="-2"/>
        </w:rPr>
        <w:t>在骨髓或其他造血组织中进行性、失控制的异常增生，并浸润至其他组织与器官，使正</w:t>
      </w:r>
      <w:r>
        <w:rPr>
          <w:spacing w:val="-1"/>
        </w:rPr>
        <w:t>常血细胞生成减少，周围白细胞有质和量的变化，产生相应临床表现。所患白血病必须</w:t>
      </w:r>
    </w:p>
    <w:p>
      <w:pPr>
        <w:pStyle w:val="BodyText"/>
        <w:spacing w:line="319" w:lineRule="exact"/>
        <w:ind w:left="403"/>
        <w:rPr>
          <w:rFonts w:ascii="微软雅黑" w:eastAsia="微软雅黑"/>
          <w:b/>
        </w:rPr>
      </w:pPr>
      <w:r>
        <w:rPr/>
        <w:t>根据骨髓的活组织检查和周围血象由专科（儿科、血液科或肿瘤科）医生确诊。</w:t>
      </w:r>
      <w:r>
        <w:rPr>
          <w:rFonts w:ascii="微软雅黑" w:eastAsia="微软雅黑"/>
          <w:b/>
          <w:spacing w:val="-4"/>
        </w:rPr>
        <w:t>相当于</w:t>
      </w:r>
    </w:p>
    <w:p>
      <w:pPr>
        <w:spacing w:line="331" w:lineRule="auto" w:before="81"/>
        <w:ind w:left="403" w:right="313" w:firstLine="0"/>
        <w:jc w:val="left"/>
        <w:rPr>
          <w:sz w:val="21"/>
        </w:rPr>
      </w:pPr>
      <w:r>
        <w:rPr>
          <w:rFonts w:ascii="Calibri" w:hAnsi="Calibri" w:eastAsia="Calibri"/>
          <w:b/>
          <w:sz w:val="21"/>
        </w:rPr>
        <w:t>Binet </w:t>
      </w:r>
      <w:r>
        <w:rPr>
          <w:rFonts w:ascii="微软雅黑" w:hAnsi="微软雅黑" w:eastAsia="微软雅黑"/>
          <w:b/>
          <w:spacing w:val="-2"/>
          <w:sz w:val="21"/>
        </w:rPr>
        <w:t>分期方案 </w:t>
      </w:r>
      <w:r>
        <w:rPr>
          <w:rFonts w:ascii="Calibri" w:hAnsi="Calibri" w:eastAsia="Calibri"/>
          <w:b/>
          <w:sz w:val="21"/>
        </w:rPr>
        <w:t>A </w:t>
      </w:r>
      <w:r>
        <w:rPr>
          <w:rFonts w:ascii="微软雅黑" w:hAnsi="微软雅黑" w:eastAsia="微软雅黑"/>
          <w:b/>
          <w:spacing w:val="-5"/>
          <w:sz w:val="21"/>
        </w:rPr>
        <w:t>期程度的慢性淋巴细胞白血病不在保障范围内。</w:t>
      </w:r>
      <w:r>
        <w:rPr>
          <w:sz w:val="21"/>
        </w:rPr>
        <w:t>“恶性肿瘤——重度”</w:t>
      </w:r>
      <w:r>
        <w:rPr>
          <w:spacing w:val="-2"/>
          <w:sz w:val="21"/>
        </w:rPr>
        <w:t>疾</w:t>
      </w:r>
      <w:r>
        <w:rPr>
          <w:spacing w:val="-2"/>
          <w:sz w:val="21"/>
        </w:rPr>
        <w:t>病</w:t>
      </w:r>
      <w:r>
        <w:rPr>
          <w:spacing w:val="-2"/>
          <w:sz w:val="21"/>
        </w:rPr>
        <w:t>定义详见本</w:t>
      </w:r>
      <w:r>
        <w:rPr>
          <w:position w:val="-1"/>
          <w:sz w:val="21"/>
        </w:rPr>
        <w:drawing>
          <wp:inline distT="0" distB="0" distL="0" distR="0">
            <wp:extent cx="123825" cy="127000"/>
            <wp:effectExtent l="0" t="0" r="0" b="0"/>
            <wp:docPr id="113" name="image2.png"/>
            <wp:cNvGraphicFramePr>
              <a:graphicFrameLocks noChangeAspect="1"/>
            </wp:cNvGraphicFramePr>
            <a:graphic>
              <a:graphicData uri="http://schemas.openxmlformats.org/drawingml/2006/picture">
                <pic:pic>
                  <pic:nvPicPr>
                    <pic:cNvPr id="114"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spacing w:val="-2"/>
          <w:sz w:val="21"/>
        </w:rPr>
        <w:t>同的重</w:t>
      </w:r>
      <w:r>
        <w:rPr>
          <w:spacing w:val="-2"/>
          <w:sz w:val="21"/>
        </w:rPr>
        <w:t>大</w:t>
      </w:r>
      <w:r>
        <w:rPr>
          <w:spacing w:val="-2"/>
          <w:sz w:val="21"/>
        </w:rPr>
        <w:t>疾</w:t>
      </w:r>
      <w:r>
        <w:rPr>
          <w:spacing w:val="-2"/>
          <w:sz w:val="21"/>
        </w:rPr>
        <w:t>病定义。</w:t>
      </w:r>
    </w:p>
    <w:p>
      <w:pPr>
        <w:pStyle w:val="Heading2"/>
        <w:numPr>
          <w:ilvl w:val="0"/>
          <w:numId w:val="96"/>
        </w:numPr>
        <w:tabs>
          <w:tab w:pos="933" w:val="left" w:leader="none"/>
        </w:tabs>
        <w:spacing w:line="240" w:lineRule="auto" w:before="31" w:after="0"/>
        <w:ind w:left="932" w:right="0" w:hanging="530"/>
        <w:jc w:val="left"/>
      </w:pPr>
      <w:r>
        <w:rPr>
          <w:w w:val="95"/>
        </w:rPr>
        <w:t>脑</w:t>
      </w:r>
      <w:r>
        <w:rPr>
          <w:w w:val="95"/>
        </w:rPr>
        <w:t>恶</w:t>
      </w:r>
      <w:r>
        <w:rPr>
          <w:w w:val="95"/>
        </w:rPr>
        <w:t>性</w:t>
      </w:r>
      <w:r>
        <w:rPr>
          <w:w w:val="95"/>
        </w:rPr>
        <w:t>肿</w:t>
      </w:r>
      <w:r>
        <w:rPr>
          <w:w w:val="95"/>
        </w:rPr>
        <w:t>瘤</w:t>
      </w:r>
      <w:r>
        <w:rPr>
          <w:w w:val="95"/>
        </w:rPr>
        <w:t>——</w:t>
      </w:r>
      <w:r>
        <w:rPr>
          <w:w w:val="95"/>
        </w:rPr>
        <w:t>重</w:t>
      </w:r>
      <w:r>
        <w:rPr>
          <w:spacing w:val="-10"/>
          <w:w w:val="95"/>
        </w:rPr>
        <w:t>度</w:t>
      </w:r>
    </w:p>
    <w:p>
      <w:pPr>
        <w:pStyle w:val="BodyText"/>
        <w:spacing w:line="345" w:lineRule="auto" w:before="81"/>
        <w:ind w:left="403" w:right="316" w:firstLine="420"/>
        <w:jc w:val="both"/>
        <w:rPr>
          <w:rFonts w:ascii="微软雅黑" w:hAnsi="微软雅黑" w:eastAsia="微软雅黑"/>
          <w:b/>
        </w:rPr>
      </w:pPr>
      <w:r>
        <w:rPr>
          <w:w w:val="100"/>
        </w:rPr>
        <w:t>脑恶性肿瘤</w:t>
      </w:r>
      <w:r>
        <w:rPr>
          <w:rFonts w:ascii="微软雅黑" w:hAnsi="微软雅黑" w:eastAsia="微软雅黑"/>
          <w:b/>
          <w:spacing w:val="2"/>
          <w:w w:val="93"/>
        </w:rPr>
        <w:t>—</w:t>
      </w:r>
      <w:r>
        <w:rPr>
          <w:rFonts w:ascii="微软雅黑" w:hAnsi="微软雅黑" w:eastAsia="微软雅黑"/>
          <w:b/>
          <w:spacing w:val="3"/>
          <w:w w:val="93"/>
        </w:rPr>
        <w:t>—</w:t>
      </w:r>
      <w:r>
        <w:rPr>
          <w:w w:val="100"/>
        </w:rPr>
        <w:t>重</w:t>
      </w:r>
      <w:r>
        <w:rPr>
          <w:spacing w:val="-3"/>
          <w:w w:val="100"/>
        </w:rPr>
        <w:t>度</w:t>
      </w:r>
      <w:r>
        <w:rPr>
          <w:w w:val="100"/>
        </w:rPr>
        <w:t>是</w:t>
      </w:r>
      <w:r>
        <w:rPr>
          <w:spacing w:val="-3"/>
          <w:w w:val="100"/>
        </w:rPr>
        <w:t>指</w:t>
      </w:r>
      <w:r>
        <w:rPr>
          <w:spacing w:val="10"/>
          <w:w w:val="100"/>
        </w:rPr>
        <w:t>符</w:t>
      </w:r>
      <w:r>
        <w:rPr>
          <w:spacing w:val="10"/>
          <w:w w:val="100"/>
          <w:position w:val="-2"/>
        </w:rPr>
        <w:drawing>
          <wp:inline distT="0" distB="0" distL="0" distR="0">
            <wp:extent cx="123824" cy="127000"/>
            <wp:effectExtent l="0" t="0" r="0" b="0"/>
            <wp:docPr id="115" name="image2.png"/>
            <wp:cNvGraphicFramePr>
              <a:graphicFrameLocks noChangeAspect="1"/>
            </wp:cNvGraphicFramePr>
            <a:graphic>
              <a:graphicData uri="http://schemas.openxmlformats.org/drawingml/2006/picture">
                <pic:pic>
                  <pic:nvPicPr>
                    <pic:cNvPr id="116" name="image2.png"/>
                    <pic:cNvPicPr/>
                  </pic:nvPicPr>
                  <pic:blipFill>
                    <a:blip r:embed="rId7" cstate="print"/>
                    <a:stretch>
                      <a:fillRect/>
                    </a:stretch>
                  </pic:blipFill>
                  <pic:spPr>
                    <a:xfrm>
                      <a:off x="0" y="0"/>
                      <a:ext cx="123824" cy="127000"/>
                    </a:xfrm>
                    <a:prstGeom prst="rect">
                      <a:avLst/>
                    </a:prstGeom>
                  </pic:spPr>
                </pic:pic>
              </a:graphicData>
            </a:graphic>
          </wp:inline>
        </w:drawing>
      </w:r>
      <w:r>
        <w:rPr>
          <w:spacing w:val="10"/>
          <w:w w:val="100"/>
          <w:position w:val="-2"/>
        </w:rPr>
      </w:r>
      <w:r>
        <w:rPr>
          <w:w w:val="100"/>
        </w:rPr>
        <w:t>行业恶性肿</w:t>
      </w:r>
      <w:r>
        <w:rPr>
          <w:spacing w:val="-1"/>
          <w:w w:val="100"/>
        </w:rPr>
        <w:t>瘤</w:t>
      </w:r>
      <w:r>
        <w:rPr>
          <w:rFonts w:ascii="微软雅黑" w:hAnsi="微软雅黑" w:eastAsia="微软雅黑"/>
          <w:b/>
          <w:w w:val="93"/>
        </w:rPr>
        <w:t>—</w:t>
      </w:r>
      <w:r>
        <w:rPr>
          <w:rFonts w:ascii="微软雅黑" w:hAnsi="微软雅黑" w:eastAsia="微软雅黑"/>
          <w:b/>
          <w:spacing w:val="2"/>
          <w:w w:val="93"/>
        </w:rPr>
        <w:t>—</w:t>
      </w:r>
      <w:r>
        <w:rPr>
          <w:spacing w:val="-3"/>
          <w:w w:val="100"/>
        </w:rPr>
        <w:t>重</w:t>
      </w:r>
      <w:r>
        <w:rPr>
          <w:w w:val="100"/>
        </w:rPr>
        <w:t>度定义标准，经病理学检查结果</w:t>
      </w:r>
      <w:r>
        <w:rPr>
          <w:spacing w:val="-14"/>
          <w:w w:val="100"/>
        </w:rPr>
        <w:t>明确诊断，临床诊断属于世界卫生组织《疾病和有关健康问题的国际统计分类</w:t>
      </w:r>
      <w:r>
        <w:rPr>
          <w:spacing w:val="-178"/>
          <w:w w:val="100"/>
        </w:rPr>
        <w:t>》</w:t>
      </w:r>
      <w:r>
        <w:rPr>
          <w:w w:val="100"/>
        </w:rPr>
        <w:t>（</w:t>
      </w:r>
      <w:r>
        <w:rPr>
          <w:rFonts w:ascii="Calibri" w:hAnsi="Calibri" w:eastAsia="Calibri"/>
          <w:spacing w:val="-3"/>
          <w:w w:val="100"/>
        </w:rPr>
        <w:t>I</w:t>
      </w:r>
      <w:r>
        <w:rPr>
          <w:rFonts w:ascii="Calibri" w:hAnsi="Calibri" w:eastAsia="Calibri"/>
          <w:spacing w:val="-1"/>
          <w:w w:val="100"/>
        </w:rPr>
        <w:t>CD</w:t>
      </w:r>
      <w:r>
        <w:rPr>
          <w:rFonts w:ascii="Calibri" w:hAnsi="Calibri" w:eastAsia="Calibri"/>
          <w:w w:val="100"/>
        </w:rPr>
        <w:t>-</w:t>
      </w:r>
      <w:r>
        <w:rPr>
          <w:rFonts w:ascii="Calibri" w:hAnsi="Calibri" w:eastAsia="Calibri"/>
          <w:spacing w:val="-2"/>
          <w:w w:val="100"/>
        </w:rPr>
        <w:t>10</w:t>
      </w:r>
      <w:r>
        <w:rPr>
          <w:w w:val="100"/>
        </w:rPr>
        <w:t>）</w:t>
      </w:r>
      <w:r>
        <w:rPr>
          <w:spacing w:val="-2"/>
          <w:w w:val="100"/>
        </w:rPr>
        <w:t>的恶性肿瘤</w:t>
      </w:r>
      <w:r>
        <w:rPr>
          <w:spacing w:val="-53"/>
        </w:rPr>
        <w:t> </w:t>
      </w:r>
      <w:r>
        <w:rPr>
          <w:rFonts w:ascii="Calibri" w:hAnsi="Calibri" w:eastAsia="Calibri"/>
          <w:spacing w:val="-3"/>
          <w:w w:val="100"/>
        </w:rPr>
        <w:t>C</w:t>
      </w:r>
      <w:r>
        <w:rPr>
          <w:rFonts w:ascii="Calibri" w:hAnsi="Calibri" w:eastAsia="Calibri"/>
          <w:w w:val="100"/>
        </w:rPr>
        <w:t>71</w:t>
      </w:r>
      <w:r>
        <w:rPr>
          <w:rFonts w:ascii="Calibri" w:hAnsi="Calibri" w:eastAsia="Calibri"/>
          <w:spacing w:val="4"/>
        </w:rPr>
        <w:t> </w:t>
      </w:r>
      <w:r>
        <w:rPr>
          <w:spacing w:val="-2"/>
          <w:w w:val="100"/>
        </w:rPr>
        <w:t>范畴。</w:t>
      </w:r>
      <w:r>
        <w:rPr>
          <w:rFonts w:ascii="微软雅黑" w:hAnsi="微软雅黑" w:eastAsia="微软雅黑"/>
          <w:b/>
          <w:spacing w:val="-2"/>
          <w:w w:val="100"/>
        </w:rPr>
        <w:t>但下列疾病不在保障范围内：</w:t>
      </w:r>
    </w:p>
    <w:p>
      <w:pPr>
        <w:pStyle w:val="ListParagraph"/>
        <w:numPr>
          <w:ilvl w:val="1"/>
          <w:numId w:val="96"/>
        </w:numPr>
        <w:tabs>
          <w:tab w:pos="1321" w:val="left" w:leader="none"/>
        </w:tabs>
        <w:spacing w:line="289" w:lineRule="exact" w:before="0" w:after="0"/>
        <w:ind w:left="1320" w:right="0" w:hanging="361"/>
        <w:jc w:val="left"/>
        <w:rPr>
          <w:rFonts w:ascii="Calibri" w:eastAsia="Calibri"/>
          <w:b/>
          <w:sz w:val="21"/>
        </w:rPr>
      </w:pPr>
      <w:r>
        <w:rPr>
          <w:rFonts w:ascii="微软雅黑" w:eastAsia="微软雅黑"/>
          <w:b/>
          <w:spacing w:val="-3"/>
          <w:sz w:val="21"/>
        </w:rPr>
        <w:t>原位癌；</w:t>
      </w:r>
    </w:p>
    <w:p>
      <w:pPr>
        <w:pStyle w:val="ListParagraph"/>
        <w:numPr>
          <w:ilvl w:val="1"/>
          <w:numId w:val="96"/>
        </w:numPr>
        <w:tabs>
          <w:tab w:pos="1321" w:val="left" w:leader="none"/>
        </w:tabs>
        <w:spacing w:line="240" w:lineRule="auto" w:before="81" w:after="0"/>
        <w:ind w:left="1320" w:right="0" w:hanging="361"/>
        <w:jc w:val="left"/>
        <w:rPr>
          <w:rFonts w:ascii="Calibri" w:eastAsia="Calibri"/>
          <w:b/>
          <w:sz w:val="21"/>
        </w:rPr>
      </w:pPr>
      <w:r>
        <w:rPr>
          <w:rFonts w:ascii="微软雅黑" w:eastAsia="微软雅黑"/>
          <w:b/>
          <w:spacing w:val="-2"/>
          <w:sz w:val="21"/>
        </w:rPr>
        <w:t>继发性（转移性）</w:t>
      </w:r>
      <w:r>
        <w:rPr>
          <w:rFonts w:ascii="微软雅黑" w:eastAsia="微软雅黑"/>
          <w:b/>
          <w:spacing w:val="-4"/>
          <w:sz w:val="21"/>
        </w:rPr>
        <w:t>恶性肿瘤；</w:t>
      </w:r>
    </w:p>
    <w:p>
      <w:pPr>
        <w:pStyle w:val="ListParagraph"/>
        <w:numPr>
          <w:ilvl w:val="1"/>
          <w:numId w:val="96"/>
        </w:numPr>
        <w:tabs>
          <w:tab w:pos="1321" w:val="left" w:leader="none"/>
        </w:tabs>
        <w:spacing w:line="240" w:lineRule="auto" w:before="81" w:after="0"/>
        <w:ind w:left="1320" w:right="0" w:hanging="361"/>
        <w:jc w:val="left"/>
        <w:rPr>
          <w:rFonts w:ascii="Calibri" w:eastAsia="Calibri"/>
          <w:b/>
          <w:sz w:val="21"/>
        </w:rPr>
      </w:pPr>
      <w:r>
        <w:rPr>
          <w:rFonts w:ascii="微软雅黑" w:eastAsia="微软雅黑"/>
          <w:b/>
          <w:spacing w:val="-3"/>
          <w:sz w:val="21"/>
        </w:rPr>
        <w:t>感染艾滋病病毒或患艾滋病期间所患恶性肿瘤；</w:t>
      </w:r>
    </w:p>
    <w:p>
      <w:pPr>
        <w:pStyle w:val="ListParagraph"/>
        <w:numPr>
          <w:ilvl w:val="1"/>
          <w:numId w:val="96"/>
        </w:numPr>
        <w:tabs>
          <w:tab w:pos="1321" w:val="left" w:leader="none"/>
        </w:tabs>
        <w:spacing w:line="240" w:lineRule="auto" w:before="81" w:after="0"/>
        <w:ind w:left="1320" w:right="0" w:hanging="361"/>
        <w:jc w:val="left"/>
        <w:rPr>
          <w:rFonts w:ascii="Calibri" w:eastAsia="Calibri"/>
          <w:b/>
          <w:sz w:val="21"/>
        </w:rPr>
      </w:pPr>
      <w:r>
        <w:rPr>
          <w:rFonts w:ascii="微软雅黑" w:eastAsia="微软雅黑"/>
          <w:b/>
          <w:sz w:val="21"/>
        </w:rPr>
        <w:t>颅神经恶性肿瘤（</w:t>
      </w:r>
      <w:r>
        <w:rPr>
          <w:rFonts w:ascii="Calibri" w:eastAsia="Calibri"/>
          <w:b/>
          <w:sz w:val="21"/>
        </w:rPr>
        <w:t>ICD-10</w:t>
      </w:r>
      <w:r>
        <w:rPr>
          <w:rFonts w:ascii="Calibri" w:eastAsia="Calibri"/>
          <w:b/>
          <w:spacing w:val="-7"/>
          <w:sz w:val="21"/>
        </w:rPr>
        <w:t> </w:t>
      </w:r>
      <w:r>
        <w:rPr>
          <w:rFonts w:ascii="微软雅黑" w:eastAsia="微软雅黑"/>
          <w:b/>
          <w:spacing w:val="-4"/>
          <w:sz w:val="21"/>
        </w:rPr>
        <w:t>编码为 </w:t>
      </w:r>
      <w:r>
        <w:rPr>
          <w:rFonts w:ascii="Calibri" w:eastAsia="Calibri"/>
          <w:b/>
          <w:sz w:val="21"/>
        </w:rPr>
        <w:t>C72.2-</w:t>
      </w:r>
      <w:r>
        <w:rPr>
          <w:rFonts w:ascii="Calibri" w:eastAsia="Calibri"/>
          <w:b/>
          <w:spacing w:val="28"/>
          <w:sz w:val="21"/>
        </w:rPr>
        <w:t>C</w:t>
      </w:r>
      <w:r>
        <w:rPr>
          <w:rFonts w:ascii="Calibri" w:eastAsia="Calibri"/>
          <w:b/>
          <w:spacing w:val="26"/>
          <w:sz w:val="21"/>
        </w:rPr>
        <w:t>72</w:t>
      </w:r>
      <w:r>
        <w:rPr>
          <w:rFonts w:ascii="Calibri" w:eastAsia="Calibri"/>
          <w:b/>
          <w:spacing w:val="29"/>
          <w:sz w:val="21"/>
        </w:rPr>
        <w:t>.</w:t>
      </w:r>
      <w:r>
        <w:rPr>
          <w:rFonts w:ascii="Calibri" w:eastAsia="Calibri"/>
          <w:b/>
          <w:spacing w:val="27"/>
          <w:sz w:val="21"/>
        </w:rPr>
        <w:t>5</w:t>
      </w:r>
      <w:r>
        <w:rPr>
          <w:rFonts w:ascii="微软雅黑" w:eastAsia="微软雅黑"/>
          <w:b/>
          <w:spacing w:val="-78"/>
          <w:sz w:val="21"/>
        </w:rPr>
        <w:t>）；</w:t>
      </w:r>
    </w:p>
    <w:p>
      <w:pPr>
        <w:pStyle w:val="ListParagraph"/>
        <w:numPr>
          <w:ilvl w:val="1"/>
          <w:numId w:val="96"/>
        </w:numPr>
        <w:tabs>
          <w:tab w:pos="1321" w:val="left" w:leader="none"/>
        </w:tabs>
        <w:spacing w:line="240" w:lineRule="auto" w:before="81" w:after="0"/>
        <w:ind w:left="1320" w:right="0" w:hanging="361"/>
        <w:jc w:val="left"/>
        <w:rPr>
          <w:rFonts w:ascii="Calibri" w:eastAsia="Calibri"/>
          <w:b/>
          <w:sz w:val="21"/>
        </w:rPr>
      </w:pPr>
      <w:r>
        <w:rPr>
          <w:rFonts w:ascii="微软雅黑" w:eastAsia="微软雅黑"/>
          <w:b/>
          <w:spacing w:val="-6"/>
          <w:sz w:val="21"/>
        </w:rPr>
        <w:t>球后组织恶性肿瘤（</w:t>
      </w:r>
      <w:r>
        <w:rPr>
          <w:rFonts w:ascii="Calibri" w:eastAsia="Calibri"/>
          <w:b/>
          <w:spacing w:val="-6"/>
          <w:sz w:val="21"/>
        </w:rPr>
        <w:t>ICD-10</w:t>
      </w:r>
      <w:r>
        <w:rPr>
          <w:rFonts w:ascii="Calibri" w:eastAsia="Calibri"/>
          <w:b/>
          <w:spacing w:val="17"/>
          <w:sz w:val="21"/>
        </w:rPr>
        <w:t> </w:t>
      </w:r>
      <w:r>
        <w:rPr>
          <w:rFonts w:ascii="微软雅黑" w:eastAsia="微软雅黑"/>
          <w:b/>
          <w:spacing w:val="-4"/>
          <w:sz w:val="21"/>
        </w:rPr>
        <w:t>编码为 </w:t>
      </w:r>
      <w:r>
        <w:rPr>
          <w:rFonts w:ascii="Calibri" w:eastAsia="Calibri"/>
          <w:b/>
          <w:spacing w:val="10"/>
          <w:sz w:val="21"/>
        </w:rPr>
        <w:t>C</w:t>
      </w:r>
      <w:r>
        <w:rPr>
          <w:rFonts w:ascii="Calibri" w:eastAsia="Calibri"/>
          <w:b/>
          <w:spacing w:val="12"/>
          <w:sz w:val="21"/>
        </w:rPr>
        <w:t>6</w:t>
      </w:r>
      <w:r>
        <w:rPr>
          <w:rFonts w:ascii="Calibri" w:eastAsia="Calibri"/>
          <w:b/>
          <w:spacing w:val="10"/>
          <w:sz w:val="21"/>
        </w:rPr>
        <w:t>9</w:t>
      </w:r>
      <w:r>
        <w:rPr>
          <w:rFonts w:ascii="Calibri" w:eastAsia="Calibri"/>
          <w:b/>
          <w:spacing w:val="13"/>
          <w:sz w:val="21"/>
        </w:rPr>
        <w:t>.</w:t>
      </w:r>
      <w:r>
        <w:rPr>
          <w:rFonts w:ascii="Calibri" w:eastAsia="Calibri"/>
          <w:b/>
          <w:spacing w:val="11"/>
          <w:sz w:val="21"/>
        </w:rPr>
        <w:t>6</w:t>
      </w:r>
      <w:r>
        <w:rPr>
          <w:rFonts w:ascii="微软雅黑" w:eastAsia="微软雅黑"/>
          <w:b/>
          <w:spacing w:val="-94"/>
          <w:sz w:val="21"/>
        </w:rPr>
        <w:t>）</w:t>
      </w:r>
      <w:r>
        <w:rPr>
          <w:rFonts w:ascii="微软雅黑" w:eastAsia="微软雅黑"/>
          <w:b/>
          <w:spacing w:val="-116"/>
          <w:sz w:val="21"/>
        </w:rPr>
        <w:t>。</w:t>
      </w:r>
    </w:p>
    <w:p>
      <w:pPr>
        <w:pStyle w:val="ListParagraph"/>
        <w:numPr>
          <w:ilvl w:val="0"/>
          <w:numId w:val="96"/>
        </w:numPr>
        <w:tabs>
          <w:tab w:pos="933" w:val="left" w:leader="none"/>
        </w:tabs>
        <w:spacing w:line="240" w:lineRule="auto" w:before="81" w:after="0"/>
        <w:ind w:left="932" w:right="0" w:hanging="530"/>
        <w:jc w:val="left"/>
        <w:rPr>
          <w:rFonts w:ascii="微软雅黑" w:hAnsi="微软雅黑" w:eastAsia="微软雅黑"/>
          <w:b/>
          <w:sz w:val="21"/>
        </w:rPr>
      </w:pPr>
      <w:r>
        <w:rPr>
          <w:rFonts w:ascii="微软雅黑" w:hAnsi="微软雅黑" w:eastAsia="微软雅黑"/>
          <w:b/>
          <w:w w:val="95"/>
          <w:sz w:val="21"/>
        </w:rPr>
        <w:t>淋</w:t>
      </w:r>
      <w:r>
        <w:rPr>
          <w:rFonts w:ascii="微软雅黑" w:hAnsi="微软雅黑" w:eastAsia="微软雅黑"/>
          <w:b/>
          <w:w w:val="95"/>
          <w:sz w:val="21"/>
        </w:rPr>
        <w:t>巴</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pStyle w:val="BodyText"/>
        <w:spacing w:line="417" w:lineRule="auto" w:before="148"/>
        <w:ind w:left="413" w:right="314" w:firstLine="410"/>
      </w:pPr>
      <w:r>
        <w:rPr>
          <w:spacing w:val="-13"/>
        </w:rPr>
        <w:t>指原发于淋巴组织的“恶性肿瘤——重度”，“恶性肿瘤——重度”疾病定义详见本</w:t>
      </w:r>
      <w:r>
        <w:rPr>
          <w:spacing w:val="-2"/>
        </w:rPr>
        <w:t> </w:t>
      </w:r>
      <w:r>
        <w:rPr>
          <w:position w:val="-1"/>
        </w:rPr>
        <w:drawing>
          <wp:inline distT="0" distB="0" distL="0" distR="0">
            <wp:extent cx="123825" cy="127000"/>
            <wp:effectExtent l="0" t="0" r="0" b="0"/>
            <wp:docPr id="117" name="image2.png"/>
            <wp:cNvGraphicFramePr>
              <a:graphicFrameLocks noChangeAspect="1"/>
            </wp:cNvGraphicFramePr>
            <a:graphic>
              <a:graphicData uri="http://schemas.openxmlformats.org/drawingml/2006/picture">
                <pic:pic>
                  <pic:nvPicPr>
                    <pic:cNvPr id="11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同的重大疾病定义。</w:t>
      </w:r>
    </w:p>
    <w:p>
      <w:pPr>
        <w:spacing w:line="320" w:lineRule="exact" w:before="0"/>
        <w:ind w:left="826" w:right="0" w:firstLine="0"/>
        <w:jc w:val="left"/>
        <w:rPr>
          <w:rFonts w:ascii="微软雅黑" w:eastAsia="微软雅黑"/>
          <w:b/>
          <w:sz w:val="21"/>
        </w:rPr>
      </w:pPr>
      <w:r>
        <w:rPr>
          <w:rFonts w:ascii="微软雅黑" w:eastAsia="微软雅黑"/>
          <w:b/>
          <w:spacing w:val="-3"/>
          <w:sz w:val="21"/>
        </w:rPr>
        <w:t>下列疾病不在保障范围内：</w:t>
      </w:r>
    </w:p>
    <w:p>
      <w:pPr>
        <w:spacing w:after="0" w:line="320" w:lineRule="exact"/>
        <w:jc w:val="left"/>
        <w:rPr>
          <w:rFonts w:ascii="微软雅黑" w:eastAsia="微软雅黑"/>
          <w:sz w:val="21"/>
        </w:rPr>
        <w:sectPr>
          <w:pgSz w:w="11910" w:h="16840"/>
          <w:pgMar w:header="0" w:footer="1005" w:top="1460" w:bottom="1200" w:left="1680" w:right="1480"/>
        </w:sectPr>
      </w:pPr>
    </w:p>
    <w:p>
      <w:pPr>
        <w:pStyle w:val="ListParagraph"/>
        <w:numPr>
          <w:ilvl w:val="0"/>
          <w:numId w:val="97"/>
        </w:numPr>
        <w:tabs>
          <w:tab w:pos="1321" w:val="left" w:leader="none"/>
        </w:tabs>
        <w:spacing w:line="381" w:lineRule="exact" w:before="0" w:after="0"/>
        <w:ind w:left="1320" w:right="0" w:hanging="361"/>
        <w:jc w:val="left"/>
        <w:rPr>
          <w:rFonts w:ascii="Times New Roman" w:eastAsia="Times New Roman"/>
          <w:sz w:val="21"/>
        </w:rPr>
      </w:pPr>
      <w:r>
        <w:rPr>
          <w:rFonts w:ascii="微软雅黑" w:eastAsia="微软雅黑"/>
          <w:b/>
          <w:spacing w:val="-3"/>
          <w:sz w:val="21"/>
        </w:rPr>
        <w:t>原位癌；</w:t>
      </w:r>
    </w:p>
    <w:p>
      <w:pPr>
        <w:pStyle w:val="ListParagraph"/>
        <w:numPr>
          <w:ilvl w:val="0"/>
          <w:numId w:val="97"/>
        </w:numPr>
        <w:tabs>
          <w:tab w:pos="1321" w:val="left" w:leader="none"/>
        </w:tabs>
        <w:spacing w:line="240" w:lineRule="auto" w:before="81" w:after="0"/>
        <w:ind w:left="1320" w:right="0" w:hanging="361"/>
        <w:jc w:val="left"/>
        <w:rPr>
          <w:rFonts w:ascii="Calibri" w:eastAsia="Calibri"/>
          <w:b/>
          <w:sz w:val="21"/>
        </w:rPr>
      </w:pPr>
      <w:r>
        <w:rPr>
          <w:rFonts w:ascii="微软雅黑" w:eastAsia="微软雅黑"/>
          <w:b/>
          <w:spacing w:val="-3"/>
          <w:sz w:val="21"/>
        </w:rPr>
        <w:t>感染艾滋病病毒或患艾滋病期间所患恶性肿瘤。</w:t>
      </w:r>
    </w:p>
    <w:p>
      <w:pPr>
        <w:pStyle w:val="ListParagraph"/>
        <w:numPr>
          <w:ilvl w:val="0"/>
          <w:numId w:val="96"/>
        </w:numPr>
        <w:tabs>
          <w:tab w:pos="933" w:val="left" w:leader="none"/>
        </w:tabs>
        <w:spacing w:line="240" w:lineRule="auto" w:before="81" w:after="0"/>
        <w:ind w:left="932" w:right="0" w:hanging="530"/>
        <w:jc w:val="left"/>
        <w:rPr>
          <w:rFonts w:ascii="微软雅黑" w:hAnsi="微软雅黑" w:eastAsia="微软雅黑"/>
          <w:b/>
          <w:sz w:val="21"/>
        </w:rPr>
      </w:pPr>
      <w:r>
        <w:rPr>
          <w:rFonts w:ascii="微软雅黑" w:hAnsi="微软雅黑" w:eastAsia="微软雅黑"/>
          <w:b/>
          <w:w w:val="95"/>
          <w:sz w:val="21"/>
        </w:rPr>
        <w:t>神</w:t>
      </w:r>
      <w:r>
        <w:rPr>
          <w:rFonts w:ascii="微软雅黑" w:hAnsi="微软雅黑" w:eastAsia="微软雅黑"/>
          <w:b/>
          <w:w w:val="95"/>
          <w:sz w:val="21"/>
        </w:rPr>
        <w:t>经</w:t>
      </w:r>
      <w:r>
        <w:rPr>
          <w:rFonts w:ascii="微软雅黑" w:hAnsi="微软雅黑" w:eastAsia="微软雅黑"/>
          <w:b/>
          <w:w w:val="95"/>
          <w:sz w:val="21"/>
        </w:rPr>
        <w:t>母</w:t>
      </w:r>
      <w:r>
        <w:rPr>
          <w:rFonts w:ascii="微软雅黑" w:hAnsi="微软雅黑" w:eastAsia="微软雅黑"/>
          <w:b/>
          <w:w w:val="95"/>
          <w:sz w:val="21"/>
        </w:rPr>
        <w:t>细</w:t>
      </w:r>
      <w:r>
        <w:rPr>
          <w:rFonts w:ascii="微软雅黑" w:hAnsi="微软雅黑" w:eastAsia="微软雅黑"/>
          <w:b/>
          <w:w w:val="95"/>
          <w:sz w:val="21"/>
        </w:rPr>
        <w:t>胞</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pStyle w:val="BodyText"/>
        <w:spacing w:line="417" w:lineRule="auto" w:before="148"/>
        <w:ind w:left="403" w:right="314" w:firstLine="420"/>
      </w:pPr>
      <w:r>
        <w:rPr>
          <w:spacing w:val="-13"/>
        </w:rPr>
        <w:t>指原发于神经母细胞的“恶性肿瘤——重度”，“恶性肿瘤——重度”疾病定义详见</w:t>
      </w:r>
      <w:r>
        <w:rPr/>
        <w:t>本</w:t>
      </w:r>
      <w:r>
        <w:rPr>
          <w:position w:val="-2"/>
        </w:rPr>
        <w:drawing>
          <wp:inline distT="0" distB="0" distL="0" distR="0">
            <wp:extent cx="123825" cy="127000"/>
            <wp:effectExtent l="0" t="0" r="0" b="0"/>
            <wp:docPr id="119" name="image2.png"/>
            <wp:cNvGraphicFramePr>
              <a:graphicFrameLocks noChangeAspect="1"/>
            </wp:cNvGraphicFramePr>
            <a:graphic>
              <a:graphicData uri="http://schemas.openxmlformats.org/drawingml/2006/picture">
                <pic:pic>
                  <pic:nvPicPr>
                    <pic:cNvPr id="120"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t>同的重大疾病定</w:t>
      </w:r>
      <w:r>
        <w:rPr/>
        <w:t>义。</w:t>
      </w:r>
    </w:p>
    <w:p>
      <w:pPr>
        <w:spacing w:line="320" w:lineRule="exact" w:before="0"/>
        <w:ind w:left="826" w:right="0" w:firstLine="0"/>
        <w:jc w:val="left"/>
        <w:rPr>
          <w:rFonts w:ascii="微软雅黑" w:eastAsia="微软雅黑"/>
          <w:b/>
          <w:sz w:val="21"/>
        </w:rPr>
      </w:pPr>
      <w:r>
        <w:rPr>
          <w:rFonts w:ascii="微软雅黑" w:eastAsia="微软雅黑"/>
          <w:b/>
          <w:spacing w:val="-3"/>
          <w:sz w:val="21"/>
        </w:rPr>
        <w:t>下列疾病不在保障范围内：</w:t>
      </w:r>
    </w:p>
    <w:p>
      <w:pPr>
        <w:pStyle w:val="ListParagraph"/>
        <w:numPr>
          <w:ilvl w:val="0"/>
          <w:numId w:val="98"/>
        </w:numPr>
        <w:tabs>
          <w:tab w:pos="1321" w:val="left" w:leader="none"/>
        </w:tabs>
        <w:spacing w:line="240" w:lineRule="auto" w:before="81" w:after="0"/>
        <w:ind w:left="1320" w:right="0" w:hanging="361"/>
        <w:jc w:val="left"/>
        <w:rPr>
          <w:rFonts w:ascii="微软雅黑" w:eastAsia="微软雅黑"/>
          <w:b/>
          <w:sz w:val="21"/>
        </w:rPr>
      </w:pPr>
      <w:r>
        <w:rPr>
          <w:rFonts w:ascii="微软雅黑" w:eastAsia="微软雅黑"/>
          <w:b/>
          <w:spacing w:val="-3"/>
          <w:sz w:val="21"/>
        </w:rPr>
        <w:t>原位癌；</w:t>
      </w:r>
    </w:p>
    <w:p>
      <w:pPr>
        <w:pStyle w:val="ListParagraph"/>
        <w:numPr>
          <w:ilvl w:val="0"/>
          <w:numId w:val="98"/>
        </w:numPr>
        <w:tabs>
          <w:tab w:pos="1321" w:val="left" w:leader="none"/>
        </w:tabs>
        <w:spacing w:line="240" w:lineRule="auto" w:before="81" w:after="0"/>
        <w:ind w:left="1320" w:right="0" w:hanging="361"/>
        <w:jc w:val="left"/>
        <w:rPr>
          <w:rFonts w:ascii="微软雅黑" w:eastAsia="微软雅黑"/>
          <w:b/>
          <w:sz w:val="21"/>
        </w:rPr>
      </w:pPr>
      <w:r>
        <w:rPr>
          <w:rFonts w:ascii="微软雅黑" w:eastAsia="微软雅黑"/>
          <w:b/>
          <w:spacing w:val="-3"/>
          <w:sz w:val="21"/>
        </w:rPr>
        <w:t>感染艾滋病病毒或患艾滋病期间所患恶性肿瘤。</w:t>
      </w:r>
    </w:p>
    <w:p>
      <w:pPr>
        <w:pStyle w:val="ListParagraph"/>
        <w:numPr>
          <w:ilvl w:val="0"/>
          <w:numId w:val="96"/>
        </w:numPr>
        <w:tabs>
          <w:tab w:pos="933" w:val="left" w:leader="none"/>
        </w:tabs>
        <w:spacing w:line="240" w:lineRule="auto" w:before="81" w:after="0"/>
        <w:ind w:left="932" w:right="0" w:hanging="530"/>
        <w:jc w:val="left"/>
        <w:rPr>
          <w:rFonts w:ascii="微软雅黑" w:hAnsi="微软雅黑" w:eastAsia="微软雅黑"/>
          <w:b/>
          <w:sz w:val="21"/>
        </w:rPr>
      </w:pPr>
      <w:r>
        <w:rPr>
          <w:rFonts w:ascii="微软雅黑" w:hAnsi="微软雅黑" w:eastAsia="微软雅黑"/>
          <w:b/>
          <w:w w:val="95"/>
          <w:sz w:val="21"/>
        </w:rPr>
        <w:t>肾</w:t>
      </w:r>
      <w:r>
        <w:rPr>
          <w:rFonts w:ascii="微软雅黑" w:hAnsi="微软雅黑" w:eastAsia="微软雅黑"/>
          <w:b/>
          <w:w w:val="95"/>
          <w:sz w:val="21"/>
        </w:rPr>
        <w:t>母</w:t>
      </w:r>
      <w:r>
        <w:rPr>
          <w:rFonts w:ascii="微软雅黑" w:hAnsi="微软雅黑" w:eastAsia="微软雅黑"/>
          <w:b/>
          <w:w w:val="95"/>
          <w:sz w:val="21"/>
        </w:rPr>
        <w:t>细</w:t>
      </w:r>
      <w:r>
        <w:rPr>
          <w:rFonts w:ascii="微软雅黑" w:hAnsi="微软雅黑" w:eastAsia="微软雅黑"/>
          <w:b/>
          <w:w w:val="95"/>
          <w:sz w:val="21"/>
        </w:rPr>
        <w:t>胞</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pStyle w:val="BodyText"/>
        <w:spacing w:line="417" w:lineRule="auto" w:before="148"/>
        <w:ind w:left="413" w:right="314" w:firstLine="410"/>
      </w:pPr>
      <w:r>
        <w:rPr>
          <w:spacing w:val="-13"/>
        </w:rPr>
        <w:t>指原发于肾母细胞的“恶性肿瘤——重度”，“恶性肿瘤——重度”疾病定义详见本</w:t>
      </w:r>
      <w:r>
        <w:rPr>
          <w:spacing w:val="-2"/>
        </w:rPr>
        <w:t> </w:t>
      </w:r>
      <w:r>
        <w:rPr>
          <w:position w:val="-2"/>
        </w:rPr>
        <w:drawing>
          <wp:inline distT="0" distB="0" distL="0" distR="0">
            <wp:extent cx="123825" cy="127000"/>
            <wp:effectExtent l="0" t="0" r="0" b="0"/>
            <wp:docPr id="121" name="image2.png"/>
            <wp:cNvGraphicFramePr>
              <a:graphicFrameLocks noChangeAspect="1"/>
            </wp:cNvGraphicFramePr>
            <a:graphic>
              <a:graphicData uri="http://schemas.openxmlformats.org/drawingml/2006/picture">
                <pic:pic>
                  <pic:nvPicPr>
                    <pic:cNvPr id="122"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rPr>
      </w:r>
      <w:r>
        <w:rPr>
          <w:spacing w:val="-2"/>
        </w:rPr>
        <w:t>同的重大疾病定义。</w:t>
      </w:r>
    </w:p>
    <w:p>
      <w:pPr>
        <w:spacing w:line="320" w:lineRule="exact" w:before="0"/>
        <w:ind w:left="826" w:right="0" w:firstLine="0"/>
        <w:jc w:val="left"/>
        <w:rPr>
          <w:rFonts w:ascii="微软雅黑" w:eastAsia="微软雅黑"/>
          <w:b/>
          <w:sz w:val="21"/>
        </w:rPr>
      </w:pPr>
      <w:r>
        <w:rPr>
          <w:rFonts w:ascii="微软雅黑" w:eastAsia="微软雅黑"/>
          <w:b/>
          <w:spacing w:val="-3"/>
          <w:sz w:val="21"/>
        </w:rPr>
        <w:t>下列疾病不在保障范围内：</w:t>
      </w:r>
    </w:p>
    <w:p>
      <w:pPr>
        <w:pStyle w:val="ListParagraph"/>
        <w:numPr>
          <w:ilvl w:val="0"/>
          <w:numId w:val="99"/>
        </w:numPr>
        <w:tabs>
          <w:tab w:pos="1321" w:val="left" w:leader="none"/>
        </w:tabs>
        <w:spacing w:line="240" w:lineRule="auto" w:before="81" w:after="0"/>
        <w:ind w:left="1320" w:right="0" w:hanging="361"/>
        <w:jc w:val="left"/>
        <w:rPr>
          <w:rFonts w:ascii="微软雅黑" w:eastAsia="微软雅黑"/>
          <w:b/>
          <w:sz w:val="21"/>
        </w:rPr>
      </w:pPr>
      <w:r>
        <w:rPr>
          <w:rFonts w:ascii="微软雅黑" w:eastAsia="微软雅黑"/>
          <w:b/>
          <w:spacing w:val="-3"/>
          <w:sz w:val="21"/>
        </w:rPr>
        <w:t>原位癌；</w:t>
      </w:r>
    </w:p>
    <w:p>
      <w:pPr>
        <w:pStyle w:val="ListParagraph"/>
        <w:numPr>
          <w:ilvl w:val="0"/>
          <w:numId w:val="99"/>
        </w:numPr>
        <w:tabs>
          <w:tab w:pos="1321" w:val="left" w:leader="none"/>
        </w:tabs>
        <w:spacing w:line="240" w:lineRule="auto" w:before="81" w:after="0"/>
        <w:ind w:left="1320" w:right="0" w:hanging="361"/>
        <w:jc w:val="left"/>
        <w:rPr>
          <w:rFonts w:ascii="微软雅黑" w:eastAsia="微软雅黑"/>
          <w:b/>
          <w:sz w:val="21"/>
        </w:rPr>
      </w:pPr>
      <w:r>
        <w:rPr>
          <w:rFonts w:ascii="微软雅黑" w:eastAsia="微软雅黑"/>
          <w:b/>
          <w:spacing w:val="-3"/>
          <w:sz w:val="21"/>
        </w:rPr>
        <w:t>感染艾滋病病毒或患艾滋病期间所患恶性肿瘤。</w:t>
      </w:r>
    </w:p>
    <w:p>
      <w:pPr>
        <w:pStyle w:val="ListParagraph"/>
        <w:numPr>
          <w:ilvl w:val="0"/>
          <w:numId w:val="96"/>
        </w:numPr>
        <w:tabs>
          <w:tab w:pos="933" w:val="left" w:leader="none"/>
        </w:tabs>
        <w:spacing w:line="240" w:lineRule="auto" w:before="4" w:after="0"/>
        <w:ind w:left="932" w:right="0" w:hanging="530"/>
        <w:jc w:val="left"/>
        <w:rPr>
          <w:rFonts w:ascii="微软雅黑" w:eastAsia="微软雅黑"/>
          <w:b/>
          <w:sz w:val="21"/>
        </w:rPr>
      </w:pPr>
      <w:r>
        <w:rPr>
          <w:rFonts w:ascii="微软雅黑" w:eastAsia="微软雅黑"/>
          <w:b/>
          <w:spacing w:val="-3"/>
          <w:sz w:val="21"/>
        </w:rPr>
        <w:t>严重幼年型类风湿性关节炎</w:t>
      </w:r>
    </w:p>
    <w:p>
      <w:pPr>
        <w:pStyle w:val="ListParagraph"/>
        <w:numPr>
          <w:ilvl w:val="0"/>
          <w:numId w:val="96"/>
        </w:numPr>
        <w:tabs>
          <w:tab w:pos="933" w:val="left" w:leader="none"/>
        </w:tabs>
        <w:spacing w:line="240" w:lineRule="auto" w:before="2" w:after="0"/>
        <w:ind w:left="932" w:right="0" w:hanging="530"/>
        <w:jc w:val="left"/>
        <w:rPr>
          <w:rFonts w:ascii="微软雅黑" w:eastAsia="微软雅黑"/>
          <w:b/>
          <w:sz w:val="21"/>
        </w:rPr>
      </w:pPr>
      <w:r>
        <w:rPr>
          <w:rFonts w:ascii="微软雅黑" w:eastAsia="微软雅黑"/>
          <w:b/>
          <w:spacing w:val="-3"/>
          <w:sz w:val="21"/>
        </w:rPr>
        <w:t>重大器官移植术或造血干细胞移植术</w:t>
      </w:r>
    </w:p>
    <w:p>
      <w:pPr>
        <w:pStyle w:val="ListParagraph"/>
        <w:numPr>
          <w:ilvl w:val="0"/>
          <w:numId w:val="96"/>
        </w:numPr>
        <w:tabs>
          <w:tab w:pos="933" w:val="left" w:leader="none"/>
        </w:tabs>
        <w:spacing w:line="240" w:lineRule="auto" w:before="81" w:after="0"/>
        <w:ind w:left="932" w:right="0" w:hanging="530"/>
        <w:jc w:val="left"/>
        <w:rPr>
          <w:rFonts w:ascii="微软雅黑" w:eastAsia="微软雅黑"/>
          <w:b/>
          <w:sz w:val="21"/>
        </w:rPr>
      </w:pPr>
      <w:r>
        <w:rPr>
          <w:rFonts w:ascii="微软雅黑" w:eastAsia="微软雅黑"/>
          <w:b/>
          <w:spacing w:val="-2"/>
          <w:sz w:val="21"/>
        </w:rPr>
        <w:t>严重的原发性心肌病</w:t>
      </w:r>
    </w:p>
    <w:p>
      <w:pPr>
        <w:pStyle w:val="ListParagraph"/>
        <w:numPr>
          <w:ilvl w:val="0"/>
          <w:numId w:val="96"/>
        </w:numPr>
        <w:tabs>
          <w:tab w:pos="933" w:val="left" w:leader="none"/>
        </w:tabs>
        <w:spacing w:line="240" w:lineRule="auto" w:before="81" w:after="0"/>
        <w:ind w:left="932" w:right="0" w:hanging="530"/>
        <w:jc w:val="left"/>
        <w:rPr>
          <w:rFonts w:ascii="微软雅黑" w:eastAsia="微软雅黑"/>
          <w:b/>
          <w:sz w:val="21"/>
        </w:rPr>
      </w:pPr>
      <w:r>
        <w:rPr>
          <w:rFonts w:ascii="微软雅黑" w:eastAsia="微软雅黑"/>
          <w:b/>
          <w:spacing w:val="-2"/>
          <w:sz w:val="21"/>
        </w:rPr>
        <w:t>重型再生障碍性贫血</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3"/>
          <w:sz w:val="21"/>
        </w:rPr>
        <w:t>严重脑炎后遗症或严重脑膜炎后遗症</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3"/>
          <w:sz w:val="21"/>
        </w:rPr>
        <w:t>疾病或外伤所致智力障碍</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成骨不全症第三型</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3"/>
          <w:sz w:val="21"/>
        </w:rPr>
        <w:t>严重哮喘</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严重川崎病</w:t>
      </w:r>
    </w:p>
    <w:p>
      <w:pPr>
        <w:pStyle w:val="ListParagraph"/>
        <w:numPr>
          <w:ilvl w:val="0"/>
          <w:numId w:val="96"/>
        </w:numPr>
        <w:tabs>
          <w:tab w:pos="1041" w:val="left" w:leader="none"/>
        </w:tabs>
        <w:spacing w:line="240" w:lineRule="auto" w:before="81" w:after="0"/>
        <w:ind w:left="1040" w:right="0" w:hanging="638"/>
        <w:jc w:val="left"/>
        <w:rPr>
          <w:rFonts w:ascii="微软雅黑" w:hAnsi="微软雅黑" w:eastAsia="微软雅黑"/>
          <w:b/>
          <w:sz w:val="21"/>
        </w:rPr>
      </w:pPr>
      <w:r>
        <w:rPr>
          <w:rFonts w:ascii="微软雅黑" w:hAnsi="微软雅黑" w:eastAsia="微软雅黑"/>
          <w:b/>
          <w:spacing w:val="-2"/>
          <w:sz w:val="21"/>
        </w:rPr>
        <w:t>严重Ⅲ度烧伤</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原发性骨髓纤维化</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z w:val="21"/>
        </w:rPr>
        <w:t>瑞氏</w:t>
      </w:r>
      <w:r>
        <w:rPr>
          <w:rFonts w:ascii="微软雅黑" w:eastAsia="微软雅黑"/>
          <w:b/>
          <w:spacing w:val="10"/>
          <w:sz w:val="21"/>
        </w:rPr>
        <w:t>综</w:t>
      </w:r>
      <w:r>
        <w:rPr>
          <w:rFonts w:ascii="微软雅黑" w:eastAsia="微软雅黑"/>
          <w:b/>
          <w:position w:val="-1"/>
          <w:sz w:val="21"/>
        </w:rPr>
        <w:drawing>
          <wp:inline distT="0" distB="0" distL="0" distR="0">
            <wp:extent cx="123825" cy="127000"/>
            <wp:effectExtent l="0" t="0" r="0" b="0"/>
            <wp:docPr id="123" name="image2.png"/>
            <wp:cNvGraphicFramePr>
              <a:graphicFrameLocks noChangeAspect="1"/>
            </wp:cNvGraphicFramePr>
            <a:graphic>
              <a:graphicData uri="http://schemas.openxmlformats.org/drawingml/2006/picture">
                <pic:pic>
                  <pic:nvPicPr>
                    <pic:cNvPr id="12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pacing w:val="-10"/>
          <w:sz w:val="21"/>
        </w:rPr>
        <w:t>征</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肝豆状核变性</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严重心肌炎</w:t>
      </w:r>
    </w:p>
    <w:p>
      <w:pPr>
        <w:pStyle w:val="ListParagraph"/>
        <w:numPr>
          <w:ilvl w:val="0"/>
          <w:numId w:val="96"/>
        </w:numPr>
        <w:tabs>
          <w:tab w:pos="1041" w:val="left" w:leader="none"/>
        </w:tabs>
        <w:spacing w:line="240" w:lineRule="auto" w:before="81" w:after="0"/>
        <w:ind w:left="1040" w:right="0" w:hanging="638"/>
        <w:jc w:val="left"/>
        <w:rPr>
          <w:rFonts w:ascii="微软雅黑" w:eastAsia="微软雅黑"/>
          <w:b/>
          <w:sz w:val="21"/>
        </w:rPr>
      </w:pPr>
      <w:r>
        <w:rPr>
          <w:rFonts w:ascii="微软雅黑" w:eastAsia="微软雅黑"/>
          <w:b/>
          <w:spacing w:val="-2"/>
          <w:sz w:val="21"/>
        </w:rPr>
        <w:t>重症手足口病</w:t>
      </w:r>
    </w:p>
    <w:p>
      <w:pPr>
        <w:spacing w:before="81"/>
        <w:ind w:left="600" w:right="0" w:firstLine="0"/>
        <w:jc w:val="left"/>
        <w:rPr>
          <w:rFonts w:ascii="微软雅黑" w:eastAsia="微软雅黑"/>
          <w:b/>
          <w:sz w:val="21"/>
        </w:rPr>
      </w:pPr>
      <w:r>
        <w:rPr>
          <w:rFonts w:ascii="微软雅黑" w:eastAsia="微软雅黑"/>
          <w:b/>
          <w:spacing w:val="-2"/>
          <w:sz w:val="21"/>
        </w:rPr>
        <w:t>第</w:t>
      </w:r>
      <w:r>
        <w:rPr>
          <w:rFonts w:ascii="微软雅黑" w:eastAsia="微软雅黑"/>
          <w:b/>
          <w:spacing w:val="-2"/>
          <w:sz w:val="21"/>
        </w:rPr>
        <w:t>（</w:t>
      </w:r>
      <w:r>
        <w:rPr>
          <w:rFonts w:ascii="Calibri" w:eastAsia="Calibri"/>
          <w:b/>
          <w:spacing w:val="-2"/>
          <w:sz w:val="21"/>
        </w:rPr>
        <w:t>6</w:t>
      </w:r>
      <w:r>
        <w:rPr>
          <w:rFonts w:ascii="微软雅黑" w:eastAsia="微软雅黑"/>
          <w:b/>
          <w:spacing w:val="-2"/>
          <w:sz w:val="21"/>
        </w:rPr>
        <w:t>）</w:t>
      </w:r>
      <w:r>
        <w:rPr>
          <w:rFonts w:ascii="微软雅黑" w:eastAsia="微软雅黑"/>
          <w:b/>
          <w:spacing w:val="-2"/>
          <w:sz w:val="21"/>
        </w:rPr>
        <w:t>至</w:t>
      </w:r>
      <w:r>
        <w:rPr>
          <w:rFonts w:ascii="微软雅黑" w:eastAsia="微软雅黑"/>
          <w:b/>
          <w:spacing w:val="-2"/>
          <w:sz w:val="21"/>
        </w:rPr>
        <w:t>（</w:t>
      </w:r>
      <w:r>
        <w:rPr>
          <w:rFonts w:ascii="Calibri" w:eastAsia="Calibri"/>
          <w:b/>
          <w:spacing w:val="-2"/>
          <w:sz w:val="21"/>
        </w:rPr>
        <w:t>20</w:t>
      </w:r>
      <w:r>
        <w:rPr>
          <w:rFonts w:ascii="微软雅黑" w:eastAsia="微软雅黑"/>
          <w:b/>
          <w:spacing w:val="-2"/>
          <w:sz w:val="21"/>
        </w:rPr>
        <w:t>）</w:t>
      </w:r>
      <w:r>
        <w:rPr>
          <w:rFonts w:ascii="微软雅黑" w:eastAsia="微软雅黑"/>
          <w:b/>
          <w:spacing w:val="-2"/>
          <w:sz w:val="21"/>
        </w:rPr>
        <w:t>项</w:t>
      </w:r>
      <w:r>
        <w:rPr>
          <w:rFonts w:ascii="微软雅黑" w:eastAsia="微软雅黑"/>
          <w:b/>
          <w:spacing w:val="-2"/>
          <w:sz w:val="21"/>
        </w:rPr>
        <w:t>少</w:t>
      </w:r>
      <w:r>
        <w:rPr>
          <w:rFonts w:ascii="微软雅黑" w:eastAsia="微软雅黑"/>
          <w:b/>
          <w:spacing w:val="-2"/>
          <w:sz w:val="21"/>
        </w:rPr>
        <w:t>儿</w:t>
      </w:r>
      <w:r>
        <w:rPr>
          <w:rFonts w:ascii="微软雅黑" w:eastAsia="微软雅黑"/>
          <w:b/>
          <w:spacing w:val="-2"/>
          <w:sz w:val="21"/>
        </w:rPr>
        <w:t>特</w:t>
      </w:r>
      <w:r>
        <w:rPr>
          <w:rFonts w:ascii="微软雅黑" w:eastAsia="微软雅黑"/>
          <w:b/>
          <w:spacing w:val="-2"/>
          <w:sz w:val="21"/>
        </w:rPr>
        <w:t>定</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的</w:t>
      </w:r>
      <w:r>
        <w:rPr>
          <w:rFonts w:ascii="微软雅黑" w:eastAsia="微软雅黑"/>
          <w:b/>
          <w:spacing w:val="-2"/>
          <w:sz w:val="21"/>
        </w:rPr>
        <w:t>定</w:t>
      </w:r>
      <w:r>
        <w:rPr>
          <w:rFonts w:ascii="微软雅黑" w:eastAsia="微软雅黑"/>
          <w:b/>
          <w:spacing w:val="-2"/>
          <w:sz w:val="21"/>
        </w:rPr>
        <w:t>义</w:t>
      </w:r>
      <w:r>
        <w:rPr>
          <w:rFonts w:ascii="微软雅黑" w:eastAsia="微软雅黑"/>
          <w:b/>
          <w:spacing w:val="-2"/>
          <w:sz w:val="21"/>
        </w:rPr>
        <w:t>详</w:t>
      </w:r>
      <w:r>
        <w:rPr>
          <w:rFonts w:ascii="微软雅黑" w:eastAsia="微软雅黑"/>
          <w:b/>
          <w:spacing w:val="-2"/>
          <w:sz w:val="21"/>
        </w:rPr>
        <w:t>见</w:t>
      </w:r>
      <w:r>
        <w:rPr>
          <w:rFonts w:ascii="微软雅黑" w:eastAsia="微软雅黑"/>
          <w:b/>
          <w:spacing w:val="-2"/>
          <w:sz w:val="21"/>
        </w:rPr>
        <w:t>本</w:t>
      </w:r>
      <w:r>
        <w:rPr>
          <w:rFonts w:ascii="微软雅黑" w:eastAsia="微软雅黑"/>
          <w:b/>
          <w:position w:val="-1"/>
          <w:sz w:val="21"/>
        </w:rPr>
        <w:drawing>
          <wp:inline distT="0" distB="0" distL="0" distR="0">
            <wp:extent cx="123825" cy="127000"/>
            <wp:effectExtent l="0" t="0" r="0" b="0"/>
            <wp:docPr id="125" name="image2.png"/>
            <wp:cNvGraphicFramePr>
              <a:graphicFrameLocks noChangeAspect="1"/>
            </wp:cNvGraphicFramePr>
            <a:graphic>
              <a:graphicData uri="http://schemas.openxmlformats.org/drawingml/2006/picture">
                <pic:pic>
                  <pic:nvPicPr>
                    <pic:cNvPr id="126"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pacing w:val="-2"/>
          <w:sz w:val="21"/>
        </w:rPr>
        <w:t>同</w:t>
      </w:r>
      <w:r>
        <w:rPr>
          <w:rFonts w:ascii="微软雅黑" w:eastAsia="微软雅黑"/>
          <w:b/>
          <w:spacing w:val="-2"/>
          <w:sz w:val="21"/>
        </w:rPr>
        <w:t>中</w:t>
      </w:r>
      <w:r>
        <w:rPr>
          <w:rFonts w:ascii="微软雅黑" w:eastAsia="微软雅黑"/>
          <w:b/>
          <w:spacing w:val="-2"/>
          <w:sz w:val="21"/>
        </w:rPr>
        <w:t>重</w:t>
      </w:r>
      <w:r>
        <w:rPr>
          <w:rFonts w:ascii="微软雅黑" w:eastAsia="微软雅黑"/>
          <w:b/>
          <w:spacing w:val="-2"/>
          <w:sz w:val="21"/>
        </w:rPr>
        <w:t>大</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定</w:t>
      </w:r>
      <w:r>
        <w:rPr>
          <w:rFonts w:ascii="微软雅黑" w:eastAsia="微软雅黑"/>
          <w:b/>
          <w:spacing w:val="-2"/>
          <w:sz w:val="21"/>
        </w:rPr>
        <w:t>义</w:t>
      </w:r>
      <w:r>
        <w:rPr>
          <w:rFonts w:ascii="微软雅黑" w:eastAsia="微软雅黑"/>
          <w:b/>
          <w:spacing w:val="-10"/>
          <w:sz w:val="21"/>
        </w:rPr>
        <w:t>。</w:t>
      </w:r>
    </w:p>
    <w:p>
      <w:pPr>
        <w:spacing w:after="0"/>
        <w:jc w:val="left"/>
        <w:rPr>
          <w:rFonts w:ascii="微软雅黑" w:eastAsia="微软雅黑"/>
          <w:sz w:val="21"/>
        </w:rPr>
        <w:sectPr>
          <w:pgSz w:w="11910" w:h="16840"/>
          <w:pgMar w:header="0" w:footer="1005" w:top="1460" w:bottom="1200" w:left="1680" w:right="1480"/>
        </w:sectPr>
      </w:pPr>
    </w:p>
    <w:p>
      <w:pPr>
        <w:pStyle w:val="BodyText"/>
        <w:spacing w:before="6"/>
        <w:rPr>
          <w:rFonts w:ascii="微软雅黑"/>
          <w:b/>
          <w:sz w:val="18"/>
        </w:rPr>
      </w:pPr>
    </w:p>
    <w:p>
      <w:pPr>
        <w:pStyle w:val="Heading2"/>
        <w:numPr>
          <w:ilvl w:val="0"/>
          <w:numId w:val="2"/>
        </w:numPr>
        <w:tabs>
          <w:tab w:pos="481" w:val="left" w:leader="none"/>
        </w:tabs>
        <w:spacing w:line="240" w:lineRule="auto" w:before="4" w:after="0"/>
        <w:ind w:left="480" w:right="0" w:hanging="361"/>
        <w:jc w:val="left"/>
        <w:rPr>
          <w:rFonts w:ascii="Calibri" w:eastAsia="Calibri"/>
        </w:rPr>
      </w:pPr>
      <w:bookmarkStart w:name="_bookmark40" w:id="76"/>
      <w:bookmarkEnd w:id="76"/>
      <w:r>
        <w:rPr>
          <w:b w:val="0"/>
        </w:rPr>
      </w:r>
      <w:bookmarkStart w:name="_bookmark40" w:id="77"/>
      <w:bookmarkEnd w:id="77"/>
      <w:r>
        <w:rPr>
          <w:spacing w:val="-3"/>
        </w:rPr>
        <w:t>心脑血管特定疾病定义</w:t>
      </w:r>
    </w:p>
    <w:p>
      <w:pPr>
        <w:pStyle w:val="BodyText"/>
        <w:spacing w:before="148"/>
        <w:ind w:left="478"/>
      </w:pPr>
      <w:r>
        <w:rPr>
          <w:spacing w:val="-2"/>
        </w:rPr>
        <w:t>本</w:t>
      </w:r>
      <w:r>
        <w:rPr>
          <w:position w:val="-1"/>
        </w:rPr>
        <w:drawing>
          <wp:inline distT="0" distB="0" distL="0" distR="0">
            <wp:extent cx="123825" cy="127000"/>
            <wp:effectExtent l="0" t="0" r="0" b="0"/>
            <wp:docPr id="127" name="image2.png"/>
            <wp:cNvGraphicFramePr>
              <a:graphicFrameLocks noChangeAspect="1"/>
            </wp:cNvGraphicFramePr>
            <a:graphic>
              <a:graphicData uri="http://schemas.openxmlformats.org/drawingml/2006/picture">
                <pic:pic>
                  <pic:nvPicPr>
                    <pic:cNvPr id="12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同所称心脑血管特定</w:t>
      </w:r>
      <w:r>
        <w:rPr>
          <w:spacing w:val="-2"/>
        </w:rPr>
        <w:t>疾</w:t>
      </w:r>
      <w:r>
        <w:rPr>
          <w:spacing w:val="-2"/>
        </w:rPr>
        <w:t>病</w:t>
      </w:r>
      <w:r>
        <w:rPr>
          <w:spacing w:val="-2"/>
        </w:rPr>
        <w:t>，仅指下列疾病或手</w:t>
      </w:r>
      <w:r>
        <w:rPr>
          <w:spacing w:val="-2"/>
        </w:rPr>
        <w:t>术</w:t>
      </w:r>
      <w:r>
        <w:rPr>
          <w:spacing w:val="-2"/>
        </w:rPr>
        <w:t>之</w:t>
      </w:r>
      <w:r>
        <w:rPr>
          <w:spacing w:val="-2"/>
        </w:rPr>
        <w:t>一</w:t>
      </w:r>
      <w:r>
        <w:rPr>
          <w:spacing w:val="-10"/>
        </w:rPr>
        <w:t>：</w:t>
      </w:r>
    </w:p>
    <w:p>
      <w:pPr>
        <w:pStyle w:val="ListParagraph"/>
        <w:numPr>
          <w:ilvl w:val="0"/>
          <w:numId w:val="100"/>
        </w:numPr>
        <w:tabs>
          <w:tab w:pos="933" w:val="left" w:leader="none"/>
        </w:tabs>
        <w:spacing w:line="240" w:lineRule="auto" w:before="132" w:after="0"/>
        <w:ind w:left="932" w:right="0" w:hanging="530"/>
        <w:jc w:val="left"/>
        <w:rPr>
          <w:rFonts w:ascii="微软雅黑" w:eastAsia="微软雅黑"/>
          <w:b/>
          <w:sz w:val="21"/>
        </w:rPr>
      </w:pPr>
      <w:r>
        <w:rPr>
          <w:rFonts w:ascii="微软雅黑" w:eastAsia="微软雅黑"/>
          <w:b/>
          <w:spacing w:val="-2"/>
          <w:sz w:val="21"/>
        </w:rPr>
        <w:t>较重急性心肌梗死</w:t>
      </w:r>
    </w:p>
    <w:p>
      <w:pPr>
        <w:pStyle w:val="ListParagraph"/>
        <w:numPr>
          <w:ilvl w:val="0"/>
          <w:numId w:val="100"/>
        </w:numPr>
        <w:tabs>
          <w:tab w:pos="933" w:val="left" w:leader="none"/>
        </w:tabs>
        <w:spacing w:line="240" w:lineRule="auto" w:before="81" w:after="0"/>
        <w:ind w:left="932" w:right="0" w:hanging="530"/>
        <w:jc w:val="left"/>
        <w:rPr>
          <w:rFonts w:ascii="微软雅黑" w:eastAsia="微软雅黑"/>
          <w:b/>
          <w:sz w:val="21"/>
        </w:rPr>
      </w:pPr>
      <w:r>
        <w:rPr>
          <w:rFonts w:ascii="微软雅黑" w:eastAsia="微软雅黑"/>
          <w:b/>
          <w:spacing w:val="-2"/>
          <w:sz w:val="21"/>
        </w:rPr>
        <w:t>严重脑中风后遗症</w:t>
      </w:r>
    </w:p>
    <w:p>
      <w:pPr>
        <w:pStyle w:val="ListParagraph"/>
        <w:numPr>
          <w:ilvl w:val="0"/>
          <w:numId w:val="100"/>
        </w:numPr>
        <w:tabs>
          <w:tab w:pos="933" w:val="left" w:leader="none"/>
        </w:tabs>
        <w:spacing w:line="240" w:lineRule="auto" w:before="81" w:after="0"/>
        <w:ind w:left="932" w:right="0" w:hanging="530"/>
        <w:jc w:val="left"/>
        <w:rPr>
          <w:rFonts w:ascii="微软雅黑" w:eastAsia="微软雅黑"/>
          <w:b/>
          <w:sz w:val="21"/>
        </w:rPr>
      </w:pPr>
      <w:r>
        <w:rPr>
          <w:rFonts w:ascii="微软雅黑" w:eastAsia="微软雅黑"/>
          <w:b/>
          <w:spacing w:val="-2"/>
          <w:sz w:val="21"/>
        </w:rPr>
        <w:t>冠状动脉搭桥术（或称冠状动脉旁路移植术</w:t>
      </w:r>
      <w:r>
        <w:rPr>
          <w:rFonts w:ascii="微软雅黑" w:eastAsia="微软雅黑"/>
          <w:b/>
          <w:spacing w:val="-10"/>
          <w:sz w:val="21"/>
        </w:rPr>
        <w:t>）</w:t>
      </w:r>
    </w:p>
    <w:p>
      <w:pPr>
        <w:spacing w:before="81"/>
        <w:ind w:left="478" w:right="0" w:firstLine="0"/>
        <w:jc w:val="left"/>
        <w:rPr>
          <w:rFonts w:ascii="微软雅黑" w:eastAsia="微软雅黑"/>
          <w:b/>
          <w:sz w:val="21"/>
        </w:rPr>
      </w:pPr>
      <w:r>
        <w:rPr>
          <w:rFonts w:ascii="微软雅黑" w:eastAsia="微软雅黑"/>
          <w:b/>
          <w:spacing w:val="-2"/>
          <w:sz w:val="21"/>
        </w:rPr>
        <w:t>心</w:t>
      </w:r>
      <w:r>
        <w:rPr>
          <w:rFonts w:ascii="微软雅黑" w:eastAsia="微软雅黑"/>
          <w:b/>
          <w:spacing w:val="-2"/>
          <w:sz w:val="21"/>
        </w:rPr>
        <w:t>脑</w:t>
      </w:r>
      <w:r>
        <w:rPr>
          <w:rFonts w:ascii="微软雅黑" w:eastAsia="微软雅黑"/>
          <w:b/>
          <w:spacing w:val="-2"/>
          <w:sz w:val="21"/>
        </w:rPr>
        <w:t>血</w:t>
      </w:r>
      <w:r>
        <w:rPr>
          <w:rFonts w:ascii="微软雅黑" w:eastAsia="微软雅黑"/>
          <w:b/>
          <w:spacing w:val="-2"/>
          <w:sz w:val="21"/>
        </w:rPr>
        <w:t>管</w:t>
      </w:r>
      <w:r>
        <w:rPr>
          <w:rFonts w:ascii="微软雅黑" w:eastAsia="微软雅黑"/>
          <w:b/>
          <w:spacing w:val="-2"/>
          <w:sz w:val="21"/>
        </w:rPr>
        <w:t>特</w:t>
      </w:r>
      <w:r>
        <w:rPr>
          <w:rFonts w:ascii="微软雅黑" w:eastAsia="微软雅黑"/>
          <w:b/>
          <w:spacing w:val="-2"/>
          <w:sz w:val="21"/>
        </w:rPr>
        <w:t>定</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的定义</w:t>
      </w:r>
      <w:r>
        <w:rPr>
          <w:rFonts w:ascii="微软雅黑" w:eastAsia="微软雅黑"/>
          <w:b/>
          <w:spacing w:val="-2"/>
          <w:sz w:val="21"/>
        </w:rPr>
        <w:t>详</w:t>
      </w:r>
      <w:r>
        <w:rPr>
          <w:rFonts w:ascii="微软雅黑" w:eastAsia="微软雅黑"/>
          <w:b/>
          <w:spacing w:val="-2"/>
          <w:sz w:val="21"/>
        </w:rPr>
        <w:t>见</w:t>
      </w:r>
      <w:r>
        <w:rPr>
          <w:rFonts w:ascii="微软雅黑" w:eastAsia="微软雅黑"/>
          <w:b/>
          <w:spacing w:val="-2"/>
          <w:sz w:val="21"/>
        </w:rPr>
        <w:t>本</w:t>
      </w:r>
      <w:r>
        <w:rPr>
          <w:rFonts w:ascii="微软雅黑" w:eastAsia="微软雅黑"/>
          <w:b/>
          <w:position w:val="-2"/>
          <w:sz w:val="21"/>
        </w:rPr>
        <w:drawing>
          <wp:inline distT="0" distB="0" distL="0" distR="0">
            <wp:extent cx="123825" cy="127000"/>
            <wp:effectExtent l="0" t="0" r="0" b="0"/>
            <wp:docPr id="129" name="image2.png"/>
            <wp:cNvGraphicFramePr>
              <a:graphicFrameLocks noChangeAspect="1"/>
            </wp:cNvGraphicFramePr>
            <a:graphic>
              <a:graphicData uri="http://schemas.openxmlformats.org/drawingml/2006/picture">
                <pic:pic>
                  <pic:nvPicPr>
                    <pic:cNvPr id="130"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2"/>
          <w:sz w:val="21"/>
        </w:rPr>
      </w:r>
      <w:r>
        <w:rPr>
          <w:rFonts w:ascii="微软雅黑" w:eastAsia="微软雅黑"/>
          <w:b/>
          <w:spacing w:val="-2"/>
          <w:sz w:val="21"/>
        </w:rPr>
        <w:t>同</w:t>
      </w:r>
      <w:r>
        <w:rPr>
          <w:rFonts w:ascii="微软雅黑" w:eastAsia="微软雅黑"/>
          <w:b/>
          <w:spacing w:val="-2"/>
          <w:sz w:val="21"/>
        </w:rPr>
        <w:t>中</w:t>
      </w:r>
      <w:r>
        <w:rPr>
          <w:rFonts w:ascii="微软雅黑" w:eastAsia="微软雅黑"/>
          <w:b/>
          <w:spacing w:val="-2"/>
          <w:sz w:val="21"/>
        </w:rPr>
        <w:t>重</w:t>
      </w:r>
      <w:r>
        <w:rPr>
          <w:rFonts w:ascii="微软雅黑" w:eastAsia="微软雅黑"/>
          <w:b/>
          <w:spacing w:val="-2"/>
          <w:sz w:val="21"/>
        </w:rPr>
        <w:t>大</w:t>
      </w:r>
      <w:r>
        <w:rPr>
          <w:rFonts w:ascii="微软雅黑" w:eastAsia="微软雅黑"/>
          <w:b/>
          <w:spacing w:val="-2"/>
          <w:sz w:val="21"/>
        </w:rPr>
        <w:t>疾病定</w:t>
      </w:r>
      <w:r>
        <w:rPr>
          <w:rFonts w:ascii="微软雅黑" w:eastAsia="微软雅黑"/>
          <w:b/>
          <w:spacing w:val="-2"/>
          <w:sz w:val="21"/>
        </w:rPr>
        <w:t>义</w:t>
      </w:r>
      <w:r>
        <w:rPr>
          <w:rFonts w:ascii="微软雅黑" w:eastAsia="微软雅黑"/>
          <w:b/>
          <w:spacing w:val="-10"/>
          <w:sz w:val="21"/>
        </w:rPr>
        <w:t>。</w:t>
      </w:r>
    </w:p>
    <w:p>
      <w:pPr>
        <w:pStyle w:val="BodyText"/>
        <w:spacing w:before="14"/>
        <w:rPr>
          <w:rFonts w:ascii="微软雅黑"/>
          <w:b/>
          <w:sz w:val="29"/>
        </w:rPr>
      </w:pPr>
    </w:p>
    <w:p>
      <w:pPr>
        <w:spacing w:before="0"/>
        <w:ind w:left="478" w:right="0" w:firstLine="0"/>
        <w:jc w:val="left"/>
        <w:rPr>
          <w:rFonts w:ascii="微软雅黑" w:eastAsia="微软雅黑"/>
          <w:b/>
          <w:sz w:val="21"/>
        </w:rPr>
      </w:pPr>
      <w:r>
        <w:rPr>
          <w:rFonts w:ascii="微软雅黑" w:eastAsia="微软雅黑"/>
          <w:b/>
          <w:spacing w:val="-2"/>
          <w:sz w:val="21"/>
        </w:rPr>
        <w:t>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发</w:t>
      </w:r>
      <w:r>
        <w:rPr>
          <w:rFonts w:ascii="微软雅黑" w:eastAsia="微软雅黑"/>
          <w:b/>
          <w:spacing w:val="-2"/>
          <w:sz w:val="21"/>
        </w:rPr>
        <w:t>生</w:t>
      </w:r>
      <w:r>
        <w:rPr>
          <w:rFonts w:ascii="微软雅黑" w:eastAsia="微软雅黑"/>
          <w:b/>
          <w:spacing w:val="-2"/>
          <w:sz w:val="21"/>
        </w:rPr>
        <w:t>符</w:t>
      </w:r>
      <w:r>
        <w:rPr>
          <w:rFonts w:ascii="微软雅黑" w:eastAsia="微软雅黑"/>
          <w:b/>
          <w:position w:val="-1"/>
          <w:sz w:val="21"/>
        </w:rPr>
        <w:drawing>
          <wp:inline distT="0" distB="0" distL="0" distR="0">
            <wp:extent cx="123825" cy="127000"/>
            <wp:effectExtent l="0" t="0" r="0" b="0"/>
            <wp:docPr id="131" name="image2.png"/>
            <wp:cNvGraphicFramePr>
              <a:graphicFrameLocks noChangeAspect="1"/>
            </wp:cNvGraphicFramePr>
            <a:graphic>
              <a:graphicData uri="http://schemas.openxmlformats.org/drawingml/2006/picture">
                <pic:pic>
                  <pic:nvPicPr>
                    <pic:cNvPr id="132"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eastAsia="微软雅黑"/>
          <w:b/>
          <w:position w:val="-1"/>
          <w:sz w:val="21"/>
        </w:rPr>
      </w:r>
      <w:r>
        <w:rPr>
          <w:rFonts w:ascii="微软雅黑" w:eastAsia="微软雅黑"/>
          <w:b/>
          <w:spacing w:val="-2"/>
          <w:sz w:val="21"/>
        </w:rPr>
        <w:t>以上疾</w:t>
      </w:r>
      <w:r>
        <w:rPr>
          <w:rFonts w:ascii="微软雅黑" w:eastAsia="微软雅黑"/>
          <w:b/>
          <w:spacing w:val="-2"/>
          <w:sz w:val="21"/>
        </w:rPr>
        <w:t>病</w:t>
      </w:r>
      <w:r>
        <w:rPr>
          <w:rFonts w:ascii="微软雅黑" w:eastAsia="微软雅黑"/>
          <w:b/>
          <w:spacing w:val="-2"/>
          <w:sz w:val="21"/>
        </w:rPr>
        <w:t>定</w:t>
      </w:r>
      <w:r>
        <w:rPr>
          <w:rFonts w:ascii="微软雅黑" w:eastAsia="微软雅黑"/>
          <w:b/>
          <w:spacing w:val="-2"/>
          <w:sz w:val="21"/>
        </w:rPr>
        <w:t>义</w:t>
      </w:r>
      <w:r>
        <w:rPr>
          <w:rFonts w:ascii="微软雅黑" w:eastAsia="微软雅黑"/>
          <w:b/>
          <w:spacing w:val="-2"/>
          <w:sz w:val="21"/>
        </w:rPr>
        <w:t>所</w:t>
      </w:r>
      <w:r>
        <w:rPr>
          <w:rFonts w:ascii="微软雅黑" w:eastAsia="微软雅黑"/>
          <w:b/>
          <w:spacing w:val="-2"/>
          <w:sz w:val="21"/>
        </w:rPr>
        <w:t>述</w:t>
      </w:r>
      <w:r>
        <w:rPr>
          <w:rFonts w:ascii="微软雅黑" w:eastAsia="微软雅黑"/>
          <w:b/>
          <w:spacing w:val="-2"/>
          <w:sz w:val="21"/>
        </w:rPr>
        <w:t>条</w:t>
      </w:r>
      <w:r>
        <w:rPr>
          <w:rFonts w:ascii="微软雅黑" w:eastAsia="微软雅黑"/>
          <w:b/>
          <w:spacing w:val="-2"/>
          <w:sz w:val="21"/>
        </w:rPr>
        <w:t>件</w:t>
      </w:r>
      <w:r>
        <w:rPr>
          <w:rFonts w:ascii="微软雅黑" w:eastAsia="微软雅黑"/>
          <w:b/>
          <w:spacing w:val="-2"/>
          <w:sz w:val="21"/>
        </w:rPr>
        <w:t>的</w:t>
      </w:r>
      <w:r>
        <w:rPr>
          <w:rFonts w:ascii="微软雅黑" w:eastAsia="微软雅黑"/>
          <w:b/>
          <w:spacing w:val="-2"/>
          <w:sz w:val="21"/>
        </w:rPr>
        <w:t>疾病，</w:t>
      </w:r>
      <w:r>
        <w:rPr>
          <w:rFonts w:ascii="微软雅黑" w:eastAsia="微软雅黑"/>
          <w:b/>
          <w:spacing w:val="-2"/>
          <w:sz w:val="21"/>
        </w:rPr>
        <w:t>应</w:t>
      </w:r>
      <w:r>
        <w:rPr>
          <w:rFonts w:ascii="微软雅黑" w:eastAsia="微软雅黑"/>
          <w:b/>
          <w:spacing w:val="-2"/>
          <w:sz w:val="21"/>
        </w:rPr>
        <w:t>当</w:t>
      </w:r>
      <w:r>
        <w:rPr>
          <w:rFonts w:ascii="微软雅黑" w:eastAsia="微软雅黑"/>
          <w:b/>
          <w:spacing w:val="-2"/>
          <w:sz w:val="21"/>
        </w:rPr>
        <w:t>由</w:t>
      </w:r>
      <w:r>
        <w:rPr>
          <w:rFonts w:ascii="微软雅黑" w:eastAsia="微软雅黑"/>
          <w:b/>
          <w:spacing w:val="-2"/>
          <w:sz w:val="21"/>
        </w:rPr>
        <w:t>专</w:t>
      </w:r>
      <w:r>
        <w:rPr>
          <w:rFonts w:ascii="微软雅黑" w:eastAsia="微软雅黑"/>
          <w:b/>
          <w:spacing w:val="-2"/>
          <w:sz w:val="21"/>
        </w:rPr>
        <w:t>科</w:t>
      </w:r>
      <w:r>
        <w:rPr>
          <w:rFonts w:ascii="微软雅黑" w:eastAsia="微软雅黑"/>
          <w:b/>
          <w:spacing w:val="-2"/>
          <w:sz w:val="21"/>
        </w:rPr>
        <w:t>医</w:t>
      </w:r>
      <w:r>
        <w:rPr>
          <w:rFonts w:ascii="微软雅黑" w:eastAsia="微软雅黑"/>
          <w:b/>
          <w:spacing w:val="-2"/>
          <w:sz w:val="21"/>
        </w:rPr>
        <w:t>生</w:t>
      </w:r>
      <w:r>
        <w:rPr>
          <w:rFonts w:ascii="微软雅黑" w:eastAsia="微软雅黑"/>
          <w:b/>
          <w:spacing w:val="-2"/>
          <w:sz w:val="21"/>
        </w:rPr>
        <w:t>明</w:t>
      </w:r>
      <w:r>
        <w:rPr>
          <w:rFonts w:ascii="微软雅黑" w:eastAsia="微软雅黑"/>
          <w:b/>
          <w:spacing w:val="-2"/>
          <w:sz w:val="21"/>
        </w:rPr>
        <w:t>确诊断</w:t>
      </w:r>
      <w:r>
        <w:rPr>
          <w:rFonts w:ascii="微软雅黑" w:eastAsia="微软雅黑"/>
          <w:b/>
          <w:spacing w:val="-10"/>
          <w:sz w:val="21"/>
        </w:rPr>
        <w:t>。</w:t>
      </w:r>
    </w:p>
    <w:p>
      <w:pPr>
        <w:pStyle w:val="BodyText"/>
        <w:spacing w:before="15"/>
        <w:rPr>
          <w:rFonts w:ascii="微软雅黑"/>
          <w:b/>
          <w:sz w:val="29"/>
        </w:rPr>
      </w:pPr>
    </w:p>
    <w:p>
      <w:pPr>
        <w:spacing w:before="0"/>
        <w:ind w:left="120" w:right="0" w:firstLine="0"/>
        <w:jc w:val="left"/>
        <w:rPr>
          <w:rFonts w:ascii="微软雅黑" w:hAnsi="微软雅黑" w:eastAsia="微软雅黑"/>
          <w:b/>
          <w:sz w:val="21"/>
        </w:rPr>
      </w:pPr>
      <w:r>
        <w:rPr>
          <w:sz w:val="21"/>
        </w:rPr>
        <w:t>※</w:t>
      </w:r>
      <w:r>
        <w:rPr>
          <w:spacing w:val="32"/>
          <w:sz w:val="21"/>
        </w:rPr>
        <w:t> </w:t>
      </w:r>
      <w:r>
        <w:rPr>
          <w:rFonts w:ascii="微软雅黑" w:hAnsi="微软雅黑" w:eastAsia="微软雅黑"/>
          <w:b/>
          <w:spacing w:val="10"/>
          <w:sz w:val="21"/>
        </w:rPr>
        <w:t>本</w:t>
      </w:r>
      <w:r>
        <w:rPr>
          <w:rFonts w:ascii="微软雅黑" w:hAnsi="微软雅黑" w:eastAsia="微软雅黑"/>
          <w:b/>
          <w:position w:val="-2"/>
          <w:sz w:val="21"/>
        </w:rPr>
        <w:drawing>
          <wp:inline distT="0" distB="0" distL="0" distR="0">
            <wp:extent cx="123825" cy="127000"/>
            <wp:effectExtent l="0" t="0" r="0" b="0"/>
            <wp:docPr id="133" name="image2.png"/>
            <wp:cNvGraphicFramePr>
              <a:graphicFrameLocks noChangeAspect="1"/>
            </wp:cNvGraphicFramePr>
            <a:graphic>
              <a:graphicData uri="http://schemas.openxmlformats.org/drawingml/2006/picture">
                <pic:pic>
                  <pic:nvPicPr>
                    <pic:cNvPr id="134" name="image2.png"/>
                    <pic:cNvPicPr/>
                  </pic:nvPicPr>
                  <pic:blipFill>
                    <a:blip r:embed="rId7" cstate="print"/>
                    <a:stretch>
                      <a:fillRect/>
                    </a:stretch>
                  </pic:blipFill>
                  <pic:spPr>
                    <a:xfrm>
                      <a:off x="0" y="0"/>
                      <a:ext cx="123825" cy="127000"/>
                    </a:xfrm>
                    <a:prstGeom prst="rect">
                      <a:avLst/>
                    </a:prstGeom>
                  </pic:spPr>
                </pic:pic>
              </a:graphicData>
            </a:graphic>
          </wp:inline>
        </w:drawing>
      </w:r>
      <w:r>
        <w:rPr>
          <w:rFonts w:ascii="微软雅黑" w:hAnsi="微软雅黑" w:eastAsia="微软雅黑"/>
          <w:b/>
          <w:position w:val="-2"/>
          <w:sz w:val="21"/>
        </w:rPr>
      </w:r>
      <w:r>
        <w:rPr>
          <w:rFonts w:ascii="微软雅黑" w:hAnsi="微软雅黑" w:eastAsia="微软雅黑"/>
          <w:b/>
          <w:sz w:val="21"/>
        </w:rPr>
        <w:t>同疾病定义中所提及</w:t>
      </w:r>
      <w:r>
        <w:rPr>
          <w:rFonts w:ascii="微软雅黑" w:hAnsi="微软雅黑" w:eastAsia="微软雅黑"/>
          <w:b/>
          <w:sz w:val="21"/>
        </w:rPr>
        <w:t>的术语，其解释如下</w:t>
      </w:r>
      <w:r>
        <w:rPr>
          <w:rFonts w:ascii="微软雅黑" w:hAnsi="微软雅黑" w:eastAsia="微软雅黑"/>
          <w:b/>
          <w:spacing w:val="-10"/>
          <w:sz w:val="21"/>
        </w:rPr>
        <w:t>：</w:t>
      </w:r>
    </w:p>
    <w:p>
      <w:pPr>
        <w:pStyle w:val="ListParagraph"/>
        <w:numPr>
          <w:ilvl w:val="0"/>
          <w:numId w:val="101"/>
        </w:numPr>
        <w:tabs>
          <w:tab w:pos="961" w:val="left" w:leader="none"/>
        </w:tabs>
        <w:spacing w:line="240" w:lineRule="auto" w:before="148" w:after="0"/>
        <w:ind w:left="960" w:right="0" w:hanging="421"/>
        <w:jc w:val="left"/>
        <w:rPr>
          <w:sz w:val="21"/>
        </w:rPr>
      </w:pPr>
      <w:r>
        <w:rPr>
          <w:spacing w:val="-4"/>
          <w:sz w:val="21"/>
        </w:rPr>
        <w:t>组织病理学检查</w:t>
      </w:r>
    </w:p>
    <w:p>
      <w:pPr>
        <w:pStyle w:val="BodyText"/>
        <w:spacing w:before="7"/>
        <w:rPr>
          <w:sz w:val="15"/>
        </w:rPr>
      </w:pPr>
    </w:p>
    <w:p>
      <w:pPr>
        <w:pStyle w:val="BodyText"/>
        <w:spacing w:line="417" w:lineRule="auto"/>
        <w:ind w:left="120" w:right="311" w:firstLine="419"/>
      </w:pPr>
      <w:r>
        <w:rPr>
          <w:spacing w:val="-19"/>
        </w:rPr>
        <w:t>组织病理学检查是通过局部切除、钳取、穿刺等手术方法，从患者机体采取病变组织块，</w:t>
      </w:r>
      <w:r>
        <w:rPr>
          <w:spacing w:val="-2"/>
        </w:rPr>
        <w:t>经过包埋、切片后，进行病理检查的方法。</w:t>
      </w:r>
    </w:p>
    <w:p>
      <w:pPr>
        <w:pStyle w:val="Heading2"/>
        <w:spacing w:line="320" w:lineRule="exact"/>
        <w:ind w:left="540"/>
      </w:pPr>
      <w:r>
        <w:rPr>
          <w:spacing w:val="-3"/>
        </w:rPr>
        <w:t>通过采集病变部位脱落细胞、细针吸取病变部位细胞、体腔积液分离病变细胞等方式</w:t>
      </w:r>
    </w:p>
    <w:p>
      <w:pPr>
        <w:spacing w:line="290" w:lineRule="auto" w:before="81"/>
        <w:ind w:left="120" w:right="401" w:firstLine="0"/>
        <w:jc w:val="left"/>
        <w:rPr>
          <w:rFonts w:ascii="微软雅黑" w:eastAsia="微软雅黑"/>
          <w:b/>
          <w:sz w:val="21"/>
        </w:rPr>
      </w:pPr>
      <w:r>
        <w:rPr>
          <w:rFonts w:ascii="微软雅黑" w:eastAsia="微软雅黑"/>
          <w:b/>
          <w:spacing w:val="-2"/>
          <w:sz w:val="21"/>
        </w:rPr>
        <w:t>获取病变细胞，制成涂片，进行病理检查的方法，属于细胞病理学检查，不属于组织病理</w:t>
      </w:r>
      <w:r>
        <w:rPr>
          <w:rFonts w:ascii="微软雅黑" w:eastAsia="微软雅黑"/>
          <w:b/>
          <w:spacing w:val="-4"/>
          <w:sz w:val="21"/>
        </w:rPr>
        <w:t>学检查。</w:t>
      </w:r>
    </w:p>
    <w:p>
      <w:pPr>
        <w:pStyle w:val="ListParagraph"/>
        <w:numPr>
          <w:ilvl w:val="0"/>
          <w:numId w:val="101"/>
        </w:numPr>
        <w:tabs>
          <w:tab w:pos="961" w:val="left" w:leader="none"/>
        </w:tabs>
        <w:spacing w:line="240" w:lineRule="auto" w:before="67" w:after="0"/>
        <w:ind w:left="960" w:right="0" w:hanging="421"/>
        <w:jc w:val="left"/>
        <w:rPr>
          <w:sz w:val="21"/>
        </w:rPr>
      </w:pPr>
      <w:r>
        <w:rPr>
          <w:spacing w:val="-2"/>
          <w:sz w:val="21"/>
        </w:rPr>
        <w:t>ICD-10与ICD-O-</w:t>
      </w:r>
      <w:r>
        <w:rPr>
          <w:spacing w:val="-10"/>
          <w:sz w:val="21"/>
        </w:rPr>
        <w:t>3</w:t>
      </w:r>
    </w:p>
    <w:p>
      <w:pPr>
        <w:pStyle w:val="BodyText"/>
        <w:spacing w:before="6"/>
        <w:rPr>
          <w:sz w:val="15"/>
        </w:rPr>
      </w:pPr>
    </w:p>
    <w:p>
      <w:pPr>
        <w:pStyle w:val="BodyText"/>
        <w:spacing w:line="417" w:lineRule="auto" w:before="1"/>
        <w:ind w:left="120" w:right="208" w:firstLine="419"/>
      </w:pPr>
      <w:r>
        <w:rPr>
          <w:spacing w:val="-13"/>
          <w:w w:val="100"/>
        </w:rPr>
        <w:t>《疾病和有关健康问题的国际统计分类》第十次修订版</w:t>
      </w:r>
      <w:r>
        <w:rPr>
          <w:w w:val="100"/>
        </w:rPr>
        <w:t>（IC</w:t>
      </w:r>
      <w:r>
        <w:rPr>
          <w:spacing w:val="-3"/>
          <w:w w:val="100"/>
        </w:rPr>
        <w:t>D</w:t>
      </w:r>
      <w:r>
        <w:rPr>
          <w:w w:val="100"/>
        </w:rPr>
        <w:t>-10</w:t>
      </w:r>
      <w:r>
        <w:rPr>
          <w:spacing w:val="-106"/>
          <w:w w:val="100"/>
        </w:rPr>
        <w:t>），</w:t>
      </w:r>
      <w:r>
        <w:rPr>
          <w:spacing w:val="-18"/>
          <w:w w:val="100"/>
        </w:rPr>
        <w:t>是世界卫生组织</w:t>
      </w:r>
      <w:r>
        <w:rPr>
          <w:w w:val="100"/>
        </w:rPr>
        <w:t>（WH</w:t>
      </w:r>
      <w:r>
        <w:rPr>
          <w:spacing w:val="-3"/>
          <w:w w:val="100"/>
        </w:rPr>
        <w:t>O</w:t>
      </w:r>
      <w:r>
        <w:rPr>
          <w:w w:val="100"/>
        </w:rPr>
        <w:t>）</w:t>
      </w:r>
      <w:r>
        <w:rPr>
          <w:spacing w:val="-10"/>
          <w:w w:val="100"/>
        </w:rPr>
        <w:t>发布的国际通用的疾病分类方法。《国际疾病分类肿瘤学专辑》第三版</w:t>
      </w:r>
      <w:r>
        <w:rPr>
          <w:spacing w:val="-3"/>
          <w:w w:val="100"/>
        </w:rPr>
        <w:t>（</w:t>
      </w:r>
      <w:r>
        <w:rPr>
          <w:w w:val="100"/>
        </w:rPr>
        <w:t>ICD</w:t>
      </w:r>
      <w:r>
        <w:rPr>
          <w:spacing w:val="-3"/>
          <w:w w:val="100"/>
        </w:rPr>
        <w:t>-O</w:t>
      </w:r>
      <w:r>
        <w:rPr>
          <w:w w:val="100"/>
        </w:rPr>
        <w:t>-3</w:t>
      </w:r>
      <w:r>
        <w:rPr>
          <w:spacing w:val="-106"/>
          <w:w w:val="100"/>
        </w:rPr>
        <w:t>）</w:t>
      </w:r>
      <w:r>
        <w:rPr>
          <w:spacing w:val="-2"/>
          <w:w w:val="100"/>
        </w:rPr>
        <w:t>，是</w:t>
      </w:r>
      <w:r>
        <w:rPr>
          <w:w w:val="100"/>
        </w:rPr>
        <w:t>WHO</w:t>
      </w:r>
      <w:r>
        <w:rPr>
          <w:w w:val="100"/>
        </w:rPr>
        <w:t> </w:t>
      </w:r>
      <w:r>
        <w:rPr>
          <w:spacing w:val="-2"/>
          <w:w w:val="100"/>
        </w:rPr>
        <w:t>发布的针对</w:t>
      </w:r>
      <w:r>
        <w:rPr>
          <w:w w:val="100"/>
        </w:rPr>
        <w:t>IC</w:t>
      </w:r>
      <w:r>
        <w:rPr>
          <w:spacing w:val="-3"/>
          <w:w w:val="100"/>
        </w:rPr>
        <w:t>D中肿瘤形态学组织学细胞类型、动态、分化程度的补充编码。其中形态学编</w:t>
      </w:r>
      <w:r>
        <w:rPr>
          <w:spacing w:val="-33"/>
          <w:w w:val="100"/>
        </w:rPr>
        <w:t>码：</w:t>
      </w:r>
      <w:r>
        <w:rPr>
          <w:w w:val="100"/>
        </w:rPr>
        <w:t>0</w:t>
      </w:r>
      <w:r>
        <w:rPr>
          <w:spacing w:val="-12"/>
          <w:w w:val="100"/>
        </w:rPr>
        <w:t>代表良性肿瘤；</w:t>
      </w:r>
      <w:r>
        <w:rPr>
          <w:w w:val="100"/>
        </w:rPr>
        <w:t>1</w:t>
      </w:r>
      <w:r>
        <w:rPr>
          <w:spacing w:val="-9"/>
          <w:w w:val="100"/>
        </w:rPr>
        <w:t>代表动态未定性肿瘤；</w:t>
      </w:r>
      <w:r>
        <w:rPr>
          <w:w w:val="100"/>
        </w:rPr>
        <w:t>2</w:t>
      </w:r>
      <w:r>
        <w:rPr>
          <w:spacing w:val="-8"/>
          <w:w w:val="100"/>
        </w:rPr>
        <w:t>代表原位癌和非侵袭性癌；</w:t>
      </w:r>
      <w:r>
        <w:rPr>
          <w:spacing w:val="-3"/>
          <w:w w:val="100"/>
        </w:rPr>
        <w:t>3</w:t>
      </w:r>
      <w:r>
        <w:rPr>
          <w:spacing w:val="-13"/>
          <w:w w:val="100"/>
        </w:rPr>
        <w:t>代表恶性肿瘤</w:t>
      </w:r>
      <w:r>
        <w:rPr>
          <w:w w:val="100"/>
        </w:rPr>
        <w:t>（原发性</w:t>
      </w:r>
      <w:r>
        <w:rPr>
          <w:spacing w:val="-108"/>
          <w:w w:val="100"/>
        </w:rPr>
        <w:t>）</w:t>
      </w:r>
      <w:r>
        <w:rPr>
          <w:spacing w:val="-82"/>
          <w:w w:val="100"/>
        </w:rPr>
        <w:t>；</w:t>
      </w:r>
      <w:r>
        <w:rPr>
          <w:spacing w:val="-3"/>
          <w:w w:val="100"/>
        </w:rPr>
        <w:t>6</w:t>
      </w:r>
      <w:r>
        <w:rPr>
          <w:spacing w:val="-17"/>
          <w:w w:val="100"/>
        </w:rPr>
        <w:t>代表恶性肿瘤</w:t>
      </w:r>
      <w:r>
        <w:rPr>
          <w:w w:val="100"/>
        </w:rPr>
        <w:t>（</w:t>
      </w:r>
      <w:r>
        <w:rPr>
          <w:spacing w:val="-2"/>
          <w:w w:val="100"/>
        </w:rPr>
        <w:t>转移性</w:t>
      </w:r>
      <w:r>
        <w:rPr>
          <w:spacing w:val="-108"/>
          <w:w w:val="100"/>
        </w:rPr>
        <w:t>）</w:t>
      </w:r>
      <w:r>
        <w:rPr>
          <w:spacing w:val="-82"/>
          <w:w w:val="100"/>
        </w:rPr>
        <w:t>；</w:t>
      </w:r>
      <w:r>
        <w:rPr>
          <w:spacing w:val="-3"/>
          <w:w w:val="100"/>
        </w:rPr>
        <w:t>9</w:t>
      </w:r>
      <w:r>
        <w:rPr>
          <w:spacing w:val="-17"/>
          <w:w w:val="100"/>
        </w:rPr>
        <w:t>代表恶性肿瘤</w:t>
      </w:r>
      <w:r>
        <w:rPr>
          <w:w w:val="100"/>
        </w:rPr>
        <w:t>（</w:t>
      </w:r>
      <w:r>
        <w:rPr>
          <w:spacing w:val="-3"/>
          <w:w w:val="100"/>
        </w:rPr>
        <w:t>原发性或转移性未肯定</w:t>
      </w:r>
      <w:r>
        <w:rPr>
          <w:spacing w:val="-106"/>
          <w:w w:val="100"/>
        </w:rPr>
        <w:t>）</w:t>
      </w:r>
      <w:r>
        <w:rPr>
          <w:spacing w:val="-19"/>
          <w:w w:val="100"/>
        </w:rPr>
        <w:t>。如果出现</w:t>
      </w:r>
      <w:r>
        <w:rPr>
          <w:w w:val="100"/>
        </w:rPr>
        <w:t>ICD</w:t>
      </w:r>
      <w:r>
        <w:rPr>
          <w:spacing w:val="-3"/>
          <w:w w:val="100"/>
        </w:rPr>
        <w:t>-</w:t>
      </w:r>
      <w:r>
        <w:rPr>
          <w:w w:val="100"/>
        </w:rPr>
        <w:t>10</w:t>
      </w:r>
      <w:r>
        <w:rPr>
          <w:spacing w:val="-1"/>
          <w:w w:val="100"/>
        </w:rPr>
        <w:t>与</w:t>
      </w:r>
      <w:r>
        <w:rPr>
          <w:w w:val="100"/>
        </w:rPr>
        <w:t>ICD</w:t>
      </w:r>
      <w:r>
        <w:rPr>
          <w:spacing w:val="-3"/>
          <w:w w:val="100"/>
        </w:rPr>
        <w:t>-</w:t>
      </w:r>
      <w:r>
        <w:rPr>
          <w:w w:val="100"/>
        </w:rPr>
        <w:t>O-</w:t>
      </w:r>
      <w:r>
        <w:rPr>
          <w:spacing w:val="-3"/>
          <w:w w:val="100"/>
        </w:rPr>
        <w:t>3不一致的情况，以</w:t>
      </w:r>
      <w:r>
        <w:rPr>
          <w:w w:val="100"/>
        </w:rPr>
        <w:t>ICD</w:t>
      </w:r>
      <w:r>
        <w:rPr>
          <w:spacing w:val="-3"/>
          <w:w w:val="100"/>
        </w:rPr>
        <w:t>-</w:t>
      </w:r>
      <w:r>
        <w:rPr>
          <w:w w:val="100"/>
        </w:rPr>
        <w:t>O-</w:t>
      </w:r>
      <w:r>
        <w:rPr>
          <w:spacing w:val="-3"/>
          <w:w w:val="100"/>
        </w:rPr>
        <w:t>3</w:t>
      </w:r>
      <w:r>
        <w:rPr>
          <w:spacing w:val="-2"/>
          <w:w w:val="100"/>
        </w:rPr>
        <w:t>为准。</w:t>
      </w:r>
    </w:p>
    <w:p>
      <w:pPr>
        <w:pStyle w:val="ListParagraph"/>
        <w:numPr>
          <w:ilvl w:val="0"/>
          <w:numId w:val="101"/>
        </w:numPr>
        <w:tabs>
          <w:tab w:pos="961" w:val="left" w:leader="none"/>
        </w:tabs>
        <w:spacing w:line="268" w:lineRule="exact" w:before="0" w:after="0"/>
        <w:ind w:left="960" w:right="0" w:hanging="421"/>
        <w:jc w:val="left"/>
        <w:rPr>
          <w:sz w:val="21"/>
        </w:rPr>
      </w:pPr>
      <w:r>
        <w:rPr>
          <w:spacing w:val="-2"/>
          <w:sz w:val="21"/>
        </w:rPr>
        <w:t>TNM</w:t>
      </w:r>
      <w:r>
        <w:rPr>
          <w:spacing w:val="-6"/>
          <w:sz w:val="21"/>
        </w:rPr>
        <w:t>分期</w:t>
      </w:r>
    </w:p>
    <w:p>
      <w:pPr>
        <w:pStyle w:val="BodyText"/>
        <w:spacing w:before="7"/>
        <w:rPr>
          <w:sz w:val="15"/>
        </w:rPr>
      </w:pPr>
    </w:p>
    <w:p>
      <w:pPr>
        <w:pStyle w:val="BodyText"/>
        <w:spacing w:line="417" w:lineRule="auto"/>
        <w:ind w:left="120" w:right="211" w:firstLine="419"/>
      </w:pPr>
      <w:r>
        <w:rPr/>
        <w:drawing>
          <wp:anchor distT="0" distB="0" distL="0" distR="0" allowOverlap="1" layoutInCell="1" locked="0" behindDoc="1" simplePos="0" relativeHeight="486297088">
            <wp:simplePos x="0" y="0"/>
            <wp:positionH relativeFrom="page">
              <wp:posOffset>6153530</wp:posOffset>
            </wp:positionH>
            <wp:positionV relativeFrom="paragraph">
              <wp:posOffset>22224</wp:posOffset>
            </wp:positionV>
            <wp:extent cx="123825" cy="127000"/>
            <wp:effectExtent l="0" t="0" r="0" b="0"/>
            <wp:wrapNone/>
            <wp:docPr id="135" name="image2.png"/>
            <wp:cNvGraphicFramePr>
              <a:graphicFrameLocks noChangeAspect="1"/>
            </wp:cNvGraphicFramePr>
            <a:graphic>
              <a:graphicData uri="http://schemas.openxmlformats.org/drawingml/2006/picture">
                <pic:pic>
                  <pic:nvPicPr>
                    <pic:cNvPr id="136" name="image2.png"/>
                    <pic:cNvPicPr/>
                  </pic:nvPicPr>
                  <pic:blipFill>
                    <a:blip r:embed="rId7" cstate="print"/>
                    <a:stretch>
                      <a:fillRect/>
                    </a:stretch>
                  </pic:blipFill>
                  <pic:spPr>
                    <a:xfrm>
                      <a:off x="0" y="0"/>
                      <a:ext cx="123825" cy="127000"/>
                    </a:xfrm>
                    <a:prstGeom prst="rect">
                      <a:avLst/>
                    </a:prstGeom>
                  </pic:spPr>
                </pic:pic>
              </a:graphicData>
            </a:graphic>
          </wp:anchor>
        </w:drawing>
      </w:r>
      <w:r>
        <w:rPr/>
        <w:drawing>
          <wp:anchor distT="0" distB="0" distL="0" distR="0" allowOverlap="1" layoutInCell="1" locked="0" behindDoc="1" simplePos="0" relativeHeight="486297600">
            <wp:simplePos x="0" y="0"/>
            <wp:positionH relativeFrom="page">
              <wp:posOffset>1884269</wp:posOffset>
            </wp:positionH>
            <wp:positionV relativeFrom="paragraph">
              <wp:posOffset>319404</wp:posOffset>
            </wp:positionV>
            <wp:extent cx="123825" cy="127000"/>
            <wp:effectExtent l="0" t="0" r="0" b="0"/>
            <wp:wrapNone/>
            <wp:docPr id="137" name="image2.png"/>
            <wp:cNvGraphicFramePr>
              <a:graphicFrameLocks noChangeAspect="1"/>
            </wp:cNvGraphicFramePr>
            <a:graphic>
              <a:graphicData uri="http://schemas.openxmlformats.org/drawingml/2006/picture">
                <pic:pic>
                  <pic:nvPicPr>
                    <pic:cNvPr id="138"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TNM分期采用AJCC癌症</w:t>
      </w:r>
      <w:r>
        <w:rPr>
          <w:spacing w:val="-2"/>
        </w:rPr>
        <w:t>分</w:t>
      </w:r>
      <w:r>
        <w:rPr>
          <w:spacing w:val="-2"/>
        </w:rPr>
        <w:t>期</w:t>
      </w:r>
      <w:r>
        <w:rPr>
          <w:spacing w:val="-2"/>
        </w:rPr>
        <w:t>手</w:t>
      </w:r>
      <w:r>
        <w:rPr>
          <w:spacing w:val="-2"/>
        </w:rPr>
        <w:t>册</w:t>
      </w:r>
      <w:r>
        <w:rPr>
          <w:spacing w:val="-2"/>
        </w:rPr>
        <w:t>标准。该标准由美国</w:t>
      </w:r>
      <w:r>
        <w:rPr>
          <w:spacing w:val="-2"/>
        </w:rPr>
        <w:t>癌</w:t>
      </w:r>
      <w:r>
        <w:rPr>
          <w:spacing w:val="-2"/>
        </w:rPr>
        <w:t>症</w:t>
      </w:r>
      <w:r>
        <w:rPr>
          <w:spacing w:val="-2"/>
        </w:rPr>
        <w:t>联</w:t>
      </w:r>
      <w:r>
        <w:rPr>
          <w:position w:val="-1"/>
        </w:rPr>
        <w:drawing>
          <wp:inline distT="0" distB="0" distL="0" distR="0">
            <wp:extent cx="123825" cy="127000"/>
            <wp:effectExtent l="0" t="0" r="0" b="0"/>
            <wp:docPr id="139" name="image2.png"/>
            <wp:cNvGraphicFramePr>
              <a:graphicFrameLocks noChangeAspect="1"/>
            </wp:cNvGraphicFramePr>
            <a:graphic>
              <a:graphicData uri="http://schemas.openxmlformats.org/drawingml/2006/picture">
                <pic:pic>
                  <pic:nvPicPr>
                    <pic:cNvPr id="140"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委员会与国际抗</w:t>
      </w:r>
      <w:r>
        <w:rPr>
          <w:spacing w:val="-2"/>
        </w:rPr>
        <w:t>癌</w:t>
      </w:r>
      <w:r>
        <w:rPr>
          <w:spacing w:val="-2"/>
        </w:rPr>
        <w:t>联</w:t>
      </w:r>
      <w:r>
        <w:rPr>
          <w:spacing w:val="-2"/>
        </w:rPr>
        <w:t>会 TNM委员会联制定，是目前肿瘤医学分期的国际通用标准。T指原发肿瘤的大小、形态等； N指淋巴结的转移情况；M指有无其他脏器的转移情况。</w:t>
      </w:r>
    </w:p>
    <w:p>
      <w:pPr>
        <w:pStyle w:val="ListParagraph"/>
        <w:numPr>
          <w:ilvl w:val="0"/>
          <w:numId w:val="101"/>
        </w:numPr>
        <w:tabs>
          <w:tab w:pos="961" w:val="left" w:leader="none"/>
        </w:tabs>
        <w:spacing w:line="268" w:lineRule="exact" w:before="0" w:after="0"/>
        <w:ind w:left="960" w:right="0" w:hanging="421"/>
        <w:jc w:val="left"/>
        <w:rPr>
          <w:sz w:val="21"/>
        </w:rPr>
      </w:pPr>
      <w:r>
        <w:rPr>
          <w:spacing w:val="-2"/>
          <w:sz w:val="21"/>
        </w:rPr>
        <w:t>甲状腺癌的TNM</w:t>
      </w:r>
      <w:r>
        <w:rPr>
          <w:spacing w:val="-6"/>
          <w:sz w:val="21"/>
        </w:rPr>
        <w:t>分期</w:t>
      </w:r>
    </w:p>
    <w:p>
      <w:pPr>
        <w:pStyle w:val="BodyText"/>
        <w:spacing w:before="7"/>
        <w:rPr>
          <w:sz w:val="15"/>
        </w:rPr>
      </w:pPr>
    </w:p>
    <w:p>
      <w:pPr>
        <w:pStyle w:val="BodyText"/>
        <w:ind w:left="540"/>
      </w:pPr>
      <w:r>
        <w:rPr>
          <w:spacing w:val="-2"/>
        </w:rPr>
        <w:t>甲状腺癌的TNM分期采用目前现行的AJCC</w:t>
      </w:r>
      <w:r>
        <w:rPr>
          <w:spacing w:val="-3"/>
        </w:rPr>
        <w:t>第八版定义标准，我国国家卫生健康委员会</w:t>
      </w:r>
    </w:p>
    <w:p>
      <w:pPr>
        <w:spacing w:after="0"/>
        <w:sectPr>
          <w:pgSz w:w="11910" w:h="16840"/>
          <w:pgMar w:header="0" w:footer="1005" w:top="1580" w:bottom="1200" w:left="1680" w:right="1480"/>
        </w:sectPr>
      </w:pPr>
    </w:p>
    <w:p>
      <w:pPr>
        <w:pStyle w:val="BodyText"/>
        <w:spacing w:before="61"/>
        <w:ind w:left="120"/>
      </w:pPr>
      <w:r>
        <w:rPr>
          <w:spacing w:val="-2"/>
        </w:rPr>
        <w:t>2018年发布的《甲状腺癌诊疗规范（2018年版</w:t>
      </w:r>
      <w:r>
        <w:rPr>
          <w:spacing w:val="-106"/>
        </w:rPr>
        <w:t>）</w:t>
      </w:r>
      <w:r>
        <w:rPr>
          <w:spacing w:val="-3"/>
        </w:rPr>
        <w:t>》也采用此定义标准，具体见下：</w:t>
      </w:r>
    </w:p>
    <w:p>
      <w:pPr>
        <w:spacing w:before="125"/>
        <w:ind w:left="521" w:right="0" w:firstLine="0"/>
        <w:jc w:val="left"/>
        <w:rPr>
          <w:rFonts w:ascii="仿宋" w:hAnsi="仿宋" w:eastAsia="仿宋"/>
          <w:sz w:val="20"/>
        </w:rPr>
      </w:pPr>
      <w:r>
        <w:rPr>
          <w:rFonts w:ascii="仿宋" w:hAnsi="仿宋" w:eastAsia="仿宋"/>
          <w:w w:val="95"/>
          <w:sz w:val="20"/>
        </w:rPr>
        <w:t>甲</w:t>
      </w:r>
      <w:r>
        <w:rPr>
          <w:rFonts w:ascii="仿宋" w:hAnsi="仿宋" w:eastAsia="仿宋"/>
          <w:w w:val="95"/>
          <w:sz w:val="20"/>
        </w:rPr>
        <w:t>状</w:t>
      </w:r>
      <w:r>
        <w:rPr>
          <w:rFonts w:ascii="仿宋" w:hAnsi="仿宋" w:eastAsia="仿宋"/>
          <w:w w:val="95"/>
          <w:sz w:val="20"/>
        </w:rPr>
        <w:t>腺</w:t>
      </w:r>
      <w:r>
        <w:rPr>
          <w:rFonts w:ascii="仿宋" w:hAnsi="仿宋" w:eastAsia="仿宋"/>
          <w:w w:val="95"/>
          <w:sz w:val="20"/>
        </w:rPr>
        <w:t>乳</w:t>
      </w:r>
      <w:r>
        <w:rPr>
          <w:rFonts w:ascii="仿宋" w:hAnsi="仿宋" w:eastAsia="仿宋"/>
          <w:w w:val="95"/>
          <w:sz w:val="20"/>
        </w:rPr>
        <w:t>头</w:t>
      </w:r>
      <w:r>
        <w:rPr>
          <w:rFonts w:ascii="仿宋" w:hAnsi="仿宋" w:eastAsia="仿宋"/>
          <w:w w:val="95"/>
          <w:sz w:val="20"/>
        </w:rPr>
        <w:t>状</w:t>
      </w:r>
      <w:r>
        <w:rPr>
          <w:rFonts w:ascii="仿宋" w:hAnsi="仿宋" w:eastAsia="仿宋"/>
          <w:w w:val="95"/>
          <w:sz w:val="20"/>
        </w:rPr>
        <w:t>癌</w:t>
      </w:r>
      <w:r>
        <w:rPr>
          <w:rFonts w:ascii="仿宋" w:hAnsi="仿宋" w:eastAsia="仿宋"/>
          <w:w w:val="95"/>
          <w:sz w:val="20"/>
        </w:rPr>
        <w:t>、</w:t>
      </w:r>
      <w:r>
        <w:rPr>
          <w:rFonts w:ascii="仿宋" w:hAnsi="仿宋" w:eastAsia="仿宋"/>
          <w:w w:val="95"/>
          <w:sz w:val="20"/>
        </w:rPr>
        <w:t>滤</w:t>
      </w:r>
      <w:r>
        <w:rPr>
          <w:rFonts w:ascii="仿宋" w:hAnsi="仿宋" w:eastAsia="仿宋"/>
          <w:w w:val="95"/>
          <w:sz w:val="20"/>
        </w:rPr>
        <w:t>泡</w:t>
      </w:r>
      <w:r>
        <w:rPr>
          <w:rFonts w:ascii="仿宋" w:hAnsi="仿宋" w:eastAsia="仿宋"/>
          <w:w w:val="95"/>
          <w:sz w:val="20"/>
        </w:rPr>
        <w:t>癌</w:t>
      </w:r>
      <w:r>
        <w:rPr>
          <w:rFonts w:ascii="仿宋" w:hAnsi="仿宋" w:eastAsia="仿宋"/>
          <w:w w:val="95"/>
          <w:sz w:val="20"/>
        </w:rPr>
        <w:t>、</w:t>
      </w:r>
      <w:r>
        <w:rPr>
          <w:rFonts w:ascii="仿宋" w:hAnsi="仿宋" w:eastAsia="仿宋"/>
          <w:w w:val="95"/>
          <w:sz w:val="20"/>
        </w:rPr>
        <w:t>低</w:t>
      </w:r>
      <w:r>
        <w:rPr>
          <w:rFonts w:ascii="仿宋" w:hAnsi="仿宋" w:eastAsia="仿宋"/>
          <w:w w:val="95"/>
          <w:sz w:val="20"/>
        </w:rPr>
        <w:t>分</w:t>
      </w:r>
      <w:r>
        <w:rPr>
          <w:rFonts w:ascii="仿宋" w:hAnsi="仿宋" w:eastAsia="仿宋"/>
          <w:w w:val="95"/>
          <w:sz w:val="20"/>
        </w:rPr>
        <w:t>化</w:t>
      </w:r>
      <w:r>
        <w:rPr>
          <w:rFonts w:ascii="仿宋" w:hAnsi="仿宋" w:eastAsia="仿宋"/>
          <w:w w:val="95"/>
          <w:sz w:val="20"/>
        </w:rPr>
        <w:t>癌、</w:t>
      </w:r>
      <w:r>
        <w:rPr>
          <w:rFonts w:ascii="Cambria Math" w:hAnsi="Cambria Math" w:eastAsia="Cambria Math"/>
          <w:w w:val="95"/>
          <w:sz w:val="20"/>
        </w:rPr>
        <w:t>Hürthle</w:t>
      </w:r>
      <w:r>
        <w:rPr>
          <w:rFonts w:ascii="仿宋" w:hAnsi="仿宋" w:eastAsia="仿宋"/>
          <w:w w:val="95"/>
          <w:sz w:val="20"/>
        </w:rPr>
        <w:t>细</w:t>
      </w:r>
      <w:r>
        <w:rPr>
          <w:rFonts w:ascii="仿宋" w:hAnsi="仿宋" w:eastAsia="仿宋"/>
          <w:w w:val="95"/>
          <w:sz w:val="20"/>
        </w:rPr>
        <w:t>胞</w:t>
      </w:r>
      <w:r>
        <w:rPr>
          <w:rFonts w:ascii="仿宋" w:hAnsi="仿宋" w:eastAsia="仿宋"/>
          <w:w w:val="95"/>
          <w:sz w:val="20"/>
        </w:rPr>
        <w:t>癌</w:t>
      </w:r>
      <w:r>
        <w:rPr>
          <w:rFonts w:ascii="仿宋" w:hAnsi="仿宋" w:eastAsia="仿宋"/>
          <w:w w:val="95"/>
          <w:sz w:val="20"/>
        </w:rPr>
        <w:t>和</w:t>
      </w:r>
      <w:r>
        <w:rPr>
          <w:rFonts w:ascii="仿宋" w:hAnsi="仿宋" w:eastAsia="仿宋"/>
          <w:w w:val="95"/>
          <w:sz w:val="20"/>
        </w:rPr>
        <w:t>未</w:t>
      </w:r>
      <w:r>
        <w:rPr>
          <w:rFonts w:ascii="仿宋" w:hAnsi="仿宋" w:eastAsia="仿宋"/>
          <w:w w:val="95"/>
          <w:sz w:val="20"/>
        </w:rPr>
        <w:t>分</w:t>
      </w:r>
      <w:r>
        <w:rPr>
          <w:rFonts w:ascii="仿宋" w:hAnsi="仿宋" w:eastAsia="仿宋"/>
          <w:spacing w:val="-5"/>
          <w:w w:val="95"/>
          <w:sz w:val="20"/>
        </w:rPr>
        <w:t>化癌</w:t>
      </w:r>
    </w:p>
    <w:p>
      <w:pPr>
        <w:spacing w:line="292" w:lineRule="auto" w:before="56"/>
        <w:ind w:left="521" w:right="6114"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X</w:t>
      </w:r>
      <w:r>
        <w:rPr>
          <w:rFonts w:ascii="仿宋" w:eastAsia="仿宋"/>
          <w:spacing w:val="-2"/>
          <w:sz w:val="20"/>
          <w:vertAlign w:val="baseline"/>
        </w:rPr>
        <w:t>：原发</w:t>
      </w:r>
      <w:r>
        <w:rPr>
          <w:rFonts w:ascii="仿宋" w:eastAsia="仿宋"/>
          <w:spacing w:val="-2"/>
          <w:sz w:val="20"/>
          <w:vertAlign w:val="baseline"/>
        </w:rPr>
        <w:t>肿</w:t>
      </w:r>
      <w:r>
        <w:rPr>
          <w:rFonts w:ascii="仿宋" w:eastAsia="仿宋"/>
          <w:spacing w:val="-2"/>
          <w:sz w:val="20"/>
          <w:vertAlign w:val="baseline"/>
        </w:rPr>
        <w:t>瘤</w:t>
      </w:r>
      <w:r>
        <w:rPr>
          <w:rFonts w:ascii="仿宋" w:eastAsia="仿宋"/>
          <w:spacing w:val="-2"/>
          <w:sz w:val="20"/>
          <w:vertAlign w:val="baseline"/>
        </w:rPr>
        <w:t>不</w:t>
      </w:r>
      <w:r>
        <w:rPr>
          <w:rFonts w:ascii="仿宋" w:eastAsia="仿宋"/>
          <w:spacing w:val="-2"/>
          <w:sz w:val="20"/>
          <w:vertAlign w:val="baseline"/>
        </w:rPr>
        <w:t>能</w:t>
      </w:r>
      <w:r>
        <w:rPr>
          <w:rFonts w:ascii="仿宋" w:eastAsia="仿宋"/>
          <w:spacing w:val="-2"/>
          <w:sz w:val="20"/>
          <w:vertAlign w:val="baseline"/>
        </w:rPr>
        <w:t>评</w:t>
      </w:r>
      <w:r>
        <w:rPr>
          <w:rFonts w:ascii="仿宋" w:eastAsia="仿宋"/>
          <w:spacing w:val="-2"/>
          <w:sz w:val="20"/>
          <w:vertAlign w:val="baseline"/>
        </w:rPr>
        <w:t>估 </w:t>
      </w:r>
      <w:r>
        <w:rPr>
          <w:rFonts w:ascii="Cambria Math" w:eastAsia="Cambria Math"/>
          <w:spacing w:val="-2"/>
          <w:sz w:val="20"/>
          <w:vertAlign w:val="baseline"/>
        </w:rPr>
        <w:t>pT</w:t>
      </w:r>
      <w:r>
        <w:rPr>
          <w:rFonts w:ascii="Cambria Math" w:eastAsia="Cambria Math"/>
          <w:spacing w:val="-2"/>
          <w:sz w:val="20"/>
          <w:vertAlign w:val="subscript"/>
        </w:rPr>
        <w:t>0</w:t>
      </w:r>
      <w:r>
        <w:rPr>
          <w:rFonts w:ascii="仿宋" w:eastAsia="仿宋"/>
          <w:spacing w:val="-2"/>
          <w:sz w:val="20"/>
          <w:vertAlign w:val="baseline"/>
        </w:rPr>
        <w:t>：无肿</w:t>
      </w:r>
      <w:r>
        <w:rPr>
          <w:rFonts w:ascii="仿宋" w:eastAsia="仿宋"/>
          <w:spacing w:val="-2"/>
          <w:sz w:val="20"/>
          <w:vertAlign w:val="baseline"/>
        </w:rPr>
        <w:t>瘤</w:t>
      </w:r>
      <w:r>
        <w:rPr>
          <w:rFonts w:ascii="仿宋" w:eastAsia="仿宋"/>
          <w:spacing w:val="-2"/>
          <w:sz w:val="20"/>
          <w:vertAlign w:val="baseline"/>
        </w:rPr>
        <w:t>证</w:t>
      </w:r>
      <w:r>
        <w:rPr>
          <w:rFonts w:ascii="仿宋" w:eastAsia="仿宋"/>
          <w:spacing w:val="-2"/>
          <w:sz w:val="20"/>
          <w:vertAlign w:val="baseline"/>
        </w:rPr>
        <w:t>据</w:t>
      </w:r>
    </w:p>
    <w:p>
      <w:pPr>
        <w:spacing w:line="255" w:lineRule="exact" w:before="0"/>
        <w:ind w:left="521" w:right="0" w:firstLine="0"/>
        <w:jc w:val="left"/>
        <w:rPr>
          <w:rFonts w:ascii="Cambria Math" w:hAnsi="Cambria Math" w:eastAsia="Cambria Math"/>
          <w:sz w:val="20"/>
        </w:rPr>
      </w:pPr>
      <w:r>
        <w:rPr>
          <w:rFonts w:ascii="Cambria Math" w:hAnsi="Cambria Math" w:eastAsia="Cambria Math"/>
          <w:w w:val="95"/>
          <w:sz w:val="20"/>
        </w:rPr>
        <w:t>pT</w:t>
      </w:r>
      <w:r>
        <w:rPr>
          <w:rFonts w:ascii="Cambria Math" w:hAnsi="Cambria Math" w:eastAsia="Cambria Math"/>
          <w:w w:val="95"/>
          <w:sz w:val="20"/>
          <w:vertAlign w:val="subscript"/>
        </w:rPr>
        <w:t>1</w:t>
      </w:r>
      <w:r>
        <w:rPr>
          <w:rFonts w:ascii="仿宋" w:hAnsi="仿宋" w:eastAsia="仿宋"/>
          <w:w w:val="95"/>
          <w:sz w:val="20"/>
          <w:vertAlign w:val="baseline"/>
        </w:rPr>
        <w:t>：肿瘤</w:t>
      </w:r>
      <w:r>
        <w:rPr>
          <w:rFonts w:ascii="仿宋" w:hAnsi="仿宋" w:eastAsia="仿宋"/>
          <w:w w:val="95"/>
          <w:sz w:val="20"/>
          <w:vertAlign w:val="baseline"/>
        </w:rPr>
        <w:t>局</w:t>
      </w:r>
      <w:r>
        <w:rPr>
          <w:rFonts w:ascii="仿宋" w:hAnsi="仿宋" w:eastAsia="仿宋"/>
          <w:w w:val="95"/>
          <w:sz w:val="20"/>
          <w:vertAlign w:val="baseline"/>
        </w:rPr>
        <w:t>限</w:t>
      </w:r>
      <w:r>
        <w:rPr>
          <w:rFonts w:ascii="仿宋" w:hAnsi="仿宋" w:eastAsia="仿宋"/>
          <w:w w:val="95"/>
          <w:sz w:val="20"/>
          <w:vertAlign w:val="baseline"/>
        </w:rPr>
        <w:t>在</w:t>
      </w:r>
      <w:r>
        <w:rPr>
          <w:rFonts w:ascii="仿宋" w:hAnsi="仿宋" w:eastAsia="仿宋"/>
          <w:w w:val="95"/>
          <w:sz w:val="20"/>
          <w:vertAlign w:val="baseline"/>
        </w:rPr>
        <w:t>甲</w:t>
      </w:r>
      <w:r>
        <w:rPr>
          <w:rFonts w:ascii="仿宋" w:hAnsi="仿宋" w:eastAsia="仿宋"/>
          <w:w w:val="95"/>
          <w:sz w:val="20"/>
          <w:vertAlign w:val="baseline"/>
        </w:rPr>
        <w:t>状</w:t>
      </w:r>
      <w:r>
        <w:rPr>
          <w:rFonts w:ascii="仿宋" w:hAnsi="仿宋" w:eastAsia="仿宋"/>
          <w:w w:val="95"/>
          <w:sz w:val="20"/>
          <w:vertAlign w:val="baseline"/>
        </w:rPr>
        <w:t>腺</w:t>
      </w:r>
      <w:r>
        <w:rPr>
          <w:rFonts w:ascii="仿宋" w:hAnsi="仿宋" w:eastAsia="仿宋"/>
          <w:w w:val="95"/>
          <w:sz w:val="20"/>
          <w:vertAlign w:val="baseline"/>
        </w:rPr>
        <w:t>内</w:t>
      </w:r>
      <w:r>
        <w:rPr>
          <w:rFonts w:ascii="仿宋" w:hAnsi="仿宋" w:eastAsia="仿宋"/>
          <w:w w:val="95"/>
          <w:sz w:val="20"/>
          <w:vertAlign w:val="baseline"/>
        </w:rPr>
        <w:t>，最</w:t>
      </w:r>
      <w:r>
        <w:rPr>
          <w:rFonts w:ascii="仿宋" w:hAnsi="仿宋" w:eastAsia="仿宋"/>
          <w:w w:val="95"/>
          <w:sz w:val="20"/>
          <w:vertAlign w:val="baseline"/>
        </w:rPr>
        <w:t>大</w:t>
      </w:r>
      <w:r>
        <w:rPr>
          <w:rFonts w:ascii="仿宋" w:hAnsi="仿宋" w:eastAsia="仿宋"/>
          <w:w w:val="95"/>
          <w:sz w:val="20"/>
          <w:vertAlign w:val="baseline"/>
        </w:rPr>
        <w:t>径</w:t>
      </w:r>
      <w:r>
        <w:rPr>
          <w:rFonts w:ascii="仿宋" w:hAnsi="仿宋" w:eastAsia="仿宋"/>
          <w:spacing w:val="-4"/>
          <w:w w:val="95"/>
          <w:sz w:val="20"/>
          <w:vertAlign w:val="baseline"/>
        </w:rPr>
        <w:t>≤</w:t>
      </w:r>
      <w:r>
        <w:rPr>
          <w:rFonts w:ascii="Cambria Math" w:hAnsi="Cambria Math" w:eastAsia="Cambria Math"/>
          <w:spacing w:val="-4"/>
          <w:w w:val="95"/>
          <w:sz w:val="20"/>
          <w:vertAlign w:val="baseline"/>
        </w:rPr>
        <w:t>2cm</w:t>
      </w:r>
    </w:p>
    <w:p>
      <w:pPr>
        <w:spacing w:before="56"/>
        <w:ind w:left="919" w:right="0" w:firstLine="0"/>
        <w:jc w:val="left"/>
        <w:rPr>
          <w:rFonts w:ascii="Cambria Math" w:hAnsi="Cambria Math" w:eastAsia="Cambria Math"/>
          <w:sz w:val="20"/>
        </w:rPr>
      </w:pPr>
      <w:r>
        <w:rPr>
          <w:rFonts w:ascii="Cambria Math" w:hAnsi="Cambria Math" w:eastAsia="Cambria Math"/>
          <w:spacing w:val="-2"/>
          <w:sz w:val="20"/>
        </w:rPr>
        <w:t>T</w:t>
      </w:r>
      <w:r>
        <w:rPr>
          <w:rFonts w:ascii="Cambria Math" w:hAnsi="Cambria Math" w:eastAsia="Cambria Math"/>
          <w:spacing w:val="-2"/>
          <w:sz w:val="20"/>
          <w:vertAlign w:val="subscript"/>
        </w:rPr>
        <w:t>1a</w:t>
      </w:r>
      <w:r>
        <w:rPr>
          <w:rFonts w:ascii="仿宋" w:hAnsi="仿宋" w:eastAsia="仿宋"/>
          <w:spacing w:val="-2"/>
          <w:sz w:val="20"/>
          <w:vertAlign w:val="baseline"/>
        </w:rPr>
        <w:t>肿</w:t>
      </w:r>
      <w:r>
        <w:rPr>
          <w:rFonts w:ascii="仿宋" w:hAnsi="仿宋" w:eastAsia="仿宋"/>
          <w:spacing w:val="-2"/>
          <w:sz w:val="20"/>
          <w:vertAlign w:val="baseline"/>
        </w:rPr>
        <w:t>瘤</w:t>
      </w:r>
      <w:r>
        <w:rPr>
          <w:rFonts w:ascii="仿宋" w:hAnsi="仿宋" w:eastAsia="仿宋"/>
          <w:spacing w:val="-2"/>
          <w:sz w:val="20"/>
          <w:vertAlign w:val="baseline"/>
        </w:rPr>
        <w:t>最</w:t>
      </w:r>
      <w:r>
        <w:rPr>
          <w:rFonts w:ascii="仿宋" w:hAnsi="仿宋" w:eastAsia="仿宋"/>
          <w:spacing w:val="-3"/>
          <w:sz w:val="20"/>
          <w:vertAlign w:val="baseline"/>
        </w:rPr>
        <w:t>大径≤</w:t>
      </w:r>
      <w:r>
        <w:rPr>
          <w:rFonts w:ascii="Cambria Math" w:hAnsi="Cambria Math" w:eastAsia="Cambria Math"/>
          <w:spacing w:val="-4"/>
          <w:sz w:val="20"/>
          <w:vertAlign w:val="baseline"/>
        </w:rPr>
        <w:t>1cm</w:t>
      </w:r>
    </w:p>
    <w:p>
      <w:pPr>
        <w:spacing w:line="292" w:lineRule="auto" w:before="55"/>
        <w:ind w:left="521" w:right="5083" w:firstLine="398"/>
        <w:jc w:val="left"/>
        <w:rPr>
          <w:rFonts w:ascii="Cambria Math" w:hAnsi="Cambria Math" w:eastAsia="Cambria Math"/>
          <w:sz w:val="20"/>
        </w:rPr>
      </w:pPr>
      <w:r>
        <w:rPr>
          <w:rFonts w:ascii="Cambria Math" w:hAnsi="Cambria Math" w:eastAsia="Cambria Math"/>
          <w:spacing w:val="-2"/>
          <w:sz w:val="20"/>
        </w:rPr>
        <w:t>T</w:t>
      </w:r>
      <w:r>
        <w:rPr>
          <w:rFonts w:ascii="Cambria Math" w:hAnsi="Cambria Math" w:eastAsia="Cambria Math"/>
          <w:spacing w:val="-2"/>
          <w:sz w:val="20"/>
          <w:vertAlign w:val="subscript"/>
        </w:rPr>
        <w:t>1b</w:t>
      </w:r>
      <w:r>
        <w:rPr>
          <w:rFonts w:ascii="仿宋" w:hAnsi="仿宋" w:eastAsia="仿宋"/>
          <w:spacing w:val="-2"/>
          <w:sz w:val="20"/>
          <w:vertAlign w:val="baseline"/>
        </w:rPr>
        <w:t>肿</w:t>
      </w:r>
      <w:r>
        <w:rPr>
          <w:rFonts w:ascii="仿宋" w:hAnsi="仿宋" w:eastAsia="仿宋"/>
          <w:spacing w:val="-2"/>
          <w:sz w:val="20"/>
          <w:vertAlign w:val="baseline"/>
        </w:rPr>
        <w:t>瘤</w:t>
      </w:r>
      <w:r>
        <w:rPr>
          <w:rFonts w:ascii="仿宋" w:hAnsi="仿宋" w:eastAsia="仿宋"/>
          <w:spacing w:val="-2"/>
          <w:sz w:val="20"/>
          <w:vertAlign w:val="baseline"/>
        </w:rPr>
        <w:t>最</w:t>
      </w:r>
      <w:r>
        <w:rPr>
          <w:rFonts w:ascii="仿宋" w:hAnsi="仿宋" w:eastAsia="仿宋"/>
          <w:spacing w:val="-2"/>
          <w:sz w:val="20"/>
          <w:vertAlign w:val="baseline"/>
        </w:rPr>
        <w:t>大径＞</w:t>
      </w:r>
      <w:r>
        <w:rPr>
          <w:rFonts w:ascii="Cambria Math" w:hAnsi="Cambria Math" w:eastAsia="Cambria Math"/>
          <w:spacing w:val="-2"/>
          <w:sz w:val="20"/>
          <w:vertAlign w:val="baseline"/>
        </w:rPr>
        <w:t>1cm</w:t>
      </w:r>
      <w:r>
        <w:rPr>
          <w:rFonts w:ascii="仿宋" w:hAnsi="仿宋" w:eastAsia="仿宋"/>
          <w:spacing w:val="-2"/>
          <w:sz w:val="20"/>
          <w:vertAlign w:val="baseline"/>
        </w:rPr>
        <w:t>，≤</w:t>
      </w:r>
      <w:r>
        <w:rPr>
          <w:rFonts w:ascii="Cambria Math" w:hAnsi="Cambria Math" w:eastAsia="Cambria Math"/>
          <w:spacing w:val="-2"/>
          <w:sz w:val="20"/>
          <w:vertAlign w:val="baseline"/>
        </w:rPr>
        <w:t>2c</w:t>
      </w:r>
      <w:r>
        <w:rPr>
          <w:rFonts w:ascii="Cambria Math" w:hAnsi="Cambria Math" w:eastAsia="Cambria Math"/>
          <w:spacing w:val="-2"/>
          <w:sz w:val="20"/>
          <w:vertAlign w:val="baseline"/>
        </w:rPr>
        <w:t>m pT</w:t>
      </w:r>
      <w:r>
        <w:rPr>
          <w:rFonts w:ascii="Cambria Math" w:hAnsi="Cambria Math" w:eastAsia="Cambria Math"/>
          <w:spacing w:val="-2"/>
          <w:sz w:val="20"/>
          <w:vertAlign w:val="subscript"/>
        </w:rPr>
        <w:t>2</w:t>
      </w:r>
      <w:r>
        <w:rPr>
          <w:rFonts w:ascii="仿宋" w:hAnsi="仿宋" w:eastAsia="仿宋"/>
          <w:spacing w:val="-2"/>
          <w:sz w:val="20"/>
          <w:vertAlign w:val="baseline"/>
        </w:rPr>
        <w:t>：肿瘤</w:t>
      </w:r>
      <w:r>
        <w:rPr>
          <w:rFonts w:ascii="Cambria Math" w:hAnsi="Cambria Math" w:eastAsia="Cambria Math"/>
          <w:spacing w:val="-2"/>
          <w:sz w:val="20"/>
          <w:vertAlign w:val="baseline"/>
        </w:rPr>
        <w:t>2</w:t>
      </w:r>
      <w:r>
        <w:rPr>
          <w:rFonts w:ascii="仿宋" w:hAnsi="仿宋" w:eastAsia="仿宋"/>
          <w:spacing w:val="-2"/>
          <w:sz w:val="20"/>
          <w:vertAlign w:val="baseline"/>
        </w:rPr>
        <w:t>～</w:t>
      </w:r>
      <w:r>
        <w:rPr>
          <w:rFonts w:ascii="Cambria Math" w:hAnsi="Cambria Math" w:eastAsia="Cambria Math"/>
          <w:spacing w:val="-2"/>
          <w:sz w:val="20"/>
          <w:vertAlign w:val="baseline"/>
        </w:rPr>
        <w:t>4cm</w:t>
      </w:r>
    </w:p>
    <w:p>
      <w:pPr>
        <w:spacing w:line="292" w:lineRule="auto" w:before="0"/>
        <w:ind w:left="521" w:right="2807"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3</w:t>
      </w:r>
      <w:r>
        <w:rPr>
          <w:rFonts w:ascii="仿宋" w:eastAsia="仿宋"/>
          <w:spacing w:val="-2"/>
          <w:sz w:val="20"/>
          <w:vertAlign w:val="baseline"/>
        </w:rPr>
        <w:t>：肿瘤</w:t>
      </w:r>
      <w:r>
        <w:rPr>
          <w:rFonts w:ascii="Cambria Math" w:eastAsia="Cambria Math"/>
          <w:spacing w:val="-2"/>
          <w:sz w:val="20"/>
          <w:vertAlign w:val="baseline"/>
        </w:rPr>
        <w:t>&gt;4cm</w:t>
      </w:r>
      <w:r>
        <w:rPr>
          <w:rFonts w:ascii="仿宋" w:eastAsia="仿宋"/>
          <w:spacing w:val="-2"/>
          <w:sz w:val="20"/>
          <w:vertAlign w:val="baseline"/>
        </w:rPr>
        <w:t>，</w:t>
      </w:r>
      <w:r>
        <w:rPr>
          <w:rFonts w:ascii="仿宋" w:eastAsia="仿宋"/>
          <w:spacing w:val="-2"/>
          <w:sz w:val="20"/>
          <w:vertAlign w:val="baseline"/>
        </w:rPr>
        <w:t>局</w:t>
      </w:r>
      <w:r>
        <w:rPr>
          <w:rFonts w:ascii="仿宋" w:eastAsia="仿宋"/>
          <w:spacing w:val="-2"/>
          <w:sz w:val="20"/>
          <w:vertAlign w:val="baseline"/>
        </w:rPr>
        <w:t>限</w:t>
      </w:r>
      <w:r>
        <w:rPr>
          <w:rFonts w:ascii="仿宋" w:eastAsia="仿宋"/>
          <w:spacing w:val="-2"/>
          <w:sz w:val="20"/>
          <w:vertAlign w:val="baseline"/>
        </w:rPr>
        <w:t>于</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内</w:t>
      </w:r>
      <w:r>
        <w:rPr>
          <w:rFonts w:ascii="仿宋" w:eastAsia="仿宋"/>
          <w:spacing w:val="-2"/>
          <w:sz w:val="20"/>
          <w:vertAlign w:val="baseline"/>
        </w:rPr>
        <w:t>或</w:t>
      </w:r>
      <w:r>
        <w:rPr>
          <w:rFonts w:ascii="仿宋" w:eastAsia="仿宋"/>
          <w:spacing w:val="-2"/>
          <w:sz w:val="20"/>
          <w:vertAlign w:val="baseline"/>
        </w:rPr>
        <w:t>大</w:t>
      </w:r>
      <w:r>
        <w:rPr>
          <w:rFonts w:ascii="仿宋" w:eastAsia="仿宋"/>
          <w:spacing w:val="-2"/>
          <w:sz w:val="20"/>
          <w:vertAlign w:val="baseline"/>
        </w:rPr>
        <w:t>体</w:t>
      </w:r>
      <w:r>
        <w:rPr>
          <w:rFonts w:ascii="仿宋" w:eastAsia="仿宋"/>
          <w:spacing w:val="-2"/>
          <w:sz w:val="20"/>
          <w:vertAlign w:val="baseline"/>
        </w:rPr>
        <w:t>侵</w:t>
      </w:r>
      <w:r>
        <w:rPr>
          <w:rFonts w:ascii="仿宋" w:eastAsia="仿宋"/>
          <w:spacing w:val="-2"/>
          <w:sz w:val="20"/>
          <w:vertAlign w:val="baseline"/>
        </w:rPr>
        <w:t>犯</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外</w:t>
      </w:r>
      <w:r>
        <w:rPr>
          <w:rFonts w:ascii="仿宋" w:eastAsia="仿宋"/>
          <w:spacing w:val="-2"/>
          <w:sz w:val="20"/>
          <w:vertAlign w:val="baseline"/>
        </w:rPr>
        <w:t>带</w:t>
      </w:r>
      <w:r>
        <w:rPr>
          <w:rFonts w:ascii="仿宋" w:eastAsia="仿宋"/>
          <w:spacing w:val="-2"/>
          <w:sz w:val="20"/>
          <w:vertAlign w:val="baseline"/>
        </w:rPr>
        <w:t>状肌 </w:t>
      </w:r>
      <w:r>
        <w:rPr>
          <w:rFonts w:ascii="Cambria Math" w:eastAsia="Cambria Math"/>
          <w:spacing w:val="-2"/>
          <w:sz w:val="20"/>
          <w:vertAlign w:val="baseline"/>
        </w:rPr>
        <w:t>pT</w:t>
      </w:r>
      <w:r>
        <w:rPr>
          <w:rFonts w:ascii="Cambria Math" w:eastAsia="Cambria Math"/>
          <w:spacing w:val="-2"/>
          <w:sz w:val="20"/>
          <w:vertAlign w:val="subscript"/>
        </w:rPr>
        <w:t>3a</w:t>
      </w:r>
      <w:r>
        <w:rPr>
          <w:rFonts w:ascii="仿宋" w:eastAsia="仿宋"/>
          <w:spacing w:val="-2"/>
          <w:sz w:val="20"/>
          <w:vertAlign w:val="baseline"/>
        </w:rPr>
        <w:t>：肿瘤</w:t>
      </w:r>
      <w:r>
        <w:rPr>
          <w:rFonts w:ascii="Cambria Math" w:eastAsia="Cambria Math"/>
          <w:spacing w:val="-2"/>
          <w:sz w:val="20"/>
          <w:vertAlign w:val="baseline"/>
        </w:rPr>
        <w:t>&gt;4cm</w:t>
      </w:r>
      <w:r>
        <w:rPr>
          <w:rFonts w:ascii="仿宋" w:eastAsia="仿宋"/>
          <w:spacing w:val="-2"/>
          <w:sz w:val="20"/>
          <w:vertAlign w:val="baseline"/>
        </w:rPr>
        <w:t>，</w:t>
      </w:r>
      <w:r>
        <w:rPr>
          <w:rFonts w:ascii="仿宋" w:eastAsia="仿宋"/>
          <w:spacing w:val="-2"/>
          <w:sz w:val="20"/>
          <w:vertAlign w:val="baseline"/>
        </w:rPr>
        <w:t>局</w:t>
      </w:r>
      <w:r>
        <w:rPr>
          <w:rFonts w:ascii="仿宋" w:eastAsia="仿宋"/>
          <w:spacing w:val="-2"/>
          <w:sz w:val="20"/>
          <w:vertAlign w:val="baseline"/>
        </w:rPr>
        <w:t>限</w:t>
      </w:r>
      <w:r>
        <w:rPr>
          <w:rFonts w:ascii="仿宋" w:eastAsia="仿宋"/>
          <w:spacing w:val="-2"/>
          <w:sz w:val="20"/>
          <w:vertAlign w:val="baseline"/>
        </w:rPr>
        <w:t>于</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腺内</w:t>
      </w:r>
    </w:p>
    <w:p>
      <w:pPr>
        <w:spacing w:line="255" w:lineRule="exact" w:before="0"/>
        <w:ind w:left="521" w:right="0" w:firstLine="0"/>
        <w:jc w:val="left"/>
        <w:rPr>
          <w:rFonts w:ascii="仿宋" w:eastAsia="仿宋"/>
          <w:sz w:val="20"/>
        </w:rPr>
      </w:pPr>
      <w:r>
        <w:rPr>
          <w:rFonts w:ascii="Cambria Math" w:eastAsia="Cambria Math"/>
          <w:w w:val="95"/>
          <w:sz w:val="20"/>
        </w:rPr>
        <w:t>pT</w:t>
      </w:r>
      <w:r>
        <w:rPr>
          <w:rFonts w:ascii="Cambria Math" w:eastAsia="Cambria Math"/>
          <w:w w:val="95"/>
          <w:sz w:val="20"/>
          <w:vertAlign w:val="subscript"/>
        </w:rPr>
        <w:t>3b</w:t>
      </w:r>
      <w:r>
        <w:rPr>
          <w:rFonts w:ascii="仿宋" w:eastAsia="仿宋"/>
          <w:w w:val="95"/>
          <w:sz w:val="20"/>
          <w:vertAlign w:val="baseline"/>
        </w:rPr>
        <w:t>：大体</w:t>
      </w:r>
      <w:r>
        <w:rPr>
          <w:rFonts w:ascii="仿宋" w:eastAsia="仿宋"/>
          <w:w w:val="95"/>
          <w:sz w:val="20"/>
          <w:vertAlign w:val="baseline"/>
        </w:rPr>
        <w:t>侵</w:t>
      </w:r>
      <w:r>
        <w:rPr>
          <w:rFonts w:ascii="仿宋" w:eastAsia="仿宋"/>
          <w:w w:val="95"/>
          <w:sz w:val="20"/>
          <w:vertAlign w:val="baseline"/>
        </w:rPr>
        <w:t>犯</w:t>
      </w:r>
      <w:r>
        <w:rPr>
          <w:rFonts w:ascii="仿宋" w:eastAsia="仿宋"/>
          <w:w w:val="95"/>
          <w:sz w:val="20"/>
          <w:vertAlign w:val="baseline"/>
        </w:rPr>
        <w:t>甲</w:t>
      </w:r>
      <w:r>
        <w:rPr>
          <w:rFonts w:ascii="仿宋" w:eastAsia="仿宋"/>
          <w:w w:val="95"/>
          <w:sz w:val="20"/>
          <w:vertAlign w:val="baseline"/>
        </w:rPr>
        <w:t>状</w:t>
      </w:r>
      <w:r>
        <w:rPr>
          <w:rFonts w:ascii="仿宋" w:eastAsia="仿宋"/>
          <w:w w:val="95"/>
          <w:sz w:val="20"/>
          <w:vertAlign w:val="baseline"/>
        </w:rPr>
        <w:t>腺</w:t>
      </w:r>
      <w:r>
        <w:rPr>
          <w:rFonts w:ascii="仿宋" w:eastAsia="仿宋"/>
          <w:w w:val="95"/>
          <w:sz w:val="20"/>
          <w:vertAlign w:val="baseline"/>
        </w:rPr>
        <w:t>外</w:t>
      </w:r>
      <w:r>
        <w:rPr>
          <w:rFonts w:ascii="仿宋" w:eastAsia="仿宋"/>
          <w:w w:val="95"/>
          <w:sz w:val="20"/>
          <w:vertAlign w:val="baseline"/>
        </w:rPr>
        <w:t>带</w:t>
      </w:r>
      <w:r>
        <w:rPr>
          <w:rFonts w:ascii="仿宋" w:eastAsia="仿宋"/>
          <w:w w:val="95"/>
          <w:sz w:val="20"/>
          <w:vertAlign w:val="baseline"/>
        </w:rPr>
        <w:t>状</w:t>
      </w:r>
      <w:r>
        <w:rPr>
          <w:rFonts w:ascii="仿宋" w:eastAsia="仿宋"/>
          <w:w w:val="95"/>
          <w:sz w:val="20"/>
          <w:vertAlign w:val="baseline"/>
        </w:rPr>
        <w:t>肌，</w:t>
      </w:r>
      <w:r>
        <w:rPr>
          <w:rFonts w:ascii="仿宋" w:eastAsia="仿宋"/>
          <w:w w:val="95"/>
          <w:sz w:val="20"/>
          <w:vertAlign w:val="baseline"/>
        </w:rPr>
        <w:t>无</w:t>
      </w:r>
      <w:r>
        <w:rPr>
          <w:rFonts w:ascii="仿宋" w:eastAsia="仿宋"/>
          <w:w w:val="95"/>
          <w:sz w:val="20"/>
          <w:vertAlign w:val="baseline"/>
        </w:rPr>
        <w:t>论</w:t>
      </w:r>
      <w:r>
        <w:rPr>
          <w:rFonts w:ascii="仿宋" w:eastAsia="仿宋"/>
          <w:w w:val="95"/>
          <w:sz w:val="20"/>
          <w:vertAlign w:val="baseline"/>
        </w:rPr>
        <w:t>肿</w:t>
      </w:r>
      <w:r>
        <w:rPr>
          <w:rFonts w:ascii="仿宋" w:eastAsia="仿宋"/>
          <w:w w:val="95"/>
          <w:sz w:val="20"/>
          <w:vertAlign w:val="baseline"/>
        </w:rPr>
        <w:t>瘤</w:t>
      </w:r>
      <w:r>
        <w:rPr>
          <w:rFonts w:ascii="仿宋" w:eastAsia="仿宋"/>
          <w:spacing w:val="-5"/>
          <w:w w:val="95"/>
          <w:sz w:val="20"/>
          <w:vertAlign w:val="baseline"/>
        </w:rPr>
        <w:t>大小</w:t>
      </w:r>
    </w:p>
    <w:p>
      <w:pPr>
        <w:spacing w:before="55"/>
        <w:ind w:left="919" w:right="0" w:firstLine="0"/>
        <w:jc w:val="left"/>
        <w:rPr>
          <w:rFonts w:ascii="仿宋" w:eastAsia="仿宋"/>
          <w:sz w:val="20"/>
        </w:rPr>
      </w:pPr>
      <w:r>
        <w:rPr>
          <w:rFonts w:ascii="仿宋" w:eastAsia="仿宋"/>
          <w:w w:val="95"/>
          <w:sz w:val="20"/>
        </w:rPr>
        <w:t>带</w:t>
      </w:r>
      <w:r>
        <w:rPr>
          <w:rFonts w:ascii="仿宋" w:eastAsia="仿宋"/>
          <w:w w:val="95"/>
          <w:sz w:val="20"/>
        </w:rPr>
        <w:t>状</w:t>
      </w:r>
      <w:r>
        <w:rPr>
          <w:rFonts w:ascii="仿宋" w:eastAsia="仿宋"/>
          <w:w w:val="95"/>
          <w:sz w:val="20"/>
        </w:rPr>
        <w:t>肌</w:t>
      </w:r>
      <w:r>
        <w:rPr>
          <w:rFonts w:ascii="仿宋" w:eastAsia="仿宋"/>
          <w:w w:val="95"/>
          <w:sz w:val="20"/>
        </w:rPr>
        <w:t>包</w:t>
      </w:r>
      <w:r>
        <w:rPr>
          <w:rFonts w:ascii="仿宋" w:eastAsia="仿宋"/>
          <w:w w:val="95"/>
          <w:sz w:val="20"/>
        </w:rPr>
        <w:t>括</w:t>
      </w:r>
      <w:r>
        <w:rPr>
          <w:rFonts w:ascii="仿宋" w:eastAsia="仿宋"/>
          <w:w w:val="95"/>
          <w:sz w:val="20"/>
        </w:rPr>
        <w:t>：胸</w:t>
      </w:r>
      <w:r>
        <w:rPr>
          <w:rFonts w:ascii="仿宋" w:eastAsia="仿宋"/>
          <w:w w:val="95"/>
          <w:sz w:val="20"/>
        </w:rPr>
        <w:t>骨</w:t>
      </w:r>
      <w:r>
        <w:rPr>
          <w:rFonts w:ascii="仿宋" w:eastAsia="仿宋"/>
          <w:w w:val="95"/>
          <w:sz w:val="20"/>
        </w:rPr>
        <w:t>舌</w:t>
      </w:r>
      <w:r>
        <w:rPr>
          <w:rFonts w:ascii="仿宋" w:eastAsia="仿宋"/>
          <w:w w:val="95"/>
          <w:sz w:val="20"/>
        </w:rPr>
        <w:t>骨</w:t>
      </w:r>
      <w:r>
        <w:rPr>
          <w:rFonts w:ascii="仿宋" w:eastAsia="仿宋"/>
          <w:w w:val="95"/>
          <w:sz w:val="20"/>
        </w:rPr>
        <w:t>肌</w:t>
      </w:r>
      <w:r>
        <w:rPr>
          <w:rFonts w:ascii="仿宋" w:eastAsia="仿宋"/>
          <w:w w:val="95"/>
          <w:sz w:val="20"/>
        </w:rPr>
        <w:t>、</w:t>
      </w:r>
      <w:r>
        <w:rPr>
          <w:rFonts w:ascii="仿宋" w:eastAsia="仿宋"/>
          <w:w w:val="95"/>
          <w:sz w:val="20"/>
        </w:rPr>
        <w:t>胸</w:t>
      </w:r>
      <w:r>
        <w:rPr>
          <w:rFonts w:ascii="仿宋" w:eastAsia="仿宋"/>
          <w:w w:val="95"/>
          <w:sz w:val="20"/>
        </w:rPr>
        <w:t>骨</w:t>
      </w:r>
      <w:r>
        <w:rPr>
          <w:rFonts w:ascii="仿宋" w:eastAsia="仿宋"/>
          <w:w w:val="95"/>
          <w:sz w:val="20"/>
        </w:rPr>
        <w:t>甲</w:t>
      </w:r>
      <w:r>
        <w:rPr>
          <w:rFonts w:ascii="仿宋" w:eastAsia="仿宋"/>
          <w:w w:val="95"/>
          <w:sz w:val="20"/>
        </w:rPr>
        <w:t>状</w:t>
      </w:r>
      <w:r>
        <w:rPr>
          <w:rFonts w:ascii="仿宋" w:eastAsia="仿宋"/>
          <w:w w:val="95"/>
          <w:sz w:val="20"/>
        </w:rPr>
        <w:t>肌</w:t>
      </w:r>
      <w:r>
        <w:rPr>
          <w:rFonts w:ascii="仿宋" w:eastAsia="仿宋"/>
          <w:w w:val="95"/>
          <w:sz w:val="20"/>
        </w:rPr>
        <w:t>、</w:t>
      </w:r>
      <w:r>
        <w:rPr>
          <w:rFonts w:ascii="仿宋" w:eastAsia="仿宋"/>
          <w:w w:val="95"/>
          <w:sz w:val="20"/>
        </w:rPr>
        <w:t>甲</w:t>
      </w:r>
      <w:r>
        <w:rPr>
          <w:rFonts w:ascii="仿宋" w:eastAsia="仿宋"/>
          <w:w w:val="95"/>
          <w:sz w:val="20"/>
        </w:rPr>
        <w:t>状</w:t>
      </w:r>
      <w:r>
        <w:rPr>
          <w:rFonts w:ascii="仿宋" w:eastAsia="仿宋"/>
          <w:w w:val="95"/>
          <w:sz w:val="20"/>
        </w:rPr>
        <w:t>舌</w:t>
      </w:r>
      <w:r>
        <w:rPr>
          <w:rFonts w:ascii="仿宋" w:eastAsia="仿宋"/>
          <w:w w:val="95"/>
          <w:sz w:val="20"/>
        </w:rPr>
        <w:t>骨</w:t>
      </w:r>
      <w:r>
        <w:rPr>
          <w:rFonts w:ascii="仿宋" w:eastAsia="仿宋"/>
          <w:w w:val="95"/>
          <w:sz w:val="20"/>
        </w:rPr>
        <w:t>肌</w:t>
      </w:r>
      <w:r>
        <w:rPr>
          <w:rFonts w:ascii="仿宋" w:eastAsia="仿宋"/>
          <w:w w:val="95"/>
          <w:sz w:val="20"/>
        </w:rPr>
        <w:t>、</w:t>
      </w:r>
      <w:r>
        <w:rPr>
          <w:rFonts w:ascii="仿宋" w:eastAsia="仿宋"/>
          <w:w w:val="95"/>
          <w:sz w:val="20"/>
        </w:rPr>
        <w:t>肩</w:t>
      </w:r>
      <w:r>
        <w:rPr>
          <w:rFonts w:ascii="仿宋" w:eastAsia="仿宋"/>
          <w:w w:val="95"/>
          <w:sz w:val="20"/>
        </w:rPr>
        <w:t>胛</w:t>
      </w:r>
      <w:r>
        <w:rPr>
          <w:rFonts w:ascii="仿宋" w:eastAsia="仿宋"/>
          <w:w w:val="95"/>
          <w:sz w:val="20"/>
        </w:rPr>
        <w:t>舌</w:t>
      </w:r>
      <w:r>
        <w:rPr>
          <w:rFonts w:ascii="仿宋" w:eastAsia="仿宋"/>
          <w:spacing w:val="-5"/>
          <w:w w:val="95"/>
          <w:sz w:val="20"/>
        </w:rPr>
        <w:t>骨肌</w:t>
      </w:r>
    </w:p>
    <w:p>
      <w:pPr>
        <w:spacing w:before="56"/>
        <w:ind w:left="521" w:right="0" w:firstLine="0"/>
        <w:jc w:val="left"/>
        <w:rPr>
          <w:rFonts w:ascii="仿宋" w:eastAsia="仿宋"/>
          <w:sz w:val="20"/>
        </w:rPr>
      </w:pPr>
      <w:r>
        <w:rPr>
          <w:rFonts w:ascii="Cambria Math" w:eastAsia="Cambria Math"/>
          <w:w w:val="95"/>
          <w:sz w:val="20"/>
        </w:rPr>
        <w:t>pT</w:t>
      </w:r>
      <w:r>
        <w:rPr>
          <w:rFonts w:ascii="Cambria Math" w:eastAsia="Cambria Math"/>
          <w:w w:val="95"/>
          <w:sz w:val="20"/>
          <w:vertAlign w:val="subscript"/>
        </w:rPr>
        <w:t>4</w:t>
      </w:r>
      <w:r>
        <w:rPr>
          <w:rFonts w:ascii="仿宋" w:eastAsia="仿宋"/>
          <w:w w:val="95"/>
          <w:sz w:val="20"/>
          <w:vertAlign w:val="baseline"/>
        </w:rPr>
        <w:t>：大体</w:t>
      </w:r>
      <w:r>
        <w:rPr>
          <w:rFonts w:ascii="仿宋" w:eastAsia="仿宋"/>
          <w:w w:val="95"/>
          <w:sz w:val="20"/>
          <w:vertAlign w:val="baseline"/>
        </w:rPr>
        <w:t>侵</w:t>
      </w:r>
      <w:r>
        <w:rPr>
          <w:rFonts w:ascii="仿宋" w:eastAsia="仿宋"/>
          <w:w w:val="95"/>
          <w:sz w:val="20"/>
          <w:vertAlign w:val="baseline"/>
        </w:rPr>
        <w:t>犯</w:t>
      </w:r>
      <w:r>
        <w:rPr>
          <w:rFonts w:ascii="仿宋" w:eastAsia="仿宋"/>
          <w:w w:val="95"/>
          <w:sz w:val="20"/>
          <w:vertAlign w:val="baseline"/>
        </w:rPr>
        <w:t>甲</w:t>
      </w:r>
      <w:r>
        <w:rPr>
          <w:rFonts w:ascii="仿宋" w:eastAsia="仿宋"/>
          <w:w w:val="95"/>
          <w:sz w:val="20"/>
          <w:vertAlign w:val="baseline"/>
        </w:rPr>
        <w:t>状</w:t>
      </w:r>
      <w:r>
        <w:rPr>
          <w:rFonts w:ascii="仿宋" w:eastAsia="仿宋"/>
          <w:w w:val="95"/>
          <w:sz w:val="20"/>
          <w:vertAlign w:val="baseline"/>
        </w:rPr>
        <w:t>腺</w:t>
      </w:r>
      <w:r>
        <w:rPr>
          <w:rFonts w:ascii="仿宋" w:eastAsia="仿宋"/>
          <w:w w:val="95"/>
          <w:sz w:val="20"/>
          <w:vertAlign w:val="baseline"/>
        </w:rPr>
        <w:t>外</w:t>
      </w:r>
      <w:r>
        <w:rPr>
          <w:rFonts w:ascii="仿宋" w:eastAsia="仿宋"/>
          <w:w w:val="95"/>
          <w:sz w:val="20"/>
          <w:vertAlign w:val="baseline"/>
        </w:rPr>
        <w:t>带</w:t>
      </w:r>
      <w:r>
        <w:rPr>
          <w:rFonts w:ascii="仿宋" w:eastAsia="仿宋"/>
          <w:w w:val="95"/>
          <w:sz w:val="20"/>
          <w:vertAlign w:val="baseline"/>
        </w:rPr>
        <w:t>状</w:t>
      </w:r>
      <w:r>
        <w:rPr>
          <w:rFonts w:ascii="仿宋" w:eastAsia="仿宋"/>
          <w:spacing w:val="-5"/>
          <w:w w:val="95"/>
          <w:sz w:val="20"/>
          <w:vertAlign w:val="baseline"/>
        </w:rPr>
        <w:t>肌外</w:t>
      </w:r>
    </w:p>
    <w:p>
      <w:pPr>
        <w:spacing w:line="292" w:lineRule="auto" w:before="56"/>
        <w:ind w:left="521" w:right="3647"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4a</w:t>
      </w:r>
      <w:r>
        <w:rPr>
          <w:rFonts w:ascii="仿宋" w:eastAsia="仿宋"/>
          <w:spacing w:val="-2"/>
          <w:sz w:val="20"/>
          <w:vertAlign w:val="baseline"/>
        </w:rPr>
        <w:t>：侵犯</w:t>
      </w:r>
      <w:r>
        <w:rPr>
          <w:rFonts w:ascii="仿宋" w:eastAsia="仿宋"/>
          <w:spacing w:val="-2"/>
          <w:sz w:val="20"/>
          <w:vertAlign w:val="baseline"/>
        </w:rPr>
        <w:t>喉</w:t>
      </w:r>
      <w:r>
        <w:rPr>
          <w:rFonts w:ascii="仿宋" w:eastAsia="仿宋"/>
          <w:spacing w:val="-2"/>
          <w:sz w:val="20"/>
          <w:vertAlign w:val="baseline"/>
        </w:rPr>
        <w:t>、</w:t>
      </w:r>
      <w:r>
        <w:rPr>
          <w:rFonts w:ascii="仿宋" w:eastAsia="仿宋"/>
          <w:spacing w:val="-2"/>
          <w:sz w:val="20"/>
          <w:vertAlign w:val="baseline"/>
        </w:rPr>
        <w:t>气</w:t>
      </w:r>
      <w:r>
        <w:rPr>
          <w:rFonts w:ascii="仿宋" w:eastAsia="仿宋"/>
          <w:spacing w:val="-2"/>
          <w:sz w:val="20"/>
          <w:vertAlign w:val="baseline"/>
        </w:rPr>
        <w:t>管</w:t>
      </w:r>
      <w:r>
        <w:rPr>
          <w:rFonts w:ascii="仿宋" w:eastAsia="仿宋"/>
          <w:spacing w:val="-2"/>
          <w:sz w:val="20"/>
          <w:vertAlign w:val="baseline"/>
        </w:rPr>
        <w:t>、</w:t>
      </w:r>
      <w:r>
        <w:rPr>
          <w:rFonts w:ascii="仿宋" w:eastAsia="仿宋"/>
          <w:spacing w:val="-2"/>
          <w:sz w:val="20"/>
          <w:vertAlign w:val="baseline"/>
        </w:rPr>
        <w:t>食</w:t>
      </w:r>
      <w:r>
        <w:rPr>
          <w:rFonts w:ascii="仿宋" w:eastAsia="仿宋"/>
          <w:spacing w:val="-2"/>
          <w:sz w:val="20"/>
          <w:vertAlign w:val="baseline"/>
        </w:rPr>
        <w:t>管</w:t>
      </w:r>
      <w:r>
        <w:rPr>
          <w:rFonts w:ascii="仿宋" w:eastAsia="仿宋"/>
          <w:spacing w:val="-2"/>
          <w:sz w:val="20"/>
          <w:vertAlign w:val="baseline"/>
        </w:rPr>
        <w:t>、</w:t>
      </w:r>
      <w:r>
        <w:rPr>
          <w:rFonts w:ascii="仿宋" w:eastAsia="仿宋"/>
          <w:spacing w:val="-2"/>
          <w:sz w:val="20"/>
          <w:vertAlign w:val="baseline"/>
        </w:rPr>
        <w:t>喉</w:t>
      </w:r>
      <w:r>
        <w:rPr>
          <w:rFonts w:ascii="仿宋" w:eastAsia="仿宋"/>
          <w:spacing w:val="-2"/>
          <w:sz w:val="20"/>
          <w:vertAlign w:val="baseline"/>
        </w:rPr>
        <w:t>反</w:t>
      </w:r>
      <w:r>
        <w:rPr>
          <w:rFonts w:ascii="仿宋" w:eastAsia="仿宋"/>
          <w:spacing w:val="-2"/>
          <w:sz w:val="20"/>
          <w:vertAlign w:val="baseline"/>
        </w:rPr>
        <w:t>神</w:t>
      </w:r>
      <w:r>
        <w:rPr>
          <w:rFonts w:ascii="仿宋" w:eastAsia="仿宋"/>
          <w:spacing w:val="-2"/>
          <w:sz w:val="20"/>
          <w:vertAlign w:val="baseline"/>
        </w:rPr>
        <w:t>经</w:t>
      </w:r>
      <w:r>
        <w:rPr>
          <w:rFonts w:ascii="仿宋" w:eastAsia="仿宋"/>
          <w:spacing w:val="-2"/>
          <w:sz w:val="20"/>
          <w:vertAlign w:val="baseline"/>
        </w:rPr>
        <w:t>及</w:t>
      </w:r>
      <w:r>
        <w:rPr>
          <w:rFonts w:ascii="仿宋" w:eastAsia="仿宋"/>
          <w:spacing w:val="-2"/>
          <w:sz w:val="20"/>
          <w:vertAlign w:val="baseline"/>
        </w:rPr>
        <w:t>皮</w:t>
      </w:r>
      <w:r>
        <w:rPr>
          <w:rFonts w:ascii="仿宋" w:eastAsia="仿宋"/>
          <w:spacing w:val="-2"/>
          <w:sz w:val="20"/>
          <w:vertAlign w:val="baseline"/>
        </w:rPr>
        <w:t>下</w:t>
      </w:r>
      <w:r>
        <w:rPr>
          <w:rFonts w:ascii="仿宋" w:eastAsia="仿宋"/>
          <w:spacing w:val="-2"/>
          <w:sz w:val="20"/>
          <w:vertAlign w:val="baseline"/>
        </w:rPr>
        <w:t>软</w:t>
      </w:r>
      <w:r>
        <w:rPr>
          <w:rFonts w:ascii="仿宋" w:eastAsia="仿宋"/>
          <w:spacing w:val="-2"/>
          <w:sz w:val="20"/>
          <w:vertAlign w:val="baseline"/>
        </w:rPr>
        <w:t>组</w:t>
      </w:r>
      <w:r>
        <w:rPr>
          <w:rFonts w:ascii="仿宋" w:eastAsia="仿宋"/>
          <w:spacing w:val="-2"/>
          <w:sz w:val="20"/>
          <w:vertAlign w:val="baseline"/>
        </w:rPr>
        <w:t>织 </w:t>
      </w:r>
      <w:r>
        <w:rPr>
          <w:rFonts w:ascii="Cambria Math" w:eastAsia="Cambria Math"/>
          <w:spacing w:val="-2"/>
          <w:sz w:val="20"/>
          <w:vertAlign w:val="baseline"/>
        </w:rPr>
        <w:t>pT</w:t>
      </w:r>
      <w:r>
        <w:rPr>
          <w:rFonts w:ascii="Cambria Math" w:eastAsia="Cambria Math"/>
          <w:spacing w:val="-2"/>
          <w:sz w:val="20"/>
          <w:vertAlign w:val="subscript"/>
        </w:rPr>
        <w:t>4b</w:t>
      </w:r>
      <w:r>
        <w:rPr>
          <w:rFonts w:ascii="仿宋" w:eastAsia="仿宋"/>
          <w:spacing w:val="-2"/>
          <w:sz w:val="20"/>
          <w:vertAlign w:val="baseline"/>
        </w:rPr>
        <w:t>：侵犯</w:t>
      </w:r>
      <w:r>
        <w:rPr>
          <w:rFonts w:ascii="仿宋" w:eastAsia="仿宋"/>
          <w:spacing w:val="-2"/>
          <w:sz w:val="20"/>
          <w:vertAlign w:val="baseline"/>
        </w:rPr>
        <w:t>椎</w:t>
      </w:r>
      <w:r>
        <w:rPr>
          <w:rFonts w:ascii="仿宋" w:eastAsia="仿宋"/>
          <w:spacing w:val="-2"/>
          <w:sz w:val="20"/>
          <w:vertAlign w:val="baseline"/>
        </w:rPr>
        <w:t>前</w:t>
      </w:r>
      <w:r>
        <w:rPr>
          <w:rFonts w:ascii="仿宋" w:eastAsia="仿宋"/>
          <w:spacing w:val="-2"/>
          <w:sz w:val="20"/>
          <w:vertAlign w:val="baseline"/>
        </w:rPr>
        <w:t>筋</w:t>
      </w:r>
      <w:r>
        <w:rPr>
          <w:rFonts w:ascii="仿宋" w:eastAsia="仿宋"/>
          <w:spacing w:val="-2"/>
          <w:sz w:val="20"/>
          <w:vertAlign w:val="baseline"/>
        </w:rPr>
        <w:t>膜</w:t>
      </w:r>
      <w:r>
        <w:rPr>
          <w:rFonts w:ascii="仿宋" w:eastAsia="仿宋"/>
          <w:spacing w:val="-2"/>
          <w:sz w:val="20"/>
          <w:vertAlign w:val="baseline"/>
        </w:rPr>
        <w:t>，或</w:t>
      </w:r>
      <w:r>
        <w:rPr>
          <w:rFonts w:ascii="仿宋" w:eastAsia="仿宋"/>
          <w:spacing w:val="-2"/>
          <w:sz w:val="20"/>
          <w:vertAlign w:val="baseline"/>
        </w:rPr>
        <w:t>包</w:t>
      </w:r>
      <w:r>
        <w:rPr>
          <w:rFonts w:ascii="仿宋" w:eastAsia="仿宋"/>
          <w:spacing w:val="-2"/>
          <w:sz w:val="20"/>
          <w:vertAlign w:val="baseline"/>
        </w:rPr>
        <w:t>裹</w:t>
      </w:r>
      <w:r>
        <w:rPr>
          <w:rFonts w:ascii="仿宋" w:eastAsia="仿宋"/>
          <w:spacing w:val="-2"/>
          <w:sz w:val="20"/>
          <w:vertAlign w:val="baseline"/>
        </w:rPr>
        <w:t>颈</w:t>
      </w:r>
      <w:r>
        <w:rPr>
          <w:rFonts w:ascii="仿宋" w:eastAsia="仿宋"/>
          <w:spacing w:val="-2"/>
          <w:sz w:val="20"/>
          <w:vertAlign w:val="baseline"/>
        </w:rPr>
        <w:t>动</w:t>
      </w:r>
      <w:r>
        <w:rPr>
          <w:rFonts w:ascii="仿宋" w:eastAsia="仿宋"/>
          <w:spacing w:val="-2"/>
          <w:sz w:val="20"/>
          <w:vertAlign w:val="baseline"/>
        </w:rPr>
        <w:t>脉</w:t>
      </w:r>
      <w:r>
        <w:rPr>
          <w:rFonts w:ascii="仿宋" w:eastAsia="仿宋"/>
          <w:spacing w:val="-2"/>
          <w:sz w:val="20"/>
          <w:vertAlign w:val="baseline"/>
        </w:rPr>
        <w:t>、</w:t>
      </w:r>
      <w:r>
        <w:rPr>
          <w:rFonts w:ascii="仿宋" w:eastAsia="仿宋"/>
          <w:spacing w:val="-2"/>
          <w:sz w:val="20"/>
          <w:vertAlign w:val="baseline"/>
        </w:rPr>
        <w:t>纵</w:t>
      </w:r>
      <w:r>
        <w:rPr>
          <w:rFonts w:ascii="仿宋" w:eastAsia="仿宋"/>
          <w:spacing w:val="-2"/>
          <w:sz w:val="20"/>
          <w:vertAlign w:val="baseline"/>
        </w:rPr>
        <w:t>隔</w:t>
      </w:r>
      <w:r>
        <w:rPr>
          <w:rFonts w:ascii="仿宋" w:eastAsia="仿宋"/>
          <w:spacing w:val="-2"/>
          <w:sz w:val="20"/>
          <w:vertAlign w:val="baseline"/>
        </w:rPr>
        <w:t>血管</w:t>
      </w:r>
    </w:p>
    <w:p>
      <w:pPr>
        <w:spacing w:line="255" w:lineRule="exact" w:before="0"/>
        <w:ind w:left="521" w:right="0" w:firstLine="0"/>
        <w:jc w:val="left"/>
        <w:rPr>
          <w:rFonts w:ascii="仿宋" w:eastAsia="仿宋"/>
          <w:sz w:val="20"/>
        </w:rPr>
      </w:pPr>
      <w:r>
        <w:rPr>
          <w:rFonts w:ascii="仿宋" w:eastAsia="仿宋"/>
          <w:w w:val="95"/>
          <w:sz w:val="20"/>
        </w:rPr>
        <w:t>甲</w:t>
      </w:r>
      <w:r>
        <w:rPr>
          <w:rFonts w:ascii="仿宋" w:eastAsia="仿宋"/>
          <w:w w:val="95"/>
          <w:sz w:val="20"/>
        </w:rPr>
        <w:t>状</w:t>
      </w:r>
      <w:r>
        <w:rPr>
          <w:rFonts w:ascii="仿宋" w:eastAsia="仿宋"/>
          <w:w w:val="95"/>
          <w:sz w:val="20"/>
        </w:rPr>
        <w:t>腺</w:t>
      </w:r>
      <w:r>
        <w:rPr>
          <w:rFonts w:ascii="仿宋" w:eastAsia="仿宋"/>
          <w:w w:val="95"/>
          <w:sz w:val="20"/>
        </w:rPr>
        <w:t>髓</w:t>
      </w:r>
      <w:r>
        <w:rPr>
          <w:rFonts w:ascii="仿宋" w:eastAsia="仿宋"/>
          <w:w w:val="95"/>
          <w:sz w:val="20"/>
        </w:rPr>
        <w:t>样</w:t>
      </w:r>
      <w:r>
        <w:rPr>
          <w:rFonts w:ascii="仿宋" w:eastAsia="仿宋"/>
          <w:spacing w:val="-10"/>
          <w:w w:val="95"/>
          <w:sz w:val="20"/>
        </w:rPr>
        <w:t>癌</w:t>
      </w:r>
    </w:p>
    <w:p>
      <w:pPr>
        <w:spacing w:line="292" w:lineRule="auto" w:before="56"/>
        <w:ind w:left="521" w:right="6114"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X</w:t>
      </w:r>
      <w:r>
        <w:rPr>
          <w:rFonts w:ascii="仿宋" w:eastAsia="仿宋"/>
          <w:spacing w:val="-2"/>
          <w:sz w:val="20"/>
          <w:vertAlign w:val="baseline"/>
        </w:rPr>
        <w:t>：原发</w:t>
      </w:r>
      <w:r>
        <w:rPr>
          <w:rFonts w:ascii="仿宋" w:eastAsia="仿宋"/>
          <w:spacing w:val="-2"/>
          <w:sz w:val="20"/>
          <w:vertAlign w:val="baseline"/>
        </w:rPr>
        <w:t>肿</w:t>
      </w:r>
      <w:r>
        <w:rPr>
          <w:rFonts w:ascii="仿宋" w:eastAsia="仿宋"/>
          <w:spacing w:val="-2"/>
          <w:sz w:val="20"/>
          <w:vertAlign w:val="baseline"/>
        </w:rPr>
        <w:t>瘤</w:t>
      </w:r>
      <w:r>
        <w:rPr>
          <w:rFonts w:ascii="仿宋" w:eastAsia="仿宋"/>
          <w:spacing w:val="-2"/>
          <w:sz w:val="20"/>
          <w:vertAlign w:val="baseline"/>
        </w:rPr>
        <w:t>不</w:t>
      </w:r>
      <w:r>
        <w:rPr>
          <w:rFonts w:ascii="仿宋" w:eastAsia="仿宋"/>
          <w:spacing w:val="-2"/>
          <w:sz w:val="20"/>
          <w:vertAlign w:val="baseline"/>
        </w:rPr>
        <w:t>能</w:t>
      </w:r>
      <w:r>
        <w:rPr>
          <w:rFonts w:ascii="仿宋" w:eastAsia="仿宋"/>
          <w:spacing w:val="-2"/>
          <w:sz w:val="20"/>
          <w:vertAlign w:val="baseline"/>
        </w:rPr>
        <w:t>评</w:t>
      </w:r>
      <w:r>
        <w:rPr>
          <w:rFonts w:ascii="仿宋" w:eastAsia="仿宋"/>
          <w:spacing w:val="-2"/>
          <w:sz w:val="20"/>
          <w:vertAlign w:val="baseline"/>
        </w:rPr>
        <w:t>估 </w:t>
      </w:r>
      <w:r>
        <w:rPr>
          <w:rFonts w:ascii="Cambria Math" w:eastAsia="Cambria Math"/>
          <w:spacing w:val="-2"/>
          <w:sz w:val="20"/>
          <w:vertAlign w:val="baseline"/>
        </w:rPr>
        <w:t>pT</w:t>
      </w:r>
      <w:r>
        <w:rPr>
          <w:rFonts w:ascii="Cambria Math" w:eastAsia="Cambria Math"/>
          <w:spacing w:val="-2"/>
          <w:sz w:val="20"/>
          <w:vertAlign w:val="subscript"/>
        </w:rPr>
        <w:t>0</w:t>
      </w:r>
      <w:r>
        <w:rPr>
          <w:rFonts w:ascii="仿宋" w:eastAsia="仿宋"/>
          <w:spacing w:val="-2"/>
          <w:sz w:val="20"/>
          <w:vertAlign w:val="baseline"/>
        </w:rPr>
        <w:t>：无肿</w:t>
      </w:r>
      <w:r>
        <w:rPr>
          <w:rFonts w:ascii="仿宋" w:eastAsia="仿宋"/>
          <w:spacing w:val="-2"/>
          <w:sz w:val="20"/>
          <w:vertAlign w:val="baseline"/>
        </w:rPr>
        <w:t>瘤</w:t>
      </w:r>
      <w:r>
        <w:rPr>
          <w:rFonts w:ascii="仿宋" w:eastAsia="仿宋"/>
          <w:spacing w:val="-2"/>
          <w:sz w:val="20"/>
          <w:vertAlign w:val="baseline"/>
        </w:rPr>
        <w:t>证</w:t>
      </w:r>
      <w:r>
        <w:rPr>
          <w:rFonts w:ascii="仿宋" w:eastAsia="仿宋"/>
          <w:spacing w:val="-2"/>
          <w:sz w:val="20"/>
          <w:vertAlign w:val="baseline"/>
        </w:rPr>
        <w:t>据</w:t>
      </w:r>
    </w:p>
    <w:p>
      <w:pPr>
        <w:spacing w:line="292" w:lineRule="auto" w:before="0"/>
        <w:ind w:left="919" w:right="4427" w:hanging="399"/>
        <w:jc w:val="left"/>
        <w:rPr>
          <w:rFonts w:ascii="Cambria Math" w:hAnsi="Cambria Math" w:eastAsia="Cambria Math"/>
          <w:sz w:val="20"/>
        </w:rPr>
      </w:pPr>
      <w:r>
        <w:rPr>
          <w:rFonts w:ascii="Cambria Math" w:hAnsi="Cambria Math" w:eastAsia="Cambria Math"/>
          <w:spacing w:val="-2"/>
          <w:sz w:val="20"/>
        </w:rPr>
        <w:t>pT</w:t>
      </w:r>
      <w:r>
        <w:rPr>
          <w:rFonts w:ascii="Cambria Math" w:hAnsi="Cambria Math" w:eastAsia="Cambria Math"/>
          <w:spacing w:val="-2"/>
          <w:sz w:val="20"/>
          <w:vertAlign w:val="subscript"/>
        </w:rPr>
        <w:t>1</w:t>
      </w:r>
      <w:r>
        <w:rPr>
          <w:rFonts w:ascii="仿宋" w:hAnsi="仿宋" w:eastAsia="仿宋"/>
          <w:spacing w:val="-2"/>
          <w:sz w:val="20"/>
          <w:vertAlign w:val="baseline"/>
        </w:rPr>
        <w:t>：肿瘤</w:t>
      </w:r>
      <w:r>
        <w:rPr>
          <w:rFonts w:ascii="仿宋" w:hAnsi="仿宋" w:eastAsia="仿宋"/>
          <w:spacing w:val="-2"/>
          <w:sz w:val="20"/>
          <w:vertAlign w:val="baseline"/>
        </w:rPr>
        <w:t>局</w:t>
      </w:r>
      <w:r>
        <w:rPr>
          <w:rFonts w:ascii="仿宋" w:hAnsi="仿宋" w:eastAsia="仿宋"/>
          <w:spacing w:val="-2"/>
          <w:sz w:val="20"/>
          <w:vertAlign w:val="baseline"/>
        </w:rPr>
        <w:t>限</w:t>
      </w:r>
      <w:r>
        <w:rPr>
          <w:rFonts w:ascii="仿宋" w:hAnsi="仿宋" w:eastAsia="仿宋"/>
          <w:spacing w:val="-2"/>
          <w:sz w:val="20"/>
          <w:vertAlign w:val="baseline"/>
        </w:rPr>
        <w:t>在</w:t>
      </w:r>
      <w:r>
        <w:rPr>
          <w:rFonts w:ascii="仿宋" w:hAnsi="仿宋" w:eastAsia="仿宋"/>
          <w:spacing w:val="-2"/>
          <w:sz w:val="20"/>
          <w:vertAlign w:val="baseline"/>
        </w:rPr>
        <w:t>甲</w:t>
      </w:r>
      <w:r>
        <w:rPr>
          <w:rFonts w:ascii="仿宋" w:hAnsi="仿宋" w:eastAsia="仿宋"/>
          <w:spacing w:val="-2"/>
          <w:sz w:val="20"/>
          <w:vertAlign w:val="baseline"/>
        </w:rPr>
        <w:t>状</w:t>
      </w:r>
      <w:r>
        <w:rPr>
          <w:rFonts w:ascii="仿宋" w:hAnsi="仿宋" w:eastAsia="仿宋"/>
          <w:spacing w:val="-2"/>
          <w:sz w:val="20"/>
          <w:vertAlign w:val="baseline"/>
        </w:rPr>
        <w:t>腺</w:t>
      </w:r>
      <w:r>
        <w:rPr>
          <w:rFonts w:ascii="仿宋" w:hAnsi="仿宋" w:eastAsia="仿宋"/>
          <w:spacing w:val="-2"/>
          <w:sz w:val="20"/>
          <w:vertAlign w:val="baseline"/>
        </w:rPr>
        <w:t>内</w:t>
      </w:r>
      <w:r>
        <w:rPr>
          <w:rFonts w:ascii="仿宋" w:hAnsi="仿宋" w:eastAsia="仿宋"/>
          <w:spacing w:val="-2"/>
          <w:sz w:val="20"/>
          <w:vertAlign w:val="baseline"/>
        </w:rPr>
        <w:t>，最大径</w:t>
      </w:r>
      <w:r>
        <w:rPr>
          <w:rFonts w:ascii="Cambria Math" w:hAnsi="Cambria Math" w:eastAsia="Cambria Math"/>
          <w:spacing w:val="-2"/>
          <w:sz w:val="20"/>
          <w:vertAlign w:val="baseline"/>
        </w:rPr>
        <w:t>≤2cm T</w:t>
      </w:r>
      <w:r>
        <w:rPr>
          <w:rFonts w:ascii="Cambria Math" w:hAnsi="Cambria Math" w:eastAsia="Cambria Math"/>
          <w:spacing w:val="-2"/>
          <w:sz w:val="20"/>
          <w:vertAlign w:val="subscript"/>
        </w:rPr>
        <w:t>1a</w:t>
      </w:r>
      <w:r>
        <w:rPr>
          <w:rFonts w:ascii="仿宋" w:hAnsi="仿宋" w:eastAsia="仿宋"/>
          <w:spacing w:val="-2"/>
          <w:sz w:val="20"/>
          <w:vertAlign w:val="baseline"/>
        </w:rPr>
        <w:t>肿</w:t>
      </w:r>
      <w:r>
        <w:rPr>
          <w:rFonts w:ascii="仿宋" w:hAnsi="仿宋" w:eastAsia="仿宋"/>
          <w:spacing w:val="-2"/>
          <w:sz w:val="20"/>
          <w:vertAlign w:val="baseline"/>
        </w:rPr>
        <w:t>瘤</w:t>
      </w:r>
      <w:r>
        <w:rPr>
          <w:rFonts w:ascii="仿宋" w:hAnsi="仿宋" w:eastAsia="仿宋"/>
          <w:spacing w:val="-2"/>
          <w:sz w:val="20"/>
          <w:vertAlign w:val="baseline"/>
        </w:rPr>
        <w:t>最</w:t>
      </w:r>
      <w:r>
        <w:rPr>
          <w:rFonts w:ascii="仿宋" w:hAnsi="仿宋" w:eastAsia="仿宋"/>
          <w:spacing w:val="-2"/>
          <w:sz w:val="20"/>
          <w:vertAlign w:val="baseline"/>
        </w:rPr>
        <w:t>大</w:t>
      </w:r>
      <w:r>
        <w:rPr>
          <w:rFonts w:ascii="仿宋" w:hAnsi="仿宋" w:eastAsia="仿宋"/>
          <w:spacing w:val="-2"/>
          <w:sz w:val="20"/>
          <w:vertAlign w:val="baseline"/>
        </w:rPr>
        <w:t>径</w:t>
      </w:r>
      <w:r>
        <w:rPr>
          <w:rFonts w:ascii="Cambria Math" w:hAnsi="Cambria Math" w:eastAsia="Cambria Math"/>
          <w:spacing w:val="-2"/>
          <w:sz w:val="20"/>
          <w:vertAlign w:val="baseline"/>
        </w:rPr>
        <w:t>≤1cm</w:t>
      </w:r>
    </w:p>
    <w:p>
      <w:pPr>
        <w:spacing w:line="255" w:lineRule="exact" w:before="0"/>
        <w:ind w:left="919" w:right="0" w:firstLine="0"/>
        <w:jc w:val="left"/>
        <w:rPr>
          <w:rFonts w:ascii="Cambria Math" w:hAnsi="Cambria Math" w:eastAsia="Cambria Math"/>
          <w:sz w:val="20"/>
        </w:rPr>
      </w:pPr>
      <w:r>
        <w:rPr>
          <w:rFonts w:ascii="Cambria Math" w:hAnsi="Cambria Math" w:eastAsia="Cambria Math"/>
          <w:sz w:val="20"/>
        </w:rPr>
        <w:t>T</w:t>
      </w:r>
      <w:r>
        <w:rPr>
          <w:rFonts w:ascii="Cambria Math" w:hAnsi="Cambria Math" w:eastAsia="Cambria Math"/>
          <w:sz w:val="20"/>
          <w:vertAlign w:val="subscript"/>
        </w:rPr>
        <w:t>1b</w:t>
      </w:r>
      <w:r>
        <w:rPr>
          <w:rFonts w:ascii="仿宋" w:hAnsi="仿宋" w:eastAsia="仿宋"/>
          <w:sz w:val="20"/>
          <w:vertAlign w:val="baseline"/>
        </w:rPr>
        <w:t>肿</w:t>
      </w:r>
      <w:r>
        <w:rPr>
          <w:rFonts w:ascii="仿宋" w:hAnsi="仿宋" w:eastAsia="仿宋"/>
          <w:sz w:val="20"/>
          <w:vertAlign w:val="baseline"/>
        </w:rPr>
        <w:t>瘤</w:t>
      </w:r>
      <w:r>
        <w:rPr>
          <w:rFonts w:ascii="仿宋" w:hAnsi="仿宋" w:eastAsia="仿宋"/>
          <w:sz w:val="20"/>
          <w:vertAlign w:val="baseline"/>
        </w:rPr>
        <w:t>最</w:t>
      </w:r>
      <w:r>
        <w:rPr>
          <w:rFonts w:ascii="仿宋" w:hAnsi="仿宋" w:eastAsia="仿宋"/>
          <w:spacing w:val="-1"/>
          <w:sz w:val="20"/>
          <w:vertAlign w:val="baseline"/>
        </w:rPr>
        <w:t>大径＞</w:t>
      </w:r>
      <w:r>
        <w:rPr>
          <w:rFonts w:ascii="Cambria Math" w:hAnsi="Cambria Math" w:eastAsia="Cambria Math"/>
          <w:spacing w:val="-2"/>
          <w:sz w:val="20"/>
          <w:vertAlign w:val="baseline"/>
        </w:rPr>
        <w:t>1cm</w:t>
      </w:r>
      <w:r>
        <w:rPr>
          <w:rFonts w:ascii="仿宋" w:hAnsi="仿宋" w:eastAsia="仿宋"/>
          <w:spacing w:val="-2"/>
          <w:sz w:val="20"/>
          <w:vertAlign w:val="baseline"/>
        </w:rPr>
        <w:t>，</w:t>
      </w:r>
      <w:r>
        <w:rPr>
          <w:rFonts w:ascii="Cambria Math" w:hAnsi="Cambria Math" w:eastAsia="Cambria Math"/>
          <w:spacing w:val="-2"/>
          <w:sz w:val="20"/>
          <w:vertAlign w:val="baseline"/>
        </w:rPr>
        <w:t>≤2cm</w:t>
      </w:r>
    </w:p>
    <w:p>
      <w:pPr>
        <w:spacing w:before="54"/>
        <w:ind w:left="521" w:right="0" w:firstLine="0"/>
        <w:jc w:val="left"/>
        <w:rPr>
          <w:rFonts w:ascii="Cambria Math" w:eastAsia="Cambria Math"/>
          <w:sz w:val="20"/>
        </w:rPr>
      </w:pPr>
      <w:r>
        <w:rPr>
          <w:rFonts w:ascii="Cambria Math" w:eastAsia="Cambria Math"/>
          <w:w w:val="95"/>
          <w:sz w:val="20"/>
        </w:rPr>
        <w:t>pT</w:t>
      </w:r>
      <w:r>
        <w:rPr>
          <w:rFonts w:ascii="Cambria Math" w:eastAsia="Cambria Math"/>
          <w:w w:val="95"/>
          <w:sz w:val="20"/>
          <w:vertAlign w:val="subscript"/>
        </w:rPr>
        <w:t>2</w:t>
      </w:r>
      <w:r>
        <w:rPr>
          <w:rFonts w:ascii="仿宋" w:eastAsia="仿宋"/>
          <w:w w:val="95"/>
          <w:sz w:val="20"/>
          <w:vertAlign w:val="baseline"/>
        </w:rPr>
        <w:t>：肿瘤</w:t>
      </w:r>
      <w:r>
        <w:rPr>
          <w:rFonts w:ascii="Cambria Math" w:eastAsia="Cambria Math"/>
          <w:spacing w:val="-2"/>
          <w:w w:val="95"/>
          <w:sz w:val="20"/>
          <w:vertAlign w:val="baseline"/>
        </w:rPr>
        <w:t>2</w:t>
      </w:r>
      <w:r>
        <w:rPr>
          <w:rFonts w:ascii="仿宋" w:eastAsia="仿宋"/>
          <w:spacing w:val="-2"/>
          <w:w w:val="95"/>
          <w:sz w:val="20"/>
          <w:vertAlign w:val="baseline"/>
        </w:rPr>
        <w:t>～</w:t>
      </w:r>
      <w:r>
        <w:rPr>
          <w:rFonts w:ascii="Cambria Math" w:eastAsia="Cambria Math"/>
          <w:spacing w:val="-2"/>
          <w:w w:val="95"/>
          <w:sz w:val="20"/>
          <w:vertAlign w:val="baseline"/>
        </w:rPr>
        <w:t>4cm</w:t>
      </w:r>
    </w:p>
    <w:p>
      <w:pPr>
        <w:spacing w:line="292" w:lineRule="auto" w:before="56"/>
        <w:ind w:left="521" w:right="2807"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3</w:t>
      </w:r>
      <w:r>
        <w:rPr>
          <w:rFonts w:ascii="仿宋" w:eastAsia="仿宋"/>
          <w:spacing w:val="-2"/>
          <w:sz w:val="20"/>
          <w:vertAlign w:val="baseline"/>
        </w:rPr>
        <w:t>：肿瘤</w:t>
      </w:r>
      <w:r>
        <w:rPr>
          <w:rFonts w:ascii="Cambria Math" w:eastAsia="Cambria Math"/>
          <w:spacing w:val="-2"/>
          <w:sz w:val="20"/>
          <w:vertAlign w:val="baseline"/>
        </w:rPr>
        <w:t>&gt;4cm</w:t>
      </w:r>
      <w:r>
        <w:rPr>
          <w:rFonts w:ascii="仿宋" w:eastAsia="仿宋"/>
          <w:spacing w:val="-2"/>
          <w:sz w:val="20"/>
          <w:vertAlign w:val="baseline"/>
        </w:rPr>
        <w:t>，</w:t>
      </w:r>
      <w:r>
        <w:rPr>
          <w:rFonts w:ascii="仿宋" w:eastAsia="仿宋"/>
          <w:spacing w:val="-2"/>
          <w:sz w:val="20"/>
          <w:vertAlign w:val="baseline"/>
        </w:rPr>
        <w:t>局</w:t>
      </w:r>
      <w:r>
        <w:rPr>
          <w:rFonts w:ascii="仿宋" w:eastAsia="仿宋"/>
          <w:spacing w:val="-2"/>
          <w:sz w:val="20"/>
          <w:vertAlign w:val="baseline"/>
        </w:rPr>
        <w:t>限</w:t>
      </w:r>
      <w:r>
        <w:rPr>
          <w:rFonts w:ascii="仿宋" w:eastAsia="仿宋"/>
          <w:spacing w:val="-2"/>
          <w:sz w:val="20"/>
          <w:vertAlign w:val="baseline"/>
        </w:rPr>
        <w:t>于</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内</w:t>
      </w:r>
      <w:r>
        <w:rPr>
          <w:rFonts w:ascii="仿宋" w:eastAsia="仿宋"/>
          <w:spacing w:val="-2"/>
          <w:sz w:val="20"/>
          <w:vertAlign w:val="baseline"/>
        </w:rPr>
        <w:t>或</w:t>
      </w:r>
      <w:r>
        <w:rPr>
          <w:rFonts w:ascii="仿宋" w:eastAsia="仿宋"/>
          <w:spacing w:val="-2"/>
          <w:sz w:val="20"/>
          <w:vertAlign w:val="baseline"/>
        </w:rPr>
        <w:t>大</w:t>
      </w:r>
      <w:r>
        <w:rPr>
          <w:rFonts w:ascii="仿宋" w:eastAsia="仿宋"/>
          <w:spacing w:val="-2"/>
          <w:sz w:val="20"/>
          <w:vertAlign w:val="baseline"/>
        </w:rPr>
        <w:t>体</w:t>
      </w:r>
      <w:r>
        <w:rPr>
          <w:rFonts w:ascii="仿宋" w:eastAsia="仿宋"/>
          <w:spacing w:val="-2"/>
          <w:sz w:val="20"/>
          <w:vertAlign w:val="baseline"/>
        </w:rPr>
        <w:t>侵</w:t>
      </w:r>
      <w:r>
        <w:rPr>
          <w:rFonts w:ascii="仿宋" w:eastAsia="仿宋"/>
          <w:spacing w:val="-2"/>
          <w:sz w:val="20"/>
          <w:vertAlign w:val="baseline"/>
        </w:rPr>
        <w:t>犯</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外</w:t>
      </w:r>
      <w:r>
        <w:rPr>
          <w:rFonts w:ascii="仿宋" w:eastAsia="仿宋"/>
          <w:spacing w:val="-2"/>
          <w:sz w:val="20"/>
          <w:vertAlign w:val="baseline"/>
        </w:rPr>
        <w:t>带</w:t>
      </w:r>
      <w:r>
        <w:rPr>
          <w:rFonts w:ascii="仿宋" w:eastAsia="仿宋"/>
          <w:spacing w:val="-2"/>
          <w:sz w:val="20"/>
          <w:vertAlign w:val="baseline"/>
        </w:rPr>
        <w:t>状肌 </w:t>
      </w:r>
      <w:r>
        <w:rPr>
          <w:rFonts w:ascii="Cambria Math" w:eastAsia="Cambria Math"/>
          <w:spacing w:val="-2"/>
          <w:sz w:val="20"/>
          <w:vertAlign w:val="baseline"/>
        </w:rPr>
        <w:t>pT</w:t>
      </w:r>
      <w:r>
        <w:rPr>
          <w:rFonts w:ascii="Cambria Math" w:eastAsia="Cambria Math"/>
          <w:spacing w:val="-2"/>
          <w:sz w:val="20"/>
          <w:vertAlign w:val="subscript"/>
        </w:rPr>
        <w:t>3a</w:t>
      </w:r>
      <w:r>
        <w:rPr>
          <w:rFonts w:ascii="仿宋" w:eastAsia="仿宋"/>
          <w:spacing w:val="-2"/>
          <w:sz w:val="20"/>
          <w:vertAlign w:val="baseline"/>
        </w:rPr>
        <w:t>：肿瘤</w:t>
      </w:r>
      <w:r>
        <w:rPr>
          <w:rFonts w:ascii="Cambria Math" w:eastAsia="Cambria Math"/>
          <w:spacing w:val="-2"/>
          <w:sz w:val="20"/>
          <w:vertAlign w:val="baseline"/>
        </w:rPr>
        <w:t>&gt;4cm</w:t>
      </w:r>
      <w:r>
        <w:rPr>
          <w:rFonts w:ascii="仿宋" w:eastAsia="仿宋"/>
          <w:spacing w:val="-2"/>
          <w:sz w:val="20"/>
          <w:vertAlign w:val="baseline"/>
        </w:rPr>
        <w:t>，</w:t>
      </w:r>
      <w:r>
        <w:rPr>
          <w:rFonts w:ascii="仿宋" w:eastAsia="仿宋"/>
          <w:spacing w:val="-2"/>
          <w:sz w:val="20"/>
          <w:vertAlign w:val="baseline"/>
        </w:rPr>
        <w:t>局</w:t>
      </w:r>
      <w:r>
        <w:rPr>
          <w:rFonts w:ascii="仿宋" w:eastAsia="仿宋"/>
          <w:spacing w:val="-2"/>
          <w:sz w:val="20"/>
          <w:vertAlign w:val="baseline"/>
        </w:rPr>
        <w:t>限</w:t>
      </w:r>
      <w:r>
        <w:rPr>
          <w:rFonts w:ascii="仿宋" w:eastAsia="仿宋"/>
          <w:spacing w:val="-2"/>
          <w:sz w:val="20"/>
          <w:vertAlign w:val="baseline"/>
        </w:rPr>
        <w:t>于</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腺内</w:t>
      </w:r>
    </w:p>
    <w:p>
      <w:pPr>
        <w:spacing w:line="255" w:lineRule="exact" w:before="0"/>
        <w:ind w:left="521" w:right="0" w:firstLine="0"/>
        <w:jc w:val="left"/>
        <w:rPr>
          <w:rFonts w:ascii="仿宋" w:eastAsia="仿宋"/>
          <w:sz w:val="20"/>
        </w:rPr>
      </w:pPr>
      <w:r>
        <w:rPr>
          <w:rFonts w:ascii="Cambria Math" w:eastAsia="Cambria Math"/>
          <w:w w:val="95"/>
          <w:sz w:val="20"/>
        </w:rPr>
        <w:t>pT</w:t>
      </w:r>
      <w:r>
        <w:rPr>
          <w:rFonts w:ascii="Cambria Math" w:eastAsia="Cambria Math"/>
          <w:w w:val="95"/>
          <w:sz w:val="20"/>
          <w:vertAlign w:val="subscript"/>
        </w:rPr>
        <w:t>3b</w:t>
      </w:r>
      <w:r>
        <w:rPr>
          <w:rFonts w:ascii="仿宋" w:eastAsia="仿宋"/>
          <w:w w:val="95"/>
          <w:sz w:val="20"/>
          <w:vertAlign w:val="baseline"/>
        </w:rPr>
        <w:t>：大体</w:t>
      </w:r>
      <w:r>
        <w:rPr>
          <w:rFonts w:ascii="仿宋" w:eastAsia="仿宋"/>
          <w:w w:val="95"/>
          <w:sz w:val="20"/>
          <w:vertAlign w:val="baseline"/>
        </w:rPr>
        <w:t>侵</w:t>
      </w:r>
      <w:r>
        <w:rPr>
          <w:rFonts w:ascii="仿宋" w:eastAsia="仿宋"/>
          <w:w w:val="95"/>
          <w:sz w:val="20"/>
          <w:vertAlign w:val="baseline"/>
        </w:rPr>
        <w:t>犯</w:t>
      </w:r>
      <w:r>
        <w:rPr>
          <w:rFonts w:ascii="仿宋" w:eastAsia="仿宋"/>
          <w:w w:val="95"/>
          <w:sz w:val="20"/>
          <w:vertAlign w:val="baseline"/>
        </w:rPr>
        <w:t>甲</w:t>
      </w:r>
      <w:r>
        <w:rPr>
          <w:rFonts w:ascii="仿宋" w:eastAsia="仿宋"/>
          <w:w w:val="95"/>
          <w:sz w:val="20"/>
          <w:vertAlign w:val="baseline"/>
        </w:rPr>
        <w:t>状</w:t>
      </w:r>
      <w:r>
        <w:rPr>
          <w:rFonts w:ascii="仿宋" w:eastAsia="仿宋"/>
          <w:w w:val="95"/>
          <w:sz w:val="20"/>
          <w:vertAlign w:val="baseline"/>
        </w:rPr>
        <w:t>腺</w:t>
      </w:r>
      <w:r>
        <w:rPr>
          <w:rFonts w:ascii="仿宋" w:eastAsia="仿宋"/>
          <w:w w:val="95"/>
          <w:sz w:val="20"/>
          <w:vertAlign w:val="baseline"/>
        </w:rPr>
        <w:t>外</w:t>
      </w:r>
      <w:r>
        <w:rPr>
          <w:rFonts w:ascii="仿宋" w:eastAsia="仿宋"/>
          <w:w w:val="95"/>
          <w:sz w:val="20"/>
          <w:vertAlign w:val="baseline"/>
        </w:rPr>
        <w:t>带</w:t>
      </w:r>
      <w:r>
        <w:rPr>
          <w:rFonts w:ascii="仿宋" w:eastAsia="仿宋"/>
          <w:w w:val="95"/>
          <w:sz w:val="20"/>
          <w:vertAlign w:val="baseline"/>
        </w:rPr>
        <w:t>状</w:t>
      </w:r>
      <w:r>
        <w:rPr>
          <w:rFonts w:ascii="仿宋" w:eastAsia="仿宋"/>
          <w:w w:val="95"/>
          <w:sz w:val="20"/>
          <w:vertAlign w:val="baseline"/>
        </w:rPr>
        <w:t>肌，</w:t>
      </w:r>
      <w:r>
        <w:rPr>
          <w:rFonts w:ascii="仿宋" w:eastAsia="仿宋"/>
          <w:w w:val="95"/>
          <w:sz w:val="20"/>
          <w:vertAlign w:val="baseline"/>
        </w:rPr>
        <w:t>无</w:t>
      </w:r>
      <w:r>
        <w:rPr>
          <w:rFonts w:ascii="仿宋" w:eastAsia="仿宋"/>
          <w:w w:val="95"/>
          <w:sz w:val="20"/>
          <w:vertAlign w:val="baseline"/>
        </w:rPr>
        <w:t>论</w:t>
      </w:r>
      <w:r>
        <w:rPr>
          <w:rFonts w:ascii="仿宋" w:eastAsia="仿宋"/>
          <w:w w:val="95"/>
          <w:sz w:val="20"/>
          <w:vertAlign w:val="baseline"/>
        </w:rPr>
        <w:t>肿</w:t>
      </w:r>
      <w:r>
        <w:rPr>
          <w:rFonts w:ascii="仿宋" w:eastAsia="仿宋"/>
          <w:w w:val="95"/>
          <w:sz w:val="20"/>
          <w:vertAlign w:val="baseline"/>
        </w:rPr>
        <w:t>瘤</w:t>
      </w:r>
      <w:r>
        <w:rPr>
          <w:rFonts w:ascii="仿宋" w:eastAsia="仿宋"/>
          <w:spacing w:val="-5"/>
          <w:w w:val="95"/>
          <w:sz w:val="20"/>
          <w:vertAlign w:val="baseline"/>
        </w:rPr>
        <w:t>大小</w:t>
      </w:r>
    </w:p>
    <w:p>
      <w:pPr>
        <w:spacing w:before="56"/>
        <w:ind w:left="919" w:right="0" w:firstLine="0"/>
        <w:jc w:val="left"/>
        <w:rPr>
          <w:rFonts w:ascii="仿宋" w:eastAsia="仿宋"/>
          <w:sz w:val="20"/>
        </w:rPr>
      </w:pPr>
      <w:r>
        <w:rPr>
          <w:rFonts w:ascii="仿宋" w:eastAsia="仿宋"/>
          <w:w w:val="95"/>
          <w:sz w:val="20"/>
        </w:rPr>
        <w:t>带</w:t>
      </w:r>
      <w:r>
        <w:rPr>
          <w:rFonts w:ascii="仿宋" w:eastAsia="仿宋"/>
          <w:w w:val="95"/>
          <w:sz w:val="20"/>
        </w:rPr>
        <w:t>状</w:t>
      </w:r>
      <w:r>
        <w:rPr>
          <w:rFonts w:ascii="仿宋" w:eastAsia="仿宋"/>
          <w:w w:val="95"/>
          <w:sz w:val="20"/>
        </w:rPr>
        <w:t>肌</w:t>
      </w:r>
      <w:r>
        <w:rPr>
          <w:rFonts w:ascii="仿宋" w:eastAsia="仿宋"/>
          <w:w w:val="95"/>
          <w:sz w:val="20"/>
        </w:rPr>
        <w:t>包</w:t>
      </w:r>
      <w:r>
        <w:rPr>
          <w:rFonts w:ascii="仿宋" w:eastAsia="仿宋"/>
          <w:w w:val="95"/>
          <w:sz w:val="20"/>
        </w:rPr>
        <w:t>括</w:t>
      </w:r>
      <w:r>
        <w:rPr>
          <w:rFonts w:ascii="仿宋" w:eastAsia="仿宋"/>
          <w:w w:val="95"/>
          <w:sz w:val="20"/>
        </w:rPr>
        <w:t>：胸</w:t>
      </w:r>
      <w:r>
        <w:rPr>
          <w:rFonts w:ascii="仿宋" w:eastAsia="仿宋"/>
          <w:w w:val="95"/>
          <w:sz w:val="20"/>
        </w:rPr>
        <w:t>骨</w:t>
      </w:r>
      <w:r>
        <w:rPr>
          <w:rFonts w:ascii="仿宋" w:eastAsia="仿宋"/>
          <w:w w:val="95"/>
          <w:sz w:val="20"/>
        </w:rPr>
        <w:t>舌</w:t>
      </w:r>
      <w:r>
        <w:rPr>
          <w:rFonts w:ascii="仿宋" w:eastAsia="仿宋"/>
          <w:w w:val="95"/>
          <w:sz w:val="20"/>
        </w:rPr>
        <w:t>骨</w:t>
      </w:r>
      <w:r>
        <w:rPr>
          <w:rFonts w:ascii="仿宋" w:eastAsia="仿宋"/>
          <w:w w:val="95"/>
          <w:sz w:val="20"/>
        </w:rPr>
        <w:t>肌</w:t>
      </w:r>
      <w:r>
        <w:rPr>
          <w:rFonts w:ascii="仿宋" w:eastAsia="仿宋"/>
          <w:w w:val="95"/>
          <w:sz w:val="20"/>
        </w:rPr>
        <w:t>、</w:t>
      </w:r>
      <w:r>
        <w:rPr>
          <w:rFonts w:ascii="仿宋" w:eastAsia="仿宋"/>
          <w:w w:val="95"/>
          <w:sz w:val="20"/>
        </w:rPr>
        <w:t>胸</w:t>
      </w:r>
      <w:r>
        <w:rPr>
          <w:rFonts w:ascii="仿宋" w:eastAsia="仿宋"/>
          <w:w w:val="95"/>
          <w:sz w:val="20"/>
        </w:rPr>
        <w:t>骨</w:t>
      </w:r>
      <w:r>
        <w:rPr>
          <w:rFonts w:ascii="仿宋" w:eastAsia="仿宋"/>
          <w:w w:val="95"/>
          <w:sz w:val="20"/>
        </w:rPr>
        <w:t>甲</w:t>
      </w:r>
      <w:r>
        <w:rPr>
          <w:rFonts w:ascii="仿宋" w:eastAsia="仿宋"/>
          <w:w w:val="95"/>
          <w:sz w:val="20"/>
        </w:rPr>
        <w:t>状</w:t>
      </w:r>
      <w:r>
        <w:rPr>
          <w:rFonts w:ascii="仿宋" w:eastAsia="仿宋"/>
          <w:w w:val="95"/>
          <w:sz w:val="20"/>
        </w:rPr>
        <w:t>肌</w:t>
      </w:r>
      <w:r>
        <w:rPr>
          <w:rFonts w:ascii="仿宋" w:eastAsia="仿宋"/>
          <w:w w:val="95"/>
          <w:sz w:val="20"/>
        </w:rPr>
        <w:t>、</w:t>
      </w:r>
      <w:r>
        <w:rPr>
          <w:rFonts w:ascii="仿宋" w:eastAsia="仿宋"/>
          <w:w w:val="95"/>
          <w:sz w:val="20"/>
        </w:rPr>
        <w:t>甲</w:t>
      </w:r>
      <w:r>
        <w:rPr>
          <w:rFonts w:ascii="仿宋" w:eastAsia="仿宋"/>
          <w:w w:val="95"/>
          <w:sz w:val="20"/>
        </w:rPr>
        <w:t>状</w:t>
      </w:r>
      <w:r>
        <w:rPr>
          <w:rFonts w:ascii="仿宋" w:eastAsia="仿宋"/>
          <w:w w:val="95"/>
          <w:sz w:val="20"/>
        </w:rPr>
        <w:t>舌</w:t>
      </w:r>
      <w:r>
        <w:rPr>
          <w:rFonts w:ascii="仿宋" w:eastAsia="仿宋"/>
          <w:w w:val="95"/>
          <w:sz w:val="20"/>
        </w:rPr>
        <w:t>骨</w:t>
      </w:r>
      <w:r>
        <w:rPr>
          <w:rFonts w:ascii="仿宋" w:eastAsia="仿宋"/>
          <w:w w:val="95"/>
          <w:sz w:val="20"/>
        </w:rPr>
        <w:t>肌</w:t>
      </w:r>
      <w:r>
        <w:rPr>
          <w:rFonts w:ascii="仿宋" w:eastAsia="仿宋"/>
          <w:w w:val="95"/>
          <w:sz w:val="20"/>
        </w:rPr>
        <w:t>、</w:t>
      </w:r>
      <w:r>
        <w:rPr>
          <w:rFonts w:ascii="仿宋" w:eastAsia="仿宋"/>
          <w:w w:val="95"/>
          <w:sz w:val="20"/>
        </w:rPr>
        <w:t>肩</w:t>
      </w:r>
      <w:r>
        <w:rPr>
          <w:rFonts w:ascii="仿宋" w:eastAsia="仿宋"/>
          <w:w w:val="95"/>
          <w:sz w:val="20"/>
        </w:rPr>
        <w:t>胛</w:t>
      </w:r>
      <w:r>
        <w:rPr>
          <w:rFonts w:ascii="仿宋" w:eastAsia="仿宋"/>
          <w:w w:val="95"/>
          <w:sz w:val="20"/>
        </w:rPr>
        <w:t>舌</w:t>
      </w:r>
      <w:r>
        <w:rPr>
          <w:rFonts w:ascii="仿宋" w:eastAsia="仿宋"/>
          <w:spacing w:val="-5"/>
          <w:w w:val="95"/>
          <w:sz w:val="20"/>
        </w:rPr>
        <w:t>骨肌</w:t>
      </w:r>
    </w:p>
    <w:p>
      <w:pPr>
        <w:spacing w:before="56"/>
        <w:ind w:left="521" w:right="0" w:firstLine="0"/>
        <w:jc w:val="left"/>
        <w:rPr>
          <w:rFonts w:ascii="仿宋" w:eastAsia="仿宋"/>
          <w:sz w:val="20"/>
        </w:rPr>
      </w:pPr>
      <w:r>
        <w:rPr>
          <w:rFonts w:ascii="Cambria Math" w:eastAsia="Cambria Math"/>
          <w:w w:val="95"/>
          <w:sz w:val="20"/>
        </w:rPr>
        <w:t>pT</w:t>
      </w:r>
      <w:r>
        <w:rPr>
          <w:rFonts w:ascii="Cambria Math" w:eastAsia="Cambria Math"/>
          <w:w w:val="95"/>
          <w:sz w:val="20"/>
          <w:vertAlign w:val="subscript"/>
        </w:rPr>
        <w:t>4</w:t>
      </w:r>
      <w:r>
        <w:rPr>
          <w:rFonts w:ascii="仿宋" w:eastAsia="仿宋"/>
          <w:w w:val="95"/>
          <w:sz w:val="20"/>
          <w:vertAlign w:val="baseline"/>
        </w:rPr>
        <w:t>：进展</w:t>
      </w:r>
      <w:r>
        <w:rPr>
          <w:rFonts w:ascii="仿宋" w:eastAsia="仿宋"/>
          <w:w w:val="95"/>
          <w:sz w:val="20"/>
          <w:vertAlign w:val="baseline"/>
        </w:rPr>
        <w:t>期</w:t>
      </w:r>
      <w:r>
        <w:rPr>
          <w:rFonts w:ascii="仿宋" w:eastAsia="仿宋"/>
          <w:w w:val="95"/>
          <w:sz w:val="20"/>
          <w:vertAlign w:val="baseline"/>
        </w:rPr>
        <w:t>病</w:t>
      </w:r>
      <w:r>
        <w:rPr>
          <w:rFonts w:ascii="仿宋" w:eastAsia="仿宋"/>
          <w:spacing w:val="-10"/>
          <w:w w:val="95"/>
          <w:sz w:val="20"/>
          <w:vertAlign w:val="baseline"/>
        </w:rPr>
        <w:t>变</w:t>
      </w:r>
    </w:p>
    <w:p>
      <w:pPr>
        <w:spacing w:line="292" w:lineRule="auto" w:before="56"/>
        <w:ind w:left="120" w:right="319" w:firstLine="40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4a</w:t>
      </w:r>
      <w:r>
        <w:rPr>
          <w:rFonts w:ascii="仿宋" w:eastAsia="仿宋"/>
          <w:spacing w:val="-2"/>
          <w:sz w:val="20"/>
          <w:vertAlign w:val="baseline"/>
        </w:rPr>
        <w:t>：中度</w:t>
      </w:r>
      <w:r>
        <w:rPr>
          <w:rFonts w:ascii="仿宋" w:eastAsia="仿宋"/>
          <w:spacing w:val="-2"/>
          <w:sz w:val="20"/>
          <w:vertAlign w:val="baseline"/>
        </w:rPr>
        <w:t>进</w:t>
      </w:r>
      <w:r>
        <w:rPr>
          <w:rFonts w:ascii="仿宋" w:eastAsia="仿宋"/>
          <w:spacing w:val="-2"/>
          <w:sz w:val="20"/>
          <w:vertAlign w:val="baseline"/>
        </w:rPr>
        <w:t>展</w:t>
      </w:r>
      <w:r>
        <w:rPr>
          <w:rFonts w:ascii="仿宋" w:eastAsia="仿宋"/>
          <w:spacing w:val="-2"/>
          <w:sz w:val="20"/>
          <w:vertAlign w:val="baseline"/>
        </w:rPr>
        <w:t>，</w:t>
      </w:r>
      <w:r>
        <w:rPr>
          <w:rFonts w:ascii="仿宋" w:eastAsia="仿宋"/>
          <w:spacing w:val="-2"/>
          <w:sz w:val="20"/>
          <w:vertAlign w:val="baseline"/>
        </w:rPr>
        <w:t>任</w:t>
      </w:r>
      <w:r>
        <w:rPr>
          <w:rFonts w:ascii="仿宋" w:eastAsia="仿宋"/>
          <w:spacing w:val="-2"/>
          <w:sz w:val="20"/>
          <w:vertAlign w:val="baseline"/>
        </w:rPr>
        <w:t>何</w:t>
      </w:r>
      <w:r>
        <w:rPr>
          <w:rFonts w:ascii="仿宋" w:eastAsia="仿宋"/>
          <w:spacing w:val="-2"/>
          <w:sz w:val="20"/>
          <w:vertAlign w:val="baseline"/>
        </w:rPr>
        <w:t>大</w:t>
      </w:r>
      <w:r>
        <w:rPr>
          <w:rFonts w:ascii="仿宋" w:eastAsia="仿宋"/>
          <w:spacing w:val="-2"/>
          <w:sz w:val="20"/>
          <w:vertAlign w:val="baseline"/>
        </w:rPr>
        <w:t>小</w:t>
      </w:r>
      <w:r>
        <w:rPr>
          <w:rFonts w:ascii="仿宋" w:eastAsia="仿宋"/>
          <w:spacing w:val="-2"/>
          <w:sz w:val="20"/>
          <w:vertAlign w:val="baseline"/>
        </w:rPr>
        <w:t>的</w:t>
      </w:r>
      <w:r>
        <w:rPr>
          <w:rFonts w:ascii="仿宋" w:eastAsia="仿宋"/>
          <w:spacing w:val="-2"/>
          <w:sz w:val="20"/>
          <w:vertAlign w:val="baseline"/>
        </w:rPr>
        <w:t>肿瘤，侵</w:t>
      </w:r>
      <w:r>
        <w:rPr>
          <w:rFonts w:ascii="仿宋" w:eastAsia="仿宋"/>
          <w:spacing w:val="-2"/>
          <w:sz w:val="20"/>
          <w:vertAlign w:val="baseline"/>
        </w:rPr>
        <w:t>犯</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外</w:t>
      </w:r>
      <w:r>
        <w:rPr>
          <w:rFonts w:ascii="仿宋" w:eastAsia="仿宋"/>
          <w:spacing w:val="-2"/>
          <w:sz w:val="20"/>
          <w:vertAlign w:val="baseline"/>
        </w:rPr>
        <w:t>颈</w:t>
      </w:r>
      <w:r>
        <w:rPr>
          <w:rFonts w:ascii="仿宋" w:eastAsia="仿宋"/>
          <w:spacing w:val="-2"/>
          <w:sz w:val="20"/>
          <w:vertAlign w:val="baseline"/>
        </w:rPr>
        <w:t>部</w:t>
      </w:r>
      <w:r>
        <w:rPr>
          <w:rFonts w:ascii="仿宋" w:eastAsia="仿宋"/>
          <w:spacing w:val="-2"/>
          <w:sz w:val="20"/>
          <w:vertAlign w:val="baseline"/>
        </w:rPr>
        <w:t>周</w:t>
      </w:r>
      <w:r>
        <w:rPr>
          <w:rFonts w:ascii="仿宋" w:eastAsia="仿宋"/>
          <w:spacing w:val="-2"/>
          <w:sz w:val="20"/>
          <w:vertAlign w:val="baseline"/>
        </w:rPr>
        <w:t>围</w:t>
      </w:r>
      <w:r>
        <w:rPr>
          <w:rFonts w:ascii="仿宋" w:eastAsia="仿宋"/>
          <w:spacing w:val="-2"/>
          <w:sz w:val="20"/>
          <w:vertAlign w:val="baseline"/>
        </w:rPr>
        <w:t>器</w:t>
      </w:r>
      <w:r>
        <w:rPr>
          <w:rFonts w:ascii="仿宋" w:eastAsia="仿宋"/>
          <w:spacing w:val="-2"/>
          <w:sz w:val="20"/>
          <w:vertAlign w:val="baseline"/>
        </w:rPr>
        <w:t>官</w:t>
      </w:r>
      <w:r>
        <w:rPr>
          <w:rFonts w:ascii="仿宋" w:eastAsia="仿宋"/>
          <w:spacing w:val="-2"/>
          <w:sz w:val="20"/>
          <w:vertAlign w:val="baseline"/>
        </w:rPr>
        <w:t>和</w:t>
      </w:r>
      <w:r>
        <w:rPr>
          <w:rFonts w:ascii="仿宋" w:eastAsia="仿宋"/>
          <w:spacing w:val="-2"/>
          <w:sz w:val="20"/>
          <w:vertAlign w:val="baseline"/>
        </w:rPr>
        <w:t>软</w:t>
      </w:r>
      <w:r>
        <w:rPr>
          <w:rFonts w:ascii="仿宋" w:eastAsia="仿宋"/>
          <w:spacing w:val="-2"/>
          <w:sz w:val="20"/>
          <w:vertAlign w:val="baseline"/>
        </w:rPr>
        <w:t>组</w:t>
      </w:r>
      <w:r>
        <w:rPr>
          <w:rFonts w:ascii="仿宋" w:eastAsia="仿宋"/>
          <w:spacing w:val="-2"/>
          <w:sz w:val="20"/>
          <w:vertAlign w:val="baseline"/>
        </w:rPr>
        <w:t>织，如喉、气管、食</w:t>
      </w:r>
      <w:r>
        <w:rPr>
          <w:rFonts w:ascii="仿宋" w:eastAsia="仿宋"/>
          <w:spacing w:val="-2"/>
          <w:sz w:val="20"/>
          <w:vertAlign w:val="baseline"/>
        </w:rPr>
        <w:t>管</w:t>
      </w:r>
      <w:r>
        <w:rPr>
          <w:rFonts w:ascii="仿宋" w:eastAsia="仿宋"/>
          <w:spacing w:val="-2"/>
          <w:sz w:val="20"/>
          <w:vertAlign w:val="baseline"/>
        </w:rPr>
        <w:t>、</w:t>
      </w:r>
      <w:r>
        <w:rPr>
          <w:rFonts w:ascii="仿宋" w:eastAsia="仿宋"/>
          <w:spacing w:val="-2"/>
          <w:sz w:val="20"/>
          <w:vertAlign w:val="baseline"/>
        </w:rPr>
        <w:t>喉</w:t>
      </w:r>
      <w:r>
        <w:rPr>
          <w:rFonts w:ascii="仿宋" w:eastAsia="仿宋"/>
          <w:spacing w:val="-2"/>
          <w:sz w:val="20"/>
          <w:vertAlign w:val="baseline"/>
        </w:rPr>
        <w:t>反</w:t>
      </w:r>
      <w:r>
        <w:rPr>
          <w:rFonts w:ascii="仿宋" w:eastAsia="仿宋"/>
          <w:spacing w:val="-2"/>
          <w:sz w:val="20"/>
          <w:vertAlign w:val="baseline"/>
        </w:rPr>
        <w:t>神</w:t>
      </w:r>
      <w:r>
        <w:rPr>
          <w:rFonts w:ascii="仿宋" w:eastAsia="仿宋"/>
          <w:spacing w:val="-2"/>
          <w:sz w:val="20"/>
          <w:vertAlign w:val="baseline"/>
        </w:rPr>
        <w:t>经</w:t>
      </w:r>
      <w:r>
        <w:rPr>
          <w:rFonts w:ascii="仿宋" w:eastAsia="仿宋"/>
          <w:spacing w:val="-2"/>
          <w:sz w:val="20"/>
          <w:vertAlign w:val="baseline"/>
        </w:rPr>
        <w:t>及</w:t>
      </w:r>
      <w:r>
        <w:rPr>
          <w:rFonts w:ascii="仿宋" w:eastAsia="仿宋"/>
          <w:spacing w:val="-2"/>
          <w:sz w:val="20"/>
          <w:vertAlign w:val="baseline"/>
        </w:rPr>
        <w:t>皮</w:t>
      </w:r>
      <w:r>
        <w:rPr>
          <w:rFonts w:ascii="仿宋" w:eastAsia="仿宋"/>
          <w:spacing w:val="-2"/>
          <w:sz w:val="20"/>
          <w:vertAlign w:val="baseline"/>
        </w:rPr>
        <w:t>下</w:t>
      </w:r>
      <w:r>
        <w:rPr>
          <w:rFonts w:ascii="仿宋" w:eastAsia="仿宋"/>
          <w:spacing w:val="-2"/>
          <w:sz w:val="20"/>
          <w:vertAlign w:val="baseline"/>
        </w:rPr>
        <w:t>软</w:t>
      </w:r>
      <w:r>
        <w:rPr>
          <w:rFonts w:ascii="仿宋" w:eastAsia="仿宋"/>
          <w:spacing w:val="-2"/>
          <w:sz w:val="20"/>
          <w:vertAlign w:val="baseline"/>
        </w:rPr>
        <w:t>组</w:t>
      </w:r>
      <w:r>
        <w:rPr>
          <w:rFonts w:ascii="仿宋" w:eastAsia="仿宋"/>
          <w:spacing w:val="-2"/>
          <w:sz w:val="20"/>
          <w:vertAlign w:val="baseline"/>
        </w:rPr>
        <w:t>织</w:t>
      </w:r>
    </w:p>
    <w:p>
      <w:pPr>
        <w:spacing w:line="292" w:lineRule="auto" w:before="0"/>
        <w:ind w:left="521" w:right="1438" w:firstLine="0"/>
        <w:jc w:val="left"/>
        <w:rPr>
          <w:rFonts w:ascii="仿宋" w:eastAsia="仿宋"/>
          <w:sz w:val="20"/>
        </w:rPr>
      </w:pPr>
      <w:r>
        <w:rPr>
          <w:rFonts w:ascii="Cambria Math" w:eastAsia="Cambria Math"/>
          <w:spacing w:val="-2"/>
          <w:sz w:val="20"/>
        </w:rPr>
        <w:t>pT</w:t>
      </w:r>
      <w:r>
        <w:rPr>
          <w:rFonts w:ascii="Cambria Math" w:eastAsia="Cambria Math"/>
          <w:spacing w:val="-2"/>
          <w:sz w:val="20"/>
          <w:vertAlign w:val="subscript"/>
        </w:rPr>
        <w:t>4b</w:t>
      </w:r>
      <w:r>
        <w:rPr>
          <w:rFonts w:ascii="仿宋" w:eastAsia="仿宋"/>
          <w:spacing w:val="-2"/>
          <w:sz w:val="20"/>
          <w:vertAlign w:val="baseline"/>
        </w:rPr>
        <w:t>：重度</w:t>
      </w:r>
      <w:r>
        <w:rPr>
          <w:rFonts w:ascii="仿宋" w:eastAsia="仿宋"/>
          <w:spacing w:val="-2"/>
          <w:sz w:val="20"/>
          <w:vertAlign w:val="baseline"/>
        </w:rPr>
        <w:t>进</w:t>
      </w:r>
      <w:r>
        <w:rPr>
          <w:rFonts w:ascii="仿宋" w:eastAsia="仿宋"/>
          <w:spacing w:val="-2"/>
          <w:sz w:val="20"/>
          <w:vertAlign w:val="baseline"/>
        </w:rPr>
        <w:t>展</w:t>
      </w:r>
      <w:r>
        <w:rPr>
          <w:rFonts w:ascii="仿宋" w:eastAsia="仿宋"/>
          <w:spacing w:val="-2"/>
          <w:sz w:val="20"/>
          <w:vertAlign w:val="baseline"/>
        </w:rPr>
        <w:t>，</w:t>
      </w:r>
      <w:r>
        <w:rPr>
          <w:rFonts w:ascii="仿宋" w:eastAsia="仿宋"/>
          <w:spacing w:val="-2"/>
          <w:sz w:val="20"/>
          <w:vertAlign w:val="baseline"/>
        </w:rPr>
        <w:t>任</w:t>
      </w:r>
      <w:r>
        <w:rPr>
          <w:rFonts w:ascii="仿宋" w:eastAsia="仿宋"/>
          <w:spacing w:val="-2"/>
          <w:sz w:val="20"/>
          <w:vertAlign w:val="baseline"/>
        </w:rPr>
        <w:t>何</w:t>
      </w:r>
      <w:r>
        <w:rPr>
          <w:rFonts w:ascii="仿宋" w:eastAsia="仿宋"/>
          <w:spacing w:val="-2"/>
          <w:sz w:val="20"/>
          <w:vertAlign w:val="baseline"/>
        </w:rPr>
        <w:t>大</w:t>
      </w:r>
      <w:r>
        <w:rPr>
          <w:rFonts w:ascii="仿宋" w:eastAsia="仿宋"/>
          <w:spacing w:val="-2"/>
          <w:sz w:val="20"/>
          <w:vertAlign w:val="baseline"/>
        </w:rPr>
        <w:t>小</w:t>
      </w:r>
      <w:r>
        <w:rPr>
          <w:rFonts w:ascii="仿宋" w:eastAsia="仿宋"/>
          <w:spacing w:val="-2"/>
          <w:sz w:val="20"/>
          <w:vertAlign w:val="baseline"/>
        </w:rPr>
        <w:t>的</w:t>
      </w:r>
      <w:r>
        <w:rPr>
          <w:rFonts w:ascii="仿宋" w:eastAsia="仿宋"/>
          <w:spacing w:val="-2"/>
          <w:sz w:val="20"/>
          <w:vertAlign w:val="baseline"/>
        </w:rPr>
        <w:t>肿</w:t>
      </w:r>
      <w:r>
        <w:rPr>
          <w:rFonts w:ascii="仿宋" w:eastAsia="仿宋"/>
          <w:spacing w:val="-2"/>
          <w:sz w:val="20"/>
          <w:vertAlign w:val="baseline"/>
        </w:rPr>
        <w:t>瘤</w:t>
      </w:r>
      <w:r>
        <w:rPr>
          <w:rFonts w:ascii="仿宋" w:eastAsia="仿宋"/>
          <w:spacing w:val="-2"/>
          <w:sz w:val="20"/>
          <w:vertAlign w:val="baseline"/>
        </w:rPr>
        <w:t>，侵</w:t>
      </w:r>
      <w:r>
        <w:rPr>
          <w:rFonts w:ascii="仿宋" w:eastAsia="仿宋"/>
          <w:spacing w:val="-2"/>
          <w:sz w:val="20"/>
          <w:vertAlign w:val="baseline"/>
        </w:rPr>
        <w:t>犯</w:t>
      </w:r>
      <w:r>
        <w:rPr>
          <w:rFonts w:ascii="仿宋" w:eastAsia="仿宋"/>
          <w:spacing w:val="-2"/>
          <w:sz w:val="20"/>
          <w:vertAlign w:val="baseline"/>
        </w:rPr>
        <w:t>椎</w:t>
      </w:r>
      <w:r>
        <w:rPr>
          <w:rFonts w:ascii="仿宋" w:eastAsia="仿宋"/>
          <w:spacing w:val="-2"/>
          <w:sz w:val="20"/>
          <w:vertAlign w:val="baseline"/>
        </w:rPr>
        <w:t>前</w:t>
      </w:r>
      <w:r>
        <w:rPr>
          <w:rFonts w:ascii="仿宋" w:eastAsia="仿宋"/>
          <w:spacing w:val="-2"/>
          <w:sz w:val="20"/>
          <w:vertAlign w:val="baseline"/>
        </w:rPr>
        <w:t>筋</w:t>
      </w:r>
      <w:r>
        <w:rPr>
          <w:rFonts w:ascii="仿宋" w:eastAsia="仿宋"/>
          <w:spacing w:val="-2"/>
          <w:sz w:val="20"/>
          <w:vertAlign w:val="baseline"/>
        </w:rPr>
        <w:t>膜</w:t>
      </w:r>
      <w:r>
        <w:rPr>
          <w:rFonts w:ascii="仿宋" w:eastAsia="仿宋"/>
          <w:spacing w:val="-2"/>
          <w:sz w:val="20"/>
          <w:vertAlign w:val="baseline"/>
        </w:rPr>
        <w:t>，</w:t>
      </w:r>
      <w:r>
        <w:rPr>
          <w:rFonts w:ascii="仿宋" w:eastAsia="仿宋"/>
          <w:spacing w:val="-2"/>
          <w:sz w:val="20"/>
          <w:vertAlign w:val="baseline"/>
        </w:rPr>
        <w:t>或</w:t>
      </w:r>
      <w:r>
        <w:rPr>
          <w:rFonts w:ascii="仿宋" w:eastAsia="仿宋"/>
          <w:spacing w:val="-2"/>
          <w:sz w:val="20"/>
          <w:vertAlign w:val="baseline"/>
        </w:rPr>
        <w:t>包</w:t>
      </w:r>
      <w:r>
        <w:rPr>
          <w:rFonts w:ascii="仿宋" w:eastAsia="仿宋"/>
          <w:spacing w:val="-2"/>
          <w:sz w:val="20"/>
          <w:vertAlign w:val="baseline"/>
        </w:rPr>
        <w:t>裹</w:t>
      </w:r>
      <w:r>
        <w:rPr>
          <w:rFonts w:ascii="仿宋" w:eastAsia="仿宋"/>
          <w:spacing w:val="-2"/>
          <w:sz w:val="20"/>
          <w:vertAlign w:val="baseline"/>
        </w:rPr>
        <w:t>颈</w:t>
      </w:r>
      <w:r>
        <w:rPr>
          <w:rFonts w:ascii="仿宋" w:eastAsia="仿宋"/>
          <w:spacing w:val="-2"/>
          <w:sz w:val="20"/>
          <w:vertAlign w:val="baseline"/>
        </w:rPr>
        <w:t>动</w:t>
      </w:r>
      <w:r>
        <w:rPr>
          <w:rFonts w:ascii="仿宋" w:eastAsia="仿宋"/>
          <w:spacing w:val="-2"/>
          <w:sz w:val="20"/>
          <w:vertAlign w:val="baseline"/>
        </w:rPr>
        <w:t>脉</w:t>
      </w:r>
      <w:r>
        <w:rPr>
          <w:rFonts w:ascii="仿宋" w:eastAsia="仿宋"/>
          <w:spacing w:val="-2"/>
          <w:sz w:val="20"/>
          <w:vertAlign w:val="baseline"/>
        </w:rPr>
        <w:t>、</w:t>
      </w:r>
      <w:r>
        <w:rPr>
          <w:rFonts w:ascii="仿宋" w:eastAsia="仿宋"/>
          <w:spacing w:val="-2"/>
          <w:sz w:val="20"/>
          <w:vertAlign w:val="baseline"/>
        </w:rPr>
        <w:t>纵</w:t>
      </w:r>
      <w:r>
        <w:rPr>
          <w:rFonts w:ascii="仿宋" w:eastAsia="仿宋"/>
          <w:spacing w:val="-2"/>
          <w:sz w:val="20"/>
          <w:vertAlign w:val="baseline"/>
        </w:rPr>
        <w:t>隔血管</w:t>
      </w:r>
      <w:r>
        <w:rPr>
          <w:rFonts w:ascii="仿宋" w:eastAsia="仿宋"/>
          <w:spacing w:val="-2"/>
          <w:sz w:val="20"/>
          <w:vertAlign w:val="baseline"/>
        </w:rPr>
        <w:t>区</w:t>
      </w:r>
      <w:r>
        <w:rPr>
          <w:rFonts w:ascii="仿宋" w:eastAsia="仿宋"/>
          <w:spacing w:val="-2"/>
          <w:sz w:val="20"/>
          <w:vertAlign w:val="baseline"/>
        </w:rPr>
        <w:t>域</w:t>
      </w:r>
      <w:r>
        <w:rPr>
          <w:rFonts w:ascii="仿宋" w:eastAsia="仿宋"/>
          <w:spacing w:val="-2"/>
          <w:sz w:val="20"/>
          <w:vertAlign w:val="baseline"/>
        </w:rPr>
        <w:t>淋</w:t>
      </w:r>
      <w:r>
        <w:rPr>
          <w:rFonts w:ascii="仿宋" w:eastAsia="仿宋"/>
          <w:spacing w:val="-2"/>
          <w:sz w:val="20"/>
          <w:vertAlign w:val="baseline"/>
        </w:rPr>
        <w:t>巴</w:t>
      </w:r>
      <w:r>
        <w:rPr>
          <w:rFonts w:ascii="仿宋" w:eastAsia="仿宋"/>
          <w:spacing w:val="-2"/>
          <w:sz w:val="20"/>
          <w:vertAlign w:val="baseline"/>
        </w:rPr>
        <w:t>结</w:t>
      </w:r>
      <w:r>
        <w:rPr>
          <w:rFonts w:ascii="仿宋" w:eastAsia="仿宋"/>
          <w:spacing w:val="-2"/>
          <w:sz w:val="20"/>
          <w:vertAlign w:val="baseline"/>
        </w:rPr>
        <w:t>：适</w:t>
      </w:r>
      <w:r>
        <w:rPr>
          <w:rFonts w:ascii="仿宋" w:eastAsia="仿宋"/>
          <w:spacing w:val="-2"/>
          <w:sz w:val="20"/>
          <w:vertAlign w:val="baseline"/>
        </w:rPr>
        <w:t>用</w:t>
      </w:r>
      <w:r>
        <w:rPr>
          <w:rFonts w:ascii="仿宋" w:eastAsia="仿宋"/>
          <w:spacing w:val="-2"/>
          <w:sz w:val="20"/>
          <w:vertAlign w:val="baseline"/>
        </w:rPr>
        <w:t>于</w:t>
      </w:r>
      <w:r>
        <w:rPr>
          <w:rFonts w:ascii="仿宋" w:eastAsia="仿宋"/>
          <w:spacing w:val="-2"/>
          <w:sz w:val="20"/>
          <w:vertAlign w:val="baseline"/>
        </w:rPr>
        <w:t>所</w:t>
      </w:r>
      <w:r>
        <w:rPr>
          <w:rFonts w:ascii="仿宋" w:eastAsia="仿宋"/>
          <w:spacing w:val="-2"/>
          <w:sz w:val="20"/>
          <w:vertAlign w:val="baseline"/>
        </w:rPr>
        <w:t>有</w:t>
      </w:r>
      <w:r>
        <w:rPr>
          <w:rFonts w:ascii="仿宋" w:eastAsia="仿宋"/>
          <w:spacing w:val="-2"/>
          <w:sz w:val="20"/>
          <w:vertAlign w:val="baseline"/>
        </w:rPr>
        <w:t>甲</w:t>
      </w:r>
      <w:r>
        <w:rPr>
          <w:rFonts w:ascii="仿宋" w:eastAsia="仿宋"/>
          <w:spacing w:val="-2"/>
          <w:sz w:val="20"/>
          <w:vertAlign w:val="baseline"/>
        </w:rPr>
        <w:t>状</w:t>
      </w:r>
      <w:r>
        <w:rPr>
          <w:rFonts w:ascii="仿宋" w:eastAsia="仿宋"/>
          <w:spacing w:val="-2"/>
          <w:sz w:val="20"/>
          <w:vertAlign w:val="baseline"/>
        </w:rPr>
        <w:t>腺</w:t>
      </w:r>
      <w:r>
        <w:rPr>
          <w:rFonts w:ascii="仿宋" w:eastAsia="仿宋"/>
          <w:spacing w:val="-2"/>
          <w:sz w:val="20"/>
          <w:vertAlign w:val="baseline"/>
        </w:rPr>
        <w:t>癌</w:t>
      </w:r>
    </w:p>
    <w:p>
      <w:pPr>
        <w:spacing w:line="292" w:lineRule="auto" w:before="0"/>
        <w:ind w:left="521" w:right="5876" w:firstLine="0"/>
        <w:jc w:val="left"/>
        <w:rPr>
          <w:rFonts w:ascii="仿宋" w:eastAsia="仿宋"/>
          <w:sz w:val="20"/>
        </w:rPr>
      </w:pPr>
      <w:r>
        <w:rPr>
          <w:rFonts w:ascii="Cambria Math" w:eastAsia="Cambria Math"/>
          <w:spacing w:val="-2"/>
          <w:sz w:val="20"/>
        </w:rPr>
        <w:t>pN</w:t>
      </w:r>
      <w:r>
        <w:rPr>
          <w:rFonts w:ascii="Cambria Math" w:eastAsia="Cambria Math"/>
          <w:spacing w:val="-2"/>
          <w:sz w:val="20"/>
          <w:vertAlign w:val="subscript"/>
        </w:rPr>
        <w:t>X</w:t>
      </w:r>
      <w:r>
        <w:rPr>
          <w:rFonts w:ascii="仿宋" w:eastAsia="仿宋"/>
          <w:spacing w:val="-2"/>
          <w:sz w:val="20"/>
          <w:vertAlign w:val="baseline"/>
        </w:rPr>
        <w:t>：区域</w:t>
      </w:r>
      <w:r>
        <w:rPr>
          <w:rFonts w:ascii="仿宋" w:eastAsia="仿宋"/>
          <w:spacing w:val="-2"/>
          <w:sz w:val="20"/>
          <w:vertAlign w:val="baseline"/>
        </w:rPr>
        <w:t>淋</w:t>
      </w:r>
      <w:r>
        <w:rPr>
          <w:rFonts w:ascii="仿宋" w:eastAsia="仿宋"/>
          <w:spacing w:val="-2"/>
          <w:sz w:val="20"/>
          <w:vertAlign w:val="baseline"/>
        </w:rPr>
        <w:t>巴</w:t>
      </w:r>
      <w:r>
        <w:rPr>
          <w:rFonts w:ascii="仿宋" w:eastAsia="仿宋"/>
          <w:spacing w:val="-2"/>
          <w:sz w:val="20"/>
          <w:vertAlign w:val="baseline"/>
        </w:rPr>
        <w:t>结</w:t>
      </w:r>
      <w:r>
        <w:rPr>
          <w:rFonts w:ascii="仿宋" w:eastAsia="仿宋"/>
          <w:spacing w:val="-2"/>
          <w:sz w:val="20"/>
          <w:vertAlign w:val="baseline"/>
        </w:rPr>
        <w:t>无</w:t>
      </w:r>
      <w:r>
        <w:rPr>
          <w:rFonts w:ascii="仿宋" w:eastAsia="仿宋"/>
          <w:spacing w:val="-2"/>
          <w:sz w:val="20"/>
          <w:vertAlign w:val="baseline"/>
        </w:rPr>
        <w:t>法</w:t>
      </w:r>
      <w:r>
        <w:rPr>
          <w:rFonts w:ascii="仿宋" w:eastAsia="仿宋"/>
          <w:spacing w:val="-2"/>
          <w:sz w:val="20"/>
          <w:vertAlign w:val="baseline"/>
        </w:rPr>
        <w:t>评估 </w:t>
      </w:r>
      <w:r>
        <w:rPr>
          <w:rFonts w:ascii="Cambria Math" w:eastAsia="Cambria Math"/>
          <w:spacing w:val="-2"/>
          <w:sz w:val="20"/>
          <w:vertAlign w:val="baseline"/>
        </w:rPr>
        <w:t>pN</w:t>
      </w:r>
      <w:r>
        <w:rPr>
          <w:rFonts w:ascii="Cambria Math" w:eastAsia="Cambria Math"/>
          <w:spacing w:val="-2"/>
          <w:sz w:val="20"/>
          <w:vertAlign w:val="subscript"/>
        </w:rPr>
        <w:t>0</w:t>
      </w:r>
      <w:r>
        <w:rPr>
          <w:rFonts w:ascii="仿宋" w:eastAsia="仿宋"/>
          <w:spacing w:val="-2"/>
          <w:sz w:val="20"/>
          <w:vertAlign w:val="baseline"/>
        </w:rPr>
        <w:t>：无淋</w:t>
      </w:r>
      <w:r>
        <w:rPr>
          <w:rFonts w:ascii="仿宋" w:eastAsia="仿宋"/>
          <w:spacing w:val="-2"/>
          <w:sz w:val="20"/>
          <w:vertAlign w:val="baseline"/>
        </w:rPr>
        <w:t>巴</w:t>
      </w:r>
      <w:r>
        <w:rPr>
          <w:rFonts w:ascii="仿宋" w:eastAsia="仿宋"/>
          <w:spacing w:val="-2"/>
          <w:sz w:val="20"/>
          <w:vertAlign w:val="baseline"/>
        </w:rPr>
        <w:t>结</w:t>
      </w:r>
      <w:r>
        <w:rPr>
          <w:rFonts w:ascii="仿宋" w:eastAsia="仿宋"/>
          <w:spacing w:val="-2"/>
          <w:sz w:val="20"/>
          <w:vertAlign w:val="baseline"/>
        </w:rPr>
        <w:t>转</w:t>
      </w:r>
      <w:r>
        <w:rPr>
          <w:rFonts w:ascii="仿宋" w:eastAsia="仿宋"/>
          <w:spacing w:val="-2"/>
          <w:sz w:val="20"/>
          <w:vertAlign w:val="baseline"/>
        </w:rPr>
        <w:t>移</w:t>
      </w:r>
      <w:r>
        <w:rPr>
          <w:rFonts w:ascii="仿宋" w:eastAsia="仿宋"/>
          <w:spacing w:val="-2"/>
          <w:sz w:val="20"/>
          <w:vertAlign w:val="baseline"/>
        </w:rPr>
        <w:t>证</w:t>
      </w:r>
      <w:r>
        <w:rPr>
          <w:rFonts w:ascii="仿宋" w:eastAsia="仿宋"/>
          <w:spacing w:val="-2"/>
          <w:sz w:val="20"/>
          <w:vertAlign w:val="baseline"/>
        </w:rPr>
        <w:t>据</w:t>
      </w:r>
      <w:r>
        <w:rPr>
          <w:rFonts w:ascii="仿宋" w:eastAsia="仿宋"/>
          <w:spacing w:val="-2"/>
          <w:sz w:val="20"/>
          <w:vertAlign w:val="baseline"/>
        </w:rPr>
        <w:t> </w:t>
      </w:r>
      <w:r>
        <w:rPr>
          <w:rFonts w:ascii="Cambria Math" w:eastAsia="Cambria Math"/>
          <w:spacing w:val="-2"/>
          <w:sz w:val="20"/>
          <w:vertAlign w:val="baseline"/>
        </w:rPr>
        <w:t>pN</w:t>
      </w:r>
      <w:r>
        <w:rPr>
          <w:rFonts w:ascii="Cambria Math" w:eastAsia="Cambria Math"/>
          <w:spacing w:val="-2"/>
          <w:sz w:val="20"/>
          <w:vertAlign w:val="subscript"/>
        </w:rPr>
        <w:t>1</w:t>
      </w:r>
      <w:r>
        <w:rPr>
          <w:rFonts w:ascii="仿宋" w:eastAsia="仿宋"/>
          <w:spacing w:val="-2"/>
          <w:sz w:val="20"/>
          <w:vertAlign w:val="baseline"/>
        </w:rPr>
        <w:t>：区域</w:t>
      </w:r>
      <w:r>
        <w:rPr>
          <w:rFonts w:ascii="仿宋" w:eastAsia="仿宋"/>
          <w:spacing w:val="-2"/>
          <w:sz w:val="20"/>
          <w:vertAlign w:val="baseline"/>
        </w:rPr>
        <w:t>淋</w:t>
      </w:r>
      <w:r>
        <w:rPr>
          <w:rFonts w:ascii="仿宋" w:eastAsia="仿宋"/>
          <w:spacing w:val="-2"/>
          <w:sz w:val="20"/>
          <w:vertAlign w:val="baseline"/>
        </w:rPr>
        <w:t>巴</w:t>
      </w:r>
      <w:r>
        <w:rPr>
          <w:rFonts w:ascii="仿宋" w:eastAsia="仿宋"/>
          <w:spacing w:val="-2"/>
          <w:sz w:val="20"/>
          <w:vertAlign w:val="baseline"/>
        </w:rPr>
        <w:t>结</w:t>
      </w:r>
      <w:r>
        <w:rPr>
          <w:rFonts w:ascii="仿宋" w:eastAsia="仿宋"/>
          <w:spacing w:val="-2"/>
          <w:sz w:val="20"/>
          <w:vertAlign w:val="baseline"/>
        </w:rPr>
        <w:t>转</w:t>
      </w:r>
      <w:r>
        <w:rPr>
          <w:rFonts w:ascii="仿宋" w:eastAsia="仿宋"/>
          <w:spacing w:val="-2"/>
          <w:sz w:val="20"/>
          <w:vertAlign w:val="baseline"/>
        </w:rPr>
        <w:t>移</w:t>
      </w:r>
    </w:p>
    <w:p>
      <w:pPr>
        <w:spacing w:line="292" w:lineRule="auto" w:before="0"/>
        <w:ind w:left="120" w:right="344" w:firstLine="400"/>
        <w:jc w:val="left"/>
        <w:rPr>
          <w:rFonts w:ascii="仿宋" w:hAnsi="仿宋" w:eastAsia="仿宋"/>
          <w:sz w:val="20"/>
        </w:rPr>
      </w:pPr>
      <w:r>
        <w:rPr>
          <w:rFonts w:ascii="Cambria Math" w:hAnsi="Cambria Math" w:eastAsia="Cambria Math"/>
          <w:spacing w:val="-2"/>
          <w:sz w:val="20"/>
        </w:rPr>
        <w:t>pN</w:t>
      </w:r>
      <w:r>
        <w:rPr>
          <w:rFonts w:ascii="Cambria Math" w:hAnsi="Cambria Math" w:eastAsia="Cambria Math"/>
          <w:spacing w:val="-2"/>
          <w:sz w:val="20"/>
          <w:vertAlign w:val="subscript"/>
        </w:rPr>
        <w:t>1a</w:t>
      </w:r>
      <w:r>
        <w:rPr>
          <w:rFonts w:ascii="仿宋" w:hAnsi="仿宋" w:eastAsia="仿宋"/>
          <w:spacing w:val="-2"/>
          <w:sz w:val="20"/>
          <w:vertAlign w:val="baseline"/>
        </w:rPr>
        <w:t>：转移</w:t>
      </w:r>
      <w:r>
        <w:rPr>
          <w:rFonts w:ascii="仿宋" w:hAnsi="仿宋" w:eastAsia="仿宋"/>
          <w:spacing w:val="-2"/>
          <w:sz w:val="20"/>
          <w:vertAlign w:val="baseline"/>
        </w:rPr>
        <w:t>至</w:t>
      </w:r>
      <w:r>
        <w:rPr>
          <w:rFonts w:ascii="仿宋" w:hAnsi="仿宋" w:eastAsia="仿宋"/>
          <w:spacing w:val="-2"/>
          <w:sz w:val="20"/>
          <w:vertAlign w:val="baseline"/>
        </w:rPr>
        <w:t>Ⅵ、Ⅶ</w:t>
      </w:r>
      <w:r>
        <w:rPr>
          <w:rFonts w:ascii="仿宋" w:hAnsi="仿宋" w:eastAsia="仿宋"/>
          <w:spacing w:val="-2"/>
          <w:sz w:val="20"/>
          <w:vertAlign w:val="baseline"/>
        </w:rPr>
        <w:t>区</w:t>
      </w:r>
      <w:r>
        <w:rPr>
          <w:rFonts w:ascii="仿宋" w:hAnsi="仿宋" w:eastAsia="仿宋"/>
          <w:spacing w:val="-2"/>
          <w:sz w:val="20"/>
          <w:vertAlign w:val="baseline"/>
        </w:rPr>
        <w:t>（</w:t>
      </w:r>
      <w:r>
        <w:rPr>
          <w:rFonts w:ascii="仿宋" w:hAnsi="仿宋" w:eastAsia="仿宋"/>
          <w:spacing w:val="-2"/>
          <w:sz w:val="20"/>
          <w:vertAlign w:val="baseline"/>
        </w:rPr>
        <w:t>包</w:t>
      </w:r>
      <w:r>
        <w:rPr>
          <w:rFonts w:ascii="仿宋" w:hAnsi="仿宋" w:eastAsia="仿宋"/>
          <w:spacing w:val="-2"/>
          <w:sz w:val="20"/>
          <w:vertAlign w:val="baseline"/>
        </w:rPr>
        <w:t>括</w:t>
      </w:r>
      <w:r>
        <w:rPr>
          <w:rFonts w:ascii="仿宋" w:hAnsi="仿宋" w:eastAsia="仿宋"/>
          <w:spacing w:val="-2"/>
          <w:sz w:val="20"/>
          <w:vertAlign w:val="baseline"/>
        </w:rPr>
        <w:t>气</w:t>
      </w:r>
      <w:r>
        <w:rPr>
          <w:rFonts w:ascii="仿宋" w:hAnsi="仿宋" w:eastAsia="仿宋"/>
          <w:spacing w:val="-2"/>
          <w:sz w:val="20"/>
          <w:vertAlign w:val="baseline"/>
        </w:rPr>
        <w:t>管</w:t>
      </w:r>
      <w:r>
        <w:rPr>
          <w:rFonts w:ascii="仿宋" w:hAnsi="仿宋" w:eastAsia="仿宋"/>
          <w:spacing w:val="-2"/>
          <w:sz w:val="20"/>
          <w:vertAlign w:val="baseline"/>
        </w:rPr>
        <w:t>旁</w:t>
      </w:r>
      <w:r>
        <w:rPr>
          <w:rFonts w:ascii="仿宋" w:hAnsi="仿宋" w:eastAsia="仿宋"/>
          <w:spacing w:val="-2"/>
          <w:sz w:val="20"/>
          <w:vertAlign w:val="baseline"/>
        </w:rPr>
        <w:t>、</w:t>
      </w:r>
      <w:r>
        <w:rPr>
          <w:rFonts w:ascii="仿宋" w:hAnsi="仿宋" w:eastAsia="仿宋"/>
          <w:spacing w:val="-2"/>
          <w:sz w:val="20"/>
          <w:vertAlign w:val="baseline"/>
        </w:rPr>
        <w:t>气</w:t>
      </w:r>
      <w:r>
        <w:rPr>
          <w:rFonts w:ascii="仿宋" w:hAnsi="仿宋" w:eastAsia="仿宋"/>
          <w:spacing w:val="-2"/>
          <w:sz w:val="20"/>
          <w:vertAlign w:val="baseline"/>
        </w:rPr>
        <w:t>管</w:t>
      </w:r>
      <w:r>
        <w:rPr>
          <w:rFonts w:ascii="仿宋" w:hAnsi="仿宋" w:eastAsia="仿宋"/>
          <w:spacing w:val="-2"/>
          <w:sz w:val="20"/>
          <w:vertAlign w:val="baseline"/>
        </w:rPr>
        <w:t>前</w:t>
      </w:r>
      <w:r>
        <w:rPr>
          <w:rFonts w:ascii="仿宋" w:hAnsi="仿宋" w:eastAsia="仿宋"/>
          <w:spacing w:val="-2"/>
          <w:sz w:val="20"/>
          <w:vertAlign w:val="baseline"/>
        </w:rPr>
        <w:t>、</w:t>
      </w:r>
      <w:r>
        <w:rPr>
          <w:rFonts w:ascii="仿宋" w:hAnsi="仿宋" w:eastAsia="仿宋"/>
          <w:spacing w:val="-2"/>
          <w:sz w:val="20"/>
          <w:vertAlign w:val="baseline"/>
        </w:rPr>
        <w:t>喉</w:t>
      </w:r>
      <w:r>
        <w:rPr>
          <w:rFonts w:ascii="仿宋" w:hAnsi="仿宋" w:eastAsia="仿宋"/>
          <w:spacing w:val="-2"/>
          <w:sz w:val="20"/>
          <w:vertAlign w:val="baseline"/>
        </w:rPr>
        <w:t>前</w:t>
      </w:r>
      <w:r>
        <w:rPr>
          <w:rFonts w:ascii="Cambria Math" w:hAnsi="Cambria Math" w:eastAsia="Cambria Math"/>
          <w:spacing w:val="-2"/>
          <w:sz w:val="20"/>
          <w:vertAlign w:val="baseline"/>
        </w:rPr>
        <w:t>/Delphian</w:t>
      </w:r>
      <w:r>
        <w:rPr>
          <w:rFonts w:ascii="仿宋" w:hAnsi="仿宋" w:eastAsia="仿宋"/>
          <w:spacing w:val="-2"/>
          <w:sz w:val="20"/>
          <w:vertAlign w:val="baseline"/>
        </w:rPr>
        <w:t>或</w:t>
      </w:r>
      <w:r>
        <w:rPr>
          <w:rFonts w:ascii="仿宋" w:hAnsi="仿宋" w:eastAsia="仿宋"/>
          <w:spacing w:val="-2"/>
          <w:sz w:val="20"/>
          <w:vertAlign w:val="baseline"/>
        </w:rPr>
        <w:t>上</w:t>
      </w:r>
      <w:r>
        <w:rPr>
          <w:rFonts w:ascii="仿宋" w:hAnsi="仿宋" w:eastAsia="仿宋"/>
          <w:spacing w:val="-2"/>
          <w:sz w:val="20"/>
          <w:vertAlign w:val="baseline"/>
        </w:rPr>
        <w:t>纵</w:t>
      </w:r>
      <w:r>
        <w:rPr>
          <w:rFonts w:ascii="仿宋" w:hAnsi="仿宋" w:eastAsia="仿宋"/>
          <w:spacing w:val="-2"/>
          <w:sz w:val="20"/>
          <w:vertAlign w:val="baseline"/>
        </w:rPr>
        <w:t>隔</w:t>
      </w:r>
      <w:r>
        <w:rPr>
          <w:rFonts w:ascii="仿宋" w:hAnsi="仿宋" w:eastAsia="仿宋"/>
          <w:spacing w:val="-2"/>
          <w:sz w:val="20"/>
          <w:vertAlign w:val="baseline"/>
        </w:rPr>
        <w:t>）</w:t>
      </w:r>
      <w:r>
        <w:rPr>
          <w:rFonts w:ascii="仿宋" w:hAnsi="仿宋" w:eastAsia="仿宋"/>
          <w:spacing w:val="-2"/>
          <w:sz w:val="20"/>
          <w:vertAlign w:val="baseline"/>
        </w:rPr>
        <w:t>淋</w:t>
      </w:r>
      <w:r>
        <w:rPr>
          <w:rFonts w:ascii="仿宋" w:hAnsi="仿宋" w:eastAsia="仿宋"/>
          <w:spacing w:val="-2"/>
          <w:sz w:val="20"/>
          <w:vertAlign w:val="baseline"/>
        </w:rPr>
        <w:t>巴</w:t>
      </w:r>
      <w:r>
        <w:rPr>
          <w:rFonts w:ascii="仿宋" w:hAnsi="仿宋" w:eastAsia="仿宋"/>
          <w:spacing w:val="-2"/>
          <w:sz w:val="20"/>
          <w:vertAlign w:val="baseline"/>
        </w:rPr>
        <w:t>结，可</w:t>
      </w:r>
      <w:r>
        <w:rPr>
          <w:rFonts w:ascii="仿宋" w:hAnsi="仿宋" w:eastAsia="仿宋"/>
          <w:spacing w:val="-2"/>
          <w:sz w:val="20"/>
          <w:vertAlign w:val="baseline"/>
        </w:rPr>
        <w:t>以</w:t>
      </w:r>
      <w:r>
        <w:rPr>
          <w:rFonts w:ascii="仿宋" w:hAnsi="仿宋" w:eastAsia="仿宋"/>
          <w:spacing w:val="-2"/>
          <w:sz w:val="20"/>
          <w:vertAlign w:val="baseline"/>
        </w:rPr>
        <w:t>为</w:t>
      </w:r>
      <w:r>
        <w:rPr>
          <w:rFonts w:ascii="仿宋" w:hAnsi="仿宋" w:eastAsia="仿宋"/>
          <w:spacing w:val="-2"/>
          <w:sz w:val="20"/>
          <w:vertAlign w:val="baseline"/>
        </w:rPr>
        <w:t>单</w:t>
      </w:r>
      <w:r>
        <w:rPr>
          <w:rFonts w:ascii="仿宋" w:hAnsi="仿宋" w:eastAsia="仿宋"/>
          <w:spacing w:val="-2"/>
          <w:sz w:val="20"/>
          <w:vertAlign w:val="baseline"/>
        </w:rPr>
        <w:t>侧</w:t>
      </w:r>
      <w:r>
        <w:rPr>
          <w:rFonts w:ascii="仿宋" w:hAnsi="仿宋" w:eastAsia="仿宋"/>
          <w:spacing w:val="-2"/>
          <w:sz w:val="20"/>
          <w:vertAlign w:val="baseline"/>
        </w:rPr>
        <w:t>或</w:t>
      </w:r>
      <w:r>
        <w:rPr>
          <w:rFonts w:ascii="仿宋" w:hAnsi="仿宋" w:eastAsia="仿宋"/>
          <w:spacing w:val="-2"/>
          <w:sz w:val="20"/>
          <w:vertAlign w:val="baseline"/>
        </w:rPr>
        <w:t>双</w:t>
      </w:r>
      <w:r>
        <w:rPr>
          <w:rFonts w:ascii="仿宋" w:hAnsi="仿宋" w:eastAsia="仿宋"/>
          <w:spacing w:val="-2"/>
          <w:sz w:val="20"/>
          <w:vertAlign w:val="baseline"/>
        </w:rPr>
        <w:t>侧</w:t>
      </w:r>
      <w:r>
        <w:rPr>
          <w:rFonts w:ascii="仿宋" w:hAnsi="仿宋" w:eastAsia="仿宋"/>
          <w:spacing w:val="-2"/>
          <w:sz w:val="20"/>
          <w:vertAlign w:val="baseline"/>
        </w:rPr>
        <w:t>。</w:t>
      </w:r>
    </w:p>
    <w:p>
      <w:pPr>
        <w:spacing w:line="292" w:lineRule="auto" w:before="0"/>
        <w:ind w:left="120" w:right="403" w:firstLine="400"/>
        <w:jc w:val="left"/>
        <w:rPr>
          <w:rFonts w:ascii="仿宋" w:hAnsi="仿宋" w:eastAsia="仿宋"/>
          <w:sz w:val="20"/>
        </w:rPr>
      </w:pPr>
      <w:r>
        <w:rPr>
          <w:rFonts w:ascii="Cambria Math" w:hAnsi="Cambria Math" w:eastAsia="Cambria Math"/>
          <w:spacing w:val="-2"/>
          <w:sz w:val="20"/>
        </w:rPr>
        <w:t>pN</w:t>
      </w:r>
      <w:r>
        <w:rPr>
          <w:rFonts w:ascii="Cambria Math" w:hAnsi="Cambria Math" w:eastAsia="Cambria Math"/>
          <w:spacing w:val="-2"/>
          <w:sz w:val="20"/>
          <w:vertAlign w:val="subscript"/>
        </w:rPr>
        <w:t>1b</w:t>
      </w:r>
      <w:r>
        <w:rPr>
          <w:rFonts w:ascii="仿宋" w:hAnsi="仿宋" w:eastAsia="仿宋"/>
          <w:spacing w:val="-2"/>
          <w:sz w:val="20"/>
          <w:vertAlign w:val="baseline"/>
        </w:rPr>
        <w:t>：单侧</w:t>
      </w:r>
      <w:r>
        <w:rPr>
          <w:rFonts w:ascii="仿宋" w:hAnsi="仿宋" w:eastAsia="仿宋"/>
          <w:spacing w:val="-2"/>
          <w:sz w:val="20"/>
          <w:vertAlign w:val="baseline"/>
        </w:rPr>
        <w:t>、</w:t>
      </w:r>
      <w:r>
        <w:rPr>
          <w:rFonts w:ascii="仿宋" w:hAnsi="仿宋" w:eastAsia="仿宋"/>
          <w:spacing w:val="-2"/>
          <w:sz w:val="20"/>
          <w:vertAlign w:val="baseline"/>
        </w:rPr>
        <w:t>双</w:t>
      </w:r>
      <w:r>
        <w:rPr>
          <w:rFonts w:ascii="仿宋" w:hAnsi="仿宋" w:eastAsia="仿宋"/>
          <w:spacing w:val="-2"/>
          <w:sz w:val="20"/>
          <w:vertAlign w:val="baseline"/>
        </w:rPr>
        <w:t>侧</w:t>
      </w:r>
      <w:r>
        <w:rPr>
          <w:rFonts w:ascii="仿宋" w:hAnsi="仿宋" w:eastAsia="仿宋"/>
          <w:spacing w:val="-2"/>
          <w:sz w:val="20"/>
          <w:vertAlign w:val="baseline"/>
        </w:rPr>
        <w:t>或</w:t>
      </w:r>
      <w:r>
        <w:rPr>
          <w:rFonts w:ascii="仿宋" w:hAnsi="仿宋" w:eastAsia="仿宋"/>
          <w:spacing w:val="-2"/>
          <w:sz w:val="20"/>
          <w:vertAlign w:val="baseline"/>
        </w:rPr>
        <w:t>对</w:t>
      </w:r>
      <w:r>
        <w:rPr>
          <w:rFonts w:ascii="仿宋" w:hAnsi="仿宋" w:eastAsia="仿宋"/>
          <w:spacing w:val="-2"/>
          <w:sz w:val="20"/>
          <w:vertAlign w:val="baseline"/>
        </w:rPr>
        <w:t>侧</w:t>
      </w:r>
      <w:r>
        <w:rPr>
          <w:rFonts w:ascii="仿宋" w:hAnsi="仿宋" w:eastAsia="仿宋"/>
          <w:spacing w:val="-2"/>
          <w:sz w:val="20"/>
          <w:vertAlign w:val="baseline"/>
        </w:rPr>
        <w:t>颈</w:t>
      </w:r>
      <w:r>
        <w:rPr>
          <w:rFonts w:ascii="仿宋" w:hAnsi="仿宋" w:eastAsia="仿宋"/>
          <w:spacing w:val="-2"/>
          <w:sz w:val="20"/>
          <w:vertAlign w:val="baseline"/>
        </w:rPr>
        <w:t>淋</w:t>
      </w:r>
      <w:r>
        <w:rPr>
          <w:rFonts w:ascii="仿宋" w:hAnsi="仿宋" w:eastAsia="仿宋"/>
          <w:spacing w:val="-2"/>
          <w:sz w:val="20"/>
          <w:vertAlign w:val="baseline"/>
        </w:rPr>
        <w:t>巴</w:t>
      </w:r>
      <w:r>
        <w:rPr>
          <w:rFonts w:ascii="仿宋" w:hAnsi="仿宋" w:eastAsia="仿宋"/>
          <w:spacing w:val="-2"/>
          <w:sz w:val="20"/>
          <w:vertAlign w:val="baseline"/>
        </w:rPr>
        <w:t>结</w:t>
      </w:r>
      <w:r>
        <w:rPr>
          <w:rFonts w:ascii="仿宋" w:hAnsi="仿宋" w:eastAsia="仿宋"/>
          <w:spacing w:val="-2"/>
          <w:sz w:val="20"/>
          <w:vertAlign w:val="baseline"/>
        </w:rPr>
        <w:t>转</w:t>
      </w:r>
      <w:r>
        <w:rPr>
          <w:rFonts w:ascii="仿宋" w:hAnsi="仿宋" w:eastAsia="仿宋"/>
          <w:spacing w:val="-2"/>
          <w:sz w:val="20"/>
          <w:vertAlign w:val="baseline"/>
        </w:rPr>
        <w:t>移（</w:t>
      </w:r>
      <w:r>
        <w:rPr>
          <w:rFonts w:ascii="仿宋" w:hAnsi="仿宋" w:eastAsia="仿宋"/>
          <w:spacing w:val="-2"/>
          <w:sz w:val="20"/>
          <w:vertAlign w:val="baseline"/>
        </w:rPr>
        <w:t>包</w:t>
      </w:r>
      <w:r>
        <w:rPr>
          <w:rFonts w:ascii="仿宋" w:hAnsi="仿宋" w:eastAsia="仿宋"/>
          <w:spacing w:val="-2"/>
          <w:sz w:val="20"/>
          <w:vertAlign w:val="baseline"/>
        </w:rPr>
        <w:t>括Ⅰ</w:t>
      </w:r>
      <w:r>
        <w:rPr>
          <w:rFonts w:ascii="仿宋" w:hAnsi="仿宋" w:eastAsia="仿宋"/>
          <w:spacing w:val="-2"/>
          <w:sz w:val="20"/>
          <w:vertAlign w:val="baseline"/>
        </w:rPr>
        <w:t>、</w:t>
      </w:r>
      <w:r>
        <w:rPr>
          <w:rFonts w:ascii="仿宋" w:hAnsi="仿宋" w:eastAsia="仿宋"/>
          <w:spacing w:val="-2"/>
          <w:sz w:val="20"/>
          <w:vertAlign w:val="baseline"/>
        </w:rPr>
        <w:t>Ⅱ</w:t>
      </w:r>
      <w:r>
        <w:rPr>
          <w:rFonts w:ascii="仿宋" w:hAnsi="仿宋" w:eastAsia="仿宋"/>
          <w:spacing w:val="-2"/>
          <w:sz w:val="20"/>
          <w:vertAlign w:val="baseline"/>
        </w:rPr>
        <w:t>、</w:t>
      </w:r>
      <w:r>
        <w:rPr>
          <w:rFonts w:ascii="仿宋" w:hAnsi="仿宋" w:eastAsia="仿宋"/>
          <w:spacing w:val="-2"/>
          <w:sz w:val="20"/>
          <w:vertAlign w:val="baseline"/>
        </w:rPr>
        <w:t>Ⅲ、Ⅳ</w:t>
      </w:r>
      <w:r>
        <w:rPr>
          <w:rFonts w:ascii="仿宋" w:hAnsi="仿宋" w:eastAsia="仿宋"/>
          <w:spacing w:val="-2"/>
          <w:sz w:val="20"/>
          <w:vertAlign w:val="baseline"/>
        </w:rPr>
        <w:t>或</w:t>
      </w:r>
      <w:r>
        <w:rPr>
          <w:rFonts w:ascii="仿宋" w:hAnsi="仿宋" w:eastAsia="仿宋"/>
          <w:spacing w:val="-2"/>
          <w:sz w:val="20"/>
          <w:vertAlign w:val="baseline"/>
        </w:rPr>
        <w:t>Ⅴ</w:t>
      </w:r>
      <w:r>
        <w:rPr>
          <w:rFonts w:ascii="仿宋" w:hAnsi="仿宋" w:eastAsia="仿宋"/>
          <w:spacing w:val="-2"/>
          <w:sz w:val="20"/>
          <w:vertAlign w:val="baseline"/>
        </w:rPr>
        <w:t>区</w:t>
      </w:r>
      <w:r>
        <w:rPr>
          <w:rFonts w:ascii="仿宋" w:hAnsi="仿宋" w:eastAsia="仿宋"/>
          <w:spacing w:val="-2"/>
          <w:sz w:val="20"/>
          <w:vertAlign w:val="baseline"/>
        </w:rPr>
        <w:t>）淋</w:t>
      </w:r>
      <w:r>
        <w:rPr>
          <w:rFonts w:ascii="仿宋" w:hAnsi="仿宋" w:eastAsia="仿宋"/>
          <w:spacing w:val="-2"/>
          <w:sz w:val="20"/>
          <w:vertAlign w:val="baseline"/>
        </w:rPr>
        <w:t>巴</w:t>
      </w:r>
      <w:r>
        <w:rPr>
          <w:rFonts w:ascii="仿宋" w:hAnsi="仿宋" w:eastAsia="仿宋"/>
          <w:spacing w:val="-2"/>
          <w:sz w:val="20"/>
          <w:vertAlign w:val="baseline"/>
        </w:rPr>
        <w:t>结</w:t>
      </w:r>
      <w:r>
        <w:rPr>
          <w:rFonts w:ascii="仿宋" w:hAnsi="仿宋" w:eastAsia="仿宋"/>
          <w:spacing w:val="-2"/>
          <w:sz w:val="20"/>
          <w:vertAlign w:val="baseline"/>
        </w:rPr>
        <w:t>或</w:t>
      </w:r>
      <w:r>
        <w:rPr>
          <w:rFonts w:ascii="仿宋" w:hAnsi="仿宋" w:eastAsia="仿宋"/>
          <w:spacing w:val="-2"/>
          <w:sz w:val="20"/>
          <w:vertAlign w:val="baseline"/>
        </w:rPr>
        <w:t>咽</w:t>
      </w:r>
      <w:r>
        <w:rPr>
          <w:rFonts w:ascii="仿宋" w:hAnsi="仿宋" w:eastAsia="仿宋"/>
          <w:spacing w:val="-2"/>
          <w:sz w:val="20"/>
          <w:vertAlign w:val="baseline"/>
        </w:rPr>
        <w:t>后</w:t>
      </w:r>
      <w:r>
        <w:rPr>
          <w:rFonts w:ascii="仿宋" w:hAnsi="仿宋" w:eastAsia="仿宋"/>
          <w:spacing w:val="-2"/>
          <w:sz w:val="20"/>
          <w:vertAlign w:val="baseline"/>
        </w:rPr>
        <w:t>淋巴</w:t>
      </w:r>
      <w:r>
        <w:rPr>
          <w:rFonts w:ascii="仿宋" w:hAnsi="仿宋" w:eastAsia="仿宋"/>
          <w:spacing w:val="-4"/>
          <w:sz w:val="20"/>
          <w:vertAlign w:val="baseline"/>
        </w:rPr>
        <w:t>结</w:t>
      </w:r>
      <w:r>
        <w:rPr>
          <w:rFonts w:ascii="仿宋" w:hAnsi="仿宋" w:eastAsia="仿宋"/>
          <w:spacing w:val="-4"/>
          <w:sz w:val="20"/>
          <w:vertAlign w:val="baseline"/>
        </w:rPr>
        <w:t>转</w:t>
      </w:r>
      <w:r>
        <w:rPr>
          <w:rFonts w:ascii="仿宋" w:hAnsi="仿宋" w:eastAsia="仿宋"/>
          <w:spacing w:val="-4"/>
          <w:sz w:val="20"/>
          <w:vertAlign w:val="baseline"/>
        </w:rPr>
        <w:t>移</w:t>
      </w:r>
      <w:r>
        <w:rPr>
          <w:rFonts w:ascii="仿宋" w:hAnsi="仿宋" w:eastAsia="仿宋"/>
          <w:spacing w:val="-4"/>
          <w:sz w:val="20"/>
          <w:vertAlign w:val="baseline"/>
        </w:rPr>
        <w:t>。</w:t>
      </w:r>
    </w:p>
    <w:p>
      <w:pPr>
        <w:spacing w:line="256" w:lineRule="exact" w:before="0"/>
        <w:ind w:left="521" w:right="0" w:firstLine="0"/>
        <w:jc w:val="left"/>
        <w:rPr>
          <w:rFonts w:ascii="仿宋" w:eastAsia="仿宋"/>
          <w:sz w:val="20"/>
        </w:rPr>
      </w:pPr>
      <w:r>
        <w:rPr>
          <w:rFonts w:ascii="仿宋" w:eastAsia="仿宋"/>
          <w:w w:val="95"/>
          <w:sz w:val="20"/>
        </w:rPr>
        <w:t>远</w:t>
      </w:r>
      <w:r>
        <w:rPr>
          <w:rFonts w:ascii="仿宋" w:eastAsia="仿宋"/>
          <w:w w:val="95"/>
          <w:sz w:val="20"/>
        </w:rPr>
        <w:t>处</w:t>
      </w:r>
      <w:r>
        <w:rPr>
          <w:rFonts w:ascii="仿宋" w:eastAsia="仿宋"/>
          <w:w w:val="95"/>
          <w:sz w:val="20"/>
        </w:rPr>
        <w:t>转</w:t>
      </w:r>
      <w:r>
        <w:rPr>
          <w:rFonts w:ascii="仿宋" w:eastAsia="仿宋"/>
          <w:w w:val="95"/>
          <w:sz w:val="20"/>
        </w:rPr>
        <w:t>移：</w:t>
      </w:r>
      <w:r>
        <w:rPr>
          <w:rFonts w:ascii="仿宋" w:eastAsia="仿宋"/>
          <w:w w:val="95"/>
          <w:sz w:val="20"/>
        </w:rPr>
        <w:t>适</w:t>
      </w:r>
      <w:r>
        <w:rPr>
          <w:rFonts w:ascii="仿宋" w:eastAsia="仿宋"/>
          <w:w w:val="95"/>
          <w:sz w:val="20"/>
        </w:rPr>
        <w:t>用</w:t>
      </w:r>
      <w:r>
        <w:rPr>
          <w:rFonts w:ascii="仿宋" w:eastAsia="仿宋"/>
          <w:w w:val="95"/>
          <w:sz w:val="20"/>
        </w:rPr>
        <w:t>于</w:t>
      </w:r>
      <w:r>
        <w:rPr>
          <w:rFonts w:ascii="仿宋" w:eastAsia="仿宋"/>
          <w:w w:val="95"/>
          <w:sz w:val="20"/>
        </w:rPr>
        <w:t>所</w:t>
      </w:r>
      <w:r>
        <w:rPr>
          <w:rFonts w:ascii="仿宋" w:eastAsia="仿宋"/>
          <w:w w:val="95"/>
          <w:sz w:val="20"/>
        </w:rPr>
        <w:t>有</w:t>
      </w:r>
      <w:r>
        <w:rPr>
          <w:rFonts w:ascii="仿宋" w:eastAsia="仿宋"/>
          <w:w w:val="95"/>
          <w:sz w:val="20"/>
        </w:rPr>
        <w:t>甲</w:t>
      </w:r>
      <w:r>
        <w:rPr>
          <w:rFonts w:ascii="仿宋" w:eastAsia="仿宋"/>
          <w:w w:val="95"/>
          <w:sz w:val="20"/>
        </w:rPr>
        <w:t>状</w:t>
      </w:r>
      <w:r>
        <w:rPr>
          <w:rFonts w:ascii="仿宋" w:eastAsia="仿宋"/>
          <w:spacing w:val="-5"/>
          <w:w w:val="95"/>
          <w:sz w:val="20"/>
        </w:rPr>
        <w:t>腺癌</w:t>
      </w:r>
    </w:p>
    <w:p>
      <w:pPr>
        <w:spacing w:line="292" w:lineRule="auto" w:before="50"/>
        <w:ind w:left="521" w:right="6771" w:firstLine="0"/>
        <w:jc w:val="left"/>
        <w:rPr>
          <w:rFonts w:ascii="仿宋" w:eastAsia="仿宋"/>
          <w:sz w:val="20"/>
        </w:rPr>
      </w:pPr>
      <w:r>
        <w:rPr/>
        <w:pict>
          <v:shape style="position:absolute;margin-left:113.179993pt;margin-top:32.420017pt;width:369.1pt;height:48.75pt;mso-position-horizontal-relative:page;mso-position-vertical-relative:paragraph;z-index:15735808"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37"/>
                    <w:gridCol w:w="958"/>
                    <w:gridCol w:w="1025"/>
                    <w:gridCol w:w="853"/>
                  </w:tblGrid>
                  <w:tr>
                    <w:trPr>
                      <w:trHeight w:val="311" w:hRule="atLeast"/>
                    </w:trPr>
                    <w:tc>
                      <w:tcPr>
                        <w:tcW w:w="7373" w:type="dxa"/>
                        <w:gridSpan w:val="4"/>
                      </w:tcPr>
                      <w:p>
                        <w:pPr>
                          <w:pStyle w:val="TableParagraph"/>
                          <w:spacing w:before="25"/>
                          <w:rPr>
                            <w:sz w:val="20"/>
                          </w:rPr>
                        </w:pPr>
                        <w:r>
                          <w:rPr>
                            <w:w w:val="95"/>
                            <w:sz w:val="20"/>
                          </w:rPr>
                          <w:t>乳</w:t>
                        </w:r>
                        <w:r>
                          <w:rPr>
                            <w:w w:val="95"/>
                            <w:sz w:val="20"/>
                          </w:rPr>
                          <w:t>头</w:t>
                        </w:r>
                        <w:r>
                          <w:rPr>
                            <w:w w:val="95"/>
                            <w:sz w:val="20"/>
                          </w:rPr>
                          <w:t>状</w:t>
                        </w:r>
                        <w:r>
                          <w:rPr>
                            <w:w w:val="95"/>
                            <w:sz w:val="20"/>
                          </w:rPr>
                          <w:t>或</w:t>
                        </w:r>
                        <w:r>
                          <w:rPr>
                            <w:w w:val="95"/>
                            <w:sz w:val="20"/>
                          </w:rPr>
                          <w:t>滤</w:t>
                        </w:r>
                        <w:r>
                          <w:rPr>
                            <w:w w:val="95"/>
                            <w:sz w:val="20"/>
                          </w:rPr>
                          <w:t>泡</w:t>
                        </w:r>
                        <w:r>
                          <w:rPr>
                            <w:w w:val="95"/>
                            <w:sz w:val="20"/>
                          </w:rPr>
                          <w:t>状</w:t>
                        </w:r>
                        <w:r>
                          <w:rPr>
                            <w:w w:val="95"/>
                            <w:sz w:val="20"/>
                          </w:rPr>
                          <w:t>癌</w:t>
                        </w:r>
                        <w:r>
                          <w:rPr>
                            <w:w w:val="95"/>
                            <w:sz w:val="20"/>
                          </w:rPr>
                          <w:t>（分</w:t>
                        </w:r>
                        <w:r>
                          <w:rPr>
                            <w:w w:val="95"/>
                            <w:sz w:val="20"/>
                          </w:rPr>
                          <w:t>化</w:t>
                        </w:r>
                        <w:r>
                          <w:rPr>
                            <w:w w:val="95"/>
                            <w:sz w:val="20"/>
                          </w:rPr>
                          <w:t>型</w:t>
                        </w:r>
                        <w:r>
                          <w:rPr>
                            <w:spacing w:val="-10"/>
                            <w:w w:val="95"/>
                            <w:sz w:val="20"/>
                          </w:rPr>
                          <w:t>）</w:t>
                        </w:r>
                      </w:p>
                    </w:tc>
                  </w:tr>
                  <w:tr>
                    <w:trPr>
                      <w:trHeight w:val="311" w:hRule="atLeast"/>
                    </w:trPr>
                    <w:tc>
                      <w:tcPr>
                        <w:tcW w:w="7373" w:type="dxa"/>
                        <w:gridSpan w:val="4"/>
                      </w:tcPr>
                      <w:p>
                        <w:pPr>
                          <w:pStyle w:val="TableParagraph"/>
                          <w:spacing w:before="25"/>
                          <w:rPr>
                            <w:sz w:val="20"/>
                          </w:rPr>
                        </w:pPr>
                        <w:r>
                          <w:rPr>
                            <w:w w:val="95"/>
                            <w:sz w:val="20"/>
                          </w:rPr>
                          <w:t>年龄＜55</w:t>
                        </w:r>
                        <w:r>
                          <w:rPr>
                            <w:spacing w:val="-10"/>
                            <w:w w:val="95"/>
                            <w:sz w:val="20"/>
                          </w:rPr>
                          <w:t> 岁</w:t>
                        </w:r>
                      </w:p>
                    </w:tc>
                  </w:tr>
                  <w:tr>
                    <w:trPr>
                      <w:trHeight w:val="313" w:hRule="atLeast"/>
                    </w:trPr>
                    <w:tc>
                      <w:tcPr>
                        <w:tcW w:w="4537" w:type="dxa"/>
                      </w:tcPr>
                      <w:p>
                        <w:pPr>
                          <w:pStyle w:val="TableParagraph"/>
                          <w:spacing w:before="0"/>
                          <w:ind w:left="0"/>
                          <w:rPr>
                            <w:rFonts w:ascii="Times New Roman"/>
                            <w:sz w:val="18"/>
                          </w:rPr>
                        </w:pPr>
                      </w:p>
                    </w:tc>
                    <w:tc>
                      <w:tcPr>
                        <w:tcW w:w="958" w:type="dxa"/>
                      </w:tcPr>
                      <w:p>
                        <w:pPr>
                          <w:pStyle w:val="TableParagraph"/>
                          <w:spacing w:before="25"/>
                          <w:rPr>
                            <w:sz w:val="20"/>
                          </w:rPr>
                        </w:pPr>
                        <w:r>
                          <w:rPr>
                            <w:w w:val="99"/>
                            <w:sz w:val="20"/>
                          </w:rPr>
                          <w:t>T</w:t>
                        </w:r>
                      </w:p>
                    </w:tc>
                    <w:tc>
                      <w:tcPr>
                        <w:tcW w:w="1025" w:type="dxa"/>
                      </w:tcPr>
                      <w:p>
                        <w:pPr>
                          <w:pStyle w:val="TableParagraph"/>
                          <w:spacing w:before="25"/>
                          <w:rPr>
                            <w:sz w:val="20"/>
                          </w:rPr>
                        </w:pPr>
                        <w:r>
                          <w:rPr>
                            <w:w w:val="99"/>
                            <w:sz w:val="20"/>
                          </w:rPr>
                          <w:t>N</w:t>
                        </w:r>
                      </w:p>
                    </w:tc>
                    <w:tc>
                      <w:tcPr>
                        <w:tcW w:w="853" w:type="dxa"/>
                      </w:tcPr>
                      <w:p>
                        <w:pPr>
                          <w:pStyle w:val="TableParagraph"/>
                          <w:spacing w:before="25"/>
                          <w:rPr>
                            <w:sz w:val="20"/>
                          </w:rPr>
                        </w:pPr>
                        <w:r>
                          <w:rPr>
                            <w:w w:val="99"/>
                            <w:sz w:val="20"/>
                          </w:rPr>
                          <w:t>M</w:t>
                        </w:r>
                      </w:p>
                    </w:tc>
                  </w:tr>
                </w:tbl>
                <w:p>
                  <w:pPr>
                    <w:pStyle w:val="BodyText"/>
                  </w:pPr>
                </w:p>
              </w:txbxContent>
            </v:textbox>
            <w10:wrap type="none"/>
          </v:shape>
        </w:pict>
      </w:r>
      <w:r>
        <w:rPr>
          <w:rFonts w:ascii="Cambria Math" w:eastAsia="Cambria Math"/>
          <w:spacing w:val="-2"/>
          <w:sz w:val="20"/>
        </w:rPr>
        <w:t>M</w:t>
      </w:r>
      <w:r>
        <w:rPr>
          <w:rFonts w:ascii="Cambria Math" w:eastAsia="Cambria Math"/>
          <w:spacing w:val="-2"/>
          <w:sz w:val="20"/>
          <w:vertAlign w:val="subscript"/>
        </w:rPr>
        <w:t>0</w:t>
      </w:r>
      <w:r>
        <w:rPr>
          <w:rFonts w:ascii="仿宋" w:eastAsia="仿宋"/>
          <w:spacing w:val="-2"/>
          <w:sz w:val="20"/>
          <w:vertAlign w:val="baseline"/>
        </w:rPr>
        <w:t>：</w:t>
      </w:r>
      <w:r>
        <w:rPr>
          <w:rFonts w:ascii="仿宋" w:eastAsia="仿宋"/>
          <w:spacing w:val="-2"/>
          <w:sz w:val="20"/>
          <w:vertAlign w:val="baseline"/>
        </w:rPr>
        <w:t>无</w:t>
      </w:r>
      <w:r>
        <w:rPr>
          <w:rFonts w:ascii="仿宋" w:eastAsia="仿宋"/>
          <w:spacing w:val="-2"/>
          <w:sz w:val="20"/>
          <w:vertAlign w:val="baseline"/>
        </w:rPr>
        <w:t>远</w:t>
      </w:r>
      <w:r>
        <w:rPr>
          <w:rFonts w:ascii="仿宋" w:eastAsia="仿宋"/>
          <w:spacing w:val="-2"/>
          <w:sz w:val="20"/>
          <w:vertAlign w:val="baseline"/>
        </w:rPr>
        <w:t>处转移 </w:t>
      </w:r>
      <w:r>
        <w:rPr>
          <w:rFonts w:ascii="Cambria Math" w:eastAsia="Cambria Math"/>
          <w:w w:val="95"/>
          <w:sz w:val="20"/>
          <w:vertAlign w:val="baseline"/>
        </w:rPr>
        <w:t>M</w:t>
      </w:r>
      <w:r>
        <w:rPr>
          <w:rFonts w:ascii="Cambria Math" w:eastAsia="Cambria Math"/>
          <w:w w:val="95"/>
          <w:sz w:val="20"/>
          <w:vertAlign w:val="subscript"/>
        </w:rPr>
        <w:t>1</w:t>
      </w:r>
      <w:r>
        <w:rPr>
          <w:rFonts w:ascii="仿宋" w:eastAsia="仿宋"/>
          <w:w w:val="95"/>
          <w:sz w:val="20"/>
          <w:vertAlign w:val="baseline"/>
        </w:rPr>
        <w:t>：</w:t>
      </w:r>
      <w:r>
        <w:rPr>
          <w:rFonts w:ascii="仿宋" w:eastAsia="仿宋"/>
          <w:w w:val="95"/>
          <w:sz w:val="20"/>
          <w:vertAlign w:val="baseline"/>
        </w:rPr>
        <w:t>有</w:t>
      </w:r>
      <w:r>
        <w:rPr>
          <w:rFonts w:ascii="仿宋" w:eastAsia="仿宋"/>
          <w:w w:val="95"/>
          <w:sz w:val="20"/>
          <w:vertAlign w:val="baseline"/>
        </w:rPr>
        <w:t>远</w:t>
      </w:r>
      <w:r>
        <w:rPr>
          <w:rFonts w:ascii="仿宋" w:eastAsia="仿宋"/>
          <w:spacing w:val="-4"/>
          <w:w w:val="95"/>
          <w:sz w:val="20"/>
          <w:vertAlign w:val="baseline"/>
        </w:rPr>
        <w:t>处转移</w:t>
      </w:r>
    </w:p>
    <w:p>
      <w:pPr>
        <w:spacing w:after="0" w:line="292" w:lineRule="auto"/>
        <w:jc w:val="left"/>
        <w:rPr>
          <w:rFonts w:ascii="仿宋" w:eastAsia="仿宋"/>
          <w:sz w:val="20"/>
        </w:rPr>
        <w:sectPr>
          <w:pgSz w:w="11910" w:h="16840"/>
          <w:pgMar w:header="0" w:footer="1005" w:top="1460" w:bottom="1200" w:left="1680" w:right="1480"/>
        </w:sectPr>
      </w:pPr>
    </w:p>
    <w:tbl>
      <w:tblPr>
        <w:tblW w:w="0" w:type="auto"/>
        <w:jc w:val="left"/>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37"/>
        <w:gridCol w:w="958"/>
        <w:gridCol w:w="1025"/>
        <w:gridCol w:w="853"/>
      </w:tblGrid>
      <w:tr>
        <w:trPr>
          <w:trHeight w:val="311" w:hRule="atLeast"/>
        </w:trPr>
        <w:tc>
          <w:tcPr>
            <w:tcW w:w="4537" w:type="dxa"/>
            <w:tcBorders>
              <w:top w:val="nil"/>
            </w:tcBorders>
          </w:tcPr>
          <w:p>
            <w:pPr>
              <w:pStyle w:val="TableParagraph"/>
              <w:rPr>
                <w:sz w:val="20"/>
              </w:rPr>
            </w:pPr>
            <w:r>
              <w:rPr>
                <w:w w:val="95"/>
                <w:sz w:val="20"/>
              </w:rPr>
              <w:t>Ⅰ</w:t>
            </w:r>
            <w:r>
              <w:rPr>
                <w:spacing w:val="-10"/>
                <w:sz w:val="20"/>
              </w:rPr>
              <w:t>期</w:t>
            </w:r>
          </w:p>
        </w:tc>
        <w:tc>
          <w:tcPr>
            <w:tcW w:w="958" w:type="dxa"/>
            <w:tcBorders>
              <w:top w:val="nil"/>
            </w:tcBorders>
          </w:tcPr>
          <w:p>
            <w:pPr>
              <w:pStyle w:val="TableParagraph"/>
              <w:rPr>
                <w:sz w:val="20"/>
              </w:rPr>
            </w:pPr>
            <w:r>
              <w:rPr>
                <w:w w:val="95"/>
                <w:sz w:val="20"/>
              </w:rPr>
              <w:t>任</w:t>
            </w:r>
            <w:r>
              <w:rPr>
                <w:spacing w:val="-10"/>
                <w:sz w:val="20"/>
              </w:rPr>
              <w:t>何</w:t>
            </w:r>
          </w:p>
        </w:tc>
        <w:tc>
          <w:tcPr>
            <w:tcW w:w="1025" w:type="dxa"/>
            <w:tcBorders>
              <w:top w:val="nil"/>
            </w:tcBorders>
          </w:tcPr>
          <w:p>
            <w:pPr>
              <w:pStyle w:val="TableParagraph"/>
              <w:rPr>
                <w:sz w:val="20"/>
              </w:rPr>
            </w:pPr>
            <w:r>
              <w:rPr>
                <w:w w:val="95"/>
                <w:sz w:val="20"/>
              </w:rPr>
              <w:t>任</w:t>
            </w:r>
            <w:r>
              <w:rPr>
                <w:spacing w:val="-10"/>
                <w:sz w:val="20"/>
              </w:rPr>
              <w:t>何</w:t>
            </w:r>
          </w:p>
        </w:tc>
        <w:tc>
          <w:tcPr>
            <w:tcW w:w="853" w:type="dxa"/>
            <w:tcBorders>
              <w:top w:val="nil"/>
            </w:tcBorders>
          </w:tcPr>
          <w:p>
            <w:pPr>
              <w:pStyle w:val="TableParagraph"/>
              <w:rPr>
                <w:sz w:val="20"/>
              </w:rPr>
            </w:pPr>
            <w:r>
              <w:rPr>
                <w:w w:val="99"/>
                <w:sz w:val="20"/>
              </w:rPr>
              <w:t>0</w:t>
            </w:r>
          </w:p>
        </w:tc>
      </w:tr>
      <w:tr>
        <w:trPr>
          <w:trHeight w:val="312" w:hRule="atLeast"/>
        </w:trPr>
        <w:tc>
          <w:tcPr>
            <w:tcW w:w="4537" w:type="dxa"/>
          </w:tcPr>
          <w:p>
            <w:pPr>
              <w:pStyle w:val="TableParagraph"/>
              <w:rPr>
                <w:sz w:val="20"/>
              </w:rPr>
            </w:pPr>
            <w:r>
              <w:rPr>
                <w:w w:val="95"/>
                <w:sz w:val="20"/>
              </w:rPr>
              <w:t>Ⅱ</w:t>
            </w:r>
            <w:r>
              <w:rPr>
                <w:spacing w:val="-10"/>
                <w:sz w:val="20"/>
              </w:rPr>
              <w:t>期</w:t>
            </w:r>
          </w:p>
        </w:tc>
        <w:tc>
          <w:tcPr>
            <w:tcW w:w="958" w:type="dxa"/>
          </w:tcPr>
          <w:p>
            <w:pPr>
              <w:pStyle w:val="TableParagraph"/>
              <w:rPr>
                <w:sz w:val="20"/>
              </w:rPr>
            </w:pPr>
            <w:r>
              <w:rPr>
                <w:w w:val="95"/>
                <w:sz w:val="20"/>
              </w:rPr>
              <w:t>任</w:t>
            </w:r>
            <w:r>
              <w:rPr>
                <w:spacing w:val="-10"/>
                <w:sz w:val="20"/>
              </w:rPr>
              <w:t>何</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1</w:t>
            </w:r>
          </w:p>
        </w:tc>
      </w:tr>
      <w:tr>
        <w:trPr>
          <w:trHeight w:val="311" w:hRule="atLeast"/>
        </w:trPr>
        <w:tc>
          <w:tcPr>
            <w:tcW w:w="6520" w:type="dxa"/>
            <w:gridSpan w:val="3"/>
          </w:tcPr>
          <w:p>
            <w:pPr>
              <w:pStyle w:val="TableParagraph"/>
              <w:rPr>
                <w:sz w:val="20"/>
              </w:rPr>
            </w:pPr>
            <w:r>
              <w:rPr>
                <w:w w:val="95"/>
                <w:sz w:val="20"/>
              </w:rPr>
              <w:t>年龄≥55</w:t>
            </w:r>
            <w:r>
              <w:rPr>
                <w:spacing w:val="-10"/>
                <w:w w:val="95"/>
                <w:sz w:val="20"/>
              </w:rPr>
              <w:t> 岁</w:t>
            </w:r>
          </w:p>
        </w:tc>
        <w:tc>
          <w:tcPr>
            <w:tcW w:w="853" w:type="dxa"/>
          </w:tcPr>
          <w:p>
            <w:pPr>
              <w:pStyle w:val="TableParagraph"/>
              <w:spacing w:before="0"/>
              <w:ind w:left="0"/>
              <w:rPr>
                <w:rFonts w:ascii="Times New Roman"/>
                <w:sz w:val="20"/>
              </w:rPr>
            </w:pPr>
          </w:p>
        </w:tc>
      </w:tr>
      <w:tr>
        <w:trPr>
          <w:trHeight w:val="311" w:hRule="atLeast"/>
        </w:trPr>
        <w:tc>
          <w:tcPr>
            <w:tcW w:w="4537" w:type="dxa"/>
            <w:vMerge w:val="restart"/>
          </w:tcPr>
          <w:p>
            <w:pPr>
              <w:pStyle w:val="TableParagraph"/>
              <w:spacing w:before="6"/>
              <w:ind w:left="0"/>
              <w:rPr>
                <w:sz w:val="14"/>
              </w:rPr>
            </w:pPr>
          </w:p>
          <w:p>
            <w:pPr>
              <w:pStyle w:val="TableParagraph"/>
              <w:spacing w:before="0"/>
              <w:rPr>
                <w:sz w:val="20"/>
              </w:rPr>
            </w:pPr>
            <w:r>
              <w:rPr>
                <w:w w:val="95"/>
                <w:sz w:val="20"/>
              </w:rPr>
              <w:t>Ⅰ</w:t>
            </w:r>
            <w:r>
              <w:rPr>
                <w:spacing w:val="-10"/>
                <w:sz w:val="20"/>
              </w:rPr>
              <w:t>期</w:t>
            </w:r>
          </w:p>
        </w:tc>
        <w:tc>
          <w:tcPr>
            <w:tcW w:w="958" w:type="dxa"/>
          </w:tcPr>
          <w:p>
            <w:pPr>
              <w:pStyle w:val="TableParagraph"/>
              <w:rPr>
                <w:sz w:val="20"/>
              </w:rPr>
            </w:pPr>
            <w:r>
              <w:rPr>
                <w:w w:val="99"/>
                <w:sz w:val="20"/>
              </w:rPr>
              <w:t>1</w:t>
            </w:r>
          </w:p>
        </w:tc>
        <w:tc>
          <w:tcPr>
            <w:tcW w:w="1025" w:type="dxa"/>
          </w:tcPr>
          <w:p>
            <w:pPr>
              <w:pStyle w:val="TableParagraph"/>
              <w:rPr>
                <w:sz w:val="20"/>
              </w:rPr>
            </w:pPr>
            <w:r>
              <w:rPr>
                <w:spacing w:val="-5"/>
                <w:sz w:val="20"/>
              </w:rPr>
              <w:t>0/x</w:t>
            </w:r>
          </w:p>
        </w:tc>
        <w:tc>
          <w:tcPr>
            <w:tcW w:w="853" w:type="dxa"/>
          </w:tcPr>
          <w:p>
            <w:pPr>
              <w:pStyle w:val="TableParagraph"/>
              <w:rPr>
                <w:sz w:val="20"/>
              </w:rPr>
            </w:pPr>
            <w:r>
              <w:rPr>
                <w:w w:val="99"/>
                <w:sz w:val="20"/>
              </w:rPr>
              <w:t>0</w:t>
            </w:r>
          </w:p>
        </w:tc>
      </w:tr>
      <w:tr>
        <w:trPr>
          <w:trHeight w:val="313" w:hRule="atLeast"/>
        </w:trPr>
        <w:tc>
          <w:tcPr>
            <w:tcW w:w="4537" w:type="dxa"/>
            <w:vMerge/>
            <w:tcBorders>
              <w:top w:val="nil"/>
            </w:tcBorders>
          </w:tcPr>
          <w:p>
            <w:pPr>
              <w:rPr>
                <w:sz w:val="2"/>
                <w:szCs w:val="2"/>
              </w:rPr>
            </w:pPr>
          </w:p>
        </w:tc>
        <w:tc>
          <w:tcPr>
            <w:tcW w:w="958" w:type="dxa"/>
          </w:tcPr>
          <w:p>
            <w:pPr>
              <w:pStyle w:val="TableParagraph"/>
              <w:spacing w:before="24"/>
              <w:rPr>
                <w:sz w:val="20"/>
              </w:rPr>
            </w:pPr>
            <w:r>
              <w:rPr>
                <w:w w:val="99"/>
                <w:sz w:val="20"/>
              </w:rPr>
              <w:t>2</w:t>
            </w:r>
          </w:p>
        </w:tc>
        <w:tc>
          <w:tcPr>
            <w:tcW w:w="1025" w:type="dxa"/>
          </w:tcPr>
          <w:p>
            <w:pPr>
              <w:pStyle w:val="TableParagraph"/>
              <w:spacing w:before="24"/>
              <w:rPr>
                <w:sz w:val="20"/>
              </w:rPr>
            </w:pPr>
            <w:r>
              <w:rPr>
                <w:spacing w:val="-5"/>
                <w:sz w:val="20"/>
              </w:rPr>
              <w:t>0/x</w:t>
            </w:r>
          </w:p>
        </w:tc>
        <w:tc>
          <w:tcPr>
            <w:tcW w:w="853" w:type="dxa"/>
          </w:tcPr>
          <w:p>
            <w:pPr>
              <w:pStyle w:val="TableParagraph"/>
              <w:spacing w:before="24"/>
              <w:rPr>
                <w:sz w:val="20"/>
              </w:rPr>
            </w:pPr>
            <w:r>
              <w:rPr>
                <w:w w:val="99"/>
                <w:sz w:val="20"/>
              </w:rPr>
              <w:t>0</w:t>
            </w:r>
          </w:p>
        </w:tc>
      </w:tr>
      <w:tr>
        <w:trPr>
          <w:trHeight w:val="311" w:hRule="atLeast"/>
        </w:trPr>
        <w:tc>
          <w:tcPr>
            <w:tcW w:w="4537" w:type="dxa"/>
            <w:vMerge w:val="restart"/>
          </w:tcPr>
          <w:p>
            <w:pPr>
              <w:pStyle w:val="TableParagraph"/>
              <w:spacing w:before="3"/>
              <w:ind w:left="0"/>
              <w:rPr>
                <w:sz w:val="14"/>
              </w:rPr>
            </w:pPr>
          </w:p>
          <w:p>
            <w:pPr>
              <w:pStyle w:val="TableParagraph"/>
              <w:spacing w:before="0"/>
              <w:rPr>
                <w:sz w:val="20"/>
              </w:rPr>
            </w:pPr>
            <w:r>
              <w:rPr>
                <w:w w:val="95"/>
                <w:sz w:val="20"/>
              </w:rPr>
              <w:t>Ⅱ</w:t>
            </w:r>
            <w:r>
              <w:rPr>
                <w:spacing w:val="-10"/>
                <w:sz w:val="20"/>
              </w:rPr>
              <w:t>期</w:t>
            </w:r>
          </w:p>
        </w:tc>
        <w:tc>
          <w:tcPr>
            <w:tcW w:w="958" w:type="dxa"/>
          </w:tcPr>
          <w:p>
            <w:pPr>
              <w:pStyle w:val="TableParagraph"/>
              <w:rPr>
                <w:sz w:val="20"/>
              </w:rPr>
            </w:pPr>
            <w:r>
              <w:rPr>
                <w:spacing w:val="-5"/>
                <w:sz w:val="20"/>
              </w:rPr>
              <w:t>1～2</w:t>
            </w:r>
          </w:p>
        </w:tc>
        <w:tc>
          <w:tcPr>
            <w:tcW w:w="1025" w:type="dxa"/>
          </w:tcPr>
          <w:p>
            <w:pPr>
              <w:pStyle w:val="TableParagraph"/>
              <w:rPr>
                <w:sz w:val="20"/>
              </w:rPr>
            </w:pPr>
            <w:r>
              <w:rPr>
                <w:w w:val="99"/>
                <w:sz w:val="20"/>
              </w:rPr>
              <w:t>1</w:t>
            </w:r>
          </w:p>
        </w:tc>
        <w:tc>
          <w:tcPr>
            <w:tcW w:w="853" w:type="dxa"/>
          </w:tcPr>
          <w:p>
            <w:pPr>
              <w:pStyle w:val="TableParagraph"/>
              <w:rPr>
                <w:sz w:val="20"/>
              </w:rPr>
            </w:pPr>
            <w:r>
              <w:rPr>
                <w:w w:val="99"/>
                <w:sz w:val="20"/>
              </w:rPr>
              <w:t>0</w:t>
            </w:r>
          </w:p>
        </w:tc>
      </w:tr>
      <w:tr>
        <w:trPr>
          <w:trHeight w:val="311" w:hRule="atLeast"/>
        </w:trPr>
        <w:tc>
          <w:tcPr>
            <w:tcW w:w="4537" w:type="dxa"/>
            <w:vMerge/>
            <w:tcBorders>
              <w:top w:val="nil"/>
            </w:tcBorders>
          </w:tcPr>
          <w:p>
            <w:pPr>
              <w:rPr>
                <w:sz w:val="2"/>
                <w:szCs w:val="2"/>
              </w:rPr>
            </w:pPr>
          </w:p>
        </w:tc>
        <w:tc>
          <w:tcPr>
            <w:tcW w:w="958" w:type="dxa"/>
          </w:tcPr>
          <w:p>
            <w:pPr>
              <w:pStyle w:val="TableParagraph"/>
              <w:rPr>
                <w:sz w:val="20"/>
              </w:rPr>
            </w:pPr>
            <w:r>
              <w:rPr>
                <w:spacing w:val="-4"/>
                <w:sz w:val="20"/>
              </w:rPr>
              <w:t>3a～3b</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0</w:t>
            </w:r>
          </w:p>
        </w:tc>
      </w:tr>
      <w:tr>
        <w:trPr>
          <w:trHeight w:val="311" w:hRule="atLeast"/>
        </w:trPr>
        <w:tc>
          <w:tcPr>
            <w:tcW w:w="4537" w:type="dxa"/>
          </w:tcPr>
          <w:p>
            <w:pPr>
              <w:pStyle w:val="TableParagraph"/>
              <w:rPr>
                <w:sz w:val="20"/>
              </w:rPr>
            </w:pPr>
            <w:r>
              <w:rPr>
                <w:w w:val="95"/>
                <w:sz w:val="20"/>
              </w:rPr>
              <w:t>Ⅲ</w:t>
            </w:r>
            <w:r>
              <w:rPr>
                <w:spacing w:val="-10"/>
                <w:sz w:val="20"/>
              </w:rPr>
              <w:t>期</w:t>
            </w:r>
          </w:p>
        </w:tc>
        <w:tc>
          <w:tcPr>
            <w:tcW w:w="958" w:type="dxa"/>
          </w:tcPr>
          <w:p>
            <w:pPr>
              <w:pStyle w:val="TableParagraph"/>
              <w:rPr>
                <w:sz w:val="20"/>
              </w:rPr>
            </w:pPr>
            <w:r>
              <w:rPr>
                <w:spacing w:val="-5"/>
                <w:sz w:val="20"/>
              </w:rPr>
              <w:t>4a</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0</w:t>
            </w:r>
          </w:p>
        </w:tc>
      </w:tr>
      <w:tr>
        <w:trPr>
          <w:trHeight w:val="311" w:hRule="atLeast"/>
        </w:trPr>
        <w:tc>
          <w:tcPr>
            <w:tcW w:w="4537" w:type="dxa"/>
          </w:tcPr>
          <w:p>
            <w:pPr>
              <w:pStyle w:val="TableParagraph"/>
              <w:rPr>
                <w:sz w:val="20"/>
              </w:rPr>
            </w:pPr>
            <w:r>
              <w:rPr>
                <w:w w:val="95"/>
                <w:sz w:val="20"/>
              </w:rPr>
              <w:t>ⅣA</w:t>
            </w:r>
            <w:r>
              <w:rPr>
                <w:spacing w:val="-32"/>
                <w:w w:val="95"/>
                <w:sz w:val="20"/>
              </w:rPr>
              <w:t> </w:t>
            </w:r>
            <w:r>
              <w:rPr>
                <w:spacing w:val="-10"/>
                <w:sz w:val="20"/>
              </w:rPr>
              <w:t>期</w:t>
            </w:r>
          </w:p>
        </w:tc>
        <w:tc>
          <w:tcPr>
            <w:tcW w:w="958" w:type="dxa"/>
          </w:tcPr>
          <w:p>
            <w:pPr>
              <w:pStyle w:val="TableParagraph"/>
              <w:rPr>
                <w:sz w:val="20"/>
              </w:rPr>
            </w:pPr>
            <w:r>
              <w:rPr>
                <w:spacing w:val="-5"/>
                <w:sz w:val="20"/>
              </w:rPr>
              <w:t>4b</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0</w:t>
            </w:r>
          </w:p>
        </w:tc>
      </w:tr>
      <w:tr>
        <w:trPr>
          <w:trHeight w:val="311" w:hRule="atLeast"/>
        </w:trPr>
        <w:tc>
          <w:tcPr>
            <w:tcW w:w="4537" w:type="dxa"/>
          </w:tcPr>
          <w:p>
            <w:pPr>
              <w:pStyle w:val="TableParagraph"/>
              <w:rPr>
                <w:sz w:val="20"/>
              </w:rPr>
            </w:pPr>
            <w:r>
              <w:rPr>
                <w:w w:val="95"/>
                <w:sz w:val="20"/>
              </w:rPr>
              <w:t>ⅣB</w:t>
            </w:r>
            <w:r>
              <w:rPr>
                <w:spacing w:val="-32"/>
                <w:w w:val="95"/>
                <w:sz w:val="20"/>
              </w:rPr>
              <w:t> </w:t>
            </w:r>
            <w:r>
              <w:rPr>
                <w:spacing w:val="-10"/>
                <w:sz w:val="20"/>
              </w:rPr>
              <w:t>期</w:t>
            </w:r>
          </w:p>
        </w:tc>
        <w:tc>
          <w:tcPr>
            <w:tcW w:w="958" w:type="dxa"/>
          </w:tcPr>
          <w:p>
            <w:pPr>
              <w:pStyle w:val="TableParagraph"/>
              <w:rPr>
                <w:sz w:val="20"/>
              </w:rPr>
            </w:pPr>
            <w:r>
              <w:rPr>
                <w:w w:val="95"/>
                <w:sz w:val="20"/>
              </w:rPr>
              <w:t>任</w:t>
            </w:r>
            <w:r>
              <w:rPr>
                <w:spacing w:val="-10"/>
                <w:sz w:val="20"/>
              </w:rPr>
              <w:t>何</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1</w:t>
            </w:r>
          </w:p>
        </w:tc>
      </w:tr>
      <w:tr>
        <w:trPr>
          <w:trHeight w:val="314" w:hRule="atLeast"/>
        </w:trPr>
        <w:tc>
          <w:tcPr>
            <w:tcW w:w="7373" w:type="dxa"/>
            <w:gridSpan w:val="4"/>
          </w:tcPr>
          <w:p>
            <w:pPr>
              <w:pStyle w:val="TableParagraph"/>
              <w:spacing w:before="24"/>
              <w:rPr>
                <w:sz w:val="20"/>
              </w:rPr>
            </w:pPr>
            <w:r>
              <w:rPr>
                <w:w w:val="95"/>
                <w:sz w:val="20"/>
              </w:rPr>
              <w:t>髓</w:t>
            </w:r>
            <w:r>
              <w:rPr>
                <w:w w:val="95"/>
                <w:sz w:val="20"/>
              </w:rPr>
              <w:t>样</w:t>
            </w:r>
            <w:r>
              <w:rPr>
                <w:w w:val="95"/>
                <w:sz w:val="20"/>
              </w:rPr>
              <w:t>癌</w:t>
            </w:r>
            <w:r>
              <w:rPr>
                <w:w w:val="95"/>
                <w:sz w:val="20"/>
              </w:rPr>
              <w:t>（</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311" w:hRule="atLeast"/>
        </w:trPr>
        <w:tc>
          <w:tcPr>
            <w:tcW w:w="4537" w:type="dxa"/>
          </w:tcPr>
          <w:p>
            <w:pPr>
              <w:pStyle w:val="TableParagraph"/>
              <w:rPr>
                <w:sz w:val="20"/>
              </w:rPr>
            </w:pPr>
            <w:r>
              <w:rPr>
                <w:w w:val="95"/>
                <w:sz w:val="20"/>
              </w:rPr>
              <w:t>Ⅰ</w:t>
            </w:r>
            <w:r>
              <w:rPr>
                <w:spacing w:val="-10"/>
                <w:sz w:val="20"/>
              </w:rPr>
              <w:t>期</w:t>
            </w:r>
          </w:p>
        </w:tc>
        <w:tc>
          <w:tcPr>
            <w:tcW w:w="958" w:type="dxa"/>
          </w:tcPr>
          <w:p>
            <w:pPr>
              <w:pStyle w:val="TableParagraph"/>
              <w:rPr>
                <w:sz w:val="20"/>
              </w:rPr>
            </w:pPr>
            <w:r>
              <w:rPr>
                <w:w w:val="99"/>
                <w:sz w:val="20"/>
              </w:rPr>
              <w:t>1</w:t>
            </w:r>
          </w:p>
        </w:tc>
        <w:tc>
          <w:tcPr>
            <w:tcW w:w="1025" w:type="dxa"/>
          </w:tcPr>
          <w:p>
            <w:pPr>
              <w:pStyle w:val="TableParagraph"/>
              <w:rPr>
                <w:sz w:val="20"/>
              </w:rPr>
            </w:pPr>
            <w:r>
              <w:rPr>
                <w:w w:val="99"/>
                <w:sz w:val="20"/>
              </w:rPr>
              <w:t>0</w:t>
            </w:r>
          </w:p>
        </w:tc>
        <w:tc>
          <w:tcPr>
            <w:tcW w:w="853" w:type="dxa"/>
          </w:tcPr>
          <w:p>
            <w:pPr>
              <w:pStyle w:val="TableParagraph"/>
              <w:rPr>
                <w:sz w:val="20"/>
              </w:rPr>
            </w:pPr>
            <w:r>
              <w:rPr>
                <w:w w:val="99"/>
                <w:sz w:val="20"/>
              </w:rPr>
              <w:t>0</w:t>
            </w:r>
          </w:p>
        </w:tc>
      </w:tr>
      <w:tr>
        <w:trPr>
          <w:trHeight w:val="312" w:hRule="atLeast"/>
        </w:trPr>
        <w:tc>
          <w:tcPr>
            <w:tcW w:w="4537" w:type="dxa"/>
          </w:tcPr>
          <w:p>
            <w:pPr>
              <w:pStyle w:val="TableParagraph"/>
              <w:rPr>
                <w:sz w:val="20"/>
              </w:rPr>
            </w:pPr>
            <w:r>
              <w:rPr>
                <w:w w:val="95"/>
                <w:sz w:val="20"/>
              </w:rPr>
              <w:t>Ⅱ</w:t>
            </w:r>
            <w:r>
              <w:rPr>
                <w:spacing w:val="-10"/>
                <w:sz w:val="20"/>
              </w:rPr>
              <w:t>期</w:t>
            </w:r>
          </w:p>
        </w:tc>
        <w:tc>
          <w:tcPr>
            <w:tcW w:w="958" w:type="dxa"/>
          </w:tcPr>
          <w:p>
            <w:pPr>
              <w:pStyle w:val="TableParagraph"/>
              <w:rPr>
                <w:sz w:val="20"/>
              </w:rPr>
            </w:pPr>
            <w:r>
              <w:rPr>
                <w:spacing w:val="-5"/>
                <w:sz w:val="20"/>
              </w:rPr>
              <w:t>2～3</w:t>
            </w:r>
          </w:p>
        </w:tc>
        <w:tc>
          <w:tcPr>
            <w:tcW w:w="1025" w:type="dxa"/>
          </w:tcPr>
          <w:p>
            <w:pPr>
              <w:pStyle w:val="TableParagraph"/>
              <w:rPr>
                <w:sz w:val="20"/>
              </w:rPr>
            </w:pPr>
            <w:r>
              <w:rPr>
                <w:w w:val="99"/>
                <w:sz w:val="20"/>
              </w:rPr>
              <w:t>0</w:t>
            </w:r>
          </w:p>
        </w:tc>
        <w:tc>
          <w:tcPr>
            <w:tcW w:w="853" w:type="dxa"/>
          </w:tcPr>
          <w:p>
            <w:pPr>
              <w:pStyle w:val="TableParagraph"/>
              <w:rPr>
                <w:sz w:val="20"/>
              </w:rPr>
            </w:pPr>
            <w:r>
              <w:rPr>
                <w:w w:val="99"/>
                <w:sz w:val="20"/>
              </w:rPr>
              <w:t>0</w:t>
            </w:r>
          </w:p>
        </w:tc>
      </w:tr>
      <w:tr>
        <w:trPr>
          <w:trHeight w:val="311" w:hRule="atLeast"/>
        </w:trPr>
        <w:tc>
          <w:tcPr>
            <w:tcW w:w="4537" w:type="dxa"/>
          </w:tcPr>
          <w:p>
            <w:pPr>
              <w:pStyle w:val="TableParagraph"/>
              <w:rPr>
                <w:sz w:val="20"/>
              </w:rPr>
            </w:pPr>
            <w:r>
              <w:rPr>
                <w:w w:val="95"/>
                <w:sz w:val="20"/>
              </w:rPr>
              <w:t>Ⅲ</w:t>
            </w:r>
            <w:r>
              <w:rPr>
                <w:spacing w:val="-10"/>
                <w:sz w:val="20"/>
              </w:rPr>
              <w:t>期</w:t>
            </w:r>
          </w:p>
        </w:tc>
        <w:tc>
          <w:tcPr>
            <w:tcW w:w="958" w:type="dxa"/>
          </w:tcPr>
          <w:p>
            <w:pPr>
              <w:pStyle w:val="TableParagraph"/>
              <w:rPr>
                <w:sz w:val="20"/>
              </w:rPr>
            </w:pPr>
            <w:r>
              <w:rPr>
                <w:spacing w:val="-5"/>
                <w:sz w:val="20"/>
              </w:rPr>
              <w:t>1～3</w:t>
            </w:r>
          </w:p>
        </w:tc>
        <w:tc>
          <w:tcPr>
            <w:tcW w:w="1025" w:type="dxa"/>
          </w:tcPr>
          <w:p>
            <w:pPr>
              <w:pStyle w:val="TableParagraph"/>
              <w:rPr>
                <w:sz w:val="20"/>
              </w:rPr>
            </w:pPr>
            <w:r>
              <w:rPr>
                <w:spacing w:val="-5"/>
                <w:sz w:val="20"/>
              </w:rPr>
              <w:t>1a</w:t>
            </w:r>
          </w:p>
        </w:tc>
        <w:tc>
          <w:tcPr>
            <w:tcW w:w="853" w:type="dxa"/>
          </w:tcPr>
          <w:p>
            <w:pPr>
              <w:pStyle w:val="TableParagraph"/>
              <w:rPr>
                <w:sz w:val="20"/>
              </w:rPr>
            </w:pPr>
            <w:r>
              <w:rPr>
                <w:w w:val="99"/>
                <w:sz w:val="20"/>
              </w:rPr>
              <w:t>0</w:t>
            </w:r>
          </w:p>
        </w:tc>
      </w:tr>
      <w:tr>
        <w:trPr>
          <w:trHeight w:val="311" w:hRule="atLeast"/>
        </w:trPr>
        <w:tc>
          <w:tcPr>
            <w:tcW w:w="4537" w:type="dxa"/>
            <w:vMerge w:val="restart"/>
          </w:tcPr>
          <w:p>
            <w:pPr>
              <w:pStyle w:val="TableParagraph"/>
              <w:spacing w:before="3"/>
              <w:ind w:left="0"/>
              <w:rPr>
                <w:sz w:val="14"/>
              </w:rPr>
            </w:pPr>
          </w:p>
          <w:p>
            <w:pPr>
              <w:pStyle w:val="TableParagraph"/>
              <w:spacing w:before="0"/>
              <w:rPr>
                <w:sz w:val="20"/>
              </w:rPr>
            </w:pPr>
            <w:r>
              <w:rPr>
                <w:w w:val="95"/>
                <w:sz w:val="20"/>
              </w:rPr>
              <w:t>ⅣA</w:t>
            </w:r>
            <w:r>
              <w:rPr>
                <w:spacing w:val="-32"/>
                <w:w w:val="95"/>
                <w:sz w:val="20"/>
              </w:rPr>
              <w:t> </w:t>
            </w:r>
            <w:r>
              <w:rPr>
                <w:spacing w:val="-10"/>
                <w:sz w:val="20"/>
              </w:rPr>
              <w:t>期</w:t>
            </w:r>
          </w:p>
        </w:tc>
        <w:tc>
          <w:tcPr>
            <w:tcW w:w="958" w:type="dxa"/>
          </w:tcPr>
          <w:p>
            <w:pPr>
              <w:pStyle w:val="TableParagraph"/>
              <w:rPr>
                <w:sz w:val="20"/>
              </w:rPr>
            </w:pPr>
            <w:r>
              <w:rPr>
                <w:spacing w:val="-5"/>
                <w:sz w:val="20"/>
              </w:rPr>
              <w:t>4a</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0</w:t>
            </w:r>
          </w:p>
        </w:tc>
      </w:tr>
      <w:tr>
        <w:trPr>
          <w:trHeight w:val="311" w:hRule="atLeast"/>
        </w:trPr>
        <w:tc>
          <w:tcPr>
            <w:tcW w:w="4537" w:type="dxa"/>
            <w:vMerge/>
            <w:tcBorders>
              <w:top w:val="nil"/>
            </w:tcBorders>
          </w:tcPr>
          <w:p>
            <w:pPr>
              <w:rPr>
                <w:sz w:val="2"/>
                <w:szCs w:val="2"/>
              </w:rPr>
            </w:pPr>
          </w:p>
        </w:tc>
        <w:tc>
          <w:tcPr>
            <w:tcW w:w="958" w:type="dxa"/>
          </w:tcPr>
          <w:p>
            <w:pPr>
              <w:pStyle w:val="TableParagraph"/>
              <w:rPr>
                <w:sz w:val="20"/>
              </w:rPr>
            </w:pPr>
            <w:r>
              <w:rPr>
                <w:spacing w:val="-5"/>
                <w:sz w:val="20"/>
              </w:rPr>
              <w:t>1～3</w:t>
            </w:r>
          </w:p>
        </w:tc>
        <w:tc>
          <w:tcPr>
            <w:tcW w:w="1025" w:type="dxa"/>
          </w:tcPr>
          <w:p>
            <w:pPr>
              <w:pStyle w:val="TableParagraph"/>
              <w:rPr>
                <w:sz w:val="20"/>
              </w:rPr>
            </w:pPr>
            <w:r>
              <w:rPr>
                <w:spacing w:val="-5"/>
                <w:sz w:val="20"/>
              </w:rPr>
              <w:t>1b</w:t>
            </w:r>
          </w:p>
        </w:tc>
        <w:tc>
          <w:tcPr>
            <w:tcW w:w="853" w:type="dxa"/>
          </w:tcPr>
          <w:p>
            <w:pPr>
              <w:pStyle w:val="TableParagraph"/>
              <w:rPr>
                <w:sz w:val="20"/>
              </w:rPr>
            </w:pPr>
            <w:r>
              <w:rPr>
                <w:w w:val="99"/>
                <w:sz w:val="20"/>
              </w:rPr>
              <w:t>0</w:t>
            </w:r>
          </w:p>
        </w:tc>
      </w:tr>
      <w:tr>
        <w:trPr>
          <w:trHeight w:val="313" w:hRule="atLeast"/>
        </w:trPr>
        <w:tc>
          <w:tcPr>
            <w:tcW w:w="4537" w:type="dxa"/>
          </w:tcPr>
          <w:p>
            <w:pPr>
              <w:pStyle w:val="TableParagraph"/>
              <w:spacing w:before="24"/>
              <w:rPr>
                <w:sz w:val="20"/>
              </w:rPr>
            </w:pPr>
            <w:r>
              <w:rPr>
                <w:w w:val="95"/>
                <w:sz w:val="20"/>
              </w:rPr>
              <w:t>ⅣB</w:t>
            </w:r>
            <w:r>
              <w:rPr>
                <w:spacing w:val="-32"/>
                <w:w w:val="95"/>
                <w:sz w:val="20"/>
              </w:rPr>
              <w:t> </w:t>
            </w:r>
            <w:r>
              <w:rPr>
                <w:spacing w:val="-10"/>
                <w:sz w:val="20"/>
              </w:rPr>
              <w:t>期</w:t>
            </w:r>
          </w:p>
        </w:tc>
        <w:tc>
          <w:tcPr>
            <w:tcW w:w="958" w:type="dxa"/>
          </w:tcPr>
          <w:p>
            <w:pPr>
              <w:pStyle w:val="TableParagraph"/>
              <w:spacing w:before="24"/>
              <w:rPr>
                <w:sz w:val="20"/>
              </w:rPr>
            </w:pPr>
            <w:r>
              <w:rPr>
                <w:spacing w:val="-5"/>
                <w:sz w:val="20"/>
              </w:rPr>
              <w:t>4b</w:t>
            </w:r>
          </w:p>
        </w:tc>
        <w:tc>
          <w:tcPr>
            <w:tcW w:w="1025" w:type="dxa"/>
          </w:tcPr>
          <w:p>
            <w:pPr>
              <w:pStyle w:val="TableParagraph"/>
              <w:spacing w:before="24"/>
              <w:rPr>
                <w:sz w:val="20"/>
              </w:rPr>
            </w:pPr>
            <w:r>
              <w:rPr>
                <w:w w:val="95"/>
                <w:sz w:val="20"/>
              </w:rPr>
              <w:t>任</w:t>
            </w:r>
            <w:r>
              <w:rPr>
                <w:spacing w:val="-10"/>
                <w:sz w:val="20"/>
              </w:rPr>
              <w:t>何</w:t>
            </w:r>
          </w:p>
        </w:tc>
        <w:tc>
          <w:tcPr>
            <w:tcW w:w="853" w:type="dxa"/>
          </w:tcPr>
          <w:p>
            <w:pPr>
              <w:pStyle w:val="TableParagraph"/>
              <w:spacing w:before="24"/>
              <w:rPr>
                <w:sz w:val="20"/>
              </w:rPr>
            </w:pPr>
            <w:r>
              <w:rPr>
                <w:w w:val="99"/>
                <w:sz w:val="20"/>
              </w:rPr>
              <w:t>0</w:t>
            </w:r>
          </w:p>
        </w:tc>
      </w:tr>
      <w:tr>
        <w:trPr>
          <w:trHeight w:val="311" w:hRule="atLeast"/>
        </w:trPr>
        <w:tc>
          <w:tcPr>
            <w:tcW w:w="4537" w:type="dxa"/>
          </w:tcPr>
          <w:p>
            <w:pPr>
              <w:pStyle w:val="TableParagraph"/>
              <w:rPr>
                <w:sz w:val="20"/>
              </w:rPr>
            </w:pPr>
            <w:r>
              <w:rPr>
                <w:w w:val="95"/>
                <w:sz w:val="20"/>
              </w:rPr>
              <w:t>ⅣC</w:t>
            </w:r>
            <w:r>
              <w:rPr>
                <w:spacing w:val="-32"/>
                <w:w w:val="95"/>
                <w:sz w:val="20"/>
              </w:rPr>
              <w:t> </w:t>
            </w:r>
            <w:r>
              <w:rPr>
                <w:spacing w:val="-10"/>
                <w:sz w:val="20"/>
              </w:rPr>
              <w:t>期</w:t>
            </w:r>
          </w:p>
        </w:tc>
        <w:tc>
          <w:tcPr>
            <w:tcW w:w="958" w:type="dxa"/>
          </w:tcPr>
          <w:p>
            <w:pPr>
              <w:pStyle w:val="TableParagraph"/>
              <w:rPr>
                <w:sz w:val="20"/>
              </w:rPr>
            </w:pPr>
            <w:r>
              <w:rPr>
                <w:w w:val="95"/>
                <w:sz w:val="20"/>
              </w:rPr>
              <w:t>任</w:t>
            </w:r>
            <w:r>
              <w:rPr>
                <w:spacing w:val="-10"/>
                <w:sz w:val="20"/>
              </w:rPr>
              <w:t>何</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1</w:t>
            </w:r>
          </w:p>
        </w:tc>
      </w:tr>
      <w:tr>
        <w:trPr>
          <w:trHeight w:val="311" w:hRule="atLeast"/>
        </w:trPr>
        <w:tc>
          <w:tcPr>
            <w:tcW w:w="7373" w:type="dxa"/>
            <w:gridSpan w:val="4"/>
          </w:tcPr>
          <w:p>
            <w:pPr>
              <w:pStyle w:val="TableParagraph"/>
              <w:rPr>
                <w:sz w:val="20"/>
              </w:rPr>
            </w:pPr>
            <w:r>
              <w:rPr>
                <w:w w:val="95"/>
                <w:sz w:val="20"/>
              </w:rPr>
              <w:t>未</w:t>
            </w:r>
            <w:r>
              <w:rPr>
                <w:w w:val="95"/>
                <w:sz w:val="20"/>
              </w:rPr>
              <w:t>分</w:t>
            </w:r>
            <w:r>
              <w:rPr>
                <w:w w:val="95"/>
                <w:sz w:val="20"/>
              </w:rPr>
              <w:t>化</w:t>
            </w:r>
            <w:r>
              <w:rPr>
                <w:w w:val="95"/>
                <w:sz w:val="20"/>
              </w:rPr>
              <w:t>癌（</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311" w:hRule="atLeast"/>
        </w:trPr>
        <w:tc>
          <w:tcPr>
            <w:tcW w:w="4537" w:type="dxa"/>
          </w:tcPr>
          <w:p>
            <w:pPr>
              <w:pStyle w:val="TableParagraph"/>
              <w:rPr>
                <w:sz w:val="20"/>
              </w:rPr>
            </w:pPr>
            <w:r>
              <w:rPr>
                <w:w w:val="95"/>
                <w:sz w:val="20"/>
              </w:rPr>
              <w:t>ⅣA</w:t>
            </w:r>
            <w:r>
              <w:rPr>
                <w:spacing w:val="-32"/>
                <w:w w:val="95"/>
                <w:sz w:val="20"/>
              </w:rPr>
              <w:t> </w:t>
            </w:r>
            <w:r>
              <w:rPr>
                <w:spacing w:val="-10"/>
                <w:sz w:val="20"/>
              </w:rPr>
              <w:t>期</w:t>
            </w:r>
          </w:p>
        </w:tc>
        <w:tc>
          <w:tcPr>
            <w:tcW w:w="958" w:type="dxa"/>
          </w:tcPr>
          <w:p>
            <w:pPr>
              <w:pStyle w:val="TableParagraph"/>
              <w:rPr>
                <w:sz w:val="20"/>
              </w:rPr>
            </w:pPr>
            <w:r>
              <w:rPr>
                <w:spacing w:val="-4"/>
                <w:sz w:val="20"/>
              </w:rPr>
              <w:t>1～3a</w:t>
            </w:r>
          </w:p>
        </w:tc>
        <w:tc>
          <w:tcPr>
            <w:tcW w:w="1025" w:type="dxa"/>
          </w:tcPr>
          <w:p>
            <w:pPr>
              <w:pStyle w:val="TableParagraph"/>
              <w:rPr>
                <w:sz w:val="20"/>
              </w:rPr>
            </w:pPr>
            <w:r>
              <w:rPr>
                <w:spacing w:val="-5"/>
                <w:sz w:val="20"/>
              </w:rPr>
              <w:t>0/x</w:t>
            </w:r>
          </w:p>
        </w:tc>
        <w:tc>
          <w:tcPr>
            <w:tcW w:w="853" w:type="dxa"/>
          </w:tcPr>
          <w:p>
            <w:pPr>
              <w:pStyle w:val="TableParagraph"/>
              <w:rPr>
                <w:sz w:val="20"/>
              </w:rPr>
            </w:pPr>
            <w:r>
              <w:rPr>
                <w:w w:val="99"/>
                <w:sz w:val="20"/>
              </w:rPr>
              <w:t>0</w:t>
            </w:r>
          </w:p>
        </w:tc>
      </w:tr>
      <w:tr>
        <w:trPr>
          <w:trHeight w:val="311" w:hRule="atLeast"/>
        </w:trPr>
        <w:tc>
          <w:tcPr>
            <w:tcW w:w="4537" w:type="dxa"/>
            <w:vMerge w:val="restart"/>
          </w:tcPr>
          <w:p>
            <w:pPr>
              <w:pStyle w:val="TableParagraph"/>
              <w:spacing w:before="3"/>
              <w:ind w:left="0"/>
              <w:rPr>
                <w:sz w:val="14"/>
              </w:rPr>
            </w:pPr>
          </w:p>
          <w:p>
            <w:pPr>
              <w:pStyle w:val="TableParagraph"/>
              <w:spacing w:before="0"/>
              <w:rPr>
                <w:sz w:val="20"/>
              </w:rPr>
            </w:pPr>
            <w:r>
              <w:rPr>
                <w:w w:val="95"/>
                <w:sz w:val="20"/>
              </w:rPr>
              <w:t>ⅣB</w:t>
            </w:r>
            <w:r>
              <w:rPr>
                <w:spacing w:val="-32"/>
                <w:w w:val="95"/>
                <w:sz w:val="20"/>
              </w:rPr>
              <w:t> </w:t>
            </w:r>
            <w:r>
              <w:rPr>
                <w:spacing w:val="-10"/>
                <w:sz w:val="20"/>
              </w:rPr>
              <w:t>期</w:t>
            </w:r>
          </w:p>
        </w:tc>
        <w:tc>
          <w:tcPr>
            <w:tcW w:w="958" w:type="dxa"/>
          </w:tcPr>
          <w:p>
            <w:pPr>
              <w:pStyle w:val="TableParagraph"/>
              <w:rPr>
                <w:sz w:val="20"/>
              </w:rPr>
            </w:pPr>
            <w:r>
              <w:rPr>
                <w:spacing w:val="-4"/>
                <w:sz w:val="20"/>
              </w:rPr>
              <w:t>1～3a</w:t>
            </w:r>
          </w:p>
        </w:tc>
        <w:tc>
          <w:tcPr>
            <w:tcW w:w="1025" w:type="dxa"/>
          </w:tcPr>
          <w:p>
            <w:pPr>
              <w:pStyle w:val="TableParagraph"/>
              <w:rPr>
                <w:sz w:val="20"/>
              </w:rPr>
            </w:pPr>
            <w:r>
              <w:rPr>
                <w:w w:val="99"/>
                <w:sz w:val="20"/>
              </w:rPr>
              <w:t>1</w:t>
            </w:r>
          </w:p>
        </w:tc>
        <w:tc>
          <w:tcPr>
            <w:tcW w:w="853" w:type="dxa"/>
          </w:tcPr>
          <w:p>
            <w:pPr>
              <w:pStyle w:val="TableParagraph"/>
              <w:rPr>
                <w:sz w:val="20"/>
              </w:rPr>
            </w:pPr>
            <w:r>
              <w:rPr>
                <w:w w:val="99"/>
                <w:sz w:val="20"/>
              </w:rPr>
              <w:t>0</w:t>
            </w:r>
          </w:p>
        </w:tc>
      </w:tr>
      <w:tr>
        <w:trPr>
          <w:trHeight w:val="311" w:hRule="atLeast"/>
        </w:trPr>
        <w:tc>
          <w:tcPr>
            <w:tcW w:w="4537" w:type="dxa"/>
            <w:vMerge/>
            <w:tcBorders>
              <w:top w:val="nil"/>
            </w:tcBorders>
          </w:tcPr>
          <w:p>
            <w:pPr>
              <w:rPr>
                <w:sz w:val="2"/>
                <w:szCs w:val="2"/>
              </w:rPr>
            </w:pPr>
          </w:p>
        </w:tc>
        <w:tc>
          <w:tcPr>
            <w:tcW w:w="958" w:type="dxa"/>
          </w:tcPr>
          <w:p>
            <w:pPr>
              <w:pStyle w:val="TableParagraph"/>
              <w:rPr>
                <w:sz w:val="20"/>
              </w:rPr>
            </w:pPr>
            <w:r>
              <w:rPr>
                <w:spacing w:val="-4"/>
                <w:sz w:val="20"/>
              </w:rPr>
              <w:t>3b～4</w:t>
            </w:r>
          </w:p>
        </w:tc>
        <w:tc>
          <w:tcPr>
            <w:tcW w:w="1025" w:type="dxa"/>
          </w:tcPr>
          <w:p>
            <w:pPr>
              <w:pStyle w:val="TableParagraph"/>
              <w:rPr>
                <w:sz w:val="20"/>
              </w:rPr>
            </w:pPr>
            <w:r>
              <w:rPr>
                <w:w w:val="95"/>
                <w:sz w:val="20"/>
              </w:rPr>
              <w:t>任</w:t>
            </w:r>
            <w:r>
              <w:rPr>
                <w:spacing w:val="-10"/>
                <w:sz w:val="20"/>
              </w:rPr>
              <w:t>何</w:t>
            </w:r>
          </w:p>
        </w:tc>
        <w:tc>
          <w:tcPr>
            <w:tcW w:w="853" w:type="dxa"/>
          </w:tcPr>
          <w:p>
            <w:pPr>
              <w:pStyle w:val="TableParagraph"/>
              <w:rPr>
                <w:sz w:val="20"/>
              </w:rPr>
            </w:pPr>
            <w:r>
              <w:rPr>
                <w:w w:val="99"/>
                <w:sz w:val="20"/>
              </w:rPr>
              <w:t>0</w:t>
            </w:r>
          </w:p>
        </w:tc>
      </w:tr>
      <w:tr>
        <w:trPr>
          <w:trHeight w:val="313" w:hRule="atLeast"/>
        </w:trPr>
        <w:tc>
          <w:tcPr>
            <w:tcW w:w="4537" w:type="dxa"/>
          </w:tcPr>
          <w:p>
            <w:pPr>
              <w:pStyle w:val="TableParagraph"/>
              <w:spacing w:before="24"/>
              <w:rPr>
                <w:sz w:val="20"/>
              </w:rPr>
            </w:pPr>
            <w:r>
              <w:rPr>
                <w:w w:val="95"/>
                <w:sz w:val="20"/>
              </w:rPr>
              <w:t>ⅣC</w:t>
            </w:r>
            <w:r>
              <w:rPr>
                <w:spacing w:val="-32"/>
                <w:w w:val="95"/>
                <w:sz w:val="20"/>
              </w:rPr>
              <w:t> </w:t>
            </w:r>
            <w:r>
              <w:rPr>
                <w:spacing w:val="-10"/>
                <w:sz w:val="20"/>
              </w:rPr>
              <w:t>期</w:t>
            </w:r>
          </w:p>
        </w:tc>
        <w:tc>
          <w:tcPr>
            <w:tcW w:w="958" w:type="dxa"/>
          </w:tcPr>
          <w:p>
            <w:pPr>
              <w:pStyle w:val="TableParagraph"/>
              <w:spacing w:before="24"/>
              <w:rPr>
                <w:sz w:val="20"/>
              </w:rPr>
            </w:pPr>
            <w:r>
              <w:rPr>
                <w:w w:val="95"/>
                <w:sz w:val="20"/>
              </w:rPr>
              <w:t>任</w:t>
            </w:r>
            <w:r>
              <w:rPr>
                <w:spacing w:val="-10"/>
                <w:sz w:val="20"/>
              </w:rPr>
              <w:t>何</w:t>
            </w:r>
          </w:p>
        </w:tc>
        <w:tc>
          <w:tcPr>
            <w:tcW w:w="1025" w:type="dxa"/>
          </w:tcPr>
          <w:p>
            <w:pPr>
              <w:pStyle w:val="TableParagraph"/>
              <w:spacing w:before="24"/>
              <w:rPr>
                <w:sz w:val="20"/>
              </w:rPr>
            </w:pPr>
            <w:r>
              <w:rPr>
                <w:w w:val="95"/>
                <w:sz w:val="20"/>
              </w:rPr>
              <w:t>任</w:t>
            </w:r>
            <w:r>
              <w:rPr>
                <w:spacing w:val="-10"/>
                <w:sz w:val="20"/>
              </w:rPr>
              <w:t>何</w:t>
            </w:r>
          </w:p>
        </w:tc>
        <w:tc>
          <w:tcPr>
            <w:tcW w:w="853" w:type="dxa"/>
          </w:tcPr>
          <w:p>
            <w:pPr>
              <w:pStyle w:val="TableParagraph"/>
              <w:spacing w:before="24"/>
              <w:rPr>
                <w:sz w:val="20"/>
              </w:rPr>
            </w:pPr>
            <w:r>
              <w:rPr>
                <w:w w:val="99"/>
                <w:sz w:val="20"/>
              </w:rPr>
              <w:t>1</w:t>
            </w:r>
          </w:p>
        </w:tc>
      </w:tr>
    </w:tbl>
    <w:p>
      <w:pPr>
        <w:spacing w:before="120"/>
        <w:ind w:left="521" w:right="0" w:firstLine="0"/>
        <w:jc w:val="left"/>
        <w:rPr>
          <w:sz w:val="20"/>
        </w:rPr>
      </w:pPr>
      <w:r>
        <w:rPr>
          <w:w w:val="95"/>
          <w:sz w:val="20"/>
        </w:rPr>
        <w:t>注：</w:t>
      </w:r>
      <w:r>
        <w:rPr>
          <w:w w:val="95"/>
          <w:sz w:val="20"/>
        </w:rPr>
        <w:t>以</w:t>
      </w:r>
      <w:r>
        <w:rPr>
          <w:w w:val="95"/>
          <w:sz w:val="20"/>
        </w:rPr>
        <w:t>上</w:t>
      </w:r>
      <w:r>
        <w:rPr>
          <w:w w:val="95"/>
          <w:sz w:val="20"/>
        </w:rPr>
        <w:t>表</w:t>
      </w:r>
      <w:r>
        <w:rPr>
          <w:w w:val="95"/>
          <w:sz w:val="20"/>
        </w:rPr>
        <w:t>格</w:t>
      </w:r>
      <w:r>
        <w:rPr>
          <w:w w:val="95"/>
          <w:sz w:val="20"/>
        </w:rPr>
        <w:t>中“</w:t>
      </w:r>
      <w:r>
        <w:rPr>
          <w:w w:val="95"/>
          <w:sz w:val="20"/>
        </w:rPr>
        <w:t>年</w:t>
      </w:r>
      <w:r>
        <w:rPr>
          <w:w w:val="95"/>
          <w:sz w:val="20"/>
        </w:rPr>
        <w:t>龄”</w:t>
      </w:r>
      <w:r>
        <w:rPr>
          <w:w w:val="95"/>
          <w:sz w:val="20"/>
        </w:rPr>
        <w:t>指</w:t>
      </w:r>
      <w:r>
        <w:rPr>
          <w:w w:val="95"/>
          <w:sz w:val="20"/>
        </w:rPr>
        <w:t>患</w:t>
      </w:r>
      <w:r>
        <w:rPr>
          <w:w w:val="95"/>
          <w:sz w:val="20"/>
        </w:rPr>
        <w:t>者</w:t>
      </w:r>
      <w:r>
        <w:rPr>
          <w:w w:val="95"/>
          <w:sz w:val="20"/>
        </w:rPr>
        <w:t>病</w:t>
      </w:r>
      <w:r>
        <w:rPr>
          <w:w w:val="95"/>
          <w:sz w:val="20"/>
        </w:rPr>
        <w:t>理</w:t>
      </w:r>
      <w:r>
        <w:rPr>
          <w:w w:val="95"/>
          <w:sz w:val="20"/>
        </w:rPr>
        <w:t>组</w:t>
      </w:r>
      <w:r>
        <w:rPr>
          <w:w w:val="95"/>
          <w:sz w:val="20"/>
        </w:rPr>
        <w:t>织</w:t>
      </w:r>
      <w:r>
        <w:rPr>
          <w:w w:val="95"/>
          <w:sz w:val="20"/>
        </w:rPr>
        <w:t>标</w:t>
      </w:r>
      <w:r>
        <w:rPr>
          <w:w w:val="95"/>
          <w:sz w:val="20"/>
        </w:rPr>
        <w:t>本</w:t>
      </w:r>
      <w:r>
        <w:rPr>
          <w:w w:val="95"/>
          <w:sz w:val="20"/>
        </w:rPr>
        <w:t>获</w:t>
      </w:r>
      <w:r>
        <w:rPr>
          <w:w w:val="95"/>
          <w:sz w:val="20"/>
        </w:rPr>
        <w:t>取</w:t>
      </w:r>
      <w:r>
        <w:rPr>
          <w:w w:val="95"/>
          <w:sz w:val="20"/>
        </w:rPr>
        <w:t>日</w:t>
      </w:r>
      <w:r>
        <w:rPr>
          <w:w w:val="95"/>
          <w:sz w:val="20"/>
        </w:rPr>
        <w:t>期</w:t>
      </w:r>
      <w:r>
        <w:rPr>
          <w:w w:val="95"/>
          <w:sz w:val="20"/>
        </w:rPr>
        <w:t>时</w:t>
      </w:r>
      <w:r>
        <w:rPr>
          <w:w w:val="95"/>
          <w:sz w:val="20"/>
        </w:rPr>
        <w:t>的</w:t>
      </w:r>
      <w:r>
        <w:rPr>
          <w:w w:val="95"/>
          <w:sz w:val="20"/>
        </w:rPr>
        <w:t>年</w:t>
      </w:r>
      <w:r>
        <w:rPr>
          <w:spacing w:val="-5"/>
          <w:w w:val="95"/>
          <w:sz w:val="20"/>
        </w:rPr>
        <w:t>龄。</w:t>
      </w:r>
    </w:p>
    <w:p>
      <w:pPr>
        <w:pStyle w:val="BodyText"/>
        <w:spacing w:before="1"/>
        <w:rPr>
          <w:sz w:val="16"/>
        </w:rPr>
      </w:pPr>
    </w:p>
    <w:p>
      <w:pPr>
        <w:pStyle w:val="ListParagraph"/>
        <w:numPr>
          <w:ilvl w:val="0"/>
          <w:numId w:val="101"/>
        </w:numPr>
        <w:tabs>
          <w:tab w:pos="961" w:val="left" w:leader="none"/>
        </w:tabs>
        <w:spacing w:line="240" w:lineRule="auto" w:before="0" w:after="0"/>
        <w:ind w:left="960" w:right="0" w:hanging="421"/>
        <w:jc w:val="left"/>
        <w:rPr>
          <w:sz w:val="21"/>
        </w:rPr>
      </w:pPr>
      <w:r>
        <w:rPr>
          <w:spacing w:val="-5"/>
          <w:sz w:val="21"/>
        </w:rPr>
        <w:t>肢体</w:t>
      </w:r>
    </w:p>
    <w:p>
      <w:pPr>
        <w:pStyle w:val="BodyText"/>
        <w:spacing w:before="7"/>
        <w:rPr>
          <w:sz w:val="15"/>
        </w:rPr>
      </w:pPr>
    </w:p>
    <w:p>
      <w:pPr>
        <w:pStyle w:val="BodyText"/>
        <w:ind w:left="540"/>
      </w:pPr>
      <w:r>
        <w:rPr>
          <w:spacing w:val="-3"/>
        </w:rPr>
        <w:t>肢体是指包括肩关节的整个上肢或包括髋关节的整个下肢。</w:t>
      </w:r>
    </w:p>
    <w:p>
      <w:pPr>
        <w:pStyle w:val="BodyText"/>
        <w:spacing w:before="7"/>
        <w:rPr>
          <w:sz w:val="15"/>
        </w:rPr>
      </w:pPr>
    </w:p>
    <w:p>
      <w:pPr>
        <w:pStyle w:val="ListParagraph"/>
        <w:numPr>
          <w:ilvl w:val="0"/>
          <w:numId w:val="101"/>
        </w:numPr>
        <w:tabs>
          <w:tab w:pos="961" w:val="left" w:leader="none"/>
        </w:tabs>
        <w:spacing w:line="240" w:lineRule="auto" w:before="0" w:after="0"/>
        <w:ind w:left="960" w:right="0" w:hanging="421"/>
        <w:jc w:val="left"/>
        <w:rPr>
          <w:sz w:val="21"/>
        </w:rPr>
      </w:pPr>
      <w:r>
        <w:rPr>
          <w:spacing w:val="-5"/>
          <w:sz w:val="21"/>
        </w:rPr>
        <w:t>肌力</w:t>
      </w:r>
    </w:p>
    <w:p>
      <w:pPr>
        <w:pStyle w:val="BodyText"/>
        <w:spacing w:before="7"/>
        <w:rPr>
          <w:sz w:val="15"/>
        </w:rPr>
      </w:pPr>
    </w:p>
    <w:p>
      <w:pPr>
        <w:pStyle w:val="BodyText"/>
        <w:spacing w:line="417" w:lineRule="auto"/>
        <w:ind w:left="540" w:right="3475"/>
      </w:pPr>
      <w:r>
        <w:rPr>
          <w:spacing w:val="-2"/>
        </w:rPr>
        <w:t>指肌肉收缩时的力量。肌力划分为0-5级，具体为： 0级：肌肉完全瘫痪，毫无收缩。</w:t>
      </w:r>
    </w:p>
    <w:p>
      <w:pPr>
        <w:pStyle w:val="BodyText"/>
        <w:spacing w:line="269" w:lineRule="exact"/>
        <w:ind w:left="540"/>
      </w:pPr>
      <w:r>
        <w:rPr>
          <w:spacing w:val="-2"/>
        </w:rPr>
        <w:t>1</w:t>
      </w:r>
      <w:r>
        <w:rPr>
          <w:spacing w:val="-3"/>
        </w:rPr>
        <w:t>级：可看到或者触及肌肉轻微收缩，但不能产生动作。</w:t>
      </w:r>
    </w:p>
    <w:p>
      <w:pPr>
        <w:pStyle w:val="BodyText"/>
        <w:spacing w:before="6"/>
        <w:rPr>
          <w:sz w:val="15"/>
        </w:rPr>
      </w:pPr>
    </w:p>
    <w:p>
      <w:pPr>
        <w:pStyle w:val="BodyText"/>
        <w:ind w:left="540"/>
      </w:pPr>
      <w:r>
        <w:rPr>
          <w:spacing w:val="-2"/>
        </w:rPr>
        <w:t>2</w:t>
      </w:r>
      <w:r>
        <w:rPr>
          <w:spacing w:val="-3"/>
        </w:rPr>
        <w:t>级：肌肉在不受重力影响下，可进行运动，即肢体能在床面上移动，但不能抬高。</w:t>
      </w:r>
    </w:p>
    <w:p>
      <w:pPr>
        <w:pStyle w:val="BodyText"/>
        <w:spacing w:before="7"/>
        <w:rPr>
          <w:sz w:val="15"/>
        </w:rPr>
      </w:pPr>
    </w:p>
    <w:p>
      <w:pPr>
        <w:pStyle w:val="BodyText"/>
        <w:ind w:left="540"/>
      </w:pPr>
      <w:r>
        <w:rPr>
          <w:spacing w:val="-2"/>
        </w:rPr>
        <w:t>3</w:t>
      </w:r>
      <w:r>
        <w:rPr>
          <w:spacing w:val="-3"/>
        </w:rPr>
        <w:t>级：在和地心引力相反的方向中尚能完成其动作，但不能对抗外加阻力。</w:t>
      </w:r>
    </w:p>
    <w:p>
      <w:pPr>
        <w:pStyle w:val="BodyText"/>
        <w:spacing w:before="7"/>
        <w:rPr>
          <w:sz w:val="15"/>
        </w:rPr>
      </w:pPr>
    </w:p>
    <w:p>
      <w:pPr>
        <w:pStyle w:val="BodyText"/>
        <w:spacing w:before="1"/>
        <w:ind w:left="540"/>
      </w:pPr>
      <w:r>
        <w:rPr>
          <w:spacing w:val="-2"/>
        </w:rPr>
        <w:t>4</w:t>
      </w:r>
      <w:r>
        <w:rPr>
          <w:spacing w:val="-3"/>
        </w:rPr>
        <w:t>级：能对抗一定的阻力，但较正常人为低。</w:t>
      </w:r>
    </w:p>
    <w:p>
      <w:pPr>
        <w:pStyle w:val="BodyText"/>
        <w:spacing w:before="6"/>
        <w:rPr>
          <w:sz w:val="15"/>
        </w:rPr>
      </w:pPr>
    </w:p>
    <w:p>
      <w:pPr>
        <w:pStyle w:val="BodyText"/>
        <w:ind w:left="540"/>
      </w:pPr>
      <w:r>
        <w:rPr>
          <w:spacing w:val="-2"/>
        </w:rPr>
        <w:t>5</w:t>
      </w:r>
      <w:r>
        <w:rPr>
          <w:spacing w:val="-4"/>
        </w:rPr>
        <w:t>级：正常肌力。</w:t>
      </w:r>
    </w:p>
    <w:p>
      <w:pPr>
        <w:pStyle w:val="BodyText"/>
        <w:spacing w:before="7"/>
        <w:rPr>
          <w:sz w:val="15"/>
        </w:rPr>
      </w:pPr>
    </w:p>
    <w:p>
      <w:pPr>
        <w:pStyle w:val="ListParagraph"/>
        <w:numPr>
          <w:ilvl w:val="0"/>
          <w:numId w:val="101"/>
        </w:numPr>
        <w:tabs>
          <w:tab w:pos="961" w:val="left" w:leader="none"/>
        </w:tabs>
        <w:spacing w:line="240" w:lineRule="auto" w:before="0" w:after="0"/>
        <w:ind w:left="960" w:right="0" w:hanging="421"/>
        <w:jc w:val="left"/>
        <w:rPr>
          <w:sz w:val="21"/>
        </w:rPr>
      </w:pPr>
      <w:r>
        <w:rPr>
          <w:spacing w:val="-3"/>
          <w:sz w:val="21"/>
        </w:rPr>
        <w:t>语言能力完全丧失或严重咀嚼吞咽功能障碍</w:t>
      </w:r>
    </w:p>
    <w:p>
      <w:pPr>
        <w:pStyle w:val="BodyText"/>
        <w:spacing w:before="7"/>
        <w:rPr>
          <w:sz w:val="15"/>
        </w:rPr>
      </w:pPr>
    </w:p>
    <w:p>
      <w:pPr>
        <w:pStyle w:val="BodyText"/>
        <w:spacing w:line="417" w:lineRule="auto"/>
        <w:ind w:left="120" w:right="311" w:firstLine="419"/>
      </w:pPr>
      <w:r>
        <w:rPr>
          <w:spacing w:val="-4"/>
        </w:rPr>
        <w:t>语言能力完全丧失，指无法发出四种语音（包括口唇音、齿舌音、口盖音和喉头音）中</w:t>
      </w:r>
      <w:r>
        <w:rPr>
          <w:spacing w:val="-2"/>
        </w:rPr>
        <w:t>的任何三种、或声带全部切除，或因大脑语言中枢受伤害而患失语症。</w:t>
      </w:r>
    </w:p>
    <w:p>
      <w:pPr>
        <w:spacing w:after="0" w:line="417" w:lineRule="auto"/>
        <w:sectPr>
          <w:pgSz w:w="11910" w:h="16840"/>
          <w:pgMar w:header="0" w:footer="1005" w:top="1420" w:bottom="1200" w:left="1680" w:right="1480"/>
        </w:sectPr>
      </w:pPr>
    </w:p>
    <w:p>
      <w:pPr>
        <w:pStyle w:val="BodyText"/>
        <w:spacing w:line="417" w:lineRule="auto" w:before="61"/>
        <w:ind w:left="120" w:right="311" w:firstLine="419"/>
      </w:pPr>
      <w:r>
        <w:rPr>
          <w:spacing w:val="-7"/>
        </w:rPr>
        <w:t>严重咀嚼吞咽功能障碍，指因牙齿以外的原因导致器质障碍或机能障碍，以致不能作咀</w:t>
      </w:r>
      <w:r>
        <w:rPr>
          <w:spacing w:val="-2"/>
        </w:rPr>
        <w:t>嚼吞咽运动，除流质食物外不能摄取或吞咽的状态。</w:t>
      </w:r>
    </w:p>
    <w:p>
      <w:pPr>
        <w:pStyle w:val="ListParagraph"/>
        <w:numPr>
          <w:ilvl w:val="0"/>
          <w:numId w:val="101"/>
        </w:numPr>
        <w:tabs>
          <w:tab w:pos="961" w:val="left" w:leader="none"/>
        </w:tabs>
        <w:spacing w:line="240" w:lineRule="auto" w:before="0" w:after="0"/>
        <w:ind w:left="960" w:right="0" w:hanging="421"/>
        <w:jc w:val="left"/>
        <w:rPr>
          <w:sz w:val="21"/>
        </w:rPr>
      </w:pPr>
      <w:r>
        <w:rPr>
          <w:spacing w:val="-3"/>
          <w:sz w:val="21"/>
        </w:rPr>
        <w:t>六项基本日常生活活动</w:t>
      </w:r>
    </w:p>
    <w:p>
      <w:pPr>
        <w:pStyle w:val="BodyText"/>
        <w:spacing w:before="7"/>
        <w:rPr>
          <w:sz w:val="15"/>
        </w:rPr>
      </w:pPr>
    </w:p>
    <w:p>
      <w:pPr>
        <w:pStyle w:val="BodyText"/>
        <w:spacing w:line="417" w:lineRule="auto"/>
        <w:ind w:left="120" w:right="215" w:firstLine="419"/>
      </w:pPr>
      <w:r>
        <w:rPr>
          <w:spacing w:val="-13"/>
        </w:rPr>
        <w:t>六项基本日常生活活动是指：</w:t>
      </w:r>
      <w:r>
        <w:rPr>
          <w:spacing w:val="29"/>
        </w:rPr>
        <w:t>（1</w:t>
      </w:r>
      <w:r>
        <w:rPr>
          <w:spacing w:val="9"/>
        </w:rPr>
        <w:t>）</w:t>
      </w:r>
      <w:r>
        <w:rPr>
          <w:spacing w:val="-13"/>
        </w:rPr>
        <w:t>穿衣：自己能够穿衣及脱衣；</w:t>
      </w:r>
      <w:r>
        <w:rPr>
          <w:spacing w:val="29"/>
        </w:rPr>
        <w:t>（2</w:t>
      </w:r>
      <w:r>
        <w:rPr>
          <w:spacing w:val="12"/>
        </w:rPr>
        <w:t>）</w:t>
      </w:r>
      <w:r>
        <w:rPr>
          <w:spacing w:val="-6"/>
        </w:rPr>
        <w:t>移动：自己从一个</w:t>
      </w:r>
      <w:r>
        <w:rPr>
          <w:spacing w:val="-15"/>
        </w:rPr>
        <w:t>房间到另一个房间；</w:t>
      </w:r>
      <w:r>
        <w:rPr>
          <w:spacing w:val="21"/>
        </w:rPr>
        <w:t>（</w:t>
      </w:r>
      <w:r>
        <w:rPr>
          <w:spacing w:val="22"/>
        </w:rPr>
        <w:t>3</w:t>
      </w:r>
      <w:r>
        <w:rPr>
          <w:spacing w:val="19"/>
        </w:rPr>
        <w:t>）</w:t>
      </w:r>
      <w:r>
        <w:rPr>
          <w:spacing w:val="-12"/>
        </w:rPr>
        <w:t>行动：自己上下床或上下轮椅；</w:t>
      </w:r>
      <w:r>
        <w:rPr>
          <w:spacing w:val="21"/>
        </w:rPr>
        <w:t>（4</w:t>
      </w:r>
      <w:r>
        <w:rPr>
          <w:spacing w:val="18"/>
        </w:rPr>
        <w:t>）</w:t>
      </w:r>
      <w:r>
        <w:rPr>
          <w:spacing w:val="-6"/>
        </w:rPr>
        <w:t>如厕：自己控制进行大小便；</w:t>
      </w:r>
    </w:p>
    <w:p>
      <w:pPr>
        <w:spacing w:line="357" w:lineRule="auto" w:before="0"/>
        <w:ind w:left="540" w:right="313" w:hanging="420"/>
        <w:jc w:val="left"/>
        <w:rPr>
          <w:rFonts w:ascii="微软雅黑" w:eastAsia="微软雅黑"/>
          <w:b/>
          <w:sz w:val="21"/>
        </w:rPr>
      </w:pPr>
      <w:r>
        <w:rPr>
          <w:spacing w:val="-8"/>
          <w:sz w:val="21"/>
        </w:rPr>
        <w:t>（5）</w:t>
      </w:r>
      <w:r>
        <w:rPr>
          <w:spacing w:val="-13"/>
          <w:sz w:val="21"/>
        </w:rPr>
        <w:t>进食：自己从已准备好的碗或碟中取食物放入口中；</w:t>
      </w:r>
      <w:r>
        <w:rPr>
          <w:spacing w:val="36"/>
          <w:sz w:val="21"/>
        </w:rPr>
        <w:t>（</w:t>
      </w:r>
      <w:r>
        <w:rPr>
          <w:spacing w:val="39"/>
          <w:sz w:val="21"/>
        </w:rPr>
        <w:t>6</w:t>
      </w:r>
      <w:r>
        <w:rPr>
          <w:spacing w:val="-2"/>
          <w:sz w:val="21"/>
        </w:rPr>
        <w:t>）</w:t>
      </w:r>
      <w:r>
        <w:rPr>
          <w:spacing w:val="-8"/>
          <w:sz w:val="21"/>
        </w:rPr>
        <w:t>洗澡：自己进行淋浴或盆浴。</w:t>
      </w:r>
      <w:r>
        <w:rPr>
          <w:rFonts w:ascii="微软雅黑" w:eastAsia="微软雅黑"/>
          <w:b/>
          <w:spacing w:val="-2"/>
          <w:sz w:val="21"/>
        </w:rPr>
        <w:t>六项基本日常生活活动能力的鉴定不适用于0-3周岁幼儿。</w:t>
      </w:r>
    </w:p>
    <w:p>
      <w:pPr>
        <w:pStyle w:val="ListParagraph"/>
        <w:numPr>
          <w:ilvl w:val="0"/>
          <w:numId w:val="101"/>
        </w:numPr>
        <w:tabs>
          <w:tab w:pos="961" w:val="left" w:leader="none"/>
        </w:tabs>
        <w:spacing w:line="227" w:lineRule="exact" w:before="0" w:after="0"/>
        <w:ind w:left="960" w:right="0" w:hanging="421"/>
        <w:jc w:val="left"/>
        <w:rPr>
          <w:sz w:val="21"/>
        </w:rPr>
      </w:pPr>
      <w:r>
        <w:rPr>
          <w:spacing w:val="-4"/>
          <w:sz w:val="21"/>
        </w:rPr>
        <w:t>永久不可逆</w:t>
      </w:r>
    </w:p>
    <w:p>
      <w:pPr>
        <w:pStyle w:val="BodyText"/>
        <w:spacing w:before="6"/>
        <w:rPr>
          <w:sz w:val="15"/>
        </w:rPr>
      </w:pPr>
    </w:p>
    <w:p>
      <w:pPr>
        <w:pStyle w:val="BodyText"/>
        <w:spacing w:line="417" w:lineRule="auto"/>
        <w:ind w:left="120" w:right="323" w:firstLine="419"/>
      </w:pPr>
      <w:r>
        <w:rPr>
          <w:spacing w:val="-2"/>
        </w:rPr>
        <w:t>指自疾病确诊或意外伤害发生之日起，经过积极治疗180天后，仍无法通过现有医疗手</w:t>
      </w:r>
      <w:r>
        <w:rPr>
          <w:spacing w:val="-4"/>
        </w:rPr>
        <w:t>段恢复。</w:t>
      </w:r>
    </w:p>
    <w:p>
      <w:pPr>
        <w:pStyle w:val="ListParagraph"/>
        <w:numPr>
          <w:ilvl w:val="0"/>
          <w:numId w:val="101"/>
        </w:numPr>
        <w:tabs>
          <w:tab w:pos="964" w:val="left" w:leader="none"/>
        </w:tabs>
        <w:spacing w:line="240" w:lineRule="auto" w:before="0" w:after="0"/>
        <w:ind w:left="963" w:right="0" w:hanging="424"/>
        <w:jc w:val="left"/>
        <w:rPr>
          <w:sz w:val="21"/>
        </w:rPr>
      </w:pPr>
      <w:r>
        <w:rPr>
          <w:sz w:val="21"/>
        </w:rPr>
        <w:t>美国纽约心脏病学会（New</w:t>
      </w:r>
      <w:r>
        <w:rPr>
          <w:spacing w:val="-16"/>
          <w:sz w:val="21"/>
        </w:rPr>
        <w:t> </w:t>
      </w:r>
      <w:r>
        <w:rPr>
          <w:sz w:val="21"/>
        </w:rPr>
        <w:t>York</w:t>
      </w:r>
      <w:r>
        <w:rPr>
          <w:spacing w:val="-16"/>
          <w:sz w:val="21"/>
        </w:rPr>
        <w:t> </w:t>
      </w:r>
      <w:r>
        <w:rPr>
          <w:sz w:val="21"/>
        </w:rPr>
        <w:t>Heart</w:t>
      </w:r>
      <w:r>
        <w:rPr>
          <w:spacing w:val="-14"/>
          <w:sz w:val="21"/>
        </w:rPr>
        <w:t> </w:t>
      </w:r>
      <w:r>
        <w:rPr>
          <w:sz w:val="21"/>
        </w:rPr>
        <w:t>Association，NYHA）</w:t>
      </w:r>
      <w:r>
        <w:rPr>
          <w:spacing w:val="-2"/>
          <w:sz w:val="21"/>
        </w:rPr>
        <w:t>心功能状态分级</w:t>
      </w:r>
    </w:p>
    <w:p>
      <w:pPr>
        <w:pStyle w:val="BodyText"/>
        <w:spacing w:before="7"/>
        <w:rPr>
          <w:sz w:val="15"/>
        </w:rPr>
      </w:pPr>
    </w:p>
    <w:p>
      <w:pPr>
        <w:pStyle w:val="BodyText"/>
        <w:spacing w:line="417" w:lineRule="auto"/>
        <w:ind w:left="540" w:right="211"/>
        <w:jc w:val="both"/>
      </w:pPr>
      <w:r>
        <w:rPr/>
        <w:t>美国纽约心脏病学会（New</w:t>
      </w:r>
      <w:r>
        <w:rPr>
          <w:spacing w:val="-8"/>
        </w:rPr>
        <w:t> </w:t>
      </w:r>
      <w:r>
        <w:rPr/>
        <w:t>York</w:t>
      </w:r>
      <w:r>
        <w:rPr>
          <w:spacing w:val="-8"/>
        </w:rPr>
        <w:t> </w:t>
      </w:r>
      <w:r>
        <w:rPr/>
        <w:t>Heart</w:t>
      </w:r>
      <w:r>
        <w:rPr>
          <w:spacing w:val="-6"/>
        </w:rPr>
        <w:t> </w:t>
      </w:r>
      <w:r>
        <w:rPr/>
        <w:t>Association，NYHA）将心功能状态分为四级： </w:t>
      </w:r>
      <w:r>
        <w:rPr>
          <w:spacing w:val="-2"/>
        </w:rPr>
        <w:t>Ⅰ级：心脏病病人日常活动量不受限制，一般活动不引起乏力、呼吸困难等心衰症状。 Ⅱ级：心脏病病人体力活动轻度受限制，休息时无自觉症状，一般活动下可出现心衰症</w:t>
      </w:r>
    </w:p>
    <w:p>
      <w:pPr>
        <w:pStyle w:val="BodyText"/>
        <w:spacing w:line="269" w:lineRule="exact"/>
        <w:ind w:left="120"/>
      </w:pPr>
      <w:r>
        <w:rPr>
          <w:spacing w:val="-5"/>
        </w:rPr>
        <w:t>状。</w:t>
      </w:r>
    </w:p>
    <w:p>
      <w:pPr>
        <w:pStyle w:val="BodyText"/>
        <w:spacing w:before="7"/>
        <w:rPr>
          <w:sz w:val="15"/>
        </w:rPr>
      </w:pPr>
    </w:p>
    <w:p>
      <w:pPr>
        <w:pStyle w:val="BodyText"/>
        <w:ind w:left="540"/>
      </w:pPr>
      <w:r>
        <w:rPr>
          <w:spacing w:val="-3"/>
        </w:rPr>
        <w:t>Ⅲ级：心脏病病人体力活动明显受限，低于平时一般活动即引起心衰症状。</w:t>
      </w:r>
    </w:p>
    <w:p>
      <w:pPr>
        <w:pStyle w:val="BodyText"/>
        <w:spacing w:before="6"/>
        <w:rPr>
          <w:sz w:val="15"/>
        </w:rPr>
      </w:pPr>
    </w:p>
    <w:p>
      <w:pPr>
        <w:pStyle w:val="BodyText"/>
        <w:spacing w:line="417" w:lineRule="auto" w:before="1"/>
        <w:ind w:left="540" w:right="211"/>
      </w:pPr>
      <w:r>
        <w:rPr>
          <w:spacing w:val="-2"/>
        </w:rPr>
        <w:t>Ⅳ级：心脏病病人不能从事任何体力活动，休息状态下也存在心衰症状，活动后加重。 (11)感染艾滋病病毒或患艾滋病</w:t>
      </w:r>
    </w:p>
    <w:p>
      <w:pPr>
        <w:pStyle w:val="BodyText"/>
        <w:spacing w:line="417" w:lineRule="auto"/>
        <w:ind w:left="120" w:right="323" w:firstLine="419"/>
      </w:pPr>
      <w:r>
        <w:rPr/>
        <w:drawing>
          <wp:anchor distT="0" distB="0" distL="0" distR="0" allowOverlap="1" layoutInCell="1" locked="0" behindDoc="1" simplePos="0" relativeHeight="486298624">
            <wp:simplePos x="0" y="0"/>
            <wp:positionH relativeFrom="page">
              <wp:posOffset>2218125</wp:posOffset>
            </wp:positionH>
            <wp:positionV relativeFrom="paragraph">
              <wp:posOffset>319405</wp:posOffset>
            </wp:positionV>
            <wp:extent cx="123825" cy="127000"/>
            <wp:effectExtent l="0" t="0" r="0" b="0"/>
            <wp:wrapNone/>
            <wp:docPr id="141" name="image2.png"/>
            <wp:cNvGraphicFramePr>
              <a:graphicFrameLocks noChangeAspect="1"/>
            </wp:cNvGraphicFramePr>
            <a:graphic>
              <a:graphicData uri="http://schemas.openxmlformats.org/drawingml/2006/picture">
                <pic:pic>
                  <pic:nvPicPr>
                    <pic:cNvPr id="142"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艾滋病病毒指人类免疫缺陷病毒，英文缩写为HIV。艾滋病指人类免疫缺陷病毒引起的</w:t>
      </w:r>
      <w:r>
        <w:rPr>
          <w:spacing w:val="-2"/>
        </w:rPr>
        <w:t>获得性免疫缺陷综征，英文缩写为AIDS。</w:t>
      </w:r>
    </w:p>
    <w:p>
      <w:pPr>
        <w:pStyle w:val="BodyText"/>
        <w:spacing w:line="417" w:lineRule="auto"/>
        <w:ind w:left="120" w:right="311" w:firstLine="419"/>
      </w:pPr>
      <w:r>
        <w:rPr>
          <w:spacing w:val="-6"/>
        </w:rPr>
        <w:t>在人体血液或其他样本中检测到艾滋病病毒或其抗体呈阳性，没有出现临床症状或体征</w:t>
      </w:r>
      <w:r>
        <w:rPr>
          <w:spacing w:val="-2"/>
        </w:rPr>
        <w:t>的，为感染艾滋病病毒；如果同时出现了明显临床症状或体征的，为患艾滋病。</w:t>
      </w:r>
    </w:p>
    <w:p>
      <w:pPr>
        <w:pStyle w:val="BodyText"/>
        <w:rPr>
          <w:sz w:val="20"/>
        </w:rPr>
      </w:pPr>
    </w:p>
    <w:p>
      <w:pPr>
        <w:pStyle w:val="Heading2"/>
        <w:spacing w:before="144"/>
      </w:pPr>
      <w:bookmarkStart w:name="_bookmark41" w:id="78"/>
      <w:bookmarkEnd w:id="78"/>
      <w:r>
        <w:rPr>
          <w:b w:val="0"/>
        </w:rPr>
      </w:r>
      <w:r>
        <w:rPr>
          <w:spacing w:val="-5"/>
        </w:rPr>
        <w:t>释义</w:t>
      </w:r>
    </w:p>
    <w:p>
      <w:pPr>
        <w:pStyle w:val="ListParagraph"/>
        <w:numPr>
          <w:ilvl w:val="0"/>
          <w:numId w:val="102"/>
        </w:numPr>
        <w:tabs>
          <w:tab w:pos="540" w:val="left" w:leader="none"/>
          <w:tab w:pos="541" w:val="left" w:leader="none"/>
        </w:tabs>
        <w:spacing w:line="331" w:lineRule="auto" w:before="81" w:after="0"/>
        <w:ind w:left="540" w:right="314" w:hanging="420"/>
        <w:jc w:val="left"/>
        <w:rPr>
          <w:sz w:val="21"/>
        </w:rPr>
      </w:pPr>
      <w:r>
        <w:rPr>
          <w:rFonts w:ascii="微软雅黑" w:eastAsia="微软雅黑"/>
          <w:b/>
          <w:spacing w:val="7"/>
          <w:sz w:val="21"/>
        </w:rPr>
        <w:t>周岁 </w:t>
      </w:r>
      <w:r>
        <w:rPr>
          <w:sz w:val="21"/>
        </w:rPr>
        <w:t>指按法定身份证明文件中记载的出生日期计算的年龄，自出生之日起为零周岁，</w:t>
      </w:r>
      <w:r>
        <w:rPr>
          <w:spacing w:val="-2"/>
          <w:sz w:val="21"/>
        </w:rPr>
        <w:t>每经过一年增加一岁，不足一年的不计。</w:t>
      </w:r>
    </w:p>
    <w:p>
      <w:pPr>
        <w:pStyle w:val="ListParagraph"/>
        <w:numPr>
          <w:ilvl w:val="0"/>
          <w:numId w:val="102"/>
        </w:numPr>
        <w:tabs>
          <w:tab w:pos="540" w:val="left" w:leader="none"/>
          <w:tab w:pos="541" w:val="left" w:leader="none"/>
        </w:tabs>
        <w:spacing w:line="331" w:lineRule="auto" w:before="31" w:after="0"/>
        <w:ind w:left="540" w:right="316" w:hanging="420"/>
        <w:jc w:val="left"/>
        <w:rPr>
          <w:sz w:val="21"/>
        </w:rPr>
      </w:pPr>
      <w:r>
        <w:rPr/>
        <w:drawing>
          <wp:anchor distT="0" distB="0" distL="0" distR="0" allowOverlap="1" layoutInCell="1" locked="0" behindDoc="1" simplePos="0" relativeHeight="486299136">
            <wp:simplePos x="0" y="0"/>
            <wp:positionH relativeFrom="page">
              <wp:posOffset>3222390</wp:posOffset>
            </wp:positionH>
            <wp:positionV relativeFrom="paragraph">
              <wp:posOffset>84558</wp:posOffset>
            </wp:positionV>
            <wp:extent cx="123825" cy="127000"/>
            <wp:effectExtent l="0" t="0" r="0" b="0"/>
            <wp:wrapNone/>
            <wp:docPr id="143" name="image2.png"/>
            <wp:cNvGraphicFramePr>
              <a:graphicFrameLocks noChangeAspect="1"/>
            </wp:cNvGraphicFramePr>
            <a:graphic>
              <a:graphicData uri="http://schemas.openxmlformats.org/drawingml/2006/picture">
                <pic:pic>
                  <pic:nvPicPr>
                    <pic:cNvPr id="144" name="image2.png"/>
                    <pic:cNvPicPr/>
                  </pic:nvPicPr>
                  <pic:blipFill>
                    <a:blip r:embed="rId7" cstate="print"/>
                    <a:stretch>
                      <a:fillRect/>
                    </a:stretch>
                  </pic:blipFill>
                  <pic:spPr>
                    <a:xfrm>
                      <a:off x="0" y="0"/>
                      <a:ext cx="123825" cy="127000"/>
                    </a:xfrm>
                    <a:prstGeom prst="rect">
                      <a:avLst/>
                    </a:prstGeom>
                  </pic:spPr>
                </pic:pic>
              </a:graphicData>
            </a:graphic>
          </wp:anchor>
        </w:drawing>
      </w:r>
      <w:r>
        <w:rPr>
          <w:rFonts w:ascii="微软雅黑" w:hAnsi="微软雅黑" w:eastAsia="微软雅黑"/>
          <w:b/>
          <w:sz w:val="21"/>
        </w:rPr>
        <w:t>保单周年日</w:t>
      </w:r>
      <w:r>
        <w:rPr>
          <w:rFonts w:ascii="微软雅黑" w:hAnsi="微软雅黑" w:eastAsia="微软雅黑"/>
          <w:b/>
          <w:spacing w:val="40"/>
          <w:sz w:val="21"/>
        </w:rPr>
        <w:t> </w:t>
      </w:r>
      <w:r>
        <w:rPr>
          <w:sz w:val="21"/>
        </w:rPr>
        <w:t>指本</w:t>
      </w:r>
      <w:r>
        <w:rPr>
          <w:position w:val="-2"/>
          <w:sz w:val="21"/>
        </w:rPr>
        <w:drawing>
          <wp:inline distT="0" distB="0" distL="0" distR="0">
            <wp:extent cx="123825" cy="127000"/>
            <wp:effectExtent l="0" t="0" r="0" b="0"/>
            <wp:docPr id="145" name="image2.png"/>
            <wp:cNvGraphicFramePr>
              <a:graphicFrameLocks noChangeAspect="1"/>
            </wp:cNvGraphicFramePr>
            <a:graphic>
              <a:graphicData uri="http://schemas.openxmlformats.org/drawingml/2006/picture">
                <pic:pic>
                  <pic:nvPicPr>
                    <pic:cNvPr id="146"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同生效</w:t>
      </w:r>
      <w:r>
        <w:rPr>
          <w:sz w:val="21"/>
        </w:rPr>
        <w:t>日在</w:t>
      </w:r>
      <w:r>
        <w:rPr>
          <w:sz w:val="21"/>
        </w:rPr>
        <w:t>同生效后每年的对</w:t>
      </w:r>
      <w:r>
        <w:rPr>
          <w:sz w:val="21"/>
        </w:rPr>
        <w:t>应日，</w:t>
      </w:r>
      <w:r>
        <w:rPr>
          <w:sz w:val="21"/>
        </w:rPr>
        <w:t>不含本</w:t>
      </w:r>
      <w:r>
        <w:rPr>
          <w:position w:val="-2"/>
          <w:sz w:val="21"/>
        </w:rPr>
        <w:drawing>
          <wp:inline distT="0" distB="0" distL="0" distR="0">
            <wp:extent cx="123825" cy="127000"/>
            <wp:effectExtent l="0" t="0" r="0" b="0"/>
            <wp:docPr id="147" name="image2.png"/>
            <wp:cNvGraphicFramePr>
              <a:graphicFrameLocks noChangeAspect="1"/>
            </wp:cNvGraphicFramePr>
            <a:graphic>
              <a:graphicData uri="http://schemas.openxmlformats.org/drawingml/2006/picture">
                <pic:pic>
                  <pic:nvPicPr>
                    <pic:cNvPr id="148"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同生效日</w:t>
      </w:r>
      <w:r>
        <w:rPr>
          <w:sz w:val="21"/>
        </w:rPr>
        <w:t>当日。若</w:t>
      </w:r>
      <w:r>
        <w:rPr>
          <w:spacing w:val="-2"/>
          <w:sz w:val="21"/>
        </w:rPr>
        <w:t>当月没有对应的同一日，则以该月最后一日为对应日。</w:t>
      </w:r>
    </w:p>
    <w:p>
      <w:pPr>
        <w:pStyle w:val="ListParagraph"/>
        <w:numPr>
          <w:ilvl w:val="0"/>
          <w:numId w:val="102"/>
        </w:numPr>
        <w:tabs>
          <w:tab w:pos="540" w:val="left" w:leader="none"/>
          <w:tab w:pos="541" w:val="left" w:leader="none"/>
        </w:tabs>
        <w:spacing w:line="331" w:lineRule="auto" w:before="30" w:after="0"/>
        <w:ind w:left="540" w:right="316" w:hanging="420"/>
        <w:jc w:val="left"/>
        <w:rPr>
          <w:sz w:val="21"/>
        </w:rPr>
      </w:pPr>
      <w:r>
        <w:rPr/>
        <w:drawing>
          <wp:anchor distT="0" distB="0" distL="0" distR="0" allowOverlap="1" layoutInCell="1" locked="0" behindDoc="1" simplePos="0" relativeHeight="486299648">
            <wp:simplePos x="0" y="0"/>
            <wp:positionH relativeFrom="page">
              <wp:posOffset>2288032</wp:posOffset>
            </wp:positionH>
            <wp:positionV relativeFrom="paragraph">
              <wp:posOffset>83923</wp:posOffset>
            </wp:positionV>
            <wp:extent cx="123825" cy="127000"/>
            <wp:effectExtent l="0" t="0" r="0" b="0"/>
            <wp:wrapNone/>
            <wp:docPr id="149" name="image2.png"/>
            <wp:cNvGraphicFramePr>
              <a:graphicFrameLocks noChangeAspect="1"/>
            </wp:cNvGraphicFramePr>
            <a:graphic>
              <a:graphicData uri="http://schemas.openxmlformats.org/drawingml/2006/picture">
                <pic:pic>
                  <pic:nvPicPr>
                    <pic:cNvPr id="150" name="image2.png"/>
                    <pic:cNvPicPr/>
                  </pic:nvPicPr>
                  <pic:blipFill>
                    <a:blip r:embed="rId7" cstate="print"/>
                    <a:stretch>
                      <a:fillRect/>
                    </a:stretch>
                  </pic:blipFill>
                  <pic:spPr>
                    <a:xfrm>
                      <a:off x="0" y="0"/>
                      <a:ext cx="123825" cy="127000"/>
                    </a:xfrm>
                    <a:prstGeom prst="rect">
                      <a:avLst/>
                    </a:prstGeom>
                  </pic:spPr>
                </pic:pic>
              </a:graphicData>
            </a:graphic>
          </wp:anchor>
        </w:drawing>
      </w:r>
      <w:r>
        <w:rPr>
          <w:rFonts w:ascii="微软雅黑" w:hAnsi="微软雅黑" w:eastAsia="微软雅黑"/>
          <w:b/>
          <w:spacing w:val="4"/>
          <w:sz w:val="21"/>
        </w:rPr>
        <w:t>保单年度 </w:t>
      </w:r>
      <w:r>
        <w:rPr>
          <w:sz w:val="21"/>
        </w:rPr>
        <w:t>从本同生效日或保单周年日零时起至下一年度的保单周年日零时止为一个</w:t>
      </w:r>
      <w:r>
        <w:rPr>
          <w:spacing w:val="-2"/>
          <w:sz w:val="21"/>
        </w:rPr>
        <w:t>保单年度。</w:t>
      </w:r>
    </w:p>
    <w:p>
      <w:pPr>
        <w:spacing w:after="0" w:line="331" w:lineRule="auto"/>
        <w:jc w:val="left"/>
        <w:rPr>
          <w:sz w:val="21"/>
        </w:rPr>
        <w:sectPr>
          <w:pgSz w:w="11910" w:h="16840"/>
          <w:pgMar w:header="0" w:footer="1005" w:top="1460" w:bottom="1200" w:left="1680" w:right="1480"/>
        </w:sectPr>
      </w:pPr>
    </w:p>
    <w:p>
      <w:pPr>
        <w:pStyle w:val="ListParagraph"/>
        <w:numPr>
          <w:ilvl w:val="0"/>
          <w:numId w:val="102"/>
        </w:numPr>
        <w:tabs>
          <w:tab w:pos="540" w:val="left" w:leader="none"/>
          <w:tab w:pos="541" w:val="left" w:leader="none"/>
        </w:tabs>
        <w:spacing w:line="331" w:lineRule="auto" w:before="0" w:after="0"/>
        <w:ind w:left="540" w:right="313" w:hanging="420"/>
        <w:jc w:val="left"/>
        <w:rPr>
          <w:sz w:val="21"/>
        </w:rPr>
      </w:pPr>
      <w:r>
        <w:rPr>
          <w:rFonts w:ascii="微软雅黑" w:eastAsia="微软雅黑"/>
          <w:b/>
          <w:sz w:val="21"/>
        </w:rPr>
        <w:t>保险费约定交纳日</w:t>
      </w:r>
      <w:r>
        <w:rPr>
          <w:rFonts w:ascii="微软雅黑" w:eastAsia="微软雅黑"/>
          <w:b/>
          <w:spacing w:val="39"/>
          <w:sz w:val="21"/>
        </w:rPr>
        <w:t> </w:t>
      </w:r>
      <w:r>
        <w:rPr>
          <w:sz w:val="21"/>
        </w:rPr>
        <w:t>本</w:t>
      </w:r>
      <w:r>
        <w:rPr>
          <w:position w:val="-2"/>
          <w:sz w:val="21"/>
        </w:rPr>
        <w:drawing>
          <wp:inline distT="0" distB="0" distL="0" distR="0">
            <wp:extent cx="123825" cy="127000"/>
            <wp:effectExtent l="0" t="0" r="0" b="0"/>
            <wp:docPr id="151" name="image2.png"/>
            <wp:cNvGraphicFramePr>
              <a:graphicFrameLocks noChangeAspect="1"/>
            </wp:cNvGraphicFramePr>
            <a:graphic>
              <a:graphicData uri="http://schemas.openxmlformats.org/drawingml/2006/picture">
                <pic:pic>
                  <pic:nvPicPr>
                    <pic:cNvPr id="152"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同</w:t>
      </w:r>
      <w:r>
        <w:rPr>
          <w:sz w:val="21"/>
        </w:rPr>
        <w:t>生效日在每月、</w:t>
      </w:r>
      <w:r>
        <w:rPr>
          <w:sz w:val="21"/>
        </w:rPr>
        <w:t>每季、每</w:t>
      </w:r>
      <w:r>
        <w:rPr>
          <w:sz w:val="21"/>
        </w:rPr>
        <w:t>半年或每年（根</w:t>
      </w:r>
      <w:r>
        <w:rPr>
          <w:sz w:val="21"/>
        </w:rPr>
        <w:t>据交费方</w:t>
      </w:r>
      <w:r>
        <w:rPr>
          <w:sz w:val="21"/>
        </w:rPr>
        <w:t>式确定）</w:t>
      </w:r>
      <w:r>
        <w:rPr>
          <w:spacing w:val="-2"/>
          <w:sz w:val="21"/>
        </w:rPr>
        <w:t>的对应日。如果当月无对应的同一日，则以该月最后一日为对应日。</w:t>
      </w:r>
    </w:p>
    <w:p>
      <w:pPr>
        <w:pStyle w:val="ListParagraph"/>
        <w:numPr>
          <w:ilvl w:val="0"/>
          <w:numId w:val="102"/>
        </w:numPr>
        <w:tabs>
          <w:tab w:pos="540" w:val="left" w:leader="none"/>
          <w:tab w:pos="541" w:val="left" w:leader="none"/>
        </w:tabs>
        <w:spacing w:line="331" w:lineRule="auto" w:before="25" w:after="0"/>
        <w:ind w:left="540" w:right="316" w:hanging="420"/>
        <w:jc w:val="left"/>
        <w:rPr>
          <w:sz w:val="21"/>
        </w:rPr>
      </w:pPr>
      <w:r>
        <w:rPr>
          <w:rFonts w:ascii="微软雅黑" w:eastAsia="微软雅黑"/>
          <w:b/>
          <w:spacing w:val="4"/>
          <w:sz w:val="21"/>
        </w:rPr>
        <w:t>意外伤害 </w:t>
      </w:r>
      <w:r>
        <w:rPr>
          <w:sz w:val="21"/>
        </w:rPr>
        <w:t>指外来的、突然的、非本意的、非疾病的使被保险人身体受到伤害的客观事</w:t>
      </w:r>
      <w:r>
        <w:rPr>
          <w:spacing w:val="-6"/>
          <w:sz w:val="21"/>
        </w:rPr>
        <w:t>件。</w:t>
      </w:r>
    </w:p>
    <w:p>
      <w:pPr>
        <w:pStyle w:val="Heading2"/>
        <w:spacing w:before="30"/>
        <w:ind w:left="540"/>
        <w:jc w:val="both"/>
      </w:pPr>
      <w:r>
        <w:rPr>
          <w:spacing w:val="4"/>
        </w:rPr>
        <w:t>本</w:t>
      </w:r>
      <w:r>
        <w:rPr>
          <w:position w:val="-2"/>
        </w:rPr>
        <w:drawing>
          <wp:inline distT="0" distB="0" distL="0" distR="0">
            <wp:extent cx="123824" cy="127000"/>
            <wp:effectExtent l="0" t="0" r="0" b="0"/>
            <wp:docPr id="153" name="image2.png"/>
            <wp:cNvGraphicFramePr>
              <a:graphicFrameLocks noChangeAspect="1"/>
            </wp:cNvGraphicFramePr>
            <a:graphic>
              <a:graphicData uri="http://schemas.openxmlformats.org/drawingml/2006/picture">
                <pic:pic>
                  <pic:nvPicPr>
                    <pic:cNvPr id="154" name="image2.png"/>
                    <pic:cNvPicPr/>
                  </pic:nvPicPr>
                  <pic:blipFill>
                    <a:blip r:embed="rId7" cstate="print"/>
                    <a:stretch>
                      <a:fillRect/>
                    </a:stretch>
                  </pic:blipFill>
                  <pic:spPr>
                    <a:xfrm>
                      <a:off x="0" y="0"/>
                      <a:ext cx="123824" cy="127000"/>
                    </a:xfrm>
                    <a:prstGeom prst="rect">
                      <a:avLst/>
                    </a:prstGeom>
                  </pic:spPr>
                </pic:pic>
              </a:graphicData>
            </a:graphic>
          </wp:inline>
        </w:drawing>
      </w:r>
      <w:r>
        <w:rPr>
          <w:position w:val="-2"/>
        </w:rPr>
      </w:r>
      <w:r>
        <w:rPr/>
        <w:t>同约定的意外伤害不</w:t>
      </w:r>
      <w:r>
        <w:rPr/>
        <w:t>包括猝死</w:t>
      </w:r>
      <w:r>
        <w:rPr>
          <w:spacing w:val="-10"/>
        </w:rPr>
        <w:t>。</w:t>
      </w:r>
    </w:p>
    <w:p>
      <w:pPr>
        <w:pStyle w:val="BodyText"/>
        <w:spacing w:line="417" w:lineRule="auto" w:before="148"/>
        <w:ind w:left="540" w:right="311"/>
        <w:jc w:val="both"/>
      </w:pPr>
      <w:r>
        <w:rPr>
          <w:spacing w:val="-3"/>
        </w:rPr>
        <w:t>猝死是指貌似健康的人因潜在疾病、机能障碍或其他自身内在病理原因在出现症状后 </w:t>
      </w:r>
      <w:r>
        <w:rPr>
          <w:rFonts w:ascii="Calibri" w:eastAsia="Calibri"/>
          <w:spacing w:val="-2"/>
        </w:rPr>
        <w:t>6</w:t>
      </w:r>
      <w:r>
        <w:rPr>
          <w:spacing w:val="-4"/>
        </w:rPr>
        <w:t>小时内发生的非外力性突然死亡，或者未出现症状即刻死亡，没有任何与死亡直接相关</w:t>
      </w:r>
      <w:r>
        <w:rPr>
          <w:spacing w:val="-20"/>
        </w:rPr>
        <w:t>的身体内外部损伤证据。猝死的认定，如有司法机关的法律文件、医疗机构的诊断书等，</w:t>
      </w:r>
      <w:r>
        <w:rPr>
          <w:spacing w:val="-2"/>
        </w:rPr>
        <w:t>则以上述法律文件、诊断书等为准。</w:t>
      </w:r>
    </w:p>
    <w:p>
      <w:pPr>
        <w:pStyle w:val="ListParagraph"/>
        <w:numPr>
          <w:ilvl w:val="0"/>
          <w:numId w:val="102"/>
        </w:numPr>
        <w:tabs>
          <w:tab w:pos="541" w:val="left" w:leader="none"/>
        </w:tabs>
        <w:spacing w:line="320" w:lineRule="exact" w:before="0" w:after="0"/>
        <w:ind w:left="540" w:right="0" w:hanging="421"/>
        <w:jc w:val="both"/>
        <w:rPr>
          <w:sz w:val="21"/>
        </w:rPr>
      </w:pPr>
      <w:r>
        <w:rPr/>
        <w:drawing>
          <wp:anchor distT="0" distB="0" distL="0" distR="0" allowOverlap="1" layoutInCell="1" locked="0" behindDoc="1" simplePos="0" relativeHeight="486300160">
            <wp:simplePos x="0" y="0"/>
            <wp:positionH relativeFrom="page">
              <wp:posOffset>4021161</wp:posOffset>
            </wp:positionH>
            <wp:positionV relativeFrom="paragraph">
              <wp:posOffset>22177</wp:posOffset>
            </wp:positionV>
            <wp:extent cx="123825" cy="127000"/>
            <wp:effectExtent l="0" t="0" r="0" b="0"/>
            <wp:wrapNone/>
            <wp:docPr id="155" name="image2.png"/>
            <wp:cNvGraphicFramePr>
              <a:graphicFrameLocks noChangeAspect="1"/>
            </wp:cNvGraphicFramePr>
            <a:graphic>
              <a:graphicData uri="http://schemas.openxmlformats.org/drawingml/2006/picture">
                <pic:pic>
                  <pic:nvPicPr>
                    <pic:cNvPr id="156" name="image2.png"/>
                    <pic:cNvPicPr/>
                  </pic:nvPicPr>
                  <pic:blipFill>
                    <a:blip r:embed="rId7" cstate="print"/>
                    <a:stretch>
                      <a:fillRect/>
                    </a:stretch>
                  </pic:blipFill>
                  <pic:spPr>
                    <a:xfrm>
                      <a:off x="0" y="0"/>
                      <a:ext cx="123825" cy="127000"/>
                    </a:xfrm>
                    <a:prstGeom prst="rect">
                      <a:avLst/>
                    </a:prstGeom>
                  </pic:spPr>
                </pic:pic>
              </a:graphicData>
            </a:graphic>
          </wp:anchor>
        </w:drawing>
      </w:r>
      <w:r>
        <w:rPr>
          <w:rFonts w:ascii="微软雅黑" w:hAnsi="微软雅黑" w:eastAsia="微软雅黑"/>
          <w:b/>
          <w:spacing w:val="1"/>
          <w:sz w:val="21"/>
        </w:rPr>
        <w:t>首次发生 </w:t>
      </w:r>
      <w:r>
        <w:rPr>
          <w:sz w:val="21"/>
        </w:rPr>
        <w:t>指被保险人自出生后第一次发生本</w:t>
      </w:r>
      <w:r>
        <w:rPr>
          <w:spacing w:val="-2"/>
          <w:sz w:val="21"/>
        </w:rPr>
        <w:t>同所定义的疾病。</w:t>
      </w:r>
    </w:p>
    <w:p>
      <w:pPr>
        <w:pStyle w:val="ListParagraph"/>
        <w:numPr>
          <w:ilvl w:val="0"/>
          <w:numId w:val="102"/>
        </w:numPr>
        <w:tabs>
          <w:tab w:pos="540" w:val="left" w:leader="none"/>
          <w:tab w:pos="541" w:val="left" w:leader="none"/>
        </w:tabs>
        <w:spacing w:line="240" w:lineRule="auto" w:before="81" w:after="0"/>
        <w:ind w:left="540" w:right="0" w:hanging="420"/>
        <w:jc w:val="left"/>
        <w:rPr>
          <w:sz w:val="21"/>
        </w:rPr>
      </w:pPr>
      <w:r>
        <w:rPr>
          <w:rFonts w:ascii="微软雅黑" w:eastAsia="微软雅黑"/>
          <w:b/>
          <w:spacing w:val="12"/>
          <w:sz w:val="21"/>
        </w:rPr>
        <w:t>认可医院 </w:t>
      </w:r>
      <w:r>
        <w:rPr>
          <w:spacing w:val="-3"/>
          <w:sz w:val="21"/>
        </w:rPr>
        <w:t>指卫生行政部门认定的二级及以上非盈利性医院、二级及以上社保定点医院</w:t>
      </w:r>
    </w:p>
    <w:p>
      <w:pPr>
        <w:pStyle w:val="BodyText"/>
        <w:spacing w:line="417" w:lineRule="auto" w:before="148"/>
        <w:ind w:left="540" w:right="311"/>
      </w:pPr>
      <w:r>
        <w:rPr>
          <w:spacing w:val="-4"/>
        </w:rPr>
        <w:t>或我们认可的其他医院。但不包括主要作为康复、护理、疗养、戒毒、戒酒或者相类似</w:t>
      </w:r>
      <w:r>
        <w:rPr>
          <w:spacing w:val="-2"/>
        </w:rPr>
        <w:t>的医疗机构。</w:t>
      </w:r>
    </w:p>
    <w:p>
      <w:pPr>
        <w:pStyle w:val="ListParagraph"/>
        <w:numPr>
          <w:ilvl w:val="0"/>
          <w:numId w:val="102"/>
        </w:numPr>
        <w:tabs>
          <w:tab w:pos="540" w:val="left" w:leader="none"/>
          <w:tab w:pos="541" w:val="left" w:leader="none"/>
        </w:tabs>
        <w:spacing w:line="320" w:lineRule="exact" w:before="0" w:after="0"/>
        <w:ind w:left="540" w:right="0" w:hanging="421"/>
        <w:jc w:val="left"/>
        <w:rPr>
          <w:sz w:val="21"/>
        </w:rPr>
      </w:pPr>
      <w:r>
        <w:rPr>
          <w:rFonts w:ascii="微软雅黑" w:eastAsia="微软雅黑"/>
          <w:b/>
          <w:spacing w:val="2"/>
          <w:sz w:val="21"/>
        </w:rPr>
        <w:t>专科医生 </w:t>
      </w:r>
      <w:r>
        <w:rPr>
          <w:spacing w:val="-1"/>
          <w:sz w:val="21"/>
        </w:rPr>
        <w:t>专科医生应当同时满足以下四项资格条件：</w:t>
      </w:r>
    </w:p>
    <w:p>
      <w:pPr>
        <w:pStyle w:val="ListParagraph"/>
        <w:numPr>
          <w:ilvl w:val="1"/>
          <w:numId w:val="102"/>
        </w:numPr>
        <w:tabs>
          <w:tab w:pos="1162" w:val="left" w:leader="none"/>
        </w:tabs>
        <w:spacing w:line="240" w:lineRule="auto" w:before="148" w:after="0"/>
        <w:ind w:left="1162" w:right="0" w:hanging="624"/>
        <w:jc w:val="left"/>
        <w:rPr>
          <w:sz w:val="21"/>
        </w:rPr>
      </w:pPr>
      <w:r>
        <w:rPr>
          <w:spacing w:val="-9"/>
          <w:sz w:val="21"/>
        </w:rPr>
        <w:t>具有有效的中华人民共和国《医师资格证书》；</w:t>
      </w:r>
    </w:p>
    <w:p>
      <w:pPr>
        <w:pStyle w:val="BodyText"/>
        <w:spacing w:before="7"/>
        <w:rPr>
          <w:sz w:val="15"/>
        </w:rPr>
      </w:pPr>
    </w:p>
    <w:p>
      <w:pPr>
        <w:pStyle w:val="ListParagraph"/>
        <w:numPr>
          <w:ilvl w:val="1"/>
          <w:numId w:val="102"/>
        </w:numPr>
        <w:tabs>
          <w:tab w:pos="1162" w:val="left" w:leader="none"/>
        </w:tabs>
        <w:spacing w:line="240" w:lineRule="auto" w:before="0" w:after="0"/>
        <w:ind w:left="1162" w:right="0" w:hanging="624"/>
        <w:jc w:val="left"/>
        <w:rPr>
          <w:sz w:val="21"/>
        </w:rPr>
      </w:pPr>
      <w:r>
        <w:rPr>
          <w:spacing w:val="-9"/>
          <w:sz w:val="21"/>
        </w:rPr>
        <w:t>具有有效的中华人民共和国《医师执业证书》，并按期到相关部门登记注册；</w:t>
      </w:r>
    </w:p>
    <w:p>
      <w:pPr>
        <w:pStyle w:val="BodyText"/>
        <w:spacing w:before="7"/>
        <w:rPr>
          <w:sz w:val="15"/>
        </w:rPr>
      </w:pPr>
    </w:p>
    <w:p>
      <w:pPr>
        <w:pStyle w:val="ListParagraph"/>
        <w:numPr>
          <w:ilvl w:val="1"/>
          <w:numId w:val="102"/>
        </w:numPr>
        <w:tabs>
          <w:tab w:pos="1162" w:val="left" w:leader="none"/>
        </w:tabs>
        <w:spacing w:line="240" w:lineRule="auto" w:before="0" w:after="0"/>
        <w:ind w:left="1162" w:right="0" w:hanging="624"/>
        <w:jc w:val="left"/>
        <w:rPr>
          <w:sz w:val="21"/>
        </w:rPr>
      </w:pPr>
      <w:r>
        <w:rPr>
          <w:spacing w:val="-7"/>
          <w:sz w:val="21"/>
        </w:rPr>
        <w:t>具有有效的中华人民共和国主治医师或主治医师以上职称的《医师职称证书》；</w:t>
      </w:r>
    </w:p>
    <w:p>
      <w:pPr>
        <w:pStyle w:val="BodyText"/>
        <w:spacing w:before="7"/>
        <w:rPr>
          <w:sz w:val="15"/>
        </w:rPr>
      </w:pPr>
    </w:p>
    <w:p>
      <w:pPr>
        <w:pStyle w:val="ListParagraph"/>
        <w:numPr>
          <w:ilvl w:val="1"/>
          <w:numId w:val="102"/>
        </w:numPr>
        <w:tabs>
          <w:tab w:pos="1162" w:val="left" w:leader="none"/>
        </w:tabs>
        <w:spacing w:line="417" w:lineRule="auto" w:before="0" w:after="0"/>
        <w:ind w:left="1161" w:right="311" w:hanging="624"/>
        <w:jc w:val="left"/>
        <w:rPr>
          <w:sz w:val="21"/>
        </w:rPr>
      </w:pPr>
      <w:r>
        <w:rPr>
          <w:spacing w:val="-4"/>
          <w:sz w:val="21"/>
        </w:rPr>
        <w:t>在国家《医院分级管理标准》二级或二级以上医院的相应科室从事临床工作三年</w:t>
      </w:r>
      <w:r>
        <w:rPr>
          <w:spacing w:val="-4"/>
          <w:sz w:val="21"/>
        </w:rPr>
        <w:t>以上。</w:t>
      </w:r>
    </w:p>
    <w:p>
      <w:pPr>
        <w:pStyle w:val="ListParagraph"/>
        <w:numPr>
          <w:ilvl w:val="0"/>
          <w:numId w:val="102"/>
        </w:numPr>
        <w:tabs>
          <w:tab w:pos="540" w:val="left" w:leader="none"/>
          <w:tab w:pos="541" w:val="left" w:leader="none"/>
        </w:tabs>
        <w:spacing w:line="320" w:lineRule="exact" w:before="0" w:after="0"/>
        <w:ind w:left="540" w:right="0" w:hanging="421"/>
        <w:jc w:val="left"/>
        <w:rPr>
          <w:sz w:val="21"/>
        </w:rPr>
      </w:pPr>
      <w:r>
        <w:rPr/>
        <w:drawing>
          <wp:anchor distT="0" distB="0" distL="0" distR="0" allowOverlap="1" layoutInCell="1" locked="0" behindDoc="1" simplePos="0" relativeHeight="486300672">
            <wp:simplePos x="0" y="0"/>
            <wp:positionH relativeFrom="page">
              <wp:posOffset>3757695</wp:posOffset>
            </wp:positionH>
            <wp:positionV relativeFrom="paragraph">
              <wp:posOffset>22010</wp:posOffset>
            </wp:positionV>
            <wp:extent cx="123825" cy="127000"/>
            <wp:effectExtent l="0" t="0" r="0" b="0"/>
            <wp:wrapNone/>
            <wp:docPr id="157" name="image2.png"/>
            <wp:cNvGraphicFramePr>
              <a:graphicFrameLocks noChangeAspect="1"/>
            </wp:cNvGraphicFramePr>
            <a:graphic>
              <a:graphicData uri="http://schemas.openxmlformats.org/drawingml/2006/picture">
                <pic:pic>
                  <pic:nvPicPr>
                    <pic:cNvPr id="158" name="image2.png"/>
                    <pic:cNvPicPr/>
                  </pic:nvPicPr>
                  <pic:blipFill>
                    <a:blip r:embed="rId7" cstate="print"/>
                    <a:stretch>
                      <a:fillRect/>
                    </a:stretch>
                  </pic:blipFill>
                  <pic:spPr>
                    <a:xfrm>
                      <a:off x="0" y="0"/>
                      <a:ext cx="123825" cy="127000"/>
                    </a:xfrm>
                    <a:prstGeom prst="rect">
                      <a:avLst/>
                    </a:prstGeom>
                  </pic:spPr>
                </pic:pic>
              </a:graphicData>
            </a:graphic>
          </wp:anchor>
        </w:drawing>
      </w:r>
      <w:r>
        <w:rPr>
          <w:rFonts w:ascii="微软雅黑" w:hAnsi="微软雅黑" w:eastAsia="微软雅黑"/>
          <w:b/>
          <w:spacing w:val="8"/>
          <w:sz w:val="21"/>
        </w:rPr>
        <w:t>本</w:t>
      </w:r>
      <w:r>
        <w:rPr>
          <w:rFonts w:ascii="微软雅黑" w:hAnsi="微软雅黑" w:eastAsia="微软雅黑"/>
          <w:b/>
          <w:position w:val="-1"/>
          <w:sz w:val="21"/>
        </w:rPr>
        <w:drawing>
          <wp:inline distT="0" distB="0" distL="0" distR="0">
            <wp:extent cx="123824" cy="127000"/>
            <wp:effectExtent l="0" t="0" r="0" b="0"/>
            <wp:docPr id="159" name="image2.png"/>
            <wp:cNvGraphicFramePr>
              <a:graphicFrameLocks noChangeAspect="1"/>
            </wp:cNvGraphicFramePr>
            <a:graphic>
              <a:graphicData uri="http://schemas.openxmlformats.org/drawingml/2006/picture">
                <pic:pic>
                  <pic:nvPicPr>
                    <pic:cNvPr id="160" name="image2.png"/>
                    <pic:cNvPicPr/>
                  </pic:nvPicPr>
                  <pic:blipFill>
                    <a:blip r:embed="rId7" cstate="print"/>
                    <a:stretch>
                      <a:fillRect/>
                    </a:stretch>
                  </pic:blipFill>
                  <pic:spPr>
                    <a:xfrm>
                      <a:off x="0" y="0"/>
                      <a:ext cx="123824" cy="127000"/>
                    </a:xfrm>
                    <a:prstGeom prst="rect">
                      <a:avLst/>
                    </a:prstGeom>
                  </pic:spPr>
                </pic:pic>
              </a:graphicData>
            </a:graphic>
          </wp:inline>
        </w:drawing>
      </w:r>
      <w:r>
        <w:rPr>
          <w:rFonts w:ascii="微软雅黑" w:hAnsi="微软雅黑" w:eastAsia="微软雅黑"/>
          <w:b/>
          <w:position w:val="-1"/>
          <w:sz w:val="21"/>
        </w:rPr>
      </w:r>
      <w:r>
        <w:rPr>
          <w:rFonts w:ascii="微软雅黑" w:hAnsi="微软雅黑" w:eastAsia="微软雅黑"/>
          <w:b/>
          <w:sz w:val="21"/>
        </w:rPr>
        <w:t>同累计所交保险费</w:t>
      </w:r>
      <w:r>
        <w:rPr>
          <w:rFonts w:ascii="微软雅黑" w:hAnsi="微软雅黑" w:eastAsia="微软雅黑"/>
          <w:b/>
          <w:spacing w:val="7"/>
          <w:sz w:val="21"/>
        </w:rPr>
        <w:t> </w:t>
      </w:r>
      <w:r>
        <w:rPr>
          <w:sz w:val="21"/>
        </w:rPr>
        <w:t>指</w:t>
      </w:r>
      <w:r>
        <w:rPr>
          <w:sz w:val="21"/>
        </w:rPr>
        <w:t>投保人依据本同已经向</w:t>
      </w:r>
      <w:r>
        <w:rPr>
          <w:sz w:val="21"/>
        </w:rPr>
        <w:t>本公司交纳的保险费。如</w:t>
      </w:r>
      <w:r>
        <w:rPr>
          <w:spacing w:val="8"/>
          <w:sz w:val="21"/>
        </w:rPr>
        <w:t>本</w:t>
      </w:r>
      <w:r>
        <w:rPr>
          <w:position w:val="-1"/>
          <w:sz w:val="21"/>
        </w:rPr>
        <w:drawing>
          <wp:inline distT="0" distB="0" distL="0" distR="0">
            <wp:extent cx="123825" cy="127000"/>
            <wp:effectExtent l="0" t="0" r="0" b="0"/>
            <wp:docPr id="161" name="image2.png"/>
            <wp:cNvGraphicFramePr>
              <a:graphicFrameLocks noChangeAspect="1"/>
            </wp:cNvGraphicFramePr>
            <a:graphic>
              <a:graphicData uri="http://schemas.openxmlformats.org/drawingml/2006/picture">
                <pic:pic>
                  <pic:nvPicPr>
                    <pic:cNvPr id="162"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sz w:val="21"/>
        </w:rPr>
      </w:r>
      <w:r>
        <w:rPr>
          <w:sz w:val="21"/>
        </w:rPr>
        <w:t>同</w:t>
      </w:r>
      <w:r>
        <w:rPr>
          <w:spacing w:val="-10"/>
          <w:sz w:val="21"/>
        </w:rPr>
        <w:t>发</w:t>
      </w:r>
    </w:p>
    <w:p>
      <w:pPr>
        <w:pStyle w:val="BodyText"/>
        <w:spacing w:line="417" w:lineRule="auto" w:before="148"/>
        <w:ind w:left="540" w:right="311"/>
      </w:pPr>
      <w:r>
        <w:rPr>
          <w:spacing w:val="-2"/>
        </w:rPr>
        <w:t>生</w:t>
      </w:r>
      <w:r>
        <w:rPr>
          <w:spacing w:val="-2"/>
        </w:rPr>
        <w:t>过</w:t>
      </w:r>
      <w:r>
        <w:rPr>
          <w:spacing w:val="-2"/>
        </w:rPr>
        <w:t>基本保险金额变更情形</w:t>
      </w:r>
      <w:r>
        <w:rPr>
          <w:spacing w:val="-97"/>
        </w:rPr>
        <w:t>，</w:t>
      </w:r>
      <w:r>
        <w:rPr>
          <w:spacing w:val="-2"/>
        </w:rPr>
        <w:t>则本</w:t>
      </w:r>
      <w:r>
        <w:rPr>
          <w:position w:val="-1"/>
        </w:rPr>
        <w:drawing>
          <wp:inline distT="0" distB="0" distL="0" distR="0">
            <wp:extent cx="123825" cy="127000"/>
            <wp:effectExtent l="0" t="0" r="0" b="0"/>
            <wp:docPr id="163" name="image2.png"/>
            <wp:cNvGraphicFramePr>
              <a:graphicFrameLocks noChangeAspect="1"/>
            </wp:cNvGraphicFramePr>
            <a:graphic>
              <a:graphicData uri="http://schemas.openxmlformats.org/drawingml/2006/picture">
                <pic:pic>
                  <pic:nvPicPr>
                    <pic:cNvPr id="164"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1"/>
        </w:rPr>
      </w:r>
      <w:r>
        <w:rPr>
          <w:spacing w:val="-2"/>
        </w:rPr>
        <w:t>同累计所交保险</w:t>
      </w:r>
      <w:r>
        <w:rPr>
          <w:spacing w:val="-2"/>
        </w:rPr>
        <w:t>费</w:t>
      </w:r>
      <w:r>
        <w:rPr>
          <w:spacing w:val="-2"/>
        </w:rPr>
        <w:t>为</w:t>
      </w:r>
      <w:r>
        <w:rPr>
          <w:spacing w:val="-2"/>
        </w:rPr>
        <w:t>基本保险金额变更后</w:t>
      </w:r>
      <w:r>
        <w:rPr>
          <w:spacing w:val="-2"/>
        </w:rPr>
        <w:t>所</w:t>
      </w:r>
      <w:r>
        <w:rPr>
          <w:spacing w:val="-2"/>
        </w:rPr>
        <w:t>对</w:t>
      </w:r>
      <w:r>
        <w:rPr>
          <w:spacing w:val="-2"/>
        </w:rPr>
        <w:t>应</w:t>
      </w:r>
      <w:r>
        <w:rPr>
          <w:spacing w:val="-2"/>
        </w:rPr>
        <w:t>的</w:t>
      </w:r>
      <w:r>
        <w:rPr>
          <w:spacing w:val="-4"/>
        </w:rPr>
        <w:t>保险费。</w:t>
      </w:r>
    </w:p>
    <w:p>
      <w:pPr>
        <w:pStyle w:val="ListParagraph"/>
        <w:numPr>
          <w:ilvl w:val="0"/>
          <w:numId w:val="102"/>
        </w:numPr>
        <w:tabs>
          <w:tab w:pos="541" w:val="left" w:leader="none"/>
        </w:tabs>
        <w:spacing w:line="320" w:lineRule="exact" w:before="0" w:after="0"/>
        <w:ind w:left="540" w:right="0" w:hanging="421"/>
        <w:jc w:val="left"/>
        <w:rPr>
          <w:sz w:val="21"/>
        </w:rPr>
      </w:pPr>
      <w:r>
        <w:rPr>
          <w:rFonts w:ascii="微软雅黑" w:eastAsia="微软雅黑"/>
          <w:b/>
          <w:sz w:val="21"/>
        </w:rPr>
        <w:t>现金价值</w:t>
      </w:r>
      <w:r>
        <w:rPr>
          <w:rFonts w:ascii="微软雅黑" w:eastAsia="微软雅黑"/>
          <w:b/>
          <w:spacing w:val="13"/>
          <w:sz w:val="21"/>
        </w:rPr>
        <w:t> </w:t>
      </w:r>
      <w:r>
        <w:rPr>
          <w:sz w:val="21"/>
        </w:rPr>
        <w:t>指保单所具有的</w:t>
      </w:r>
      <w:r>
        <w:rPr>
          <w:sz w:val="21"/>
        </w:rPr>
        <w:t>价值，</w:t>
      </w:r>
      <w:r>
        <w:rPr>
          <w:sz w:val="21"/>
        </w:rPr>
        <w:t>通常体现为解除</w:t>
      </w:r>
      <w:r>
        <w:rPr>
          <w:position w:val="-2"/>
          <w:sz w:val="21"/>
        </w:rPr>
        <w:drawing>
          <wp:inline distT="0" distB="0" distL="0" distR="0">
            <wp:extent cx="123825" cy="127000"/>
            <wp:effectExtent l="0" t="0" r="0" b="0"/>
            <wp:docPr id="165" name="image2.png"/>
            <wp:cNvGraphicFramePr>
              <a:graphicFrameLocks noChangeAspect="1"/>
            </wp:cNvGraphicFramePr>
            <a:graphic>
              <a:graphicData uri="http://schemas.openxmlformats.org/drawingml/2006/picture">
                <pic:pic>
                  <pic:nvPicPr>
                    <pic:cNvPr id="166" name="image2.png"/>
                    <pic:cNvPicPr/>
                  </pic:nvPicPr>
                  <pic:blipFill>
                    <a:blip r:embed="rId7" cstate="print"/>
                    <a:stretch>
                      <a:fillRect/>
                    </a:stretch>
                  </pic:blipFill>
                  <pic:spPr>
                    <a:xfrm>
                      <a:off x="0" y="0"/>
                      <a:ext cx="123825" cy="127000"/>
                    </a:xfrm>
                    <a:prstGeom prst="rect">
                      <a:avLst/>
                    </a:prstGeom>
                  </pic:spPr>
                </pic:pic>
              </a:graphicData>
            </a:graphic>
          </wp:inline>
        </w:drawing>
      </w:r>
      <w:r>
        <w:rPr>
          <w:position w:val="-2"/>
          <w:sz w:val="21"/>
        </w:rPr>
      </w:r>
      <w:r>
        <w:rPr>
          <w:sz w:val="21"/>
        </w:rPr>
        <w:t>同时，</w:t>
      </w:r>
      <w:r>
        <w:rPr>
          <w:sz w:val="21"/>
        </w:rPr>
        <w:t>根据精算原理计算</w:t>
      </w:r>
      <w:r>
        <w:rPr>
          <w:sz w:val="21"/>
        </w:rPr>
        <w:t>的，由</w:t>
      </w:r>
      <w:r>
        <w:rPr>
          <w:spacing w:val="-10"/>
          <w:sz w:val="21"/>
        </w:rPr>
        <w:t>我</w:t>
      </w:r>
    </w:p>
    <w:p>
      <w:pPr>
        <w:pStyle w:val="BodyText"/>
        <w:spacing w:before="148"/>
        <w:ind w:left="540"/>
      </w:pPr>
      <w:r>
        <w:rPr>
          <w:spacing w:val="-3"/>
        </w:rPr>
        <w:t>们退还的那部分金额。</w:t>
      </w:r>
    </w:p>
    <w:p>
      <w:pPr>
        <w:pStyle w:val="ListParagraph"/>
        <w:numPr>
          <w:ilvl w:val="0"/>
          <w:numId w:val="102"/>
        </w:numPr>
        <w:tabs>
          <w:tab w:pos="541" w:val="left" w:leader="none"/>
        </w:tabs>
        <w:spacing w:line="240" w:lineRule="auto" w:before="132" w:after="0"/>
        <w:ind w:left="540" w:right="0" w:hanging="421"/>
        <w:jc w:val="left"/>
        <w:rPr>
          <w:sz w:val="21"/>
        </w:rPr>
      </w:pPr>
      <w:r>
        <w:rPr>
          <w:rFonts w:ascii="微软雅黑" w:eastAsia="微软雅黑"/>
          <w:b/>
          <w:spacing w:val="6"/>
          <w:sz w:val="21"/>
        </w:rPr>
        <w:t>全残 </w:t>
      </w:r>
      <w:r>
        <w:rPr>
          <w:spacing w:val="-1"/>
          <w:sz w:val="21"/>
        </w:rPr>
        <w:t>指具有下列情况之一项或多项者：</w:t>
      </w:r>
    </w:p>
    <w:p>
      <w:pPr>
        <w:pStyle w:val="ListParagraph"/>
        <w:numPr>
          <w:ilvl w:val="0"/>
          <w:numId w:val="103"/>
        </w:numPr>
        <w:tabs>
          <w:tab w:pos="961" w:val="left" w:leader="none"/>
        </w:tabs>
        <w:spacing w:line="240" w:lineRule="auto" w:before="149" w:after="0"/>
        <w:ind w:left="960" w:right="0" w:hanging="558"/>
        <w:jc w:val="left"/>
        <w:rPr>
          <w:sz w:val="21"/>
        </w:rPr>
      </w:pPr>
      <w:r>
        <w:rPr>
          <w:spacing w:val="-2"/>
          <w:sz w:val="21"/>
        </w:rPr>
        <w:t>双目永久完全失明的（</w:t>
      </w:r>
      <w:r>
        <w:rPr>
          <w:spacing w:val="-26"/>
          <w:sz w:val="21"/>
        </w:rPr>
        <w:t>注 </w:t>
      </w:r>
      <w:r>
        <w:rPr>
          <w:rFonts w:ascii="Calibri" w:eastAsia="Calibri"/>
          <w:spacing w:val="-5"/>
          <w:sz w:val="21"/>
        </w:rPr>
        <w:t>1</w:t>
      </w:r>
      <w:r>
        <w:rPr>
          <w:spacing w:val="-111"/>
          <w:sz w:val="21"/>
        </w:rPr>
        <w:t>）；</w:t>
      </w:r>
    </w:p>
    <w:p>
      <w:pPr>
        <w:pStyle w:val="BodyText"/>
        <w:spacing w:before="6"/>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2"/>
          <w:sz w:val="21"/>
        </w:rPr>
        <w:t>两上肢腕关节以上（远端）或两下肢踝关节以上（远端）</w:t>
      </w:r>
      <w:r>
        <w:rPr>
          <w:spacing w:val="-4"/>
          <w:sz w:val="21"/>
        </w:rPr>
        <w:t>缺失的；</w:t>
      </w:r>
    </w:p>
    <w:p>
      <w:pPr>
        <w:pStyle w:val="BodyText"/>
        <w:spacing w:before="7"/>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2"/>
          <w:sz w:val="21"/>
        </w:rPr>
        <w:t>一上肢腕关节以上（远端）及一下肢踝关节以上（远端）</w:t>
      </w:r>
      <w:r>
        <w:rPr>
          <w:spacing w:val="-4"/>
          <w:sz w:val="21"/>
        </w:rPr>
        <w:t>缺失的；</w:t>
      </w:r>
    </w:p>
    <w:p>
      <w:pPr>
        <w:pStyle w:val="BodyText"/>
        <w:spacing w:before="7"/>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2"/>
          <w:sz w:val="21"/>
        </w:rPr>
        <w:t>一目永久完全失明及一上肢腕关节以上（远端）</w:t>
      </w:r>
      <w:r>
        <w:rPr>
          <w:spacing w:val="-4"/>
          <w:sz w:val="21"/>
        </w:rPr>
        <w:t>缺失的；</w:t>
      </w:r>
    </w:p>
    <w:p>
      <w:pPr>
        <w:pStyle w:val="BodyText"/>
        <w:spacing w:before="6"/>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2"/>
          <w:sz w:val="21"/>
        </w:rPr>
        <w:t>一目永久完全失明及一下肢踝关节以上（远端）</w:t>
      </w:r>
      <w:r>
        <w:rPr>
          <w:spacing w:val="-4"/>
          <w:sz w:val="21"/>
        </w:rPr>
        <w:t>缺失的；</w:t>
      </w:r>
    </w:p>
    <w:p>
      <w:pPr>
        <w:spacing w:after="0" w:line="240" w:lineRule="auto"/>
        <w:jc w:val="left"/>
        <w:rPr>
          <w:sz w:val="21"/>
        </w:rPr>
        <w:sectPr>
          <w:pgSz w:w="11910" w:h="16840"/>
          <w:pgMar w:header="0" w:footer="1005" w:top="1460" w:bottom="1200" w:left="1680" w:right="1480"/>
        </w:sectPr>
      </w:pPr>
    </w:p>
    <w:p>
      <w:pPr>
        <w:pStyle w:val="ListParagraph"/>
        <w:numPr>
          <w:ilvl w:val="0"/>
          <w:numId w:val="103"/>
        </w:numPr>
        <w:tabs>
          <w:tab w:pos="961" w:val="left" w:leader="none"/>
        </w:tabs>
        <w:spacing w:line="240" w:lineRule="auto" w:before="61" w:after="0"/>
        <w:ind w:left="960" w:right="0" w:hanging="558"/>
        <w:jc w:val="left"/>
        <w:rPr>
          <w:sz w:val="21"/>
        </w:rPr>
      </w:pPr>
      <w:r>
        <w:rPr>
          <w:spacing w:val="-2"/>
          <w:sz w:val="21"/>
        </w:rPr>
        <w:t>四肢关节机能永久完全丧失的（</w:t>
      </w:r>
      <w:r>
        <w:rPr>
          <w:spacing w:val="-26"/>
          <w:sz w:val="21"/>
        </w:rPr>
        <w:t>注 </w:t>
      </w:r>
      <w:r>
        <w:rPr>
          <w:rFonts w:ascii="Calibri" w:eastAsia="Calibri"/>
          <w:spacing w:val="-2"/>
          <w:sz w:val="21"/>
        </w:rPr>
        <w:t>2</w:t>
      </w:r>
      <w:r>
        <w:rPr>
          <w:spacing w:val="-18"/>
          <w:sz w:val="21"/>
        </w:rPr>
        <w:t>、注 </w:t>
      </w:r>
      <w:r>
        <w:rPr>
          <w:rFonts w:ascii="Calibri" w:eastAsia="Calibri"/>
          <w:spacing w:val="-5"/>
          <w:sz w:val="21"/>
        </w:rPr>
        <w:t>5</w:t>
      </w:r>
      <w:r>
        <w:rPr>
          <w:spacing w:val="-111"/>
          <w:sz w:val="21"/>
        </w:rPr>
        <w:t>）；</w:t>
      </w:r>
    </w:p>
    <w:p>
      <w:pPr>
        <w:pStyle w:val="BodyText"/>
        <w:spacing w:before="7"/>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2"/>
          <w:sz w:val="21"/>
        </w:rPr>
        <w:t>咀嚼、吞咽机能永久完全丧失的（</w:t>
      </w:r>
      <w:r>
        <w:rPr>
          <w:spacing w:val="-25"/>
          <w:sz w:val="21"/>
        </w:rPr>
        <w:t>注 </w:t>
      </w:r>
      <w:r>
        <w:rPr>
          <w:rFonts w:ascii="Calibri" w:eastAsia="Calibri"/>
          <w:spacing w:val="-2"/>
          <w:sz w:val="21"/>
        </w:rPr>
        <w:t>3</w:t>
      </w:r>
      <w:r>
        <w:rPr>
          <w:spacing w:val="-18"/>
          <w:sz w:val="21"/>
        </w:rPr>
        <w:t>、注 </w:t>
      </w:r>
      <w:r>
        <w:rPr>
          <w:rFonts w:ascii="Calibri" w:eastAsia="Calibri"/>
          <w:spacing w:val="-5"/>
          <w:sz w:val="21"/>
        </w:rPr>
        <w:t>5</w:t>
      </w:r>
      <w:r>
        <w:rPr>
          <w:spacing w:val="-113"/>
          <w:sz w:val="21"/>
        </w:rPr>
        <w:t>）；</w:t>
      </w:r>
    </w:p>
    <w:p>
      <w:pPr>
        <w:pStyle w:val="BodyText"/>
        <w:spacing w:before="7"/>
        <w:rPr>
          <w:sz w:val="15"/>
        </w:rPr>
      </w:pPr>
    </w:p>
    <w:p>
      <w:pPr>
        <w:pStyle w:val="ListParagraph"/>
        <w:numPr>
          <w:ilvl w:val="0"/>
          <w:numId w:val="103"/>
        </w:numPr>
        <w:tabs>
          <w:tab w:pos="961" w:val="left" w:leader="none"/>
        </w:tabs>
        <w:spacing w:line="240" w:lineRule="auto" w:before="0" w:after="0"/>
        <w:ind w:left="960" w:right="0" w:hanging="558"/>
        <w:jc w:val="left"/>
        <w:rPr>
          <w:sz w:val="21"/>
        </w:rPr>
      </w:pPr>
      <w:r>
        <w:rPr>
          <w:spacing w:val="-16"/>
          <w:sz w:val="21"/>
        </w:rPr>
        <w:t>中枢神经系统机能或胸、腹部脏器机能极度障碍，永久完全丧失基本日常生活能力。</w:t>
      </w:r>
    </w:p>
    <w:p>
      <w:pPr>
        <w:pStyle w:val="BodyText"/>
        <w:spacing w:before="6"/>
        <w:rPr>
          <w:sz w:val="15"/>
        </w:rPr>
      </w:pPr>
    </w:p>
    <w:p>
      <w:pPr>
        <w:pStyle w:val="BodyText"/>
        <w:spacing w:before="1"/>
        <w:ind w:left="823"/>
      </w:pPr>
      <w:r>
        <w:rPr>
          <w:spacing w:val="-2"/>
        </w:rPr>
        <w:t>（</w:t>
      </w:r>
      <w:r>
        <w:rPr>
          <w:spacing w:val="-27"/>
        </w:rPr>
        <w:t>注 </w:t>
      </w:r>
      <w:r>
        <w:rPr>
          <w:rFonts w:ascii="Calibri" w:eastAsia="Calibri"/>
          <w:spacing w:val="-2"/>
        </w:rPr>
        <w:t>4</w:t>
      </w:r>
      <w:r>
        <w:rPr>
          <w:spacing w:val="-19"/>
        </w:rPr>
        <w:t>、注 </w:t>
      </w:r>
      <w:r>
        <w:rPr>
          <w:rFonts w:ascii="Calibri" w:eastAsia="Calibri"/>
        </w:rPr>
        <w:t>5</w:t>
      </w:r>
      <w:r>
        <w:rPr>
          <w:spacing w:val="-106"/>
        </w:rPr>
        <w:t>）</w:t>
      </w:r>
      <w:r>
        <w:rPr>
          <w:spacing w:val="-116"/>
        </w:rPr>
        <w:t>。</w:t>
      </w:r>
    </w:p>
    <w:p>
      <w:pPr>
        <w:pStyle w:val="BodyText"/>
        <w:spacing w:before="6"/>
        <w:rPr>
          <w:sz w:val="15"/>
        </w:rPr>
      </w:pPr>
    </w:p>
    <w:p>
      <w:pPr>
        <w:pStyle w:val="BodyText"/>
        <w:spacing w:line="417" w:lineRule="auto"/>
        <w:ind w:left="540" w:right="210"/>
      </w:pPr>
      <w:r>
        <w:rPr>
          <w:spacing w:val="-21"/>
        </w:rPr>
        <w:t>注 </w:t>
      </w:r>
      <w:r>
        <w:rPr>
          <w:rFonts w:ascii="Calibri" w:eastAsia="Calibri"/>
        </w:rPr>
        <w:t>1</w:t>
      </w:r>
      <w:r>
        <w:rPr/>
        <w:t>：失明包括眼球缺失或摘除，或不能辨别明暗，或仅能辨别眼前手动者，最佳矫正</w:t>
      </w:r>
      <w:r>
        <w:rPr>
          <w:spacing w:val="-8"/>
        </w:rPr>
        <w:t>视力低于国际标准视力表 </w:t>
      </w:r>
      <w:r>
        <w:rPr>
          <w:rFonts w:ascii="Calibri" w:eastAsia="Calibri"/>
          <w:spacing w:val="17"/>
        </w:rPr>
        <w:t>0</w:t>
      </w:r>
      <w:r>
        <w:rPr>
          <w:rFonts w:ascii="Calibri" w:eastAsia="Calibri"/>
          <w:spacing w:val="16"/>
        </w:rPr>
        <w:t>.</w:t>
      </w:r>
      <w:r>
        <w:rPr>
          <w:rFonts w:ascii="Calibri" w:eastAsia="Calibri"/>
          <w:spacing w:val="15"/>
        </w:rPr>
        <w:t>0</w:t>
      </w:r>
      <w:r>
        <w:rPr>
          <w:rFonts w:ascii="Calibri" w:eastAsia="Calibri"/>
          <w:spacing w:val="18"/>
        </w:rPr>
        <w:t>2</w:t>
      </w:r>
      <w:r>
        <w:rPr>
          <w:spacing w:val="-19"/>
        </w:rPr>
        <w:t>，或视野半径小于 </w:t>
      </w:r>
      <w:r>
        <w:rPr>
          <w:rFonts w:ascii="Calibri" w:eastAsia="Calibri"/>
          <w:spacing w:val="-4"/>
        </w:rPr>
        <w:t>5</w:t>
      </w:r>
      <w:r>
        <w:rPr>
          <w:rFonts w:ascii="Calibri" w:eastAsia="Calibri"/>
          <w:spacing w:val="15"/>
        </w:rPr>
        <w:t> </w:t>
      </w:r>
      <w:r>
        <w:rPr>
          <w:spacing w:val="-15"/>
        </w:rPr>
        <w:t>度，并由专科医生出具医疗诊断证明。</w:t>
      </w:r>
      <w:r>
        <w:rPr>
          <w:spacing w:val="-10"/>
        </w:rPr>
        <w:t>但由白内障引起的失明除外。</w:t>
      </w:r>
      <w:r>
        <w:rPr>
          <w:spacing w:val="-2"/>
        </w:rPr>
        <w:t>（</w:t>
      </w:r>
      <w:r>
        <w:rPr>
          <w:spacing w:val="-7"/>
        </w:rPr>
        <w:t>专科医生应当同时满足以下四项资格条件：</w:t>
      </w:r>
      <w:r>
        <w:rPr>
          <w:spacing w:val="22"/>
        </w:rPr>
        <w:t>（</w:t>
      </w:r>
      <w:r>
        <w:rPr>
          <w:rFonts w:ascii="Calibri" w:eastAsia="Calibri"/>
          <w:spacing w:val="23"/>
        </w:rPr>
        <w:t>1</w:t>
      </w:r>
      <w:r>
        <w:rPr>
          <w:spacing w:val="25"/>
        </w:rPr>
        <w:t>）</w:t>
      </w:r>
      <w:r>
        <w:rPr>
          <w:spacing w:val="-2"/>
        </w:rPr>
        <w:t>具有有</w:t>
      </w:r>
      <w:r>
        <w:rPr>
          <w:spacing w:val="-14"/>
        </w:rPr>
        <w:t>效的中华人民共和国《医师资格证书》；</w:t>
      </w:r>
      <w:r>
        <w:rPr>
          <w:spacing w:val="25"/>
        </w:rPr>
        <w:t>（</w:t>
      </w:r>
      <w:r>
        <w:rPr>
          <w:rFonts w:ascii="Calibri" w:eastAsia="Calibri"/>
          <w:spacing w:val="23"/>
        </w:rPr>
        <w:t>2</w:t>
      </w:r>
      <w:r>
        <w:rPr>
          <w:spacing w:val="25"/>
        </w:rPr>
        <w:t>）</w:t>
      </w:r>
      <w:r>
        <w:rPr>
          <w:spacing w:val="-2"/>
        </w:rPr>
        <w:t>具有有效的中华人民共和国《医师执业证</w:t>
      </w:r>
      <w:r>
        <w:rPr>
          <w:spacing w:val="-18"/>
        </w:rPr>
        <w:t>书》，并按期到相关部门登记注册；</w:t>
      </w:r>
      <w:r>
        <w:rPr>
          <w:spacing w:val="25"/>
        </w:rPr>
        <w:t>（</w:t>
      </w:r>
      <w:r>
        <w:rPr>
          <w:rFonts w:ascii="Calibri" w:eastAsia="Calibri"/>
          <w:spacing w:val="23"/>
        </w:rPr>
        <w:t>3</w:t>
      </w:r>
      <w:r>
        <w:rPr>
          <w:spacing w:val="25"/>
        </w:rPr>
        <w:t>）</w:t>
      </w:r>
      <w:r>
        <w:rPr>
          <w:spacing w:val="-2"/>
        </w:rPr>
        <w:t>具有有效的中华人民共和国主治医师或主治医</w:t>
      </w:r>
      <w:r>
        <w:rPr>
          <w:spacing w:val="-15"/>
        </w:rPr>
        <w:t>师以上职称的《医师职称证书》；</w:t>
      </w:r>
      <w:r>
        <w:rPr>
          <w:spacing w:val="23"/>
        </w:rPr>
        <w:t>（</w:t>
      </w:r>
      <w:r>
        <w:rPr>
          <w:rFonts w:ascii="Calibri" w:eastAsia="Calibri"/>
          <w:spacing w:val="26"/>
        </w:rPr>
        <w:t>4</w:t>
      </w:r>
      <w:r>
        <w:rPr>
          <w:spacing w:val="23"/>
        </w:rPr>
        <w:t>）</w:t>
      </w:r>
      <w:r>
        <w:rPr>
          <w:spacing w:val="-2"/>
        </w:rPr>
        <w:t>在二级或二级以上医院的相应科室从事临床工作</w:t>
      </w:r>
      <w:r>
        <w:rPr>
          <w:spacing w:val="-24"/>
        </w:rPr>
        <w:t>三年以上。</w:t>
      </w:r>
      <w:r>
        <w:rPr>
          <w:spacing w:val="-2"/>
        </w:rPr>
        <w:t>）</w:t>
      </w:r>
    </w:p>
    <w:p>
      <w:pPr>
        <w:pStyle w:val="BodyText"/>
        <w:spacing w:line="268" w:lineRule="exact"/>
        <w:ind w:left="540"/>
      </w:pPr>
      <w:r>
        <w:rPr>
          <w:spacing w:val="-18"/>
        </w:rPr>
        <w:t>注 </w:t>
      </w:r>
      <w:r>
        <w:rPr>
          <w:rFonts w:ascii="Calibri" w:eastAsia="Calibri"/>
          <w:spacing w:val="-2"/>
        </w:rPr>
        <w:t>2</w:t>
      </w:r>
      <w:r>
        <w:rPr>
          <w:spacing w:val="-3"/>
        </w:rPr>
        <w:t>：关节机能的丧失是指关节永久完全僵硬、麻痹或关节不能随意识活动。</w:t>
      </w:r>
    </w:p>
    <w:p>
      <w:pPr>
        <w:pStyle w:val="BodyText"/>
        <w:spacing w:before="7"/>
        <w:rPr>
          <w:sz w:val="15"/>
        </w:rPr>
      </w:pPr>
    </w:p>
    <w:p>
      <w:pPr>
        <w:pStyle w:val="BodyText"/>
        <w:spacing w:line="417" w:lineRule="auto"/>
        <w:ind w:left="540" w:right="311"/>
      </w:pPr>
      <w:r>
        <w:rPr>
          <w:spacing w:val="-25"/>
        </w:rPr>
        <w:t>注 </w:t>
      </w:r>
      <w:r>
        <w:rPr>
          <w:rFonts w:ascii="Calibri" w:eastAsia="Calibri"/>
          <w:spacing w:val="-2"/>
        </w:rPr>
        <w:t>3</w:t>
      </w:r>
      <w:r>
        <w:rPr>
          <w:spacing w:val="-2"/>
        </w:rPr>
        <w:t>：咀嚼、吞咽机能的丧失是指由于牙齿以外的原因引起的器质或功能障碍，以致不</w:t>
      </w:r>
      <w:r>
        <w:rPr>
          <w:spacing w:val="-2"/>
        </w:rPr>
        <w:t>能作咀嚼、吞咽运动，除流质食物外不能摄取或吞咽的状态。</w:t>
      </w:r>
    </w:p>
    <w:p>
      <w:pPr>
        <w:pStyle w:val="BodyText"/>
        <w:spacing w:line="417" w:lineRule="auto"/>
        <w:ind w:left="540" w:right="208"/>
      </w:pPr>
      <w:r>
        <w:rPr>
          <w:spacing w:val="-10"/>
        </w:rPr>
        <w:t>注 </w:t>
      </w:r>
      <w:r>
        <w:rPr>
          <w:rFonts w:ascii="Calibri" w:eastAsia="Calibri"/>
        </w:rPr>
        <w:t>4</w:t>
      </w:r>
      <w:r>
        <w:rPr/>
        <w:t>：基本日常生活能力的丧失是指食物摄取、大小便始末、穿脱衣服、起居、步行、</w:t>
      </w:r>
      <w:r>
        <w:rPr>
          <w:spacing w:val="-2"/>
        </w:rPr>
        <w:t>入浴等，皆不能自己为之，需要他人帮助。</w:t>
      </w:r>
    </w:p>
    <w:p>
      <w:pPr>
        <w:pStyle w:val="BodyText"/>
        <w:spacing w:line="417" w:lineRule="auto"/>
        <w:ind w:left="540" w:right="311"/>
      </w:pPr>
      <w:r>
        <w:rPr>
          <w:spacing w:val="-25"/>
        </w:rPr>
        <w:t>注 </w:t>
      </w:r>
      <w:r>
        <w:rPr>
          <w:rFonts w:ascii="Calibri" w:eastAsia="Calibri"/>
          <w:spacing w:val="-2"/>
        </w:rPr>
        <w:t>5</w:t>
      </w:r>
      <w:r>
        <w:rPr>
          <w:spacing w:val="-2"/>
        </w:rPr>
        <w:t>：永久完全丧失是指自以上情况发生之日起经过一百八十天的治疗后，机能仍然完</w:t>
      </w:r>
      <w:r>
        <w:rPr>
          <w:spacing w:val="-2"/>
        </w:rPr>
        <w:t>全丧失，但眼球摘除等无法恢复之情况，不在此限。</w:t>
      </w:r>
    </w:p>
    <w:p>
      <w:pPr>
        <w:pStyle w:val="ListParagraph"/>
        <w:numPr>
          <w:ilvl w:val="0"/>
          <w:numId w:val="102"/>
        </w:numPr>
        <w:tabs>
          <w:tab w:pos="541" w:val="left" w:leader="none"/>
        </w:tabs>
        <w:spacing w:line="320" w:lineRule="exact" w:before="0" w:after="0"/>
        <w:ind w:left="540" w:right="0" w:hanging="421"/>
        <w:jc w:val="left"/>
        <w:rPr>
          <w:sz w:val="21"/>
        </w:rPr>
      </w:pPr>
      <w:r>
        <w:rPr>
          <w:rFonts w:ascii="微软雅黑" w:eastAsia="微软雅黑"/>
          <w:b/>
          <w:spacing w:val="7"/>
          <w:sz w:val="21"/>
        </w:rPr>
        <w:t>疾病终末期阶段 </w:t>
      </w:r>
      <w:r>
        <w:rPr>
          <w:spacing w:val="-3"/>
          <w:sz w:val="21"/>
        </w:rPr>
        <w:t>疾病终末期阶段需由专科医生出具诊断证明和提交临床检查数据，证</w:t>
      </w:r>
    </w:p>
    <w:p>
      <w:pPr>
        <w:pStyle w:val="BodyText"/>
        <w:spacing w:before="147"/>
        <w:ind w:left="540"/>
      </w:pPr>
      <w:r>
        <w:rPr>
          <w:spacing w:val="-3"/>
        </w:rPr>
        <w:t>明被保险人所患疾病同时满足以下两个条件：</w:t>
      </w:r>
    </w:p>
    <w:p>
      <w:pPr>
        <w:pStyle w:val="BodyText"/>
        <w:spacing w:before="7"/>
        <w:rPr>
          <w:sz w:val="15"/>
        </w:rPr>
      </w:pPr>
    </w:p>
    <w:p>
      <w:pPr>
        <w:pStyle w:val="ListParagraph"/>
        <w:numPr>
          <w:ilvl w:val="0"/>
          <w:numId w:val="104"/>
        </w:numPr>
        <w:tabs>
          <w:tab w:pos="961" w:val="left" w:leader="none"/>
        </w:tabs>
        <w:spacing w:line="240" w:lineRule="auto" w:before="0" w:after="0"/>
        <w:ind w:left="960" w:right="0" w:hanging="558"/>
        <w:jc w:val="left"/>
        <w:rPr>
          <w:sz w:val="21"/>
        </w:rPr>
      </w:pPr>
      <w:r>
        <w:rPr>
          <w:spacing w:val="-3"/>
          <w:sz w:val="21"/>
        </w:rPr>
        <w:t>依现有医疗技术无法缓解；</w:t>
      </w:r>
    </w:p>
    <w:p>
      <w:pPr>
        <w:pStyle w:val="BodyText"/>
        <w:spacing w:before="7"/>
        <w:rPr>
          <w:sz w:val="15"/>
        </w:rPr>
      </w:pPr>
    </w:p>
    <w:p>
      <w:pPr>
        <w:pStyle w:val="ListParagraph"/>
        <w:numPr>
          <w:ilvl w:val="0"/>
          <w:numId w:val="104"/>
        </w:numPr>
        <w:tabs>
          <w:tab w:pos="961" w:val="left" w:leader="none"/>
        </w:tabs>
        <w:spacing w:line="240" w:lineRule="auto" w:before="0" w:after="0"/>
        <w:ind w:left="960" w:right="0" w:hanging="558"/>
        <w:jc w:val="left"/>
        <w:rPr>
          <w:sz w:val="21"/>
        </w:rPr>
      </w:pPr>
      <w:r>
        <w:rPr>
          <w:spacing w:val="-3"/>
          <w:sz w:val="21"/>
        </w:rPr>
        <w:t>根据临床医学经验判断被保险人存活期低于六个月。</w:t>
      </w:r>
    </w:p>
    <w:p>
      <w:pPr>
        <w:pStyle w:val="ListParagraph"/>
        <w:numPr>
          <w:ilvl w:val="0"/>
          <w:numId w:val="102"/>
        </w:numPr>
        <w:tabs>
          <w:tab w:pos="541" w:val="left" w:leader="none"/>
        </w:tabs>
        <w:spacing w:line="468" w:lineRule="exact" w:before="34" w:after="0"/>
        <w:ind w:left="540" w:right="206" w:hanging="420"/>
        <w:jc w:val="left"/>
        <w:rPr>
          <w:sz w:val="21"/>
        </w:rPr>
      </w:pPr>
      <w:r>
        <w:rPr>
          <w:rFonts w:ascii="微软雅黑" w:eastAsia="微软雅黑"/>
          <w:b/>
          <w:spacing w:val="9"/>
          <w:sz w:val="21"/>
        </w:rPr>
        <w:t>毒品 </w:t>
      </w:r>
      <w:r>
        <w:rPr>
          <w:sz w:val="21"/>
        </w:rPr>
        <w:t>指中华人民共和国刑法规定的鸦片、海洛因、甲基苯丙胺（冰毒</w:t>
      </w:r>
      <w:r>
        <w:rPr>
          <w:spacing w:val="-108"/>
          <w:sz w:val="21"/>
        </w:rPr>
        <w:t>）</w:t>
      </w:r>
      <w:r>
        <w:rPr>
          <w:sz w:val="21"/>
        </w:rPr>
        <w:t>、吗啡、大麻、</w:t>
      </w:r>
      <w:r>
        <w:rPr>
          <w:spacing w:val="-5"/>
          <w:sz w:val="21"/>
        </w:rPr>
        <w:t>可卡因以及国家规定管制的其他能够使人形成瘾癖的麻醉药品和精神药品，但不包括由</w:t>
      </w:r>
      <w:r>
        <w:rPr>
          <w:spacing w:val="-2"/>
          <w:sz w:val="21"/>
        </w:rPr>
        <w:t>医生开具并遵医嘱使用的用于治疗疾病但含有毒品成分的处方药品。</w:t>
      </w:r>
    </w:p>
    <w:p>
      <w:pPr>
        <w:pStyle w:val="ListParagraph"/>
        <w:numPr>
          <w:ilvl w:val="0"/>
          <w:numId w:val="102"/>
        </w:numPr>
        <w:tabs>
          <w:tab w:pos="541" w:val="left" w:leader="none"/>
        </w:tabs>
        <w:spacing w:line="468" w:lineRule="exact" w:before="1" w:after="0"/>
        <w:ind w:left="540" w:right="311" w:hanging="420"/>
        <w:jc w:val="both"/>
        <w:rPr>
          <w:sz w:val="21"/>
        </w:rPr>
      </w:pPr>
      <w:r>
        <w:rPr>
          <w:rFonts w:ascii="微软雅黑" w:eastAsia="微软雅黑"/>
          <w:b/>
          <w:sz w:val="21"/>
        </w:rPr>
        <w:t>酒后驾驶 </w:t>
      </w:r>
      <w:r>
        <w:rPr>
          <w:sz w:val="21"/>
        </w:rPr>
        <w:t>指经检测或鉴定，发生事故时车辆驾驶人员每百毫升血液中的酒精含量达到</w:t>
      </w:r>
      <w:r>
        <w:rPr>
          <w:spacing w:val="-4"/>
          <w:sz w:val="21"/>
        </w:rPr>
        <w:t>或超过一定的标准，公安机关交通管理部门依据《道路交通安全法》的规定认定为饮酒</w:t>
      </w:r>
      <w:r>
        <w:rPr>
          <w:spacing w:val="-2"/>
          <w:sz w:val="21"/>
        </w:rPr>
        <w:t>后驾驶或醉酒后驾驶。</w:t>
      </w:r>
    </w:p>
    <w:p>
      <w:pPr>
        <w:pStyle w:val="ListParagraph"/>
        <w:numPr>
          <w:ilvl w:val="0"/>
          <w:numId w:val="102"/>
        </w:numPr>
        <w:tabs>
          <w:tab w:pos="541" w:val="left" w:leader="none"/>
        </w:tabs>
        <w:spacing w:line="240" w:lineRule="auto" w:before="97" w:after="0"/>
        <w:ind w:left="540" w:right="0" w:hanging="421"/>
        <w:jc w:val="left"/>
        <w:rPr>
          <w:sz w:val="21"/>
        </w:rPr>
      </w:pPr>
      <w:r>
        <w:rPr>
          <w:rFonts w:ascii="微软雅黑" w:eastAsia="微软雅黑"/>
          <w:b/>
          <w:spacing w:val="10"/>
          <w:sz w:val="21"/>
        </w:rPr>
        <w:t>无</w:t>
      </w:r>
      <w:r>
        <w:rPr>
          <w:rFonts w:ascii="微软雅黑" w:eastAsia="微软雅黑"/>
          <w:b/>
          <w:position w:val="-1"/>
          <w:sz w:val="21"/>
        </w:rPr>
        <w:drawing>
          <wp:inline distT="0" distB="0" distL="0" distR="0">
            <wp:extent cx="123824" cy="127000"/>
            <wp:effectExtent l="0" t="0" r="0" b="0"/>
            <wp:docPr id="167" name="image2.png"/>
            <wp:cNvGraphicFramePr>
              <a:graphicFrameLocks noChangeAspect="1"/>
            </wp:cNvGraphicFramePr>
            <a:graphic>
              <a:graphicData uri="http://schemas.openxmlformats.org/drawingml/2006/picture">
                <pic:pic>
                  <pic:nvPicPr>
                    <pic:cNvPr id="168" name="image2.png"/>
                    <pic:cNvPicPr/>
                  </pic:nvPicPr>
                  <pic:blipFill>
                    <a:blip r:embed="rId7" cstate="print"/>
                    <a:stretch>
                      <a:fillRect/>
                    </a:stretch>
                  </pic:blipFill>
                  <pic:spPr>
                    <a:xfrm>
                      <a:off x="0" y="0"/>
                      <a:ext cx="123824" cy="127000"/>
                    </a:xfrm>
                    <a:prstGeom prst="rect">
                      <a:avLst/>
                    </a:prstGeom>
                  </pic:spPr>
                </pic:pic>
              </a:graphicData>
            </a:graphic>
          </wp:inline>
        </w:drawing>
      </w:r>
      <w:r>
        <w:rPr>
          <w:rFonts w:ascii="微软雅黑" w:eastAsia="微软雅黑"/>
          <w:b/>
          <w:position w:val="-1"/>
          <w:sz w:val="21"/>
        </w:rPr>
      </w:r>
      <w:r>
        <w:rPr>
          <w:rFonts w:ascii="微软雅黑" w:eastAsia="微软雅黑"/>
          <w:b/>
          <w:sz w:val="21"/>
        </w:rPr>
        <w:t>法有效驾驶证驾驶</w:t>
      </w:r>
      <w:r>
        <w:rPr>
          <w:rFonts w:ascii="微软雅黑" w:eastAsia="微软雅黑"/>
          <w:b/>
          <w:spacing w:val="29"/>
          <w:sz w:val="21"/>
        </w:rPr>
        <w:t> </w:t>
      </w:r>
      <w:r>
        <w:rPr>
          <w:sz w:val="21"/>
        </w:rPr>
        <w:t>指</w:t>
      </w:r>
      <w:r>
        <w:rPr>
          <w:sz w:val="21"/>
        </w:rPr>
        <w:t>下列情形之</w:t>
      </w:r>
      <w:r>
        <w:rPr>
          <w:sz w:val="21"/>
        </w:rPr>
        <w:t>一</w:t>
      </w:r>
      <w:r>
        <w:rPr>
          <w:spacing w:val="-10"/>
          <w:sz w:val="21"/>
        </w:rPr>
        <w:t>：</w:t>
      </w:r>
    </w:p>
    <w:p>
      <w:pPr>
        <w:pStyle w:val="ListParagraph"/>
        <w:numPr>
          <w:ilvl w:val="0"/>
          <w:numId w:val="105"/>
        </w:numPr>
        <w:tabs>
          <w:tab w:pos="961" w:val="left" w:leader="none"/>
        </w:tabs>
        <w:spacing w:line="240" w:lineRule="auto" w:before="148" w:after="0"/>
        <w:ind w:left="960" w:right="0" w:hanging="558"/>
        <w:jc w:val="left"/>
        <w:rPr>
          <w:sz w:val="21"/>
        </w:rPr>
      </w:pPr>
      <w:r>
        <w:rPr>
          <w:spacing w:val="-3"/>
          <w:sz w:val="21"/>
        </w:rPr>
        <w:t>没有取得驾驶资格；</w:t>
      </w:r>
    </w:p>
    <w:p>
      <w:pPr>
        <w:spacing w:after="0" w:line="240" w:lineRule="auto"/>
        <w:jc w:val="left"/>
        <w:rPr>
          <w:sz w:val="21"/>
        </w:rPr>
        <w:sectPr>
          <w:pgSz w:w="11910" w:h="16840"/>
          <w:pgMar w:header="0" w:footer="1005" w:top="1460" w:bottom="1200" w:left="1680" w:right="1480"/>
        </w:sectPr>
      </w:pPr>
    </w:p>
    <w:p>
      <w:pPr>
        <w:pStyle w:val="ListParagraph"/>
        <w:numPr>
          <w:ilvl w:val="0"/>
          <w:numId w:val="105"/>
        </w:numPr>
        <w:tabs>
          <w:tab w:pos="961" w:val="left" w:leader="none"/>
        </w:tabs>
        <w:spacing w:line="240" w:lineRule="auto" w:before="61" w:after="0"/>
        <w:ind w:left="960" w:right="0" w:hanging="558"/>
        <w:jc w:val="left"/>
        <w:rPr>
          <w:sz w:val="21"/>
        </w:rPr>
      </w:pPr>
      <w:r>
        <w:rPr/>
        <w:drawing>
          <wp:anchor distT="0" distB="0" distL="0" distR="0" allowOverlap="1" layoutInCell="1" locked="0" behindDoc="1" simplePos="0" relativeHeight="486301184">
            <wp:simplePos x="0" y="0"/>
            <wp:positionH relativeFrom="page">
              <wp:posOffset>3419083</wp:posOffset>
            </wp:positionH>
            <wp:positionV relativeFrom="paragraph">
              <wp:posOffset>60960</wp:posOffset>
            </wp:positionV>
            <wp:extent cx="123825" cy="127000"/>
            <wp:effectExtent l="0" t="0" r="0" b="0"/>
            <wp:wrapNone/>
            <wp:docPr id="169" name="image2.png"/>
            <wp:cNvGraphicFramePr>
              <a:graphicFrameLocks noChangeAspect="1"/>
            </wp:cNvGraphicFramePr>
            <a:graphic>
              <a:graphicData uri="http://schemas.openxmlformats.org/drawingml/2006/picture">
                <pic:pic>
                  <pic:nvPicPr>
                    <pic:cNvPr id="170"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sz w:val="21"/>
        </w:rPr>
        <w:t>驾驶与驾驶证准驾车型不相符</w:t>
      </w:r>
      <w:r>
        <w:rPr>
          <w:spacing w:val="-4"/>
          <w:sz w:val="21"/>
        </w:rPr>
        <w:t>的车辆；</w:t>
      </w:r>
    </w:p>
    <w:p>
      <w:pPr>
        <w:pStyle w:val="BodyText"/>
        <w:spacing w:before="7"/>
        <w:rPr>
          <w:sz w:val="15"/>
        </w:rPr>
      </w:pPr>
    </w:p>
    <w:p>
      <w:pPr>
        <w:pStyle w:val="ListParagraph"/>
        <w:numPr>
          <w:ilvl w:val="0"/>
          <w:numId w:val="105"/>
        </w:numPr>
        <w:tabs>
          <w:tab w:pos="961" w:val="left" w:leader="none"/>
        </w:tabs>
        <w:spacing w:line="240" w:lineRule="auto" w:before="0" w:after="0"/>
        <w:ind w:left="960" w:right="0" w:hanging="558"/>
        <w:jc w:val="left"/>
        <w:rPr>
          <w:sz w:val="21"/>
        </w:rPr>
      </w:pPr>
      <w:r>
        <w:rPr/>
        <w:drawing>
          <wp:anchor distT="0" distB="0" distL="0" distR="0" allowOverlap="1" layoutInCell="1" locked="0" behindDoc="1" simplePos="0" relativeHeight="486301696">
            <wp:simplePos x="0" y="0"/>
            <wp:positionH relativeFrom="page">
              <wp:posOffset>2217976</wp:posOffset>
            </wp:positionH>
            <wp:positionV relativeFrom="paragraph">
              <wp:posOffset>22225</wp:posOffset>
            </wp:positionV>
            <wp:extent cx="123825" cy="127000"/>
            <wp:effectExtent l="0" t="0" r="0" b="0"/>
            <wp:wrapNone/>
            <wp:docPr id="171" name="image2.png"/>
            <wp:cNvGraphicFramePr>
              <a:graphicFrameLocks noChangeAspect="1"/>
            </wp:cNvGraphicFramePr>
            <a:graphic>
              <a:graphicData uri="http://schemas.openxmlformats.org/drawingml/2006/picture">
                <pic:pic>
                  <pic:nvPicPr>
                    <pic:cNvPr id="172"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sz w:val="21"/>
        </w:rPr>
        <w:t>持审验不</w:t>
      </w:r>
      <w:r>
        <w:rPr>
          <w:spacing w:val="-4"/>
          <w:sz w:val="21"/>
        </w:rPr>
        <w:t>格的驾驶证驾驶；</w:t>
      </w:r>
    </w:p>
    <w:p>
      <w:pPr>
        <w:pStyle w:val="BodyText"/>
        <w:spacing w:before="7"/>
        <w:rPr>
          <w:sz w:val="15"/>
        </w:rPr>
      </w:pPr>
    </w:p>
    <w:p>
      <w:pPr>
        <w:pStyle w:val="ListParagraph"/>
        <w:numPr>
          <w:ilvl w:val="0"/>
          <w:numId w:val="105"/>
        </w:numPr>
        <w:tabs>
          <w:tab w:pos="961" w:val="left" w:leader="none"/>
        </w:tabs>
        <w:spacing w:line="240" w:lineRule="auto" w:before="0" w:after="0"/>
        <w:ind w:left="960" w:right="0" w:hanging="558"/>
        <w:jc w:val="left"/>
        <w:rPr>
          <w:sz w:val="21"/>
        </w:rPr>
      </w:pPr>
      <w:r>
        <w:rPr>
          <w:spacing w:val="-3"/>
          <w:sz w:val="21"/>
        </w:rPr>
        <w:t>持学习驾驶证学习驾车时，无教练员随车指导，或不按指定时间、路线学习驾车。</w:t>
      </w:r>
    </w:p>
    <w:p>
      <w:pPr>
        <w:pStyle w:val="ListParagraph"/>
        <w:numPr>
          <w:ilvl w:val="0"/>
          <w:numId w:val="102"/>
        </w:numPr>
        <w:tabs>
          <w:tab w:pos="541" w:val="left" w:leader="none"/>
        </w:tabs>
        <w:spacing w:line="240" w:lineRule="auto" w:before="132" w:after="0"/>
        <w:ind w:left="540" w:right="0" w:hanging="421"/>
        <w:jc w:val="left"/>
        <w:rPr>
          <w:sz w:val="21"/>
        </w:rPr>
      </w:pPr>
      <w:r>
        <w:rPr>
          <w:rFonts w:ascii="微软雅黑" w:eastAsia="微软雅黑"/>
          <w:b/>
          <w:spacing w:val="10"/>
          <w:sz w:val="21"/>
        </w:rPr>
        <w:t>无</w:t>
      </w:r>
      <w:r>
        <w:rPr>
          <w:rFonts w:ascii="微软雅黑" w:eastAsia="微软雅黑"/>
          <w:b/>
          <w:position w:val="-1"/>
          <w:sz w:val="21"/>
        </w:rPr>
        <w:drawing>
          <wp:inline distT="0" distB="0" distL="0" distR="0">
            <wp:extent cx="123824" cy="127000"/>
            <wp:effectExtent l="0" t="0" r="0" b="0"/>
            <wp:docPr id="173" name="image2.png"/>
            <wp:cNvGraphicFramePr>
              <a:graphicFrameLocks noChangeAspect="1"/>
            </wp:cNvGraphicFramePr>
            <a:graphic>
              <a:graphicData uri="http://schemas.openxmlformats.org/drawingml/2006/picture">
                <pic:pic>
                  <pic:nvPicPr>
                    <pic:cNvPr id="174" name="image2.png"/>
                    <pic:cNvPicPr/>
                  </pic:nvPicPr>
                  <pic:blipFill>
                    <a:blip r:embed="rId7" cstate="print"/>
                    <a:stretch>
                      <a:fillRect/>
                    </a:stretch>
                  </pic:blipFill>
                  <pic:spPr>
                    <a:xfrm>
                      <a:off x="0" y="0"/>
                      <a:ext cx="123824" cy="127000"/>
                    </a:xfrm>
                    <a:prstGeom prst="rect">
                      <a:avLst/>
                    </a:prstGeom>
                  </pic:spPr>
                </pic:pic>
              </a:graphicData>
            </a:graphic>
          </wp:inline>
        </w:drawing>
      </w:r>
      <w:r>
        <w:rPr>
          <w:rFonts w:ascii="微软雅黑" w:eastAsia="微软雅黑"/>
          <w:b/>
          <w:position w:val="-1"/>
          <w:sz w:val="21"/>
        </w:rPr>
      </w:r>
      <w:r>
        <w:rPr>
          <w:rFonts w:ascii="微软雅黑" w:eastAsia="微软雅黑"/>
          <w:b/>
          <w:sz w:val="21"/>
        </w:rPr>
        <w:t>法有效行驶证</w:t>
      </w:r>
      <w:r>
        <w:rPr>
          <w:rFonts w:ascii="微软雅黑" w:eastAsia="微软雅黑"/>
          <w:b/>
          <w:spacing w:val="31"/>
          <w:sz w:val="21"/>
        </w:rPr>
        <w:t> </w:t>
      </w:r>
      <w:r>
        <w:rPr>
          <w:sz w:val="21"/>
        </w:rPr>
        <w:t>指下列</w:t>
      </w:r>
      <w:r>
        <w:rPr>
          <w:sz w:val="21"/>
        </w:rPr>
        <w:t>情形之</w:t>
      </w:r>
      <w:r>
        <w:rPr>
          <w:sz w:val="21"/>
        </w:rPr>
        <w:t>一</w:t>
      </w:r>
      <w:r>
        <w:rPr>
          <w:spacing w:val="-10"/>
          <w:sz w:val="21"/>
        </w:rPr>
        <w:t>：</w:t>
      </w:r>
    </w:p>
    <w:p>
      <w:pPr>
        <w:pStyle w:val="ListParagraph"/>
        <w:numPr>
          <w:ilvl w:val="0"/>
          <w:numId w:val="106"/>
        </w:numPr>
        <w:tabs>
          <w:tab w:pos="961" w:val="left" w:leader="none"/>
        </w:tabs>
        <w:spacing w:line="240" w:lineRule="auto" w:before="148" w:after="0"/>
        <w:ind w:left="960" w:right="0" w:hanging="558"/>
        <w:jc w:val="left"/>
        <w:rPr>
          <w:sz w:val="21"/>
        </w:rPr>
      </w:pPr>
      <w:r>
        <w:rPr>
          <w:spacing w:val="-4"/>
          <w:sz w:val="21"/>
        </w:rPr>
        <w:t>无机动车行驶证；</w:t>
      </w:r>
    </w:p>
    <w:p>
      <w:pPr>
        <w:pStyle w:val="BodyText"/>
        <w:spacing w:before="6"/>
        <w:rPr>
          <w:sz w:val="15"/>
        </w:rPr>
      </w:pPr>
    </w:p>
    <w:p>
      <w:pPr>
        <w:pStyle w:val="ListParagraph"/>
        <w:numPr>
          <w:ilvl w:val="0"/>
          <w:numId w:val="106"/>
        </w:numPr>
        <w:tabs>
          <w:tab w:pos="961" w:val="left" w:leader="none"/>
        </w:tabs>
        <w:spacing w:line="240" w:lineRule="auto" w:before="0" w:after="0"/>
        <w:ind w:left="960" w:right="0" w:hanging="558"/>
        <w:jc w:val="left"/>
        <w:rPr>
          <w:sz w:val="21"/>
        </w:rPr>
      </w:pPr>
      <w:r>
        <w:rPr>
          <w:spacing w:val="-3"/>
          <w:sz w:val="21"/>
        </w:rPr>
        <w:t>机动车被依法注销登记的；</w:t>
      </w:r>
    </w:p>
    <w:p>
      <w:pPr>
        <w:pStyle w:val="BodyText"/>
        <w:spacing w:before="7"/>
        <w:rPr>
          <w:sz w:val="15"/>
        </w:rPr>
      </w:pPr>
    </w:p>
    <w:p>
      <w:pPr>
        <w:pStyle w:val="ListParagraph"/>
        <w:numPr>
          <w:ilvl w:val="0"/>
          <w:numId w:val="106"/>
        </w:numPr>
        <w:tabs>
          <w:tab w:pos="961" w:val="left" w:leader="none"/>
        </w:tabs>
        <w:spacing w:line="240" w:lineRule="auto" w:before="0" w:after="0"/>
        <w:ind w:left="960" w:right="0" w:hanging="558"/>
        <w:jc w:val="left"/>
        <w:rPr>
          <w:sz w:val="21"/>
        </w:rPr>
      </w:pPr>
      <w:r>
        <w:rPr>
          <w:spacing w:val="-3"/>
          <w:sz w:val="21"/>
        </w:rPr>
        <w:t>未依法按时进行或通过机动车安全技术检验。</w:t>
      </w:r>
    </w:p>
    <w:p>
      <w:pPr>
        <w:pStyle w:val="ListParagraph"/>
        <w:numPr>
          <w:ilvl w:val="0"/>
          <w:numId w:val="102"/>
        </w:numPr>
        <w:tabs>
          <w:tab w:pos="541" w:val="left" w:leader="none"/>
        </w:tabs>
        <w:spacing w:line="331" w:lineRule="auto" w:before="132" w:after="0"/>
        <w:ind w:left="540" w:right="316" w:hanging="420"/>
        <w:jc w:val="left"/>
        <w:rPr>
          <w:sz w:val="21"/>
        </w:rPr>
      </w:pPr>
      <w:r>
        <w:rPr>
          <w:rFonts w:ascii="微软雅黑" w:eastAsia="微软雅黑"/>
          <w:b/>
          <w:spacing w:val="3"/>
          <w:sz w:val="21"/>
        </w:rPr>
        <w:t>遗传性疾病 </w:t>
      </w:r>
      <w:r>
        <w:rPr>
          <w:sz w:val="21"/>
        </w:rPr>
        <w:t>指生殖细胞或受精卵的遗传物质（染色体和基因）发生突变或畸变所引起</w:t>
      </w:r>
      <w:r>
        <w:rPr>
          <w:spacing w:val="-2"/>
          <w:sz w:val="21"/>
        </w:rPr>
        <w:t>的疾病，通常具有由亲代传至后代的垂直传递的特征。</w:t>
      </w:r>
    </w:p>
    <w:p>
      <w:pPr>
        <w:pStyle w:val="ListParagraph"/>
        <w:numPr>
          <w:ilvl w:val="0"/>
          <w:numId w:val="102"/>
        </w:numPr>
        <w:tabs>
          <w:tab w:pos="541" w:val="left" w:leader="none"/>
        </w:tabs>
        <w:spacing w:line="331" w:lineRule="auto" w:before="31" w:after="0"/>
        <w:ind w:left="540" w:right="311" w:hanging="420"/>
        <w:jc w:val="left"/>
        <w:rPr>
          <w:sz w:val="21"/>
        </w:rPr>
      </w:pPr>
      <w:r>
        <w:rPr>
          <w:rFonts w:ascii="微软雅黑" w:eastAsia="微软雅黑"/>
          <w:b/>
          <w:spacing w:val="1"/>
          <w:sz w:val="21"/>
        </w:rPr>
        <w:t>先天性畸形、变形或染色体异常 </w:t>
      </w:r>
      <w:r>
        <w:rPr>
          <w:sz w:val="21"/>
        </w:rPr>
        <w:t>指被保险人出生时就具有的畸形、变形或者染色体异</w:t>
      </w:r>
      <w:r>
        <w:rPr>
          <w:spacing w:val="-4"/>
          <w:sz w:val="21"/>
        </w:rPr>
        <w:t>常。先天性畸形、变形和染色体异常依照世界卫生组织《疾病和有关健康问题的国际统</w:t>
      </w:r>
    </w:p>
    <w:p>
      <w:pPr>
        <w:pStyle w:val="BodyText"/>
        <w:spacing w:before="98"/>
        <w:ind w:left="540"/>
      </w:pPr>
      <w:r>
        <w:rPr>
          <w:spacing w:val="-2"/>
        </w:rPr>
        <w:t>计分类》第十次修订版（</w:t>
      </w:r>
      <w:r>
        <w:rPr>
          <w:rFonts w:ascii="Calibri" w:eastAsia="Calibri"/>
          <w:spacing w:val="-2"/>
        </w:rPr>
        <w:t>ICD-10</w:t>
      </w:r>
      <w:r>
        <w:rPr>
          <w:spacing w:val="-2"/>
        </w:rPr>
        <w:t>）</w:t>
      </w:r>
      <w:r>
        <w:rPr>
          <w:spacing w:val="-5"/>
        </w:rPr>
        <w:t>确定。</w:t>
      </w:r>
    </w:p>
    <w:p>
      <w:pPr>
        <w:pStyle w:val="ListParagraph"/>
        <w:numPr>
          <w:ilvl w:val="0"/>
          <w:numId w:val="102"/>
        </w:numPr>
        <w:tabs>
          <w:tab w:pos="541" w:val="left" w:leader="none"/>
        </w:tabs>
        <w:spacing w:line="331" w:lineRule="auto" w:before="131" w:after="0"/>
        <w:ind w:left="540" w:right="316" w:hanging="420"/>
        <w:jc w:val="left"/>
        <w:rPr>
          <w:sz w:val="21"/>
        </w:rPr>
      </w:pPr>
      <w:r>
        <w:rPr>
          <w:rFonts w:ascii="微软雅黑" w:eastAsia="微软雅黑"/>
          <w:b/>
          <w:spacing w:val="3"/>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BodyText"/>
        <w:rPr>
          <w:sz w:val="20"/>
        </w:rPr>
      </w:pPr>
    </w:p>
    <w:p>
      <w:pPr>
        <w:pStyle w:val="BodyText"/>
        <w:spacing w:before="2"/>
        <w:rPr>
          <w:sz w:val="24"/>
        </w:rPr>
      </w:pPr>
    </w:p>
    <w:p>
      <w:pPr>
        <w:pStyle w:val="BodyText"/>
        <w:ind w:left="1066" w:right="1259"/>
        <w:jc w:val="center"/>
      </w:pPr>
      <w:r>
        <w:rPr/>
        <w:drawing>
          <wp:anchor distT="0" distB="0" distL="0" distR="0" allowOverlap="1" layoutInCell="1" locked="0" behindDoc="1" simplePos="0" relativeHeight="486302208">
            <wp:simplePos x="0" y="0"/>
            <wp:positionH relativeFrom="page">
              <wp:posOffset>3321684</wp:posOffset>
            </wp:positionH>
            <wp:positionV relativeFrom="paragraph">
              <wp:posOffset>22225</wp:posOffset>
            </wp:positionV>
            <wp:extent cx="123825" cy="127000"/>
            <wp:effectExtent l="0" t="0" r="0" b="0"/>
            <wp:wrapNone/>
            <wp:docPr id="175" name="image2.png"/>
            <wp:cNvGraphicFramePr>
              <a:graphicFrameLocks noChangeAspect="1"/>
            </wp:cNvGraphicFramePr>
            <a:graphic>
              <a:graphicData uri="http://schemas.openxmlformats.org/drawingml/2006/picture">
                <pic:pic>
                  <pic:nvPicPr>
                    <pic:cNvPr id="176" name="image2.png"/>
                    <pic:cNvPicPr/>
                  </pic:nvPicPr>
                  <pic:blipFill>
                    <a:blip r:embed="rId7" cstate="print"/>
                    <a:stretch>
                      <a:fillRect/>
                    </a:stretch>
                  </pic:blipFill>
                  <pic:spPr>
                    <a:xfrm>
                      <a:off x="0" y="0"/>
                      <a:ext cx="123825" cy="127000"/>
                    </a:xfrm>
                    <a:prstGeom prst="rect">
                      <a:avLst/>
                    </a:prstGeom>
                  </pic:spPr>
                </pic:pic>
              </a:graphicData>
            </a:graphic>
          </wp:anchor>
        </w:drawing>
      </w:r>
      <w:r>
        <w:rPr>
          <w:spacing w:val="-2"/>
        </w:rPr>
        <w:t>（本同条款内容结束</w:t>
      </w:r>
      <w:r>
        <w:rPr>
          <w:spacing w:val="-10"/>
        </w:rPr>
        <w:t>）</w:t>
      </w:r>
    </w:p>
    <w:sectPr>
      <w:pgSz w:w="11910" w:h="16840"/>
      <w:pgMar w:header="0" w:footer="1005" w:top="1460" w:bottom="1200" w:left="1680" w:right="1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微软雅黑">
    <w:altName w:val="微软雅黑"/>
    <w:charset w:val="86"/>
    <w:family w:val="swiss"/>
    <w:pitch w:val="variable"/>
  </w:font>
  <w:font w:name="Cambria Math">
    <w:altName w:val="Cambria Math"/>
    <w:charset w:val="0"/>
    <w:family w:val="roman"/>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7025536"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64</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5">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04">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03">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02">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01">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1"/>
      <w:numFmt w:val="decimal"/>
      <w:lvlText w:val="（%2）"/>
      <w:lvlJc w:val="left"/>
      <w:pPr>
        <w:ind w:left="1162" w:hanging="624"/>
        <w:jc w:val="left"/>
      </w:pPr>
      <w:rPr>
        <w:rFonts w:hint="default" w:ascii="宋体" w:hAnsi="宋体" w:eastAsia="宋体" w:cs="宋体"/>
        <w:b w:val="0"/>
        <w:bCs w:val="0"/>
        <w:i w:val="0"/>
        <w:iCs w:val="0"/>
        <w:spacing w:val="-2"/>
        <w:w w:val="100"/>
        <w:sz w:val="21"/>
        <w:szCs w:val="21"/>
        <w:lang w:val="en-US" w:eastAsia="zh-CN" w:bidi="ar-SA"/>
      </w:rPr>
    </w:lvl>
    <w:lvl w:ilvl="2">
      <w:start w:val="0"/>
      <w:numFmt w:val="bullet"/>
      <w:lvlText w:val="•"/>
      <w:lvlJc w:val="left"/>
      <w:pPr>
        <w:ind w:left="2002" w:hanging="624"/>
      </w:pPr>
      <w:rPr>
        <w:rFonts w:hint="default"/>
        <w:lang w:val="en-US" w:eastAsia="zh-CN" w:bidi="ar-SA"/>
      </w:rPr>
    </w:lvl>
    <w:lvl w:ilvl="3">
      <w:start w:val="0"/>
      <w:numFmt w:val="bullet"/>
      <w:lvlText w:val="•"/>
      <w:lvlJc w:val="left"/>
      <w:pPr>
        <w:ind w:left="2845" w:hanging="624"/>
      </w:pPr>
      <w:rPr>
        <w:rFonts w:hint="default"/>
        <w:lang w:val="en-US" w:eastAsia="zh-CN" w:bidi="ar-SA"/>
      </w:rPr>
    </w:lvl>
    <w:lvl w:ilvl="4">
      <w:start w:val="0"/>
      <w:numFmt w:val="bullet"/>
      <w:lvlText w:val="•"/>
      <w:lvlJc w:val="left"/>
      <w:pPr>
        <w:ind w:left="3688" w:hanging="624"/>
      </w:pPr>
      <w:rPr>
        <w:rFonts w:hint="default"/>
        <w:lang w:val="en-US" w:eastAsia="zh-CN" w:bidi="ar-SA"/>
      </w:rPr>
    </w:lvl>
    <w:lvl w:ilvl="5">
      <w:start w:val="0"/>
      <w:numFmt w:val="bullet"/>
      <w:lvlText w:val="•"/>
      <w:lvlJc w:val="left"/>
      <w:pPr>
        <w:ind w:left="4531" w:hanging="624"/>
      </w:pPr>
      <w:rPr>
        <w:rFonts w:hint="default"/>
        <w:lang w:val="en-US" w:eastAsia="zh-CN" w:bidi="ar-SA"/>
      </w:rPr>
    </w:lvl>
    <w:lvl w:ilvl="6">
      <w:start w:val="0"/>
      <w:numFmt w:val="bullet"/>
      <w:lvlText w:val="•"/>
      <w:lvlJc w:val="left"/>
      <w:pPr>
        <w:ind w:left="5374" w:hanging="624"/>
      </w:pPr>
      <w:rPr>
        <w:rFonts w:hint="default"/>
        <w:lang w:val="en-US" w:eastAsia="zh-CN" w:bidi="ar-SA"/>
      </w:rPr>
    </w:lvl>
    <w:lvl w:ilvl="7">
      <w:start w:val="0"/>
      <w:numFmt w:val="bullet"/>
      <w:lvlText w:val="•"/>
      <w:lvlJc w:val="left"/>
      <w:pPr>
        <w:ind w:left="6217" w:hanging="624"/>
      </w:pPr>
      <w:rPr>
        <w:rFonts w:hint="default"/>
        <w:lang w:val="en-US" w:eastAsia="zh-CN" w:bidi="ar-SA"/>
      </w:rPr>
    </w:lvl>
    <w:lvl w:ilvl="8">
      <w:start w:val="0"/>
      <w:numFmt w:val="bullet"/>
      <w:lvlText w:val="•"/>
      <w:lvlJc w:val="left"/>
      <w:pPr>
        <w:ind w:left="7060" w:hanging="624"/>
      </w:pPr>
      <w:rPr>
        <w:rFonts w:hint="default"/>
        <w:lang w:val="en-US" w:eastAsia="zh-CN" w:bidi="ar-SA"/>
      </w:rPr>
    </w:lvl>
  </w:abstractNum>
  <w:abstractNum w:abstractNumId="100">
    <w:multiLevelType w:val="hybridMultilevel"/>
    <w:lvl w:ilvl="0">
      <w:start w:val="1"/>
      <w:numFmt w:val="decimal"/>
      <w:lvlText w:val="(%1)"/>
      <w:lvlJc w:val="left"/>
      <w:pPr>
        <w:ind w:left="96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38" w:hanging="420"/>
      </w:pPr>
      <w:rPr>
        <w:rFonts w:hint="default"/>
        <w:lang w:val="en-US" w:eastAsia="zh-CN" w:bidi="ar-SA"/>
      </w:rPr>
    </w:lvl>
    <w:lvl w:ilvl="2">
      <w:start w:val="0"/>
      <w:numFmt w:val="bullet"/>
      <w:lvlText w:val="•"/>
      <w:lvlJc w:val="left"/>
      <w:pPr>
        <w:ind w:left="2517" w:hanging="420"/>
      </w:pPr>
      <w:rPr>
        <w:rFonts w:hint="default"/>
        <w:lang w:val="en-US" w:eastAsia="zh-CN" w:bidi="ar-SA"/>
      </w:rPr>
    </w:lvl>
    <w:lvl w:ilvl="3">
      <w:start w:val="0"/>
      <w:numFmt w:val="bullet"/>
      <w:lvlText w:val="•"/>
      <w:lvlJc w:val="left"/>
      <w:pPr>
        <w:ind w:left="3295" w:hanging="420"/>
      </w:pPr>
      <w:rPr>
        <w:rFonts w:hint="default"/>
        <w:lang w:val="en-US" w:eastAsia="zh-CN" w:bidi="ar-SA"/>
      </w:rPr>
    </w:lvl>
    <w:lvl w:ilvl="4">
      <w:start w:val="0"/>
      <w:numFmt w:val="bullet"/>
      <w:lvlText w:val="•"/>
      <w:lvlJc w:val="left"/>
      <w:pPr>
        <w:ind w:left="4074" w:hanging="420"/>
      </w:pPr>
      <w:rPr>
        <w:rFonts w:hint="default"/>
        <w:lang w:val="en-US" w:eastAsia="zh-CN" w:bidi="ar-SA"/>
      </w:rPr>
    </w:lvl>
    <w:lvl w:ilvl="5">
      <w:start w:val="0"/>
      <w:numFmt w:val="bullet"/>
      <w:lvlText w:val="•"/>
      <w:lvlJc w:val="left"/>
      <w:pPr>
        <w:ind w:left="4853" w:hanging="420"/>
      </w:pPr>
      <w:rPr>
        <w:rFonts w:hint="default"/>
        <w:lang w:val="en-US" w:eastAsia="zh-CN" w:bidi="ar-SA"/>
      </w:rPr>
    </w:lvl>
    <w:lvl w:ilvl="6">
      <w:start w:val="0"/>
      <w:numFmt w:val="bullet"/>
      <w:lvlText w:val="•"/>
      <w:lvlJc w:val="left"/>
      <w:pPr>
        <w:ind w:left="563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189" w:hanging="420"/>
      </w:pPr>
      <w:rPr>
        <w:rFonts w:hint="default"/>
        <w:lang w:val="en-US" w:eastAsia="zh-CN" w:bidi="ar-SA"/>
      </w:rPr>
    </w:lvl>
  </w:abstractNum>
  <w:abstractNum w:abstractNumId="99">
    <w:multiLevelType w:val="hybridMultilevel"/>
    <w:lvl w:ilvl="0">
      <w:start w:val="1"/>
      <w:numFmt w:val="decimal"/>
      <w:lvlText w:val="（%1）"/>
      <w:lvlJc w:val="left"/>
      <w:pPr>
        <w:ind w:left="932" w:hanging="529"/>
        <w:jc w:val="left"/>
      </w:pPr>
      <w:rPr>
        <w:rFonts w:hint="default" w:ascii="微软雅黑" w:hAnsi="微软雅黑" w:eastAsia="微软雅黑" w:cs="微软雅黑"/>
        <w:b/>
        <w:bCs/>
        <w:i w:val="0"/>
        <w:iCs w:val="0"/>
        <w:spacing w:val="-2"/>
        <w:w w:val="100"/>
        <w:sz w:val="19"/>
        <w:szCs w:val="19"/>
        <w:lang w:val="en-US" w:eastAsia="zh-CN" w:bidi="ar-SA"/>
      </w:rPr>
    </w:lvl>
    <w:lvl w:ilvl="1">
      <w:start w:val="0"/>
      <w:numFmt w:val="bullet"/>
      <w:lvlText w:val="•"/>
      <w:lvlJc w:val="left"/>
      <w:pPr>
        <w:ind w:left="1720" w:hanging="529"/>
      </w:pPr>
      <w:rPr>
        <w:rFonts w:hint="default"/>
        <w:lang w:val="en-US" w:eastAsia="zh-CN" w:bidi="ar-SA"/>
      </w:rPr>
    </w:lvl>
    <w:lvl w:ilvl="2">
      <w:start w:val="0"/>
      <w:numFmt w:val="bullet"/>
      <w:lvlText w:val="•"/>
      <w:lvlJc w:val="left"/>
      <w:pPr>
        <w:ind w:left="2501" w:hanging="529"/>
      </w:pPr>
      <w:rPr>
        <w:rFonts w:hint="default"/>
        <w:lang w:val="en-US" w:eastAsia="zh-CN" w:bidi="ar-SA"/>
      </w:rPr>
    </w:lvl>
    <w:lvl w:ilvl="3">
      <w:start w:val="0"/>
      <w:numFmt w:val="bullet"/>
      <w:lvlText w:val="•"/>
      <w:lvlJc w:val="left"/>
      <w:pPr>
        <w:ind w:left="3281" w:hanging="529"/>
      </w:pPr>
      <w:rPr>
        <w:rFonts w:hint="default"/>
        <w:lang w:val="en-US" w:eastAsia="zh-CN" w:bidi="ar-SA"/>
      </w:rPr>
    </w:lvl>
    <w:lvl w:ilvl="4">
      <w:start w:val="0"/>
      <w:numFmt w:val="bullet"/>
      <w:lvlText w:val="•"/>
      <w:lvlJc w:val="left"/>
      <w:pPr>
        <w:ind w:left="4062" w:hanging="529"/>
      </w:pPr>
      <w:rPr>
        <w:rFonts w:hint="default"/>
        <w:lang w:val="en-US" w:eastAsia="zh-CN" w:bidi="ar-SA"/>
      </w:rPr>
    </w:lvl>
    <w:lvl w:ilvl="5">
      <w:start w:val="0"/>
      <w:numFmt w:val="bullet"/>
      <w:lvlText w:val="•"/>
      <w:lvlJc w:val="left"/>
      <w:pPr>
        <w:ind w:left="4843" w:hanging="529"/>
      </w:pPr>
      <w:rPr>
        <w:rFonts w:hint="default"/>
        <w:lang w:val="en-US" w:eastAsia="zh-CN" w:bidi="ar-SA"/>
      </w:rPr>
    </w:lvl>
    <w:lvl w:ilvl="6">
      <w:start w:val="0"/>
      <w:numFmt w:val="bullet"/>
      <w:lvlText w:val="•"/>
      <w:lvlJc w:val="left"/>
      <w:pPr>
        <w:ind w:left="5623" w:hanging="529"/>
      </w:pPr>
      <w:rPr>
        <w:rFonts w:hint="default"/>
        <w:lang w:val="en-US" w:eastAsia="zh-CN" w:bidi="ar-SA"/>
      </w:rPr>
    </w:lvl>
    <w:lvl w:ilvl="7">
      <w:start w:val="0"/>
      <w:numFmt w:val="bullet"/>
      <w:lvlText w:val="•"/>
      <w:lvlJc w:val="left"/>
      <w:pPr>
        <w:ind w:left="6404" w:hanging="529"/>
      </w:pPr>
      <w:rPr>
        <w:rFonts w:hint="default"/>
        <w:lang w:val="en-US" w:eastAsia="zh-CN" w:bidi="ar-SA"/>
      </w:rPr>
    </w:lvl>
    <w:lvl w:ilvl="8">
      <w:start w:val="0"/>
      <w:numFmt w:val="bullet"/>
      <w:lvlText w:val="•"/>
      <w:lvlJc w:val="left"/>
      <w:pPr>
        <w:ind w:left="7185" w:hanging="529"/>
      </w:pPr>
      <w:rPr>
        <w:rFonts w:hint="default"/>
        <w:lang w:val="en-US" w:eastAsia="zh-CN" w:bidi="ar-SA"/>
      </w:rPr>
    </w:lvl>
  </w:abstractNum>
  <w:abstractNum w:abstractNumId="98">
    <w:multiLevelType w:val="hybridMultilevel"/>
    <w:lvl w:ilvl="0">
      <w:start w:val="1"/>
      <w:numFmt w:val="decimal"/>
      <w:lvlText w:val="%1）"/>
      <w:lvlJc w:val="left"/>
      <w:pPr>
        <w:ind w:left="1320" w:hanging="360"/>
        <w:jc w:val="left"/>
      </w:pPr>
      <w:rPr>
        <w:rFonts w:hint="default" w:ascii="Calibri" w:hAnsi="Calibri" w:eastAsia="Calibri" w:cs="Calibri"/>
        <w:b/>
        <w:bCs/>
        <w:i w:val="0"/>
        <w:iCs w:val="0"/>
        <w:spacing w:val="-2"/>
        <w:w w:val="100"/>
        <w:sz w:val="21"/>
        <w:szCs w:val="21"/>
        <w:lang w:val="en-US" w:eastAsia="zh-CN" w:bidi="ar-SA"/>
      </w:rPr>
    </w:lvl>
    <w:lvl w:ilvl="1">
      <w:start w:val="0"/>
      <w:numFmt w:val="bullet"/>
      <w:lvlText w:val="•"/>
      <w:lvlJc w:val="left"/>
      <w:pPr>
        <w:ind w:left="2062" w:hanging="360"/>
      </w:pPr>
      <w:rPr>
        <w:rFonts w:hint="default"/>
        <w:lang w:val="en-US" w:eastAsia="zh-CN" w:bidi="ar-SA"/>
      </w:rPr>
    </w:lvl>
    <w:lvl w:ilvl="2">
      <w:start w:val="0"/>
      <w:numFmt w:val="bullet"/>
      <w:lvlText w:val="•"/>
      <w:lvlJc w:val="left"/>
      <w:pPr>
        <w:ind w:left="2805" w:hanging="360"/>
      </w:pPr>
      <w:rPr>
        <w:rFonts w:hint="default"/>
        <w:lang w:val="en-US" w:eastAsia="zh-CN" w:bidi="ar-SA"/>
      </w:rPr>
    </w:lvl>
    <w:lvl w:ilvl="3">
      <w:start w:val="0"/>
      <w:numFmt w:val="bullet"/>
      <w:lvlText w:val="•"/>
      <w:lvlJc w:val="left"/>
      <w:pPr>
        <w:ind w:left="3547" w:hanging="360"/>
      </w:pPr>
      <w:rPr>
        <w:rFonts w:hint="default"/>
        <w:lang w:val="en-US" w:eastAsia="zh-CN" w:bidi="ar-SA"/>
      </w:rPr>
    </w:lvl>
    <w:lvl w:ilvl="4">
      <w:start w:val="0"/>
      <w:numFmt w:val="bullet"/>
      <w:lvlText w:val="•"/>
      <w:lvlJc w:val="left"/>
      <w:pPr>
        <w:ind w:left="4290" w:hanging="360"/>
      </w:pPr>
      <w:rPr>
        <w:rFonts w:hint="default"/>
        <w:lang w:val="en-US" w:eastAsia="zh-CN" w:bidi="ar-SA"/>
      </w:rPr>
    </w:lvl>
    <w:lvl w:ilvl="5">
      <w:start w:val="0"/>
      <w:numFmt w:val="bullet"/>
      <w:lvlText w:val="•"/>
      <w:lvlJc w:val="left"/>
      <w:pPr>
        <w:ind w:left="5033" w:hanging="360"/>
      </w:pPr>
      <w:rPr>
        <w:rFonts w:hint="default"/>
        <w:lang w:val="en-US" w:eastAsia="zh-CN" w:bidi="ar-SA"/>
      </w:rPr>
    </w:lvl>
    <w:lvl w:ilvl="6">
      <w:start w:val="0"/>
      <w:numFmt w:val="bullet"/>
      <w:lvlText w:val="•"/>
      <w:lvlJc w:val="left"/>
      <w:pPr>
        <w:ind w:left="5775" w:hanging="360"/>
      </w:pPr>
      <w:rPr>
        <w:rFonts w:hint="default"/>
        <w:lang w:val="en-US" w:eastAsia="zh-CN" w:bidi="ar-SA"/>
      </w:rPr>
    </w:lvl>
    <w:lvl w:ilvl="7">
      <w:start w:val="0"/>
      <w:numFmt w:val="bullet"/>
      <w:lvlText w:val="•"/>
      <w:lvlJc w:val="left"/>
      <w:pPr>
        <w:ind w:left="6518" w:hanging="360"/>
      </w:pPr>
      <w:rPr>
        <w:rFonts w:hint="default"/>
        <w:lang w:val="en-US" w:eastAsia="zh-CN" w:bidi="ar-SA"/>
      </w:rPr>
    </w:lvl>
    <w:lvl w:ilvl="8">
      <w:start w:val="0"/>
      <w:numFmt w:val="bullet"/>
      <w:lvlText w:val="•"/>
      <w:lvlJc w:val="left"/>
      <w:pPr>
        <w:ind w:left="7261" w:hanging="360"/>
      </w:pPr>
      <w:rPr>
        <w:rFonts w:hint="default"/>
        <w:lang w:val="en-US" w:eastAsia="zh-CN" w:bidi="ar-SA"/>
      </w:rPr>
    </w:lvl>
  </w:abstractNum>
  <w:abstractNum w:abstractNumId="97">
    <w:multiLevelType w:val="hybridMultilevel"/>
    <w:lvl w:ilvl="0">
      <w:start w:val="1"/>
      <w:numFmt w:val="decimal"/>
      <w:lvlText w:val="%1）"/>
      <w:lvlJc w:val="left"/>
      <w:pPr>
        <w:ind w:left="1320" w:hanging="360"/>
        <w:jc w:val="left"/>
      </w:pPr>
      <w:rPr>
        <w:rFonts w:hint="default" w:ascii="Calibri" w:hAnsi="Calibri" w:eastAsia="Calibri" w:cs="Calibri"/>
        <w:b/>
        <w:bCs/>
        <w:i w:val="0"/>
        <w:iCs w:val="0"/>
        <w:spacing w:val="-2"/>
        <w:w w:val="100"/>
        <w:sz w:val="21"/>
        <w:szCs w:val="21"/>
        <w:lang w:val="en-US" w:eastAsia="zh-CN" w:bidi="ar-SA"/>
      </w:rPr>
    </w:lvl>
    <w:lvl w:ilvl="1">
      <w:start w:val="0"/>
      <w:numFmt w:val="bullet"/>
      <w:lvlText w:val="•"/>
      <w:lvlJc w:val="left"/>
      <w:pPr>
        <w:ind w:left="2062" w:hanging="360"/>
      </w:pPr>
      <w:rPr>
        <w:rFonts w:hint="default"/>
        <w:lang w:val="en-US" w:eastAsia="zh-CN" w:bidi="ar-SA"/>
      </w:rPr>
    </w:lvl>
    <w:lvl w:ilvl="2">
      <w:start w:val="0"/>
      <w:numFmt w:val="bullet"/>
      <w:lvlText w:val="•"/>
      <w:lvlJc w:val="left"/>
      <w:pPr>
        <w:ind w:left="2805" w:hanging="360"/>
      </w:pPr>
      <w:rPr>
        <w:rFonts w:hint="default"/>
        <w:lang w:val="en-US" w:eastAsia="zh-CN" w:bidi="ar-SA"/>
      </w:rPr>
    </w:lvl>
    <w:lvl w:ilvl="3">
      <w:start w:val="0"/>
      <w:numFmt w:val="bullet"/>
      <w:lvlText w:val="•"/>
      <w:lvlJc w:val="left"/>
      <w:pPr>
        <w:ind w:left="3547" w:hanging="360"/>
      </w:pPr>
      <w:rPr>
        <w:rFonts w:hint="default"/>
        <w:lang w:val="en-US" w:eastAsia="zh-CN" w:bidi="ar-SA"/>
      </w:rPr>
    </w:lvl>
    <w:lvl w:ilvl="4">
      <w:start w:val="0"/>
      <w:numFmt w:val="bullet"/>
      <w:lvlText w:val="•"/>
      <w:lvlJc w:val="left"/>
      <w:pPr>
        <w:ind w:left="4290" w:hanging="360"/>
      </w:pPr>
      <w:rPr>
        <w:rFonts w:hint="default"/>
        <w:lang w:val="en-US" w:eastAsia="zh-CN" w:bidi="ar-SA"/>
      </w:rPr>
    </w:lvl>
    <w:lvl w:ilvl="5">
      <w:start w:val="0"/>
      <w:numFmt w:val="bullet"/>
      <w:lvlText w:val="•"/>
      <w:lvlJc w:val="left"/>
      <w:pPr>
        <w:ind w:left="5033" w:hanging="360"/>
      </w:pPr>
      <w:rPr>
        <w:rFonts w:hint="default"/>
        <w:lang w:val="en-US" w:eastAsia="zh-CN" w:bidi="ar-SA"/>
      </w:rPr>
    </w:lvl>
    <w:lvl w:ilvl="6">
      <w:start w:val="0"/>
      <w:numFmt w:val="bullet"/>
      <w:lvlText w:val="•"/>
      <w:lvlJc w:val="left"/>
      <w:pPr>
        <w:ind w:left="5775" w:hanging="360"/>
      </w:pPr>
      <w:rPr>
        <w:rFonts w:hint="default"/>
        <w:lang w:val="en-US" w:eastAsia="zh-CN" w:bidi="ar-SA"/>
      </w:rPr>
    </w:lvl>
    <w:lvl w:ilvl="7">
      <w:start w:val="0"/>
      <w:numFmt w:val="bullet"/>
      <w:lvlText w:val="•"/>
      <w:lvlJc w:val="left"/>
      <w:pPr>
        <w:ind w:left="6518" w:hanging="360"/>
      </w:pPr>
      <w:rPr>
        <w:rFonts w:hint="default"/>
        <w:lang w:val="en-US" w:eastAsia="zh-CN" w:bidi="ar-SA"/>
      </w:rPr>
    </w:lvl>
    <w:lvl w:ilvl="8">
      <w:start w:val="0"/>
      <w:numFmt w:val="bullet"/>
      <w:lvlText w:val="•"/>
      <w:lvlJc w:val="left"/>
      <w:pPr>
        <w:ind w:left="7261" w:hanging="360"/>
      </w:pPr>
      <w:rPr>
        <w:rFonts w:hint="default"/>
        <w:lang w:val="en-US" w:eastAsia="zh-CN" w:bidi="ar-SA"/>
      </w:rPr>
    </w:lvl>
  </w:abstractNum>
  <w:abstractNum w:abstractNumId="96">
    <w:multiLevelType w:val="hybridMultilevel"/>
    <w:lvl w:ilvl="0">
      <w:start w:val="1"/>
      <w:numFmt w:val="decimal"/>
      <w:lvlText w:val="%1）"/>
      <w:lvlJc w:val="left"/>
      <w:pPr>
        <w:ind w:left="1320" w:hanging="360"/>
        <w:jc w:val="left"/>
      </w:pPr>
      <w:rPr>
        <w:rFonts w:hint="default"/>
        <w:w w:val="100"/>
        <w:lang w:val="en-US" w:eastAsia="zh-CN" w:bidi="ar-SA"/>
      </w:rPr>
    </w:lvl>
    <w:lvl w:ilvl="1">
      <w:start w:val="0"/>
      <w:numFmt w:val="bullet"/>
      <w:lvlText w:val="•"/>
      <w:lvlJc w:val="left"/>
      <w:pPr>
        <w:ind w:left="2062" w:hanging="360"/>
      </w:pPr>
      <w:rPr>
        <w:rFonts w:hint="default"/>
        <w:lang w:val="en-US" w:eastAsia="zh-CN" w:bidi="ar-SA"/>
      </w:rPr>
    </w:lvl>
    <w:lvl w:ilvl="2">
      <w:start w:val="0"/>
      <w:numFmt w:val="bullet"/>
      <w:lvlText w:val="•"/>
      <w:lvlJc w:val="left"/>
      <w:pPr>
        <w:ind w:left="2805" w:hanging="360"/>
      </w:pPr>
      <w:rPr>
        <w:rFonts w:hint="default"/>
        <w:lang w:val="en-US" w:eastAsia="zh-CN" w:bidi="ar-SA"/>
      </w:rPr>
    </w:lvl>
    <w:lvl w:ilvl="3">
      <w:start w:val="0"/>
      <w:numFmt w:val="bullet"/>
      <w:lvlText w:val="•"/>
      <w:lvlJc w:val="left"/>
      <w:pPr>
        <w:ind w:left="3547" w:hanging="360"/>
      </w:pPr>
      <w:rPr>
        <w:rFonts w:hint="default"/>
        <w:lang w:val="en-US" w:eastAsia="zh-CN" w:bidi="ar-SA"/>
      </w:rPr>
    </w:lvl>
    <w:lvl w:ilvl="4">
      <w:start w:val="0"/>
      <w:numFmt w:val="bullet"/>
      <w:lvlText w:val="•"/>
      <w:lvlJc w:val="left"/>
      <w:pPr>
        <w:ind w:left="4290" w:hanging="360"/>
      </w:pPr>
      <w:rPr>
        <w:rFonts w:hint="default"/>
        <w:lang w:val="en-US" w:eastAsia="zh-CN" w:bidi="ar-SA"/>
      </w:rPr>
    </w:lvl>
    <w:lvl w:ilvl="5">
      <w:start w:val="0"/>
      <w:numFmt w:val="bullet"/>
      <w:lvlText w:val="•"/>
      <w:lvlJc w:val="left"/>
      <w:pPr>
        <w:ind w:left="5033" w:hanging="360"/>
      </w:pPr>
      <w:rPr>
        <w:rFonts w:hint="default"/>
        <w:lang w:val="en-US" w:eastAsia="zh-CN" w:bidi="ar-SA"/>
      </w:rPr>
    </w:lvl>
    <w:lvl w:ilvl="6">
      <w:start w:val="0"/>
      <w:numFmt w:val="bullet"/>
      <w:lvlText w:val="•"/>
      <w:lvlJc w:val="left"/>
      <w:pPr>
        <w:ind w:left="5775" w:hanging="360"/>
      </w:pPr>
      <w:rPr>
        <w:rFonts w:hint="default"/>
        <w:lang w:val="en-US" w:eastAsia="zh-CN" w:bidi="ar-SA"/>
      </w:rPr>
    </w:lvl>
    <w:lvl w:ilvl="7">
      <w:start w:val="0"/>
      <w:numFmt w:val="bullet"/>
      <w:lvlText w:val="•"/>
      <w:lvlJc w:val="left"/>
      <w:pPr>
        <w:ind w:left="6518" w:hanging="360"/>
      </w:pPr>
      <w:rPr>
        <w:rFonts w:hint="default"/>
        <w:lang w:val="en-US" w:eastAsia="zh-CN" w:bidi="ar-SA"/>
      </w:rPr>
    </w:lvl>
    <w:lvl w:ilvl="8">
      <w:start w:val="0"/>
      <w:numFmt w:val="bullet"/>
      <w:lvlText w:val="•"/>
      <w:lvlJc w:val="left"/>
      <w:pPr>
        <w:ind w:left="7261" w:hanging="360"/>
      </w:pPr>
      <w:rPr>
        <w:rFonts w:hint="default"/>
        <w:lang w:val="en-US" w:eastAsia="zh-CN" w:bidi="ar-SA"/>
      </w:rPr>
    </w:lvl>
  </w:abstractNum>
  <w:abstractNum w:abstractNumId="95">
    <w:multiLevelType w:val="hybridMultilevel"/>
    <w:lvl w:ilvl="0">
      <w:start w:val="1"/>
      <w:numFmt w:val="decimal"/>
      <w:lvlText w:val="（%1）"/>
      <w:lvlJc w:val="left"/>
      <w:pPr>
        <w:ind w:left="932" w:hanging="529"/>
        <w:jc w:val="left"/>
      </w:pPr>
      <w:rPr>
        <w:rFonts w:hint="default" w:ascii="微软雅黑" w:hAnsi="微软雅黑" w:eastAsia="微软雅黑" w:cs="微软雅黑"/>
        <w:b/>
        <w:bCs/>
        <w:i w:val="0"/>
        <w:iCs w:val="0"/>
        <w:spacing w:val="-2"/>
        <w:w w:val="100"/>
        <w:sz w:val="19"/>
        <w:szCs w:val="19"/>
        <w:lang w:val="en-US" w:eastAsia="zh-CN" w:bidi="ar-SA"/>
      </w:rPr>
    </w:lvl>
    <w:lvl w:ilvl="1">
      <w:start w:val="1"/>
      <w:numFmt w:val="decimal"/>
      <w:lvlText w:val="%2）"/>
      <w:lvlJc w:val="left"/>
      <w:pPr>
        <w:ind w:left="1320" w:hanging="360"/>
        <w:jc w:val="left"/>
      </w:pPr>
      <w:rPr>
        <w:rFonts w:hint="default"/>
        <w:spacing w:val="-2"/>
        <w:w w:val="100"/>
        <w:lang w:val="en-US" w:eastAsia="zh-CN" w:bidi="ar-SA"/>
      </w:rPr>
    </w:lvl>
    <w:lvl w:ilvl="2">
      <w:start w:val="0"/>
      <w:numFmt w:val="bullet"/>
      <w:lvlText w:val="•"/>
      <w:lvlJc w:val="left"/>
      <w:pPr>
        <w:ind w:left="2145" w:hanging="360"/>
      </w:pPr>
      <w:rPr>
        <w:rFonts w:hint="default"/>
        <w:lang w:val="en-US" w:eastAsia="zh-CN" w:bidi="ar-SA"/>
      </w:rPr>
    </w:lvl>
    <w:lvl w:ilvl="3">
      <w:start w:val="0"/>
      <w:numFmt w:val="bullet"/>
      <w:lvlText w:val="•"/>
      <w:lvlJc w:val="left"/>
      <w:pPr>
        <w:ind w:left="2970" w:hanging="360"/>
      </w:pPr>
      <w:rPr>
        <w:rFonts w:hint="default"/>
        <w:lang w:val="en-US" w:eastAsia="zh-CN" w:bidi="ar-SA"/>
      </w:rPr>
    </w:lvl>
    <w:lvl w:ilvl="4">
      <w:start w:val="0"/>
      <w:numFmt w:val="bullet"/>
      <w:lvlText w:val="•"/>
      <w:lvlJc w:val="left"/>
      <w:pPr>
        <w:ind w:left="3795" w:hanging="360"/>
      </w:pPr>
      <w:rPr>
        <w:rFonts w:hint="default"/>
        <w:lang w:val="en-US" w:eastAsia="zh-CN" w:bidi="ar-SA"/>
      </w:rPr>
    </w:lvl>
    <w:lvl w:ilvl="5">
      <w:start w:val="0"/>
      <w:numFmt w:val="bullet"/>
      <w:lvlText w:val="•"/>
      <w:lvlJc w:val="left"/>
      <w:pPr>
        <w:ind w:left="4620" w:hanging="360"/>
      </w:pPr>
      <w:rPr>
        <w:rFonts w:hint="default"/>
        <w:lang w:val="en-US" w:eastAsia="zh-CN" w:bidi="ar-SA"/>
      </w:rPr>
    </w:lvl>
    <w:lvl w:ilvl="6">
      <w:start w:val="0"/>
      <w:numFmt w:val="bullet"/>
      <w:lvlText w:val="•"/>
      <w:lvlJc w:val="left"/>
      <w:pPr>
        <w:ind w:left="5445" w:hanging="360"/>
      </w:pPr>
      <w:rPr>
        <w:rFonts w:hint="default"/>
        <w:lang w:val="en-US" w:eastAsia="zh-CN" w:bidi="ar-SA"/>
      </w:rPr>
    </w:lvl>
    <w:lvl w:ilvl="7">
      <w:start w:val="0"/>
      <w:numFmt w:val="bullet"/>
      <w:lvlText w:val="•"/>
      <w:lvlJc w:val="left"/>
      <w:pPr>
        <w:ind w:left="6270" w:hanging="360"/>
      </w:pPr>
      <w:rPr>
        <w:rFonts w:hint="default"/>
        <w:lang w:val="en-US" w:eastAsia="zh-CN" w:bidi="ar-SA"/>
      </w:rPr>
    </w:lvl>
    <w:lvl w:ilvl="8">
      <w:start w:val="0"/>
      <w:numFmt w:val="bullet"/>
      <w:lvlText w:val="•"/>
      <w:lvlJc w:val="left"/>
      <w:pPr>
        <w:ind w:left="7096" w:hanging="360"/>
      </w:pPr>
      <w:rPr>
        <w:rFonts w:hint="default"/>
        <w:lang w:val="en-US" w:eastAsia="zh-CN" w:bidi="ar-SA"/>
      </w:rPr>
    </w:lvl>
  </w:abstractNum>
  <w:abstractNum w:abstractNumId="94">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93">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92">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91">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90">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9">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8">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7">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6">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5">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4">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3">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2">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81">
    <w:multiLevelType w:val="hybridMultilevel"/>
    <w:lvl w:ilvl="0">
      <w:start w:val="1"/>
      <w:numFmt w:val="decimal"/>
      <w:lvlText w:val="（%1）"/>
      <w:lvlJc w:val="left"/>
      <w:pPr>
        <w:ind w:left="965"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38" w:hanging="836"/>
      </w:pPr>
      <w:rPr>
        <w:rFonts w:hint="default"/>
        <w:lang w:val="en-US" w:eastAsia="zh-CN" w:bidi="ar-SA"/>
      </w:rPr>
    </w:lvl>
    <w:lvl w:ilvl="2">
      <w:start w:val="0"/>
      <w:numFmt w:val="bullet"/>
      <w:lvlText w:val="•"/>
      <w:lvlJc w:val="left"/>
      <w:pPr>
        <w:ind w:left="2517" w:hanging="836"/>
      </w:pPr>
      <w:rPr>
        <w:rFonts w:hint="default"/>
        <w:lang w:val="en-US" w:eastAsia="zh-CN" w:bidi="ar-SA"/>
      </w:rPr>
    </w:lvl>
    <w:lvl w:ilvl="3">
      <w:start w:val="0"/>
      <w:numFmt w:val="bullet"/>
      <w:lvlText w:val="•"/>
      <w:lvlJc w:val="left"/>
      <w:pPr>
        <w:ind w:left="3295" w:hanging="836"/>
      </w:pPr>
      <w:rPr>
        <w:rFonts w:hint="default"/>
        <w:lang w:val="en-US" w:eastAsia="zh-CN" w:bidi="ar-SA"/>
      </w:rPr>
    </w:lvl>
    <w:lvl w:ilvl="4">
      <w:start w:val="0"/>
      <w:numFmt w:val="bullet"/>
      <w:lvlText w:val="•"/>
      <w:lvlJc w:val="left"/>
      <w:pPr>
        <w:ind w:left="4074" w:hanging="836"/>
      </w:pPr>
      <w:rPr>
        <w:rFonts w:hint="default"/>
        <w:lang w:val="en-US" w:eastAsia="zh-CN" w:bidi="ar-SA"/>
      </w:rPr>
    </w:lvl>
    <w:lvl w:ilvl="5">
      <w:start w:val="0"/>
      <w:numFmt w:val="bullet"/>
      <w:lvlText w:val="•"/>
      <w:lvlJc w:val="left"/>
      <w:pPr>
        <w:ind w:left="4853" w:hanging="836"/>
      </w:pPr>
      <w:rPr>
        <w:rFonts w:hint="default"/>
        <w:lang w:val="en-US" w:eastAsia="zh-CN" w:bidi="ar-SA"/>
      </w:rPr>
    </w:lvl>
    <w:lvl w:ilvl="6">
      <w:start w:val="0"/>
      <w:numFmt w:val="bullet"/>
      <w:lvlText w:val="•"/>
      <w:lvlJc w:val="left"/>
      <w:pPr>
        <w:ind w:left="5631" w:hanging="836"/>
      </w:pPr>
      <w:rPr>
        <w:rFonts w:hint="default"/>
        <w:lang w:val="en-US" w:eastAsia="zh-CN" w:bidi="ar-SA"/>
      </w:rPr>
    </w:lvl>
    <w:lvl w:ilvl="7">
      <w:start w:val="0"/>
      <w:numFmt w:val="bullet"/>
      <w:lvlText w:val="•"/>
      <w:lvlJc w:val="left"/>
      <w:pPr>
        <w:ind w:left="6410" w:hanging="836"/>
      </w:pPr>
      <w:rPr>
        <w:rFonts w:hint="default"/>
        <w:lang w:val="en-US" w:eastAsia="zh-CN" w:bidi="ar-SA"/>
      </w:rPr>
    </w:lvl>
    <w:lvl w:ilvl="8">
      <w:start w:val="0"/>
      <w:numFmt w:val="bullet"/>
      <w:lvlText w:val="•"/>
      <w:lvlJc w:val="left"/>
      <w:pPr>
        <w:ind w:left="7189" w:hanging="836"/>
      </w:pPr>
      <w:rPr>
        <w:rFonts w:hint="default"/>
        <w:lang w:val="en-US" w:eastAsia="zh-CN" w:bidi="ar-SA"/>
      </w:rPr>
    </w:lvl>
  </w:abstractNum>
  <w:abstractNum w:abstractNumId="80">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9">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1106" w:hanging="420"/>
        <w:jc w:val="left"/>
      </w:pPr>
      <w:rPr>
        <w:rFonts w:hint="default" w:ascii="微软雅黑" w:hAnsi="微软雅黑" w:eastAsia="微软雅黑" w:cs="微软雅黑"/>
        <w:b/>
        <w:bCs/>
        <w:i w:val="0"/>
        <w:iCs w:val="0"/>
        <w:w w:val="103"/>
        <w:sz w:val="21"/>
        <w:szCs w:val="21"/>
        <w:lang w:val="en-US" w:eastAsia="zh-CN" w:bidi="ar-SA"/>
      </w:rPr>
    </w:lvl>
    <w:lvl w:ilvl="2">
      <w:start w:val="0"/>
      <w:numFmt w:val="bullet"/>
      <w:lvlText w:val="•"/>
      <w:lvlJc w:val="left"/>
      <w:pPr>
        <w:ind w:left="2198" w:hanging="420"/>
      </w:pPr>
      <w:rPr>
        <w:rFonts w:hint="default"/>
        <w:lang w:val="en-US" w:eastAsia="zh-CN" w:bidi="ar-SA"/>
      </w:rPr>
    </w:lvl>
    <w:lvl w:ilvl="3">
      <w:start w:val="0"/>
      <w:numFmt w:val="bullet"/>
      <w:lvlText w:val="•"/>
      <w:lvlJc w:val="left"/>
      <w:pPr>
        <w:ind w:left="3016" w:hanging="420"/>
      </w:pPr>
      <w:rPr>
        <w:rFonts w:hint="default"/>
        <w:lang w:val="en-US" w:eastAsia="zh-CN" w:bidi="ar-SA"/>
      </w:rPr>
    </w:lvl>
    <w:lvl w:ilvl="4">
      <w:start w:val="0"/>
      <w:numFmt w:val="bullet"/>
      <w:lvlText w:val="•"/>
      <w:lvlJc w:val="left"/>
      <w:pPr>
        <w:ind w:left="3835" w:hanging="420"/>
      </w:pPr>
      <w:rPr>
        <w:rFonts w:hint="default"/>
        <w:lang w:val="en-US" w:eastAsia="zh-CN" w:bidi="ar-SA"/>
      </w:rPr>
    </w:lvl>
    <w:lvl w:ilvl="5">
      <w:start w:val="0"/>
      <w:numFmt w:val="bullet"/>
      <w:lvlText w:val="•"/>
      <w:lvlJc w:val="left"/>
      <w:pPr>
        <w:ind w:left="4653" w:hanging="420"/>
      </w:pPr>
      <w:rPr>
        <w:rFonts w:hint="default"/>
        <w:lang w:val="en-US" w:eastAsia="zh-CN" w:bidi="ar-SA"/>
      </w:rPr>
    </w:lvl>
    <w:lvl w:ilvl="6">
      <w:start w:val="0"/>
      <w:numFmt w:val="bullet"/>
      <w:lvlText w:val="•"/>
      <w:lvlJc w:val="left"/>
      <w:pPr>
        <w:ind w:left="5472" w:hanging="420"/>
      </w:pPr>
      <w:rPr>
        <w:rFonts w:hint="default"/>
        <w:lang w:val="en-US" w:eastAsia="zh-CN" w:bidi="ar-SA"/>
      </w:rPr>
    </w:lvl>
    <w:lvl w:ilvl="7">
      <w:start w:val="0"/>
      <w:numFmt w:val="bullet"/>
      <w:lvlText w:val="•"/>
      <w:lvlJc w:val="left"/>
      <w:pPr>
        <w:ind w:left="6290" w:hanging="420"/>
      </w:pPr>
      <w:rPr>
        <w:rFonts w:hint="default"/>
        <w:lang w:val="en-US" w:eastAsia="zh-CN" w:bidi="ar-SA"/>
      </w:rPr>
    </w:lvl>
    <w:lvl w:ilvl="8">
      <w:start w:val="0"/>
      <w:numFmt w:val="bullet"/>
      <w:lvlText w:val="•"/>
      <w:lvlJc w:val="left"/>
      <w:pPr>
        <w:ind w:left="7109" w:hanging="420"/>
      </w:pPr>
      <w:rPr>
        <w:rFonts w:hint="default"/>
        <w:lang w:val="en-US" w:eastAsia="zh-CN" w:bidi="ar-SA"/>
      </w:rPr>
    </w:lvl>
  </w:abstractNum>
  <w:abstractNum w:abstractNumId="78">
    <w:multiLevelType w:val="hybridMultilevel"/>
    <w:lvl w:ilvl="0">
      <w:start w:val="1"/>
      <w:numFmt w:val="decimal"/>
      <w:lvlText w:val="（%1）"/>
      <w:lvlJc w:val="left"/>
      <w:pPr>
        <w:ind w:left="1380" w:hanging="836"/>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7">
    <w:multiLevelType w:val="hybridMultilevel"/>
    <w:lvl w:ilvl="0">
      <w:start w:val="1"/>
      <w:numFmt w:val="decimal"/>
      <w:lvlText w:val="（%1）"/>
      <w:lvlJc w:val="left"/>
      <w:pPr>
        <w:ind w:left="965"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38" w:hanging="836"/>
      </w:pPr>
      <w:rPr>
        <w:rFonts w:hint="default"/>
        <w:lang w:val="en-US" w:eastAsia="zh-CN" w:bidi="ar-SA"/>
      </w:rPr>
    </w:lvl>
    <w:lvl w:ilvl="2">
      <w:start w:val="0"/>
      <w:numFmt w:val="bullet"/>
      <w:lvlText w:val="•"/>
      <w:lvlJc w:val="left"/>
      <w:pPr>
        <w:ind w:left="2517" w:hanging="836"/>
      </w:pPr>
      <w:rPr>
        <w:rFonts w:hint="default"/>
        <w:lang w:val="en-US" w:eastAsia="zh-CN" w:bidi="ar-SA"/>
      </w:rPr>
    </w:lvl>
    <w:lvl w:ilvl="3">
      <w:start w:val="0"/>
      <w:numFmt w:val="bullet"/>
      <w:lvlText w:val="•"/>
      <w:lvlJc w:val="left"/>
      <w:pPr>
        <w:ind w:left="3295" w:hanging="836"/>
      </w:pPr>
      <w:rPr>
        <w:rFonts w:hint="default"/>
        <w:lang w:val="en-US" w:eastAsia="zh-CN" w:bidi="ar-SA"/>
      </w:rPr>
    </w:lvl>
    <w:lvl w:ilvl="4">
      <w:start w:val="0"/>
      <w:numFmt w:val="bullet"/>
      <w:lvlText w:val="•"/>
      <w:lvlJc w:val="left"/>
      <w:pPr>
        <w:ind w:left="4074" w:hanging="836"/>
      </w:pPr>
      <w:rPr>
        <w:rFonts w:hint="default"/>
        <w:lang w:val="en-US" w:eastAsia="zh-CN" w:bidi="ar-SA"/>
      </w:rPr>
    </w:lvl>
    <w:lvl w:ilvl="5">
      <w:start w:val="0"/>
      <w:numFmt w:val="bullet"/>
      <w:lvlText w:val="•"/>
      <w:lvlJc w:val="left"/>
      <w:pPr>
        <w:ind w:left="4853" w:hanging="836"/>
      </w:pPr>
      <w:rPr>
        <w:rFonts w:hint="default"/>
        <w:lang w:val="en-US" w:eastAsia="zh-CN" w:bidi="ar-SA"/>
      </w:rPr>
    </w:lvl>
    <w:lvl w:ilvl="6">
      <w:start w:val="0"/>
      <w:numFmt w:val="bullet"/>
      <w:lvlText w:val="•"/>
      <w:lvlJc w:val="left"/>
      <w:pPr>
        <w:ind w:left="5631" w:hanging="836"/>
      </w:pPr>
      <w:rPr>
        <w:rFonts w:hint="default"/>
        <w:lang w:val="en-US" w:eastAsia="zh-CN" w:bidi="ar-SA"/>
      </w:rPr>
    </w:lvl>
    <w:lvl w:ilvl="7">
      <w:start w:val="0"/>
      <w:numFmt w:val="bullet"/>
      <w:lvlText w:val="•"/>
      <w:lvlJc w:val="left"/>
      <w:pPr>
        <w:ind w:left="6410" w:hanging="836"/>
      </w:pPr>
      <w:rPr>
        <w:rFonts w:hint="default"/>
        <w:lang w:val="en-US" w:eastAsia="zh-CN" w:bidi="ar-SA"/>
      </w:rPr>
    </w:lvl>
    <w:lvl w:ilvl="8">
      <w:start w:val="0"/>
      <w:numFmt w:val="bullet"/>
      <w:lvlText w:val="•"/>
      <w:lvlJc w:val="left"/>
      <w:pPr>
        <w:ind w:left="7189" w:hanging="836"/>
      </w:pPr>
      <w:rPr>
        <w:rFonts w:hint="default"/>
        <w:lang w:val="en-US" w:eastAsia="zh-CN" w:bidi="ar-SA"/>
      </w:rPr>
    </w:lvl>
  </w:abstractNum>
  <w:abstractNum w:abstractNumId="76">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5">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4">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3">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2">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1">
    <w:multiLevelType w:val="hybridMultilevel"/>
    <w:lvl w:ilvl="0">
      <w:start w:val="1"/>
      <w:numFmt w:val="decimal"/>
      <w:lvlText w:val="（%1）"/>
      <w:lvlJc w:val="left"/>
      <w:pPr>
        <w:ind w:left="1380" w:hanging="83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16" w:hanging="836"/>
      </w:pPr>
      <w:rPr>
        <w:rFonts w:hint="default"/>
        <w:lang w:val="en-US" w:eastAsia="zh-CN" w:bidi="ar-SA"/>
      </w:rPr>
    </w:lvl>
    <w:lvl w:ilvl="2">
      <w:start w:val="0"/>
      <w:numFmt w:val="bullet"/>
      <w:lvlText w:val="•"/>
      <w:lvlJc w:val="left"/>
      <w:pPr>
        <w:ind w:left="2853" w:hanging="836"/>
      </w:pPr>
      <w:rPr>
        <w:rFonts w:hint="default"/>
        <w:lang w:val="en-US" w:eastAsia="zh-CN" w:bidi="ar-SA"/>
      </w:rPr>
    </w:lvl>
    <w:lvl w:ilvl="3">
      <w:start w:val="0"/>
      <w:numFmt w:val="bullet"/>
      <w:lvlText w:val="•"/>
      <w:lvlJc w:val="left"/>
      <w:pPr>
        <w:ind w:left="3589" w:hanging="836"/>
      </w:pPr>
      <w:rPr>
        <w:rFonts w:hint="default"/>
        <w:lang w:val="en-US" w:eastAsia="zh-CN" w:bidi="ar-SA"/>
      </w:rPr>
    </w:lvl>
    <w:lvl w:ilvl="4">
      <w:start w:val="0"/>
      <w:numFmt w:val="bullet"/>
      <w:lvlText w:val="•"/>
      <w:lvlJc w:val="left"/>
      <w:pPr>
        <w:ind w:left="4326" w:hanging="836"/>
      </w:pPr>
      <w:rPr>
        <w:rFonts w:hint="default"/>
        <w:lang w:val="en-US" w:eastAsia="zh-CN" w:bidi="ar-SA"/>
      </w:rPr>
    </w:lvl>
    <w:lvl w:ilvl="5">
      <w:start w:val="0"/>
      <w:numFmt w:val="bullet"/>
      <w:lvlText w:val="•"/>
      <w:lvlJc w:val="left"/>
      <w:pPr>
        <w:ind w:left="5063" w:hanging="836"/>
      </w:pPr>
      <w:rPr>
        <w:rFonts w:hint="default"/>
        <w:lang w:val="en-US" w:eastAsia="zh-CN" w:bidi="ar-SA"/>
      </w:rPr>
    </w:lvl>
    <w:lvl w:ilvl="6">
      <w:start w:val="0"/>
      <w:numFmt w:val="bullet"/>
      <w:lvlText w:val="•"/>
      <w:lvlJc w:val="left"/>
      <w:pPr>
        <w:ind w:left="5799" w:hanging="836"/>
      </w:pPr>
      <w:rPr>
        <w:rFonts w:hint="default"/>
        <w:lang w:val="en-US" w:eastAsia="zh-CN" w:bidi="ar-SA"/>
      </w:rPr>
    </w:lvl>
    <w:lvl w:ilvl="7">
      <w:start w:val="0"/>
      <w:numFmt w:val="bullet"/>
      <w:lvlText w:val="•"/>
      <w:lvlJc w:val="left"/>
      <w:pPr>
        <w:ind w:left="6536" w:hanging="836"/>
      </w:pPr>
      <w:rPr>
        <w:rFonts w:hint="default"/>
        <w:lang w:val="en-US" w:eastAsia="zh-CN" w:bidi="ar-SA"/>
      </w:rPr>
    </w:lvl>
    <w:lvl w:ilvl="8">
      <w:start w:val="0"/>
      <w:numFmt w:val="bullet"/>
      <w:lvlText w:val="•"/>
      <w:lvlJc w:val="left"/>
      <w:pPr>
        <w:ind w:left="7273" w:hanging="836"/>
      </w:pPr>
      <w:rPr>
        <w:rFonts w:hint="default"/>
        <w:lang w:val="en-US" w:eastAsia="zh-CN" w:bidi="ar-SA"/>
      </w:rPr>
    </w:lvl>
  </w:abstractNum>
  <w:abstractNum w:abstractNumId="70">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9">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8">
    <w:multiLevelType w:val="hybridMultilevel"/>
    <w:lvl w:ilvl="0">
      <w:start w:val="1"/>
      <w:numFmt w:val="decimal"/>
      <w:lvlText w:val="（%1）"/>
      <w:lvlJc w:val="left"/>
      <w:pPr>
        <w:ind w:left="1178" w:hanging="634"/>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1936" w:hanging="634"/>
      </w:pPr>
      <w:rPr>
        <w:rFonts w:hint="default"/>
        <w:lang w:val="en-US" w:eastAsia="zh-CN" w:bidi="ar-SA"/>
      </w:rPr>
    </w:lvl>
    <w:lvl w:ilvl="2">
      <w:start w:val="0"/>
      <w:numFmt w:val="bullet"/>
      <w:lvlText w:val="•"/>
      <w:lvlJc w:val="left"/>
      <w:pPr>
        <w:ind w:left="2693" w:hanging="634"/>
      </w:pPr>
      <w:rPr>
        <w:rFonts w:hint="default"/>
        <w:lang w:val="en-US" w:eastAsia="zh-CN" w:bidi="ar-SA"/>
      </w:rPr>
    </w:lvl>
    <w:lvl w:ilvl="3">
      <w:start w:val="0"/>
      <w:numFmt w:val="bullet"/>
      <w:lvlText w:val="•"/>
      <w:lvlJc w:val="left"/>
      <w:pPr>
        <w:ind w:left="3449" w:hanging="634"/>
      </w:pPr>
      <w:rPr>
        <w:rFonts w:hint="default"/>
        <w:lang w:val="en-US" w:eastAsia="zh-CN" w:bidi="ar-SA"/>
      </w:rPr>
    </w:lvl>
    <w:lvl w:ilvl="4">
      <w:start w:val="0"/>
      <w:numFmt w:val="bullet"/>
      <w:lvlText w:val="•"/>
      <w:lvlJc w:val="left"/>
      <w:pPr>
        <w:ind w:left="4206" w:hanging="634"/>
      </w:pPr>
      <w:rPr>
        <w:rFonts w:hint="default"/>
        <w:lang w:val="en-US" w:eastAsia="zh-CN" w:bidi="ar-SA"/>
      </w:rPr>
    </w:lvl>
    <w:lvl w:ilvl="5">
      <w:start w:val="0"/>
      <w:numFmt w:val="bullet"/>
      <w:lvlText w:val="•"/>
      <w:lvlJc w:val="left"/>
      <w:pPr>
        <w:ind w:left="4963" w:hanging="634"/>
      </w:pPr>
      <w:rPr>
        <w:rFonts w:hint="default"/>
        <w:lang w:val="en-US" w:eastAsia="zh-CN" w:bidi="ar-SA"/>
      </w:rPr>
    </w:lvl>
    <w:lvl w:ilvl="6">
      <w:start w:val="0"/>
      <w:numFmt w:val="bullet"/>
      <w:lvlText w:val="•"/>
      <w:lvlJc w:val="left"/>
      <w:pPr>
        <w:ind w:left="5719" w:hanging="634"/>
      </w:pPr>
      <w:rPr>
        <w:rFonts w:hint="default"/>
        <w:lang w:val="en-US" w:eastAsia="zh-CN" w:bidi="ar-SA"/>
      </w:rPr>
    </w:lvl>
    <w:lvl w:ilvl="7">
      <w:start w:val="0"/>
      <w:numFmt w:val="bullet"/>
      <w:lvlText w:val="•"/>
      <w:lvlJc w:val="left"/>
      <w:pPr>
        <w:ind w:left="6476" w:hanging="634"/>
      </w:pPr>
      <w:rPr>
        <w:rFonts w:hint="default"/>
        <w:lang w:val="en-US" w:eastAsia="zh-CN" w:bidi="ar-SA"/>
      </w:rPr>
    </w:lvl>
    <w:lvl w:ilvl="8">
      <w:start w:val="0"/>
      <w:numFmt w:val="bullet"/>
      <w:lvlText w:val="•"/>
      <w:lvlJc w:val="left"/>
      <w:pPr>
        <w:ind w:left="7233" w:hanging="634"/>
      </w:pPr>
      <w:rPr>
        <w:rFonts w:hint="default"/>
        <w:lang w:val="en-US" w:eastAsia="zh-CN" w:bidi="ar-SA"/>
      </w:rPr>
    </w:lvl>
  </w:abstractNum>
  <w:abstractNum w:abstractNumId="6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6">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5">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4">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3">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2">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1">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60">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9">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58">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6">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5">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4">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3">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52">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1">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50">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9">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48">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6">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5">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4">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43">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2">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1">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40">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9">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8">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6">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5">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4">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33">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2">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1">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30">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29">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8">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6">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25">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4">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3">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22">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1">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20">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19">
    <w:multiLevelType w:val="hybridMultilevel"/>
    <w:lvl w:ilvl="0">
      <w:start w:val="1"/>
      <w:numFmt w:val="decimal"/>
      <w:lvlText w:val="（%1）"/>
      <w:lvlJc w:val="left"/>
      <w:pPr>
        <w:ind w:left="1178" w:hanging="634"/>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1936" w:hanging="634"/>
      </w:pPr>
      <w:rPr>
        <w:rFonts w:hint="default"/>
        <w:lang w:val="en-US" w:eastAsia="zh-CN" w:bidi="ar-SA"/>
      </w:rPr>
    </w:lvl>
    <w:lvl w:ilvl="2">
      <w:start w:val="0"/>
      <w:numFmt w:val="bullet"/>
      <w:lvlText w:val="•"/>
      <w:lvlJc w:val="left"/>
      <w:pPr>
        <w:ind w:left="2693" w:hanging="634"/>
      </w:pPr>
      <w:rPr>
        <w:rFonts w:hint="default"/>
        <w:lang w:val="en-US" w:eastAsia="zh-CN" w:bidi="ar-SA"/>
      </w:rPr>
    </w:lvl>
    <w:lvl w:ilvl="3">
      <w:start w:val="0"/>
      <w:numFmt w:val="bullet"/>
      <w:lvlText w:val="•"/>
      <w:lvlJc w:val="left"/>
      <w:pPr>
        <w:ind w:left="3449" w:hanging="634"/>
      </w:pPr>
      <w:rPr>
        <w:rFonts w:hint="default"/>
        <w:lang w:val="en-US" w:eastAsia="zh-CN" w:bidi="ar-SA"/>
      </w:rPr>
    </w:lvl>
    <w:lvl w:ilvl="4">
      <w:start w:val="0"/>
      <w:numFmt w:val="bullet"/>
      <w:lvlText w:val="•"/>
      <w:lvlJc w:val="left"/>
      <w:pPr>
        <w:ind w:left="4206" w:hanging="634"/>
      </w:pPr>
      <w:rPr>
        <w:rFonts w:hint="default"/>
        <w:lang w:val="en-US" w:eastAsia="zh-CN" w:bidi="ar-SA"/>
      </w:rPr>
    </w:lvl>
    <w:lvl w:ilvl="5">
      <w:start w:val="0"/>
      <w:numFmt w:val="bullet"/>
      <w:lvlText w:val="•"/>
      <w:lvlJc w:val="left"/>
      <w:pPr>
        <w:ind w:left="4963" w:hanging="634"/>
      </w:pPr>
      <w:rPr>
        <w:rFonts w:hint="default"/>
        <w:lang w:val="en-US" w:eastAsia="zh-CN" w:bidi="ar-SA"/>
      </w:rPr>
    </w:lvl>
    <w:lvl w:ilvl="6">
      <w:start w:val="0"/>
      <w:numFmt w:val="bullet"/>
      <w:lvlText w:val="•"/>
      <w:lvlJc w:val="left"/>
      <w:pPr>
        <w:ind w:left="5719" w:hanging="634"/>
      </w:pPr>
      <w:rPr>
        <w:rFonts w:hint="default"/>
        <w:lang w:val="en-US" w:eastAsia="zh-CN" w:bidi="ar-SA"/>
      </w:rPr>
    </w:lvl>
    <w:lvl w:ilvl="7">
      <w:start w:val="0"/>
      <w:numFmt w:val="bullet"/>
      <w:lvlText w:val="•"/>
      <w:lvlJc w:val="left"/>
      <w:pPr>
        <w:ind w:left="6476" w:hanging="634"/>
      </w:pPr>
      <w:rPr>
        <w:rFonts w:hint="default"/>
        <w:lang w:val="en-US" w:eastAsia="zh-CN" w:bidi="ar-SA"/>
      </w:rPr>
    </w:lvl>
    <w:lvl w:ilvl="8">
      <w:start w:val="0"/>
      <w:numFmt w:val="bullet"/>
      <w:lvlText w:val="•"/>
      <w:lvlJc w:val="left"/>
      <w:pPr>
        <w:ind w:left="7233" w:hanging="634"/>
      </w:pPr>
      <w:rPr>
        <w:rFonts w:hint="default"/>
        <w:lang w:val="en-US" w:eastAsia="zh-CN" w:bidi="ar-SA"/>
      </w:rPr>
    </w:lvl>
  </w:abstractNum>
  <w:abstractNum w:abstractNumId="18">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17">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16">
    <w:multiLevelType w:val="hybridMultilevel"/>
    <w:lvl w:ilvl="0">
      <w:start w:val="1"/>
      <w:numFmt w:val="decimal"/>
      <w:lvlText w:val="（%1）"/>
      <w:lvlJc w:val="left"/>
      <w:pPr>
        <w:ind w:left="117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36" w:hanging="632"/>
      </w:pPr>
      <w:rPr>
        <w:rFonts w:hint="default"/>
        <w:lang w:val="en-US" w:eastAsia="zh-CN" w:bidi="ar-SA"/>
      </w:rPr>
    </w:lvl>
    <w:lvl w:ilvl="2">
      <w:start w:val="0"/>
      <w:numFmt w:val="bullet"/>
      <w:lvlText w:val="•"/>
      <w:lvlJc w:val="left"/>
      <w:pPr>
        <w:ind w:left="2693" w:hanging="632"/>
      </w:pPr>
      <w:rPr>
        <w:rFonts w:hint="default"/>
        <w:lang w:val="en-US" w:eastAsia="zh-CN" w:bidi="ar-SA"/>
      </w:rPr>
    </w:lvl>
    <w:lvl w:ilvl="3">
      <w:start w:val="0"/>
      <w:numFmt w:val="bullet"/>
      <w:lvlText w:val="•"/>
      <w:lvlJc w:val="left"/>
      <w:pPr>
        <w:ind w:left="3449" w:hanging="632"/>
      </w:pPr>
      <w:rPr>
        <w:rFonts w:hint="default"/>
        <w:lang w:val="en-US" w:eastAsia="zh-CN" w:bidi="ar-SA"/>
      </w:rPr>
    </w:lvl>
    <w:lvl w:ilvl="4">
      <w:start w:val="0"/>
      <w:numFmt w:val="bullet"/>
      <w:lvlText w:val="•"/>
      <w:lvlJc w:val="left"/>
      <w:pPr>
        <w:ind w:left="4206" w:hanging="632"/>
      </w:pPr>
      <w:rPr>
        <w:rFonts w:hint="default"/>
        <w:lang w:val="en-US" w:eastAsia="zh-CN" w:bidi="ar-SA"/>
      </w:rPr>
    </w:lvl>
    <w:lvl w:ilvl="5">
      <w:start w:val="0"/>
      <w:numFmt w:val="bullet"/>
      <w:lvlText w:val="•"/>
      <w:lvlJc w:val="left"/>
      <w:pPr>
        <w:ind w:left="4963" w:hanging="632"/>
      </w:pPr>
      <w:rPr>
        <w:rFonts w:hint="default"/>
        <w:lang w:val="en-US" w:eastAsia="zh-CN" w:bidi="ar-SA"/>
      </w:rPr>
    </w:lvl>
    <w:lvl w:ilvl="6">
      <w:start w:val="0"/>
      <w:numFmt w:val="bullet"/>
      <w:lvlText w:val="•"/>
      <w:lvlJc w:val="left"/>
      <w:pPr>
        <w:ind w:left="5719" w:hanging="632"/>
      </w:pPr>
      <w:rPr>
        <w:rFonts w:hint="default"/>
        <w:lang w:val="en-US" w:eastAsia="zh-CN" w:bidi="ar-SA"/>
      </w:rPr>
    </w:lvl>
    <w:lvl w:ilvl="7">
      <w:start w:val="0"/>
      <w:numFmt w:val="bullet"/>
      <w:lvlText w:val="•"/>
      <w:lvlJc w:val="left"/>
      <w:pPr>
        <w:ind w:left="6476" w:hanging="632"/>
      </w:pPr>
      <w:rPr>
        <w:rFonts w:hint="default"/>
        <w:lang w:val="en-US" w:eastAsia="zh-CN" w:bidi="ar-SA"/>
      </w:rPr>
    </w:lvl>
    <w:lvl w:ilvl="8">
      <w:start w:val="0"/>
      <w:numFmt w:val="bullet"/>
      <w:lvlText w:val="•"/>
      <w:lvlJc w:val="left"/>
      <w:pPr>
        <w:ind w:left="7233" w:hanging="632"/>
      </w:pPr>
      <w:rPr>
        <w:rFonts w:hint="default"/>
        <w:lang w:val="en-US" w:eastAsia="zh-CN" w:bidi="ar-SA"/>
      </w:rPr>
    </w:lvl>
  </w:abstractNum>
  <w:abstractNum w:abstractNumId="15">
    <w:multiLevelType w:val="hybridMultilevel"/>
    <w:lvl w:ilvl="0">
      <w:start w:val="1"/>
      <w:numFmt w:val="decimal"/>
      <w:lvlText w:val="（%1）"/>
      <w:lvlJc w:val="left"/>
      <w:pPr>
        <w:ind w:left="120"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82" w:hanging="632"/>
      </w:pPr>
      <w:rPr>
        <w:rFonts w:hint="default"/>
        <w:lang w:val="en-US" w:eastAsia="zh-CN" w:bidi="ar-SA"/>
      </w:rPr>
    </w:lvl>
    <w:lvl w:ilvl="2">
      <w:start w:val="0"/>
      <w:numFmt w:val="bullet"/>
      <w:lvlText w:val="•"/>
      <w:lvlJc w:val="left"/>
      <w:pPr>
        <w:ind w:left="1845" w:hanging="632"/>
      </w:pPr>
      <w:rPr>
        <w:rFonts w:hint="default"/>
        <w:lang w:val="en-US" w:eastAsia="zh-CN" w:bidi="ar-SA"/>
      </w:rPr>
    </w:lvl>
    <w:lvl w:ilvl="3">
      <w:start w:val="0"/>
      <w:numFmt w:val="bullet"/>
      <w:lvlText w:val="•"/>
      <w:lvlJc w:val="left"/>
      <w:pPr>
        <w:ind w:left="2707" w:hanging="632"/>
      </w:pPr>
      <w:rPr>
        <w:rFonts w:hint="default"/>
        <w:lang w:val="en-US" w:eastAsia="zh-CN" w:bidi="ar-SA"/>
      </w:rPr>
    </w:lvl>
    <w:lvl w:ilvl="4">
      <w:start w:val="0"/>
      <w:numFmt w:val="bullet"/>
      <w:lvlText w:val="•"/>
      <w:lvlJc w:val="left"/>
      <w:pPr>
        <w:ind w:left="3570" w:hanging="632"/>
      </w:pPr>
      <w:rPr>
        <w:rFonts w:hint="default"/>
        <w:lang w:val="en-US" w:eastAsia="zh-CN" w:bidi="ar-SA"/>
      </w:rPr>
    </w:lvl>
    <w:lvl w:ilvl="5">
      <w:start w:val="0"/>
      <w:numFmt w:val="bullet"/>
      <w:lvlText w:val="•"/>
      <w:lvlJc w:val="left"/>
      <w:pPr>
        <w:ind w:left="4433" w:hanging="632"/>
      </w:pPr>
      <w:rPr>
        <w:rFonts w:hint="default"/>
        <w:lang w:val="en-US" w:eastAsia="zh-CN" w:bidi="ar-SA"/>
      </w:rPr>
    </w:lvl>
    <w:lvl w:ilvl="6">
      <w:start w:val="0"/>
      <w:numFmt w:val="bullet"/>
      <w:lvlText w:val="•"/>
      <w:lvlJc w:val="left"/>
      <w:pPr>
        <w:ind w:left="5295" w:hanging="632"/>
      </w:pPr>
      <w:rPr>
        <w:rFonts w:hint="default"/>
        <w:lang w:val="en-US" w:eastAsia="zh-CN" w:bidi="ar-SA"/>
      </w:rPr>
    </w:lvl>
    <w:lvl w:ilvl="7">
      <w:start w:val="0"/>
      <w:numFmt w:val="bullet"/>
      <w:lvlText w:val="•"/>
      <w:lvlJc w:val="left"/>
      <w:pPr>
        <w:ind w:left="6158" w:hanging="632"/>
      </w:pPr>
      <w:rPr>
        <w:rFonts w:hint="default"/>
        <w:lang w:val="en-US" w:eastAsia="zh-CN" w:bidi="ar-SA"/>
      </w:rPr>
    </w:lvl>
    <w:lvl w:ilvl="8">
      <w:start w:val="0"/>
      <w:numFmt w:val="bullet"/>
      <w:lvlText w:val="•"/>
      <w:lvlJc w:val="left"/>
      <w:pPr>
        <w:ind w:left="7021" w:hanging="632"/>
      </w:pPr>
      <w:rPr>
        <w:rFonts w:hint="default"/>
        <w:lang w:val="en-US" w:eastAsia="zh-CN" w:bidi="ar-SA"/>
      </w:rPr>
    </w:lvl>
  </w:abstractNum>
  <w:abstractNum w:abstractNumId="14">
    <w:multiLevelType w:val="hybridMultilevel"/>
    <w:lvl w:ilvl="0">
      <w:start w:val="1"/>
      <w:numFmt w:val="lowerLetter"/>
      <w:lvlText w:val="%1."/>
      <w:lvlJc w:val="left"/>
      <w:pPr>
        <w:ind w:left="120" w:hanging="272"/>
        <w:jc w:val="left"/>
      </w:pPr>
      <w:rPr>
        <w:rFonts w:hint="default" w:ascii="微软雅黑" w:hAnsi="微软雅黑" w:eastAsia="微软雅黑" w:cs="微软雅黑"/>
        <w:b/>
        <w:bCs/>
        <w:i w:val="0"/>
        <w:iCs w:val="0"/>
        <w:w w:val="116"/>
        <w:sz w:val="21"/>
        <w:szCs w:val="21"/>
        <w:lang w:val="en-US" w:eastAsia="zh-CN" w:bidi="ar-SA"/>
      </w:rPr>
    </w:lvl>
    <w:lvl w:ilvl="1">
      <w:start w:val="0"/>
      <w:numFmt w:val="bullet"/>
      <w:lvlText w:val="•"/>
      <w:lvlJc w:val="left"/>
      <w:pPr>
        <w:ind w:left="982" w:hanging="272"/>
      </w:pPr>
      <w:rPr>
        <w:rFonts w:hint="default"/>
        <w:lang w:val="en-US" w:eastAsia="zh-CN" w:bidi="ar-SA"/>
      </w:rPr>
    </w:lvl>
    <w:lvl w:ilvl="2">
      <w:start w:val="0"/>
      <w:numFmt w:val="bullet"/>
      <w:lvlText w:val="•"/>
      <w:lvlJc w:val="left"/>
      <w:pPr>
        <w:ind w:left="1845" w:hanging="272"/>
      </w:pPr>
      <w:rPr>
        <w:rFonts w:hint="default"/>
        <w:lang w:val="en-US" w:eastAsia="zh-CN" w:bidi="ar-SA"/>
      </w:rPr>
    </w:lvl>
    <w:lvl w:ilvl="3">
      <w:start w:val="0"/>
      <w:numFmt w:val="bullet"/>
      <w:lvlText w:val="•"/>
      <w:lvlJc w:val="left"/>
      <w:pPr>
        <w:ind w:left="2707" w:hanging="272"/>
      </w:pPr>
      <w:rPr>
        <w:rFonts w:hint="default"/>
        <w:lang w:val="en-US" w:eastAsia="zh-CN" w:bidi="ar-SA"/>
      </w:rPr>
    </w:lvl>
    <w:lvl w:ilvl="4">
      <w:start w:val="0"/>
      <w:numFmt w:val="bullet"/>
      <w:lvlText w:val="•"/>
      <w:lvlJc w:val="left"/>
      <w:pPr>
        <w:ind w:left="3570" w:hanging="272"/>
      </w:pPr>
      <w:rPr>
        <w:rFonts w:hint="default"/>
        <w:lang w:val="en-US" w:eastAsia="zh-CN" w:bidi="ar-SA"/>
      </w:rPr>
    </w:lvl>
    <w:lvl w:ilvl="5">
      <w:start w:val="0"/>
      <w:numFmt w:val="bullet"/>
      <w:lvlText w:val="•"/>
      <w:lvlJc w:val="left"/>
      <w:pPr>
        <w:ind w:left="4433" w:hanging="272"/>
      </w:pPr>
      <w:rPr>
        <w:rFonts w:hint="default"/>
        <w:lang w:val="en-US" w:eastAsia="zh-CN" w:bidi="ar-SA"/>
      </w:rPr>
    </w:lvl>
    <w:lvl w:ilvl="6">
      <w:start w:val="0"/>
      <w:numFmt w:val="bullet"/>
      <w:lvlText w:val="•"/>
      <w:lvlJc w:val="left"/>
      <w:pPr>
        <w:ind w:left="5295" w:hanging="272"/>
      </w:pPr>
      <w:rPr>
        <w:rFonts w:hint="default"/>
        <w:lang w:val="en-US" w:eastAsia="zh-CN" w:bidi="ar-SA"/>
      </w:rPr>
    </w:lvl>
    <w:lvl w:ilvl="7">
      <w:start w:val="0"/>
      <w:numFmt w:val="bullet"/>
      <w:lvlText w:val="•"/>
      <w:lvlJc w:val="left"/>
      <w:pPr>
        <w:ind w:left="6158" w:hanging="272"/>
      </w:pPr>
      <w:rPr>
        <w:rFonts w:hint="default"/>
        <w:lang w:val="en-US" w:eastAsia="zh-CN" w:bidi="ar-SA"/>
      </w:rPr>
    </w:lvl>
    <w:lvl w:ilvl="8">
      <w:start w:val="0"/>
      <w:numFmt w:val="bullet"/>
      <w:lvlText w:val="•"/>
      <w:lvlJc w:val="left"/>
      <w:pPr>
        <w:ind w:left="7021" w:hanging="272"/>
      </w:pPr>
      <w:rPr>
        <w:rFonts w:hint="default"/>
        <w:lang w:val="en-US" w:eastAsia="zh-CN" w:bidi="ar-SA"/>
      </w:rPr>
    </w:lvl>
  </w:abstractNum>
  <w:abstractNum w:abstractNumId="13">
    <w:multiLevelType w:val="hybridMultilevel"/>
    <w:lvl w:ilvl="0">
      <w:start w:val="1"/>
      <w:numFmt w:val="decimal"/>
      <w:lvlText w:val="（%1）"/>
      <w:lvlJc w:val="left"/>
      <w:pPr>
        <w:ind w:left="120" w:hanging="634"/>
        <w:jc w:val="left"/>
      </w:pPr>
      <w:rPr>
        <w:rFonts w:hint="default" w:ascii="微软雅黑" w:hAnsi="微软雅黑" w:eastAsia="微软雅黑" w:cs="微软雅黑"/>
        <w:b/>
        <w:bCs/>
        <w:i w:val="0"/>
        <w:iCs w:val="0"/>
        <w:w w:val="81"/>
        <w:sz w:val="21"/>
        <w:szCs w:val="21"/>
        <w:lang w:val="en-US" w:eastAsia="zh-CN" w:bidi="ar-SA"/>
      </w:rPr>
    </w:lvl>
    <w:lvl w:ilvl="1">
      <w:start w:val="0"/>
      <w:numFmt w:val="bullet"/>
      <w:lvlText w:val="•"/>
      <w:lvlJc w:val="left"/>
      <w:pPr>
        <w:ind w:left="982" w:hanging="634"/>
      </w:pPr>
      <w:rPr>
        <w:rFonts w:hint="default"/>
        <w:lang w:val="en-US" w:eastAsia="zh-CN" w:bidi="ar-SA"/>
      </w:rPr>
    </w:lvl>
    <w:lvl w:ilvl="2">
      <w:start w:val="0"/>
      <w:numFmt w:val="bullet"/>
      <w:lvlText w:val="•"/>
      <w:lvlJc w:val="left"/>
      <w:pPr>
        <w:ind w:left="1845" w:hanging="634"/>
      </w:pPr>
      <w:rPr>
        <w:rFonts w:hint="default"/>
        <w:lang w:val="en-US" w:eastAsia="zh-CN" w:bidi="ar-SA"/>
      </w:rPr>
    </w:lvl>
    <w:lvl w:ilvl="3">
      <w:start w:val="0"/>
      <w:numFmt w:val="bullet"/>
      <w:lvlText w:val="•"/>
      <w:lvlJc w:val="left"/>
      <w:pPr>
        <w:ind w:left="2707" w:hanging="634"/>
      </w:pPr>
      <w:rPr>
        <w:rFonts w:hint="default"/>
        <w:lang w:val="en-US" w:eastAsia="zh-CN" w:bidi="ar-SA"/>
      </w:rPr>
    </w:lvl>
    <w:lvl w:ilvl="4">
      <w:start w:val="0"/>
      <w:numFmt w:val="bullet"/>
      <w:lvlText w:val="•"/>
      <w:lvlJc w:val="left"/>
      <w:pPr>
        <w:ind w:left="3570" w:hanging="634"/>
      </w:pPr>
      <w:rPr>
        <w:rFonts w:hint="default"/>
        <w:lang w:val="en-US" w:eastAsia="zh-CN" w:bidi="ar-SA"/>
      </w:rPr>
    </w:lvl>
    <w:lvl w:ilvl="5">
      <w:start w:val="0"/>
      <w:numFmt w:val="bullet"/>
      <w:lvlText w:val="•"/>
      <w:lvlJc w:val="left"/>
      <w:pPr>
        <w:ind w:left="4433" w:hanging="634"/>
      </w:pPr>
      <w:rPr>
        <w:rFonts w:hint="default"/>
        <w:lang w:val="en-US" w:eastAsia="zh-CN" w:bidi="ar-SA"/>
      </w:rPr>
    </w:lvl>
    <w:lvl w:ilvl="6">
      <w:start w:val="0"/>
      <w:numFmt w:val="bullet"/>
      <w:lvlText w:val="•"/>
      <w:lvlJc w:val="left"/>
      <w:pPr>
        <w:ind w:left="5295" w:hanging="634"/>
      </w:pPr>
      <w:rPr>
        <w:rFonts w:hint="default"/>
        <w:lang w:val="en-US" w:eastAsia="zh-CN" w:bidi="ar-SA"/>
      </w:rPr>
    </w:lvl>
    <w:lvl w:ilvl="7">
      <w:start w:val="0"/>
      <w:numFmt w:val="bullet"/>
      <w:lvlText w:val="•"/>
      <w:lvlJc w:val="left"/>
      <w:pPr>
        <w:ind w:left="6158" w:hanging="634"/>
      </w:pPr>
      <w:rPr>
        <w:rFonts w:hint="default"/>
        <w:lang w:val="en-US" w:eastAsia="zh-CN" w:bidi="ar-SA"/>
      </w:rPr>
    </w:lvl>
    <w:lvl w:ilvl="8">
      <w:start w:val="0"/>
      <w:numFmt w:val="bullet"/>
      <w:lvlText w:val="•"/>
      <w:lvlJc w:val="left"/>
      <w:pPr>
        <w:ind w:left="7021" w:hanging="634"/>
      </w:pPr>
      <w:rPr>
        <w:rFonts w:hint="default"/>
        <w:lang w:val="en-US" w:eastAsia="zh-CN" w:bidi="ar-SA"/>
      </w:rPr>
    </w:lvl>
  </w:abstractNum>
  <w:abstractNum w:abstractNumId="12">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1">
    <w:multiLevelType w:val="hybridMultilevel"/>
    <w:lvl w:ilvl="0">
      <w:start w:val="1"/>
      <w:numFmt w:val="decimal"/>
      <w:lvlText w:val="（%1）"/>
      <w:lvlJc w:val="left"/>
      <w:pPr>
        <w:ind w:left="120" w:hanging="53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82" w:hanging="532"/>
      </w:pPr>
      <w:rPr>
        <w:rFonts w:hint="default"/>
        <w:lang w:val="en-US" w:eastAsia="zh-CN" w:bidi="ar-SA"/>
      </w:rPr>
    </w:lvl>
    <w:lvl w:ilvl="2">
      <w:start w:val="0"/>
      <w:numFmt w:val="bullet"/>
      <w:lvlText w:val="•"/>
      <w:lvlJc w:val="left"/>
      <w:pPr>
        <w:ind w:left="1845" w:hanging="532"/>
      </w:pPr>
      <w:rPr>
        <w:rFonts w:hint="default"/>
        <w:lang w:val="en-US" w:eastAsia="zh-CN" w:bidi="ar-SA"/>
      </w:rPr>
    </w:lvl>
    <w:lvl w:ilvl="3">
      <w:start w:val="0"/>
      <w:numFmt w:val="bullet"/>
      <w:lvlText w:val="•"/>
      <w:lvlJc w:val="left"/>
      <w:pPr>
        <w:ind w:left="2707" w:hanging="532"/>
      </w:pPr>
      <w:rPr>
        <w:rFonts w:hint="default"/>
        <w:lang w:val="en-US" w:eastAsia="zh-CN" w:bidi="ar-SA"/>
      </w:rPr>
    </w:lvl>
    <w:lvl w:ilvl="4">
      <w:start w:val="0"/>
      <w:numFmt w:val="bullet"/>
      <w:lvlText w:val="•"/>
      <w:lvlJc w:val="left"/>
      <w:pPr>
        <w:ind w:left="3570" w:hanging="532"/>
      </w:pPr>
      <w:rPr>
        <w:rFonts w:hint="default"/>
        <w:lang w:val="en-US" w:eastAsia="zh-CN" w:bidi="ar-SA"/>
      </w:rPr>
    </w:lvl>
    <w:lvl w:ilvl="5">
      <w:start w:val="0"/>
      <w:numFmt w:val="bullet"/>
      <w:lvlText w:val="•"/>
      <w:lvlJc w:val="left"/>
      <w:pPr>
        <w:ind w:left="4433" w:hanging="532"/>
      </w:pPr>
      <w:rPr>
        <w:rFonts w:hint="default"/>
        <w:lang w:val="en-US" w:eastAsia="zh-CN" w:bidi="ar-SA"/>
      </w:rPr>
    </w:lvl>
    <w:lvl w:ilvl="6">
      <w:start w:val="0"/>
      <w:numFmt w:val="bullet"/>
      <w:lvlText w:val="•"/>
      <w:lvlJc w:val="left"/>
      <w:pPr>
        <w:ind w:left="5295" w:hanging="532"/>
      </w:pPr>
      <w:rPr>
        <w:rFonts w:hint="default"/>
        <w:lang w:val="en-US" w:eastAsia="zh-CN" w:bidi="ar-SA"/>
      </w:rPr>
    </w:lvl>
    <w:lvl w:ilvl="7">
      <w:start w:val="0"/>
      <w:numFmt w:val="bullet"/>
      <w:lvlText w:val="•"/>
      <w:lvlJc w:val="left"/>
      <w:pPr>
        <w:ind w:left="6158" w:hanging="532"/>
      </w:pPr>
      <w:rPr>
        <w:rFonts w:hint="default"/>
        <w:lang w:val="en-US" w:eastAsia="zh-CN" w:bidi="ar-SA"/>
      </w:rPr>
    </w:lvl>
    <w:lvl w:ilvl="8">
      <w:start w:val="0"/>
      <w:numFmt w:val="bullet"/>
      <w:lvlText w:val="•"/>
      <w:lvlJc w:val="left"/>
      <w:pPr>
        <w:ind w:left="7021" w:hanging="532"/>
      </w:pPr>
      <w:rPr>
        <w:rFonts w:hint="default"/>
        <w:lang w:val="en-US" w:eastAsia="zh-CN" w:bidi="ar-SA"/>
      </w:rPr>
    </w:lvl>
  </w:abstractNum>
  <w:abstractNum w:abstractNumId="10">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9">
    <w:multiLevelType w:val="hybridMultilevel"/>
    <w:lvl w:ilvl="0">
      <w:start w:val="1"/>
      <w:numFmt w:val="decimal"/>
      <w:lvlText w:val="（%1）"/>
      <w:lvlJc w:val="left"/>
      <w:pPr>
        <w:ind w:left="1272" w:hanging="624"/>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026" w:hanging="624"/>
      </w:pPr>
      <w:rPr>
        <w:rFonts w:hint="default"/>
        <w:lang w:val="en-US" w:eastAsia="zh-CN" w:bidi="ar-SA"/>
      </w:rPr>
    </w:lvl>
    <w:lvl w:ilvl="2">
      <w:start w:val="0"/>
      <w:numFmt w:val="bullet"/>
      <w:lvlText w:val="•"/>
      <w:lvlJc w:val="left"/>
      <w:pPr>
        <w:ind w:left="2773" w:hanging="624"/>
      </w:pPr>
      <w:rPr>
        <w:rFonts w:hint="default"/>
        <w:lang w:val="en-US" w:eastAsia="zh-CN" w:bidi="ar-SA"/>
      </w:rPr>
    </w:lvl>
    <w:lvl w:ilvl="3">
      <w:start w:val="0"/>
      <w:numFmt w:val="bullet"/>
      <w:lvlText w:val="•"/>
      <w:lvlJc w:val="left"/>
      <w:pPr>
        <w:ind w:left="3519" w:hanging="624"/>
      </w:pPr>
      <w:rPr>
        <w:rFonts w:hint="default"/>
        <w:lang w:val="en-US" w:eastAsia="zh-CN" w:bidi="ar-SA"/>
      </w:rPr>
    </w:lvl>
    <w:lvl w:ilvl="4">
      <w:start w:val="0"/>
      <w:numFmt w:val="bullet"/>
      <w:lvlText w:val="•"/>
      <w:lvlJc w:val="left"/>
      <w:pPr>
        <w:ind w:left="4266" w:hanging="624"/>
      </w:pPr>
      <w:rPr>
        <w:rFonts w:hint="default"/>
        <w:lang w:val="en-US" w:eastAsia="zh-CN" w:bidi="ar-SA"/>
      </w:rPr>
    </w:lvl>
    <w:lvl w:ilvl="5">
      <w:start w:val="0"/>
      <w:numFmt w:val="bullet"/>
      <w:lvlText w:val="•"/>
      <w:lvlJc w:val="left"/>
      <w:pPr>
        <w:ind w:left="5013" w:hanging="624"/>
      </w:pPr>
      <w:rPr>
        <w:rFonts w:hint="default"/>
        <w:lang w:val="en-US" w:eastAsia="zh-CN" w:bidi="ar-SA"/>
      </w:rPr>
    </w:lvl>
    <w:lvl w:ilvl="6">
      <w:start w:val="0"/>
      <w:numFmt w:val="bullet"/>
      <w:lvlText w:val="•"/>
      <w:lvlJc w:val="left"/>
      <w:pPr>
        <w:ind w:left="5759" w:hanging="624"/>
      </w:pPr>
      <w:rPr>
        <w:rFonts w:hint="default"/>
        <w:lang w:val="en-US" w:eastAsia="zh-CN" w:bidi="ar-SA"/>
      </w:rPr>
    </w:lvl>
    <w:lvl w:ilvl="7">
      <w:start w:val="0"/>
      <w:numFmt w:val="bullet"/>
      <w:lvlText w:val="•"/>
      <w:lvlJc w:val="left"/>
      <w:pPr>
        <w:ind w:left="6506" w:hanging="624"/>
      </w:pPr>
      <w:rPr>
        <w:rFonts w:hint="default"/>
        <w:lang w:val="en-US" w:eastAsia="zh-CN" w:bidi="ar-SA"/>
      </w:rPr>
    </w:lvl>
    <w:lvl w:ilvl="8">
      <w:start w:val="0"/>
      <w:numFmt w:val="bullet"/>
      <w:lvlText w:val="•"/>
      <w:lvlJc w:val="left"/>
      <w:pPr>
        <w:ind w:left="7253" w:hanging="624"/>
      </w:pPr>
      <w:rPr>
        <w:rFonts w:hint="default"/>
        <w:lang w:val="en-US" w:eastAsia="zh-CN" w:bidi="ar-SA"/>
      </w:rPr>
    </w:lvl>
  </w:abstractNum>
  <w:abstractNum w:abstractNumId="8">
    <w:multiLevelType w:val="hybridMultilevel"/>
    <w:lvl w:ilvl="0">
      <w:start w:val="1"/>
      <w:numFmt w:val="decimal"/>
      <w:lvlText w:val="（%1）"/>
      <w:lvlJc w:val="left"/>
      <w:pPr>
        <w:ind w:left="1164" w:hanging="624"/>
        <w:jc w:val="left"/>
      </w:pPr>
      <w:rPr>
        <w:rFonts w:hint="default" w:ascii="微软雅黑" w:hAnsi="微软雅黑" w:eastAsia="微软雅黑" w:cs="微软雅黑"/>
        <w:b/>
        <w:bCs/>
        <w:i w:val="0"/>
        <w:iCs w:val="0"/>
        <w:spacing w:val="-2"/>
        <w:w w:val="100"/>
        <w:sz w:val="21"/>
        <w:szCs w:val="21"/>
        <w:lang w:val="en-US" w:eastAsia="zh-CN" w:bidi="ar-SA"/>
      </w:rPr>
    </w:lvl>
    <w:lvl w:ilvl="1">
      <w:start w:val="0"/>
      <w:numFmt w:val="bullet"/>
      <w:lvlText w:val="•"/>
      <w:lvlJc w:val="left"/>
      <w:pPr>
        <w:ind w:left="1918" w:hanging="624"/>
      </w:pPr>
      <w:rPr>
        <w:rFonts w:hint="default"/>
        <w:lang w:val="en-US" w:eastAsia="zh-CN" w:bidi="ar-SA"/>
      </w:rPr>
    </w:lvl>
    <w:lvl w:ilvl="2">
      <w:start w:val="0"/>
      <w:numFmt w:val="bullet"/>
      <w:lvlText w:val="•"/>
      <w:lvlJc w:val="left"/>
      <w:pPr>
        <w:ind w:left="2677" w:hanging="624"/>
      </w:pPr>
      <w:rPr>
        <w:rFonts w:hint="default"/>
        <w:lang w:val="en-US" w:eastAsia="zh-CN" w:bidi="ar-SA"/>
      </w:rPr>
    </w:lvl>
    <w:lvl w:ilvl="3">
      <w:start w:val="0"/>
      <w:numFmt w:val="bullet"/>
      <w:lvlText w:val="•"/>
      <w:lvlJc w:val="left"/>
      <w:pPr>
        <w:ind w:left="3435" w:hanging="624"/>
      </w:pPr>
      <w:rPr>
        <w:rFonts w:hint="default"/>
        <w:lang w:val="en-US" w:eastAsia="zh-CN" w:bidi="ar-SA"/>
      </w:rPr>
    </w:lvl>
    <w:lvl w:ilvl="4">
      <w:start w:val="0"/>
      <w:numFmt w:val="bullet"/>
      <w:lvlText w:val="•"/>
      <w:lvlJc w:val="left"/>
      <w:pPr>
        <w:ind w:left="4194" w:hanging="624"/>
      </w:pPr>
      <w:rPr>
        <w:rFonts w:hint="default"/>
        <w:lang w:val="en-US" w:eastAsia="zh-CN" w:bidi="ar-SA"/>
      </w:rPr>
    </w:lvl>
    <w:lvl w:ilvl="5">
      <w:start w:val="0"/>
      <w:numFmt w:val="bullet"/>
      <w:lvlText w:val="•"/>
      <w:lvlJc w:val="left"/>
      <w:pPr>
        <w:ind w:left="4953" w:hanging="624"/>
      </w:pPr>
      <w:rPr>
        <w:rFonts w:hint="default"/>
        <w:lang w:val="en-US" w:eastAsia="zh-CN" w:bidi="ar-SA"/>
      </w:rPr>
    </w:lvl>
    <w:lvl w:ilvl="6">
      <w:start w:val="0"/>
      <w:numFmt w:val="bullet"/>
      <w:lvlText w:val="•"/>
      <w:lvlJc w:val="left"/>
      <w:pPr>
        <w:ind w:left="5711" w:hanging="624"/>
      </w:pPr>
      <w:rPr>
        <w:rFonts w:hint="default"/>
        <w:lang w:val="en-US" w:eastAsia="zh-CN" w:bidi="ar-SA"/>
      </w:rPr>
    </w:lvl>
    <w:lvl w:ilvl="7">
      <w:start w:val="0"/>
      <w:numFmt w:val="bullet"/>
      <w:lvlText w:val="•"/>
      <w:lvlJc w:val="left"/>
      <w:pPr>
        <w:ind w:left="6470" w:hanging="624"/>
      </w:pPr>
      <w:rPr>
        <w:rFonts w:hint="default"/>
        <w:lang w:val="en-US" w:eastAsia="zh-CN" w:bidi="ar-SA"/>
      </w:rPr>
    </w:lvl>
    <w:lvl w:ilvl="8">
      <w:start w:val="0"/>
      <w:numFmt w:val="bullet"/>
      <w:lvlText w:val="•"/>
      <w:lvlJc w:val="left"/>
      <w:pPr>
        <w:ind w:left="7229" w:hanging="624"/>
      </w:pPr>
      <w:rPr>
        <w:rFonts w:hint="default"/>
        <w:lang w:val="en-US" w:eastAsia="zh-CN" w:bidi="ar-SA"/>
      </w:rPr>
    </w:lvl>
  </w:abstractNum>
  <w:abstractNum w:abstractNumId="7">
    <w:multiLevelType w:val="hybridMultilevel"/>
    <w:lvl w:ilvl="0">
      <w:start w:val="1"/>
      <w:numFmt w:val="decimal"/>
      <w:lvlText w:val="（%1）"/>
      <w:lvlJc w:val="left"/>
      <w:pPr>
        <w:ind w:left="972" w:hanging="569"/>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56" w:hanging="569"/>
      </w:pPr>
      <w:rPr>
        <w:rFonts w:hint="default"/>
        <w:lang w:val="en-US" w:eastAsia="zh-CN" w:bidi="ar-SA"/>
      </w:rPr>
    </w:lvl>
    <w:lvl w:ilvl="2">
      <w:start w:val="0"/>
      <w:numFmt w:val="bullet"/>
      <w:lvlText w:val="•"/>
      <w:lvlJc w:val="left"/>
      <w:pPr>
        <w:ind w:left="2533" w:hanging="569"/>
      </w:pPr>
      <w:rPr>
        <w:rFonts w:hint="default"/>
        <w:lang w:val="en-US" w:eastAsia="zh-CN" w:bidi="ar-SA"/>
      </w:rPr>
    </w:lvl>
    <w:lvl w:ilvl="3">
      <w:start w:val="0"/>
      <w:numFmt w:val="bullet"/>
      <w:lvlText w:val="•"/>
      <w:lvlJc w:val="left"/>
      <w:pPr>
        <w:ind w:left="3309" w:hanging="569"/>
      </w:pPr>
      <w:rPr>
        <w:rFonts w:hint="default"/>
        <w:lang w:val="en-US" w:eastAsia="zh-CN" w:bidi="ar-SA"/>
      </w:rPr>
    </w:lvl>
    <w:lvl w:ilvl="4">
      <w:start w:val="0"/>
      <w:numFmt w:val="bullet"/>
      <w:lvlText w:val="•"/>
      <w:lvlJc w:val="left"/>
      <w:pPr>
        <w:ind w:left="408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39" w:hanging="569"/>
      </w:pPr>
      <w:rPr>
        <w:rFonts w:hint="default"/>
        <w:lang w:val="en-US" w:eastAsia="zh-CN" w:bidi="ar-SA"/>
      </w:rPr>
    </w:lvl>
    <w:lvl w:ilvl="7">
      <w:start w:val="0"/>
      <w:numFmt w:val="bullet"/>
      <w:lvlText w:val="•"/>
      <w:lvlJc w:val="left"/>
      <w:pPr>
        <w:ind w:left="6416" w:hanging="569"/>
      </w:pPr>
      <w:rPr>
        <w:rFonts w:hint="default"/>
        <w:lang w:val="en-US" w:eastAsia="zh-CN" w:bidi="ar-SA"/>
      </w:rPr>
    </w:lvl>
    <w:lvl w:ilvl="8">
      <w:start w:val="0"/>
      <w:numFmt w:val="bullet"/>
      <w:lvlText w:val="•"/>
      <w:lvlJc w:val="left"/>
      <w:pPr>
        <w:ind w:left="7193" w:hanging="569"/>
      </w:pPr>
      <w:rPr>
        <w:rFonts w:hint="default"/>
        <w:lang w:val="en-US" w:eastAsia="zh-CN" w:bidi="ar-SA"/>
      </w:rPr>
    </w:lvl>
  </w:abstractNum>
  <w:abstractNum w:abstractNumId="6">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56" w:hanging="538"/>
      </w:pPr>
      <w:rPr>
        <w:rFonts w:hint="default"/>
        <w:lang w:val="en-US" w:eastAsia="zh-CN" w:bidi="ar-SA"/>
      </w:rPr>
    </w:lvl>
    <w:lvl w:ilvl="2">
      <w:start w:val="0"/>
      <w:numFmt w:val="bullet"/>
      <w:lvlText w:val="•"/>
      <w:lvlJc w:val="left"/>
      <w:pPr>
        <w:ind w:left="2533" w:hanging="538"/>
      </w:pPr>
      <w:rPr>
        <w:rFonts w:hint="default"/>
        <w:lang w:val="en-US" w:eastAsia="zh-CN" w:bidi="ar-SA"/>
      </w:rPr>
    </w:lvl>
    <w:lvl w:ilvl="3">
      <w:start w:val="0"/>
      <w:numFmt w:val="bullet"/>
      <w:lvlText w:val="•"/>
      <w:lvlJc w:val="left"/>
      <w:pPr>
        <w:ind w:left="3309" w:hanging="538"/>
      </w:pPr>
      <w:rPr>
        <w:rFonts w:hint="default"/>
        <w:lang w:val="en-US" w:eastAsia="zh-CN" w:bidi="ar-SA"/>
      </w:rPr>
    </w:lvl>
    <w:lvl w:ilvl="4">
      <w:start w:val="0"/>
      <w:numFmt w:val="bullet"/>
      <w:lvlText w:val="•"/>
      <w:lvlJc w:val="left"/>
      <w:pPr>
        <w:ind w:left="4086" w:hanging="538"/>
      </w:pPr>
      <w:rPr>
        <w:rFonts w:hint="default"/>
        <w:lang w:val="en-US" w:eastAsia="zh-CN" w:bidi="ar-SA"/>
      </w:rPr>
    </w:lvl>
    <w:lvl w:ilvl="5">
      <w:start w:val="0"/>
      <w:numFmt w:val="bullet"/>
      <w:lvlText w:val="•"/>
      <w:lvlJc w:val="left"/>
      <w:pPr>
        <w:ind w:left="4863" w:hanging="538"/>
      </w:pPr>
      <w:rPr>
        <w:rFonts w:hint="default"/>
        <w:lang w:val="en-US" w:eastAsia="zh-CN" w:bidi="ar-SA"/>
      </w:rPr>
    </w:lvl>
    <w:lvl w:ilvl="6">
      <w:start w:val="0"/>
      <w:numFmt w:val="bullet"/>
      <w:lvlText w:val="•"/>
      <w:lvlJc w:val="left"/>
      <w:pPr>
        <w:ind w:left="5639" w:hanging="538"/>
      </w:pPr>
      <w:rPr>
        <w:rFonts w:hint="default"/>
        <w:lang w:val="en-US" w:eastAsia="zh-CN" w:bidi="ar-SA"/>
      </w:rPr>
    </w:lvl>
    <w:lvl w:ilvl="7">
      <w:start w:val="0"/>
      <w:numFmt w:val="bullet"/>
      <w:lvlText w:val="•"/>
      <w:lvlJc w:val="left"/>
      <w:pPr>
        <w:ind w:left="6416" w:hanging="538"/>
      </w:pPr>
      <w:rPr>
        <w:rFonts w:hint="default"/>
        <w:lang w:val="en-US" w:eastAsia="zh-CN" w:bidi="ar-SA"/>
      </w:rPr>
    </w:lvl>
    <w:lvl w:ilvl="8">
      <w:start w:val="0"/>
      <w:numFmt w:val="bullet"/>
      <w:lvlText w:val="•"/>
      <w:lvlJc w:val="left"/>
      <w:pPr>
        <w:ind w:left="7193" w:hanging="538"/>
      </w:pPr>
      <w:rPr>
        <w:rFonts w:hint="default"/>
        <w:lang w:val="en-US" w:eastAsia="zh-CN" w:bidi="ar-SA"/>
      </w:rPr>
    </w:lvl>
  </w:abstractNum>
  <w:abstractNum w:abstractNumId="5">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56" w:hanging="538"/>
      </w:pPr>
      <w:rPr>
        <w:rFonts w:hint="default"/>
        <w:lang w:val="en-US" w:eastAsia="zh-CN" w:bidi="ar-SA"/>
      </w:rPr>
    </w:lvl>
    <w:lvl w:ilvl="2">
      <w:start w:val="0"/>
      <w:numFmt w:val="bullet"/>
      <w:lvlText w:val="•"/>
      <w:lvlJc w:val="left"/>
      <w:pPr>
        <w:ind w:left="2533" w:hanging="538"/>
      </w:pPr>
      <w:rPr>
        <w:rFonts w:hint="default"/>
        <w:lang w:val="en-US" w:eastAsia="zh-CN" w:bidi="ar-SA"/>
      </w:rPr>
    </w:lvl>
    <w:lvl w:ilvl="3">
      <w:start w:val="0"/>
      <w:numFmt w:val="bullet"/>
      <w:lvlText w:val="•"/>
      <w:lvlJc w:val="left"/>
      <w:pPr>
        <w:ind w:left="3309" w:hanging="538"/>
      </w:pPr>
      <w:rPr>
        <w:rFonts w:hint="default"/>
        <w:lang w:val="en-US" w:eastAsia="zh-CN" w:bidi="ar-SA"/>
      </w:rPr>
    </w:lvl>
    <w:lvl w:ilvl="4">
      <w:start w:val="0"/>
      <w:numFmt w:val="bullet"/>
      <w:lvlText w:val="•"/>
      <w:lvlJc w:val="left"/>
      <w:pPr>
        <w:ind w:left="4086" w:hanging="538"/>
      </w:pPr>
      <w:rPr>
        <w:rFonts w:hint="default"/>
        <w:lang w:val="en-US" w:eastAsia="zh-CN" w:bidi="ar-SA"/>
      </w:rPr>
    </w:lvl>
    <w:lvl w:ilvl="5">
      <w:start w:val="0"/>
      <w:numFmt w:val="bullet"/>
      <w:lvlText w:val="•"/>
      <w:lvlJc w:val="left"/>
      <w:pPr>
        <w:ind w:left="4863" w:hanging="538"/>
      </w:pPr>
      <w:rPr>
        <w:rFonts w:hint="default"/>
        <w:lang w:val="en-US" w:eastAsia="zh-CN" w:bidi="ar-SA"/>
      </w:rPr>
    </w:lvl>
    <w:lvl w:ilvl="6">
      <w:start w:val="0"/>
      <w:numFmt w:val="bullet"/>
      <w:lvlText w:val="•"/>
      <w:lvlJc w:val="left"/>
      <w:pPr>
        <w:ind w:left="5639" w:hanging="538"/>
      </w:pPr>
      <w:rPr>
        <w:rFonts w:hint="default"/>
        <w:lang w:val="en-US" w:eastAsia="zh-CN" w:bidi="ar-SA"/>
      </w:rPr>
    </w:lvl>
    <w:lvl w:ilvl="7">
      <w:start w:val="0"/>
      <w:numFmt w:val="bullet"/>
      <w:lvlText w:val="•"/>
      <w:lvlJc w:val="left"/>
      <w:pPr>
        <w:ind w:left="6416" w:hanging="538"/>
      </w:pPr>
      <w:rPr>
        <w:rFonts w:hint="default"/>
        <w:lang w:val="en-US" w:eastAsia="zh-CN" w:bidi="ar-SA"/>
      </w:rPr>
    </w:lvl>
    <w:lvl w:ilvl="8">
      <w:start w:val="0"/>
      <w:numFmt w:val="bullet"/>
      <w:lvlText w:val="•"/>
      <w:lvlJc w:val="left"/>
      <w:pPr>
        <w:ind w:left="7193" w:hanging="538"/>
      </w:pPr>
      <w:rPr>
        <w:rFonts w:hint="default"/>
        <w:lang w:val="en-US" w:eastAsia="zh-CN" w:bidi="ar-SA"/>
      </w:rPr>
    </w:lvl>
  </w:abstractNum>
  <w:abstractNum w:abstractNumId="4">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28" w:hanging="529"/>
      </w:pPr>
      <w:rPr>
        <w:rFonts w:hint="default"/>
        <w:lang w:val="en-US" w:eastAsia="zh-CN" w:bidi="ar-SA"/>
      </w:rPr>
    </w:lvl>
    <w:lvl w:ilvl="2">
      <w:start w:val="0"/>
      <w:numFmt w:val="bullet"/>
      <w:lvlText w:val="•"/>
      <w:lvlJc w:val="left"/>
      <w:pPr>
        <w:ind w:left="2597" w:hanging="529"/>
      </w:pPr>
      <w:rPr>
        <w:rFonts w:hint="default"/>
        <w:lang w:val="en-US" w:eastAsia="zh-CN" w:bidi="ar-SA"/>
      </w:rPr>
    </w:lvl>
    <w:lvl w:ilvl="3">
      <w:start w:val="0"/>
      <w:numFmt w:val="bullet"/>
      <w:lvlText w:val="•"/>
      <w:lvlJc w:val="left"/>
      <w:pPr>
        <w:ind w:left="3365" w:hanging="529"/>
      </w:pPr>
      <w:rPr>
        <w:rFonts w:hint="default"/>
        <w:lang w:val="en-US" w:eastAsia="zh-CN" w:bidi="ar-SA"/>
      </w:rPr>
    </w:lvl>
    <w:lvl w:ilvl="4">
      <w:start w:val="0"/>
      <w:numFmt w:val="bullet"/>
      <w:lvlText w:val="•"/>
      <w:lvlJc w:val="left"/>
      <w:pPr>
        <w:ind w:left="4134" w:hanging="529"/>
      </w:pPr>
      <w:rPr>
        <w:rFonts w:hint="default"/>
        <w:lang w:val="en-US" w:eastAsia="zh-CN" w:bidi="ar-SA"/>
      </w:rPr>
    </w:lvl>
    <w:lvl w:ilvl="5">
      <w:start w:val="0"/>
      <w:numFmt w:val="bullet"/>
      <w:lvlText w:val="•"/>
      <w:lvlJc w:val="left"/>
      <w:pPr>
        <w:ind w:left="4903" w:hanging="529"/>
      </w:pPr>
      <w:rPr>
        <w:rFonts w:hint="default"/>
        <w:lang w:val="en-US" w:eastAsia="zh-CN" w:bidi="ar-SA"/>
      </w:rPr>
    </w:lvl>
    <w:lvl w:ilvl="6">
      <w:start w:val="0"/>
      <w:numFmt w:val="bullet"/>
      <w:lvlText w:val="•"/>
      <w:lvlJc w:val="left"/>
      <w:pPr>
        <w:ind w:left="5671" w:hanging="529"/>
      </w:pPr>
      <w:rPr>
        <w:rFonts w:hint="default"/>
        <w:lang w:val="en-US" w:eastAsia="zh-CN" w:bidi="ar-SA"/>
      </w:rPr>
    </w:lvl>
    <w:lvl w:ilvl="7">
      <w:start w:val="0"/>
      <w:numFmt w:val="bullet"/>
      <w:lvlText w:val="•"/>
      <w:lvlJc w:val="left"/>
      <w:pPr>
        <w:ind w:left="6440" w:hanging="529"/>
      </w:pPr>
      <w:rPr>
        <w:rFonts w:hint="default"/>
        <w:lang w:val="en-US" w:eastAsia="zh-CN" w:bidi="ar-SA"/>
      </w:rPr>
    </w:lvl>
    <w:lvl w:ilvl="8">
      <w:start w:val="0"/>
      <w:numFmt w:val="bullet"/>
      <w:lvlText w:val="•"/>
      <w:lvlJc w:val="left"/>
      <w:pPr>
        <w:ind w:left="7209" w:hanging="529"/>
      </w:pPr>
      <w:rPr>
        <w:rFonts w:hint="default"/>
        <w:lang w:val="en-US" w:eastAsia="zh-CN" w:bidi="ar-SA"/>
      </w:rPr>
    </w:lvl>
  </w:abstractNum>
  <w:abstractNum w:abstractNumId="3">
    <w:multiLevelType w:val="hybridMultilevel"/>
    <w:lvl w:ilvl="0">
      <w:start w:val="1"/>
      <w:numFmt w:val="decimal"/>
      <w:lvlText w:val="（%1）"/>
      <w:lvlJc w:val="left"/>
      <w:pPr>
        <w:ind w:left="1106" w:hanging="567"/>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64" w:hanging="567"/>
      </w:pPr>
      <w:rPr>
        <w:rFonts w:hint="default"/>
        <w:lang w:val="en-US" w:eastAsia="zh-CN" w:bidi="ar-SA"/>
      </w:rPr>
    </w:lvl>
    <w:lvl w:ilvl="2">
      <w:start w:val="0"/>
      <w:numFmt w:val="bullet"/>
      <w:lvlText w:val="•"/>
      <w:lvlJc w:val="left"/>
      <w:pPr>
        <w:ind w:left="2629" w:hanging="567"/>
      </w:pPr>
      <w:rPr>
        <w:rFonts w:hint="default"/>
        <w:lang w:val="en-US" w:eastAsia="zh-CN" w:bidi="ar-SA"/>
      </w:rPr>
    </w:lvl>
    <w:lvl w:ilvl="3">
      <w:start w:val="0"/>
      <w:numFmt w:val="bullet"/>
      <w:lvlText w:val="•"/>
      <w:lvlJc w:val="left"/>
      <w:pPr>
        <w:ind w:left="3393" w:hanging="567"/>
      </w:pPr>
      <w:rPr>
        <w:rFonts w:hint="default"/>
        <w:lang w:val="en-US" w:eastAsia="zh-CN" w:bidi="ar-SA"/>
      </w:rPr>
    </w:lvl>
    <w:lvl w:ilvl="4">
      <w:start w:val="0"/>
      <w:numFmt w:val="bullet"/>
      <w:lvlText w:val="•"/>
      <w:lvlJc w:val="left"/>
      <w:pPr>
        <w:ind w:left="4158" w:hanging="567"/>
      </w:pPr>
      <w:rPr>
        <w:rFonts w:hint="default"/>
        <w:lang w:val="en-US" w:eastAsia="zh-CN" w:bidi="ar-SA"/>
      </w:rPr>
    </w:lvl>
    <w:lvl w:ilvl="5">
      <w:start w:val="0"/>
      <w:numFmt w:val="bullet"/>
      <w:lvlText w:val="•"/>
      <w:lvlJc w:val="left"/>
      <w:pPr>
        <w:ind w:left="4923" w:hanging="567"/>
      </w:pPr>
      <w:rPr>
        <w:rFonts w:hint="default"/>
        <w:lang w:val="en-US" w:eastAsia="zh-CN" w:bidi="ar-SA"/>
      </w:rPr>
    </w:lvl>
    <w:lvl w:ilvl="6">
      <w:start w:val="0"/>
      <w:numFmt w:val="bullet"/>
      <w:lvlText w:val="•"/>
      <w:lvlJc w:val="left"/>
      <w:pPr>
        <w:ind w:left="5687" w:hanging="567"/>
      </w:pPr>
      <w:rPr>
        <w:rFonts w:hint="default"/>
        <w:lang w:val="en-US" w:eastAsia="zh-CN" w:bidi="ar-SA"/>
      </w:rPr>
    </w:lvl>
    <w:lvl w:ilvl="7">
      <w:start w:val="0"/>
      <w:numFmt w:val="bullet"/>
      <w:lvlText w:val="•"/>
      <w:lvlJc w:val="left"/>
      <w:pPr>
        <w:ind w:left="6452" w:hanging="567"/>
      </w:pPr>
      <w:rPr>
        <w:rFonts w:hint="default"/>
        <w:lang w:val="en-US" w:eastAsia="zh-CN" w:bidi="ar-SA"/>
      </w:rPr>
    </w:lvl>
    <w:lvl w:ilvl="8">
      <w:start w:val="0"/>
      <w:numFmt w:val="bullet"/>
      <w:lvlText w:val="•"/>
      <w:lvlJc w:val="left"/>
      <w:pPr>
        <w:ind w:left="7217" w:hanging="567"/>
      </w:pPr>
      <w:rPr>
        <w:rFonts w:hint="default"/>
        <w:lang w:val="en-US" w:eastAsia="zh-CN" w:bidi="ar-SA"/>
      </w:rPr>
    </w:lvl>
  </w:abstractNum>
  <w:abstractNum w:abstractNumId="2">
    <w:multiLevelType w:val="hybridMultilevel"/>
    <w:lvl w:ilvl="0">
      <w:start w:val="1"/>
      <w:numFmt w:val="decimal"/>
      <w:lvlText w:val="（%1）"/>
      <w:lvlJc w:val="left"/>
      <w:pPr>
        <w:ind w:left="100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74" w:hanging="529"/>
      </w:pPr>
      <w:rPr>
        <w:rFonts w:hint="default"/>
        <w:lang w:val="en-US" w:eastAsia="zh-CN" w:bidi="ar-SA"/>
      </w:rPr>
    </w:lvl>
    <w:lvl w:ilvl="2">
      <w:start w:val="0"/>
      <w:numFmt w:val="bullet"/>
      <w:lvlText w:val="•"/>
      <w:lvlJc w:val="left"/>
      <w:pPr>
        <w:ind w:left="2549" w:hanging="529"/>
      </w:pPr>
      <w:rPr>
        <w:rFonts w:hint="default"/>
        <w:lang w:val="en-US" w:eastAsia="zh-CN" w:bidi="ar-SA"/>
      </w:rPr>
    </w:lvl>
    <w:lvl w:ilvl="3">
      <w:start w:val="0"/>
      <w:numFmt w:val="bullet"/>
      <w:lvlText w:val="•"/>
      <w:lvlJc w:val="left"/>
      <w:pPr>
        <w:ind w:left="3323" w:hanging="529"/>
      </w:pPr>
      <w:rPr>
        <w:rFonts w:hint="default"/>
        <w:lang w:val="en-US" w:eastAsia="zh-CN" w:bidi="ar-SA"/>
      </w:rPr>
    </w:lvl>
    <w:lvl w:ilvl="4">
      <w:start w:val="0"/>
      <w:numFmt w:val="bullet"/>
      <w:lvlText w:val="•"/>
      <w:lvlJc w:val="left"/>
      <w:pPr>
        <w:ind w:left="4098" w:hanging="529"/>
      </w:pPr>
      <w:rPr>
        <w:rFonts w:hint="default"/>
        <w:lang w:val="en-US" w:eastAsia="zh-CN" w:bidi="ar-SA"/>
      </w:rPr>
    </w:lvl>
    <w:lvl w:ilvl="5">
      <w:start w:val="0"/>
      <w:numFmt w:val="bullet"/>
      <w:lvlText w:val="•"/>
      <w:lvlJc w:val="left"/>
      <w:pPr>
        <w:ind w:left="4873" w:hanging="529"/>
      </w:pPr>
      <w:rPr>
        <w:rFonts w:hint="default"/>
        <w:lang w:val="en-US" w:eastAsia="zh-CN" w:bidi="ar-SA"/>
      </w:rPr>
    </w:lvl>
    <w:lvl w:ilvl="6">
      <w:start w:val="0"/>
      <w:numFmt w:val="bullet"/>
      <w:lvlText w:val="•"/>
      <w:lvlJc w:val="left"/>
      <w:pPr>
        <w:ind w:left="5647" w:hanging="529"/>
      </w:pPr>
      <w:rPr>
        <w:rFonts w:hint="default"/>
        <w:lang w:val="en-US" w:eastAsia="zh-CN" w:bidi="ar-SA"/>
      </w:rPr>
    </w:lvl>
    <w:lvl w:ilvl="7">
      <w:start w:val="0"/>
      <w:numFmt w:val="bullet"/>
      <w:lvlText w:val="•"/>
      <w:lvlJc w:val="left"/>
      <w:pPr>
        <w:ind w:left="6422" w:hanging="529"/>
      </w:pPr>
      <w:rPr>
        <w:rFonts w:hint="default"/>
        <w:lang w:val="en-US" w:eastAsia="zh-CN" w:bidi="ar-SA"/>
      </w:rPr>
    </w:lvl>
    <w:lvl w:ilvl="8">
      <w:start w:val="0"/>
      <w:numFmt w:val="bullet"/>
      <w:lvlText w:val="•"/>
      <w:lvlJc w:val="left"/>
      <w:pPr>
        <w:ind w:left="7197" w:hanging="529"/>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960" w:hanging="420"/>
        <w:jc w:val="left"/>
      </w:pPr>
      <w:rPr>
        <w:rFonts w:hint="default" w:ascii="Calibri" w:hAnsi="Calibri" w:eastAsia="Calibri" w:cs="Calibri"/>
        <w:b w:val="0"/>
        <w:bCs w:val="0"/>
        <w:i w:val="0"/>
        <w:iCs w:val="0"/>
        <w:spacing w:val="-1"/>
        <w:w w:val="100"/>
        <w:sz w:val="21"/>
        <w:szCs w:val="21"/>
        <w:lang w:val="en-US" w:eastAsia="zh-CN" w:bidi="ar-SA"/>
      </w:rPr>
    </w:lvl>
    <w:lvl w:ilvl="2">
      <w:start w:val="1"/>
      <w:numFmt w:val="decimal"/>
      <w:lvlText w:val="%1.%2.%3"/>
      <w:lvlJc w:val="left"/>
      <w:pPr>
        <w:ind w:left="1380" w:hanging="591"/>
        <w:jc w:val="left"/>
      </w:pPr>
      <w:rPr>
        <w:rFonts w:hint="default" w:ascii="Calibri" w:hAnsi="Calibri" w:eastAsia="Calibri" w:cs="Calibri"/>
        <w:b w:val="0"/>
        <w:bCs w:val="0"/>
        <w:i w:val="0"/>
        <w:iCs w:val="0"/>
        <w:spacing w:val="-3"/>
        <w:w w:val="100"/>
        <w:sz w:val="21"/>
        <w:szCs w:val="21"/>
        <w:lang w:val="en-US" w:eastAsia="zh-CN" w:bidi="ar-SA"/>
      </w:rPr>
    </w:lvl>
    <w:lvl w:ilvl="3">
      <w:start w:val="0"/>
      <w:numFmt w:val="bullet"/>
      <w:lvlText w:val="•"/>
      <w:lvlJc w:val="left"/>
      <w:pPr>
        <w:ind w:left="980" w:hanging="591"/>
      </w:pPr>
      <w:rPr>
        <w:rFonts w:hint="default"/>
        <w:lang w:val="en-US" w:eastAsia="zh-CN" w:bidi="ar-SA"/>
      </w:rPr>
    </w:lvl>
    <w:lvl w:ilvl="4">
      <w:start w:val="0"/>
      <w:numFmt w:val="bullet"/>
      <w:lvlText w:val="•"/>
      <w:lvlJc w:val="left"/>
      <w:pPr>
        <w:ind w:left="1120" w:hanging="591"/>
      </w:pPr>
      <w:rPr>
        <w:rFonts w:hint="default"/>
        <w:lang w:val="en-US" w:eastAsia="zh-CN" w:bidi="ar-SA"/>
      </w:rPr>
    </w:lvl>
    <w:lvl w:ilvl="5">
      <w:start w:val="0"/>
      <w:numFmt w:val="bullet"/>
      <w:lvlText w:val="•"/>
      <w:lvlJc w:val="left"/>
      <w:pPr>
        <w:ind w:left="1380" w:hanging="591"/>
      </w:pPr>
      <w:rPr>
        <w:rFonts w:hint="default"/>
        <w:lang w:val="en-US" w:eastAsia="zh-CN" w:bidi="ar-SA"/>
      </w:rPr>
    </w:lvl>
    <w:lvl w:ilvl="6">
      <w:start w:val="0"/>
      <w:numFmt w:val="bullet"/>
      <w:lvlText w:val="•"/>
      <w:lvlJc w:val="left"/>
      <w:pPr>
        <w:ind w:left="2853" w:hanging="591"/>
      </w:pPr>
      <w:rPr>
        <w:rFonts w:hint="default"/>
        <w:lang w:val="en-US" w:eastAsia="zh-CN" w:bidi="ar-SA"/>
      </w:rPr>
    </w:lvl>
    <w:lvl w:ilvl="7">
      <w:start w:val="0"/>
      <w:numFmt w:val="bullet"/>
      <w:lvlText w:val="•"/>
      <w:lvlJc w:val="left"/>
      <w:pPr>
        <w:ind w:left="4326" w:hanging="591"/>
      </w:pPr>
      <w:rPr>
        <w:rFonts w:hint="default"/>
        <w:lang w:val="en-US" w:eastAsia="zh-CN" w:bidi="ar-SA"/>
      </w:rPr>
    </w:lvl>
    <w:lvl w:ilvl="8">
      <w:start w:val="0"/>
      <w:numFmt w:val="bullet"/>
      <w:lvlText w:val="•"/>
      <w:lvlJc w:val="left"/>
      <w:pPr>
        <w:ind w:left="5799" w:hanging="591"/>
      </w:pPr>
      <w:rPr>
        <w:rFonts w:hint="default"/>
        <w:lang w:val="en-US" w:eastAsia="zh-CN" w:bidi="ar-SA"/>
      </w:rPr>
    </w:lvl>
  </w:abstractNum>
  <w:abstractNum w:abstractNumId="0">
    <w:multiLevelType w:val="hybridMultilevel"/>
    <w:lvl w:ilvl="0">
      <w:start w:val="1"/>
      <w:numFmt w:val="decimal"/>
      <w:lvlText w:val="%1."/>
      <w:lvlJc w:val="left"/>
      <w:pPr>
        <w:ind w:left="972" w:hanging="432"/>
        <w:jc w:val="left"/>
      </w:pPr>
      <w:rPr>
        <w:rFonts w:hint="default"/>
        <w:w w:val="100"/>
        <w:lang w:val="en-US" w:eastAsia="zh-CN" w:bidi="ar-SA"/>
      </w:rPr>
    </w:lvl>
    <w:lvl w:ilvl="1">
      <w:start w:val="0"/>
      <w:numFmt w:val="bullet"/>
      <w:lvlText w:val="•"/>
      <w:lvlJc w:val="left"/>
      <w:pPr>
        <w:ind w:left="1756" w:hanging="432"/>
      </w:pPr>
      <w:rPr>
        <w:rFonts w:hint="default"/>
        <w:lang w:val="en-US" w:eastAsia="zh-CN" w:bidi="ar-SA"/>
      </w:rPr>
    </w:lvl>
    <w:lvl w:ilvl="2">
      <w:start w:val="0"/>
      <w:numFmt w:val="bullet"/>
      <w:lvlText w:val="•"/>
      <w:lvlJc w:val="left"/>
      <w:pPr>
        <w:ind w:left="2533" w:hanging="432"/>
      </w:pPr>
      <w:rPr>
        <w:rFonts w:hint="default"/>
        <w:lang w:val="en-US" w:eastAsia="zh-CN" w:bidi="ar-SA"/>
      </w:rPr>
    </w:lvl>
    <w:lvl w:ilvl="3">
      <w:start w:val="0"/>
      <w:numFmt w:val="bullet"/>
      <w:lvlText w:val="•"/>
      <w:lvlJc w:val="left"/>
      <w:pPr>
        <w:ind w:left="3309" w:hanging="432"/>
      </w:pPr>
      <w:rPr>
        <w:rFonts w:hint="default"/>
        <w:lang w:val="en-US" w:eastAsia="zh-CN" w:bidi="ar-SA"/>
      </w:rPr>
    </w:lvl>
    <w:lvl w:ilvl="4">
      <w:start w:val="0"/>
      <w:numFmt w:val="bullet"/>
      <w:lvlText w:val="•"/>
      <w:lvlJc w:val="left"/>
      <w:pPr>
        <w:ind w:left="4086" w:hanging="432"/>
      </w:pPr>
      <w:rPr>
        <w:rFonts w:hint="default"/>
        <w:lang w:val="en-US" w:eastAsia="zh-CN" w:bidi="ar-SA"/>
      </w:rPr>
    </w:lvl>
    <w:lvl w:ilvl="5">
      <w:start w:val="0"/>
      <w:numFmt w:val="bullet"/>
      <w:lvlText w:val="•"/>
      <w:lvlJc w:val="left"/>
      <w:pPr>
        <w:ind w:left="4863" w:hanging="432"/>
      </w:pPr>
      <w:rPr>
        <w:rFonts w:hint="default"/>
        <w:lang w:val="en-US" w:eastAsia="zh-CN" w:bidi="ar-SA"/>
      </w:rPr>
    </w:lvl>
    <w:lvl w:ilvl="6">
      <w:start w:val="0"/>
      <w:numFmt w:val="bullet"/>
      <w:lvlText w:val="•"/>
      <w:lvlJc w:val="left"/>
      <w:pPr>
        <w:ind w:left="5639" w:hanging="432"/>
      </w:pPr>
      <w:rPr>
        <w:rFonts w:hint="default"/>
        <w:lang w:val="en-US" w:eastAsia="zh-CN" w:bidi="ar-SA"/>
      </w:rPr>
    </w:lvl>
    <w:lvl w:ilvl="7">
      <w:start w:val="0"/>
      <w:numFmt w:val="bullet"/>
      <w:lvlText w:val="•"/>
      <w:lvlJc w:val="left"/>
      <w:pPr>
        <w:ind w:left="6416" w:hanging="432"/>
      </w:pPr>
      <w:rPr>
        <w:rFonts w:hint="default"/>
        <w:lang w:val="en-US" w:eastAsia="zh-CN" w:bidi="ar-SA"/>
      </w:rPr>
    </w:lvl>
    <w:lvl w:ilvl="8">
      <w:start w:val="0"/>
      <w:numFmt w:val="bullet"/>
      <w:lvlText w:val="•"/>
      <w:lvlJc w:val="left"/>
      <w:pPr>
        <w:ind w:left="7193" w:hanging="432"/>
      </w:pPr>
      <w:rPr>
        <w:rFonts w:hint="default"/>
        <w:lang w:val="en-US" w:eastAsia="zh-CN" w:bidi="ar-SA"/>
      </w:rPr>
    </w:lvl>
  </w:abstract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1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972" w:hanging="433"/>
    </w:pPr>
    <w:rPr>
      <w:rFonts w:ascii="微软雅黑" w:hAnsi="微软雅黑" w:eastAsia="微软雅黑" w:cs="微软雅黑"/>
      <w:b/>
      <w:bCs/>
      <w:sz w:val="21"/>
      <w:szCs w:val="21"/>
      <w:lang w:val="en-US" w:eastAsia="zh-CN" w:bidi="ar-SA"/>
    </w:rPr>
  </w:style>
  <w:style w:styleId="TOC3" w:type="paragraph">
    <w:name w:val="TOC 3"/>
    <w:basedOn w:val="Normal"/>
    <w:uiPriority w:val="1"/>
    <w:qFormat/>
    <w:pPr>
      <w:spacing w:line="312" w:lineRule="exact"/>
      <w:ind w:left="972" w:hanging="433"/>
    </w:pPr>
    <w:rPr>
      <w:rFonts w:ascii="微软雅黑" w:hAnsi="微软雅黑" w:eastAsia="微软雅黑" w:cs="微软雅黑"/>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196"/>
      <w:jc w:val="center"/>
      <w:outlineLvl w:val="1"/>
    </w:pPr>
    <w:rPr>
      <w:rFonts w:ascii="微软雅黑" w:hAnsi="微软雅黑" w:eastAsia="微软雅黑" w:cs="微软雅黑"/>
      <w:b/>
      <w:bCs/>
      <w:sz w:val="28"/>
      <w:szCs w:val="28"/>
      <w:lang w:val="en-US" w:eastAsia="zh-CN" w:bidi="ar-SA"/>
    </w:rPr>
  </w:style>
  <w:style w:styleId="Heading2" w:type="paragraph">
    <w:name w:val="Heading 2"/>
    <w:basedOn w:val="Normal"/>
    <w:uiPriority w:val="1"/>
    <w:qFormat/>
    <w:pPr>
      <w:ind w:left="120"/>
      <w:outlineLvl w:val="2"/>
    </w:pPr>
    <w:rPr>
      <w:rFonts w:ascii="微软雅黑" w:hAnsi="微软雅黑" w:eastAsia="微软雅黑" w:cs="微软雅黑"/>
      <w:b/>
      <w:bCs/>
      <w:sz w:val="21"/>
      <w:szCs w:val="21"/>
      <w:lang w:val="en-US" w:eastAsia="zh-CN" w:bidi="ar-SA"/>
    </w:rPr>
  </w:style>
  <w:style w:styleId="Title" w:type="paragraph">
    <w:name w:val="Title"/>
    <w:basedOn w:val="Normal"/>
    <w:uiPriority w:val="1"/>
    <w:qFormat/>
    <w:pPr>
      <w:ind w:left="1066" w:right="1264"/>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ind w:left="1176" w:hanging="632"/>
    </w:pPr>
    <w:rPr>
      <w:rFonts w:ascii="宋体" w:hAnsi="宋体" w:eastAsia="宋体" w:cs="宋体"/>
      <w:lang w:val="en-US" w:eastAsia="zh-CN" w:bidi="ar-SA"/>
    </w:rPr>
  </w:style>
  <w:style w:styleId="TableParagraph" w:type="paragraph">
    <w:name w:val="Table Paragraph"/>
    <w:basedOn w:val="Normal"/>
    <w:uiPriority w:val="1"/>
    <w:qFormat/>
    <w:pPr>
      <w:spacing w:before="22"/>
      <w:ind w:left="107"/>
    </w:pPr>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2023-06-02T02:57:30Z</dcterms:created>
  <dcterms:modified xsi:type="dcterms:W3CDTF">2023-06-02T02:57:30Z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